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996C5" w14:textId="77777777" w:rsidR="008203A8" w:rsidRPr="00003819" w:rsidRDefault="008203A8" w:rsidP="008203A8">
      <w:pPr>
        <w:rPr>
          <w:sz w:val="24"/>
          <w:szCs w:val="24"/>
        </w:rPr>
      </w:pPr>
      <w:r w:rsidRPr="00003819">
        <w:rPr>
          <w:noProof/>
          <w:sz w:val="24"/>
          <w:szCs w:val="24"/>
          <w:lang w:eastAsia="da-DK"/>
        </w:rPr>
        <w:drawing>
          <wp:inline distT="0" distB="0" distL="0" distR="0" wp14:anchorId="3C7A8721" wp14:editId="439EC119">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099E32D" w14:textId="77777777" w:rsidR="008203A8" w:rsidRPr="00003819" w:rsidRDefault="008203A8" w:rsidP="008203A8">
      <w:pPr>
        <w:rPr>
          <w:sz w:val="24"/>
          <w:szCs w:val="24"/>
        </w:rPr>
      </w:pPr>
    </w:p>
    <w:p w14:paraId="6AAD067E" w14:textId="663A8915" w:rsidR="008203A8" w:rsidRPr="00003819" w:rsidRDefault="008203A8" w:rsidP="008203A8">
      <w:pPr>
        <w:tabs>
          <w:tab w:val="right" w:pos="9356"/>
        </w:tabs>
        <w:rPr>
          <w:b/>
          <w:sz w:val="24"/>
          <w:szCs w:val="24"/>
        </w:rPr>
      </w:pPr>
      <w:r w:rsidRPr="00003819">
        <w:rPr>
          <w:b/>
          <w:sz w:val="24"/>
          <w:szCs w:val="24"/>
        </w:rPr>
        <w:tab/>
      </w:r>
      <w:r w:rsidR="00FC1D77">
        <w:rPr>
          <w:b/>
          <w:sz w:val="24"/>
          <w:szCs w:val="24"/>
        </w:rPr>
        <w:t>1</w:t>
      </w:r>
      <w:r w:rsidR="00B1599E">
        <w:rPr>
          <w:b/>
          <w:sz w:val="24"/>
          <w:szCs w:val="24"/>
        </w:rPr>
        <w:t>0</w:t>
      </w:r>
      <w:r w:rsidR="00FC1D77">
        <w:rPr>
          <w:b/>
          <w:sz w:val="24"/>
          <w:szCs w:val="24"/>
        </w:rPr>
        <w:t>. december 2025</w:t>
      </w:r>
    </w:p>
    <w:p w14:paraId="209375E7" w14:textId="67797168" w:rsidR="00003819" w:rsidRDefault="00003819" w:rsidP="008203A8">
      <w:pPr>
        <w:rPr>
          <w:sz w:val="24"/>
          <w:szCs w:val="24"/>
        </w:rPr>
      </w:pPr>
    </w:p>
    <w:p w14:paraId="39009400" w14:textId="77777777" w:rsidR="00B1599E" w:rsidRPr="00003819" w:rsidRDefault="00B1599E" w:rsidP="008203A8">
      <w:pPr>
        <w:rPr>
          <w:sz w:val="24"/>
          <w:szCs w:val="24"/>
        </w:rPr>
      </w:pPr>
    </w:p>
    <w:p w14:paraId="41C16D17" w14:textId="77777777" w:rsidR="00003819" w:rsidRPr="00003819" w:rsidRDefault="00003819" w:rsidP="008203A8">
      <w:pPr>
        <w:rPr>
          <w:sz w:val="24"/>
          <w:szCs w:val="24"/>
        </w:rPr>
      </w:pPr>
    </w:p>
    <w:p w14:paraId="6567B004" w14:textId="77777777" w:rsidR="008203A8" w:rsidRPr="00003819" w:rsidRDefault="008203A8" w:rsidP="008203A8">
      <w:pPr>
        <w:jc w:val="center"/>
        <w:rPr>
          <w:b/>
          <w:sz w:val="24"/>
          <w:szCs w:val="24"/>
        </w:rPr>
      </w:pPr>
      <w:r w:rsidRPr="00003819">
        <w:rPr>
          <w:b/>
          <w:sz w:val="24"/>
          <w:szCs w:val="24"/>
        </w:rPr>
        <w:t>PRODUKTRESUMÉ</w:t>
      </w:r>
    </w:p>
    <w:p w14:paraId="55D86E15" w14:textId="77777777" w:rsidR="008203A8" w:rsidRPr="00003819" w:rsidRDefault="008203A8" w:rsidP="008203A8">
      <w:pPr>
        <w:jc w:val="center"/>
        <w:rPr>
          <w:b/>
          <w:sz w:val="24"/>
          <w:szCs w:val="24"/>
        </w:rPr>
      </w:pPr>
    </w:p>
    <w:p w14:paraId="6B03F34B" w14:textId="77777777" w:rsidR="008203A8" w:rsidRPr="00003819" w:rsidRDefault="008203A8" w:rsidP="008203A8">
      <w:pPr>
        <w:jc w:val="center"/>
        <w:rPr>
          <w:b/>
          <w:sz w:val="24"/>
          <w:szCs w:val="24"/>
        </w:rPr>
      </w:pPr>
      <w:r w:rsidRPr="00003819">
        <w:rPr>
          <w:b/>
          <w:sz w:val="24"/>
          <w:szCs w:val="24"/>
        </w:rPr>
        <w:t>for</w:t>
      </w:r>
    </w:p>
    <w:p w14:paraId="11997205" w14:textId="77777777" w:rsidR="008203A8" w:rsidRPr="00003819" w:rsidRDefault="008203A8" w:rsidP="008203A8">
      <w:pPr>
        <w:jc w:val="center"/>
        <w:rPr>
          <w:b/>
          <w:sz w:val="24"/>
          <w:szCs w:val="24"/>
        </w:rPr>
      </w:pPr>
    </w:p>
    <w:p w14:paraId="46B7E157" w14:textId="3FA5DDA5" w:rsidR="008203A8" w:rsidRPr="00003819" w:rsidRDefault="0007533F" w:rsidP="008203A8">
      <w:pPr>
        <w:jc w:val="center"/>
        <w:rPr>
          <w:b/>
          <w:sz w:val="24"/>
          <w:szCs w:val="24"/>
        </w:rPr>
      </w:pPr>
      <w:proofErr w:type="spellStart"/>
      <w:r w:rsidRPr="00003819">
        <w:rPr>
          <w:b/>
          <w:sz w:val="24"/>
          <w:szCs w:val="24"/>
        </w:rPr>
        <w:t>Lenzelta</w:t>
      </w:r>
      <w:proofErr w:type="spellEnd"/>
      <w:r w:rsidRPr="00003819">
        <w:rPr>
          <w:b/>
          <w:sz w:val="24"/>
          <w:szCs w:val="24"/>
        </w:rPr>
        <w:t>, injektionsvæske, suspension</w:t>
      </w:r>
    </w:p>
    <w:p w14:paraId="6F6101DB" w14:textId="77777777" w:rsidR="008203A8" w:rsidRPr="00003819" w:rsidRDefault="008203A8" w:rsidP="008203A8">
      <w:pPr>
        <w:jc w:val="both"/>
        <w:rPr>
          <w:sz w:val="24"/>
          <w:szCs w:val="24"/>
        </w:rPr>
      </w:pPr>
    </w:p>
    <w:p w14:paraId="77911103" w14:textId="77777777" w:rsidR="008203A8" w:rsidRPr="00003819" w:rsidRDefault="008203A8" w:rsidP="008203A8">
      <w:pPr>
        <w:jc w:val="both"/>
        <w:rPr>
          <w:sz w:val="24"/>
          <w:szCs w:val="24"/>
        </w:rPr>
      </w:pPr>
    </w:p>
    <w:p w14:paraId="13469402" w14:textId="77777777" w:rsidR="008203A8" w:rsidRPr="00003819" w:rsidRDefault="008203A8" w:rsidP="008203A8">
      <w:pPr>
        <w:ind w:left="851" w:hanging="851"/>
        <w:rPr>
          <w:b/>
          <w:sz w:val="24"/>
          <w:szCs w:val="24"/>
        </w:rPr>
      </w:pPr>
      <w:r w:rsidRPr="00003819">
        <w:rPr>
          <w:b/>
          <w:sz w:val="24"/>
          <w:szCs w:val="24"/>
        </w:rPr>
        <w:t>0.</w:t>
      </w:r>
      <w:r w:rsidRPr="00003819">
        <w:rPr>
          <w:b/>
          <w:sz w:val="24"/>
          <w:szCs w:val="24"/>
        </w:rPr>
        <w:tab/>
        <w:t>D.SP.NR.</w:t>
      </w:r>
    </w:p>
    <w:p w14:paraId="15A8C435" w14:textId="1152BFBE" w:rsidR="008203A8" w:rsidRPr="00003819" w:rsidRDefault="0007533F" w:rsidP="008203A8">
      <w:pPr>
        <w:ind w:left="851"/>
        <w:rPr>
          <w:sz w:val="24"/>
          <w:szCs w:val="24"/>
        </w:rPr>
      </w:pPr>
      <w:r w:rsidRPr="00003819">
        <w:rPr>
          <w:sz w:val="24"/>
          <w:szCs w:val="24"/>
        </w:rPr>
        <w:t>34337</w:t>
      </w:r>
    </w:p>
    <w:p w14:paraId="067BD091" w14:textId="77777777" w:rsidR="008203A8" w:rsidRPr="00003819" w:rsidRDefault="008203A8" w:rsidP="008203A8">
      <w:pPr>
        <w:ind w:left="851"/>
        <w:rPr>
          <w:sz w:val="24"/>
          <w:szCs w:val="24"/>
        </w:rPr>
      </w:pPr>
    </w:p>
    <w:p w14:paraId="56FCFDB3" w14:textId="77777777" w:rsidR="008203A8" w:rsidRPr="00003819" w:rsidRDefault="008203A8" w:rsidP="008203A8">
      <w:pPr>
        <w:ind w:left="851" w:hanging="851"/>
        <w:rPr>
          <w:b/>
          <w:sz w:val="24"/>
          <w:szCs w:val="24"/>
        </w:rPr>
      </w:pPr>
      <w:r w:rsidRPr="00003819">
        <w:rPr>
          <w:b/>
          <w:sz w:val="24"/>
          <w:szCs w:val="24"/>
        </w:rPr>
        <w:t>1.</w:t>
      </w:r>
      <w:r w:rsidRPr="00003819">
        <w:rPr>
          <w:b/>
          <w:sz w:val="24"/>
          <w:szCs w:val="24"/>
        </w:rPr>
        <w:tab/>
        <w:t>VETERINÆRLÆGEMIDLETS NAVN</w:t>
      </w:r>
    </w:p>
    <w:p w14:paraId="429DB09E" w14:textId="4CC18BDD" w:rsidR="008203A8" w:rsidRPr="00003819" w:rsidRDefault="0007533F" w:rsidP="008203A8">
      <w:pPr>
        <w:ind w:left="851"/>
        <w:rPr>
          <w:sz w:val="24"/>
          <w:szCs w:val="24"/>
        </w:rPr>
      </w:pPr>
      <w:proofErr w:type="spellStart"/>
      <w:r w:rsidRPr="00003819">
        <w:rPr>
          <w:sz w:val="24"/>
          <w:szCs w:val="24"/>
        </w:rPr>
        <w:t>Lenzelta</w:t>
      </w:r>
      <w:proofErr w:type="spellEnd"/>
    </w:p>
    <w:p w14:paraId="368D6927" w14:textId="77777777" w:rsidR="008203A8" w:rsidRPr="00003819" w:rsidRDefault="008203A8" w:rsidP="008203A8">
      <w:pPr>
        <w:ind w:left="851"/>
        <w:rPr>
          <w:sz w:val="24"/>
          <w:szCs w:val="24"/>
        </w:rPr>
      </w:pPr>
    </w:p>
    <w:p w14:paraId="6A07C925" w14:textId="4CA44249" w:rsidR="008203A8" w:rsidRPr="00003819" w:rsidRDefault="008203A8" w:rsidP="008203A8">
      <w:pPr>
        <w:ind w:left="851"/>
        <w:rPr>
          <w:sz w:val="24"/>
          <w:szCs w:val="24"/>
        </w:rPr>
      </w:pPr>
      <w:r w:rsidRPr="00003819">
        <w:rPr>
          <w:sz w:val="24"/>
          <w:szCs w:val="24"/>
        </w:rPr>
        <w:t xml:space="preserve">Lægemiddelform: </w:t>
      </w:r>
      <w:r w:rsidR="0007533F" w:rsidRPr="00003819">
        <w:rPr>
          <w:sz w:val="24"/>
          <w:szCs w:val="24"/>
        </w:rPr>
        <w:t>Injektionsvæske, suspension</w:t>
      </w:r>
    </w:p>
    <w:p w14:paraId="235451AC" w14:textId="77777777" w:rsidR="008203A8" w:rsidRPr="00003819" w:rsidRDefault="008203A8" w:rsidP="008203A8">
      <w:pPr>
        <w:ind w:left="851"/>
        <w:rPr>
          <w:sz w:val="24"/>
          <w:szCs w:val="24"/>
        </w:rPr>
      </w:pPr>
    </w:p>
    <w:p w14:paraId="74CE0920" w14:textId="77777777" w:rsidR="008203A8" w:rsidRPr="00003819" w:rsidRDefault="008203A8" w:rsidP="008203A8">
      <w:pPr>
        <w:ind w:left="851" w:hanging="851"/>
        <w:rPr>
          <w:b/>
          <w:sz w:val="24"/>
          <w:szCs w:val="24"/>
        </w:rPr>
      </w:pPr>
      <w:r w:rsidRPr="00003819">
        <w:rPr>
          <w:b/>
          <w:sz w:val="24"/>
          <w:szCs w:val="24"/>
        </w:rPr>
        <w:t>2.</w:t>
      </w:r>
      <w:r w:rsidRPr="00003819">
        <w:rPr>
          <w:b/>
          <w:sz w:val="24"/>
          <w:szCs w:val="24"/>
        </w:rPr>
        <w:tab/>
        <w:t>KVALITATIV OG KVANTITATIV SAMMENSÆTNING</w:t>
      </w:r>
    </w:p>
    <w:p w14:paraId="3BB0DB83" w14:textId="77777777" w:rsidR="0007533F" w:rsidRPr="00003819" w:rsidRDefault="0007533F" w:rsidP="00003819">
      <w:pPr>
        <w:ind w:left="851"/>
        <w:rPr>
          <w:sz w:val="24"/>
          <w:szCs w:val="24"/>
        </w:rPr>
      </w:pPr>
      <w:r w:rsidRPr="00003819">
        <w:rPr>
          <w:sz w:val="24"/>
          <w:szCs w:val="24"/>
        </w:rPr>
        <w:t>Hver dosis på 2 ml indeholder:</w:t>
      </w:r>
    </w:p>
    <w:p w14:paraId="0AE208A2" w14:textId="77777777" w:rsidR="0007533F" w:rsidRPr="00003819" w:rsidRDefault="0007533F" w:rsidP="00003819">
      <w:pPr>
        <w:ind w:left="851"/>
        <w:rPr>
          <w:sz w:val="24"/>
          <w:szCs w:val="24"/>
        </w:rPr>
      </w:pPr>
    </w:p>
    <w:p w14:paraId="1C71F2BD" w14:textId="77777777" w:rsidR="0007533F" w:rsidRPr="00003819" w:rsidRDefault="0007533F" w:rsidP="00003819">
      <w:pPr>
        <w:ind w:left="851"/>
        <w:rPr>
          <w:b/>
          <w:sz w:val="24"/>
          <w:szCs w:val="24"/>
        </w:rPr>
      </w:pPr>
      <w:r w:rsidRPr="00003819">
        <w:rPr>
          <w:b/>
          <w:sz w:val="24"/>
          <w:szCs w:val="24"/>
        </w:rPr>
        <w:t>Aktive stoffer:</w:t>
      </w:r>
    </w:p>
    <w:p w14:paraId="5A7A05DD" w14:textId="77777777" w:rsidR="0007533F" w:rsidRPr="00003819" w:rsidRDefault="0007533F" w:rsidP="00003819">
      <w:pPr>
        <w:ind w:left="851"/>
        <w:rPr>
          <w:sz w:val="24"/>
          <w:szCs w:val="24"/>
        </w:rPr>
      </w:pPr>
      <w:r w:rsidRPr="00003819">
        <w:rPr>
          <w:i/>
          <w:sz w:val="24"/>
          <w:szCs w:val="24"/>
        </w:rPr>
        <w:t>Escherichia coli</w:t>
      </w:r>
      <w:r w:rsidRPr="00003819">
        <w:rPr>
          <w:sz w:val="24"/>
          <w:szCs w:val="24"/>
        </w:rPr>
        <w:t xml:space="preserve">, </w:t>
      </w:r>
      <w:proofErr w:type="spellStart"/>
      <w:r w:rsidRPr="00003819">
        <w:rPr>
          <w:sz w:val="24"/>
          <w:szCs w:val="24"/>
        </w:rPr>
        <w:t>serotype</w:t>
      </w:r>
      <w:proofErr w:type="spellEnd"/>
      <w:r w:rsidRPr="00003819">
        <w:rPr>
          <w:sz w:val="24"/>
          <w:szCs w:val="24"/>
        </w:rPr>
        <w:t xml:space="preserve"> O111, stamme J5, inaktiveret: RP ≥ 1*</w:t>
      </w:r>
    </w:p>
    <w:p w14:paraId="163FDAE3" w14:textId="77777777" w:rsidR="0007533F" w:rsidRPr="00003819" w:rsidRDefault="0007533F" w:rsidP="00003819">
      <w:pPr>
        <w:ind w:left="851"/>
        <w:rPr>
          <w:sz w:val="24"/>
          <w:szCs w:val="24"/>
        </w:rPr>
      </w:pPr>
      <w:proofErr w:type="spellStart"/>
      <w:r w:rsidRPr="00003819">
        <w:rPr>
          <w:i/>
          <w:sz w:val="24"/>
          <w:szCs w:val="24"/>
        </w:rPr>
        <w:t>Staphylococcus</w:t>
      </w:r>
      <w:proofErr w:type="spellEnd"/>
      <w:r w:rsidRPr="00003819">
        <w:rPr>
          <w:i/>
          <w:sz w:val="24"/>
          <w:szCs w:val="24"/>
        </w:rPr>
        <w:t xml:space="preserve"> aureus,</w:t>
      </w:r>
      <w:r w:rsidRPr="00003819">
        <w:rPr>
          <w:sz w:val="24"/>
          <w:szCs w:val="24"/>
        </w:rPr>
        <w:t xml:space="preserve"> stamme DSM 4910, </w:t>
      </w:r>
      <w:r w:rsidRPr="00003819">
        <w:rPr>
          <w:rStyle w:val="rynqvb"/>
          <w:sz w:val="24"/>
          <w:szCs w:val="24"/>
        </w:rPr>
        <w:t xml:space="preserve">inaktiveret: </w:t>
      </w:r>
      <w:r w:rsidRPr="00003819">
        <w:rPr>
          <w:sz w:val="24"/>
          <w:szCs w:val="24"/>
        </w:rPr>
        <w:t>RP ≥ 1*</w:t>
      </w:r>
    </w:p>
    <w:p w14:paraId="2ABCE3A6" w14:textId="77777777" w:rsidR="0007533F" w:rsidRPr="00003819" w:rsidRDefault="0007533F" w:rsidP="00003819">
      <w:pPr>
        <w:ind w:left="851"/>
        <w:rPr>
          <w:sz w:val="24"/>
          <w:szCs w:val="24"/>
        </w:rPr>
      </w:pPr>
    </w:p>
    <w:p w14:paraId="2B761F16" w14:textId="77777777" w:rsidR="0007533F" w:rsidRPr="00003819" w:rsidRDefault="0007533F" w:rsidP="00003819">
      <w:pPr>
        <w:ind w:left="1276" w:hanging="425"/>
        <w:rPr>
          <w:sz w:val="24"/>
          <w:szCs w:val="24"/>
        </w:rPr>
      </w:pPr>
      <w:r w:rsidRPr="00003819">
        <w:rPr>
          <w:sz w:val="24"/>
          <w:szCs w:val="24"/>
        </w:rPr>
        <w:t>*</w:t>
      </w:r>
      <w:r w:rsidRPr="00003819">
        <w:rPr>
          <w:b/>
          <w:color w:val="424242"/>
          <w:sz w:val="24"/>
          <w:szCs w:val="24"/>
          <w:shd w:val="clear" w:color="auto" w:fill="FAFAFA"/>
        </w:rPr>
        <w:t xml:space="preserve"> </w:t>
      </w:r>
      <w:r w:rsidRPr="00003819">
        <w:rPr>
          <w:b/>
          <w:color w:val="424242"/>
          <w:sz w:val="24"/>
          <w:szCs w:val="24"/>
          <w:shd w:val="clear" w:color="auto" w:fill="FAFAFA"/>
        </w:rPr>
        <w:tab/>
      </w:r>
      <w:r w:rsidRPr="00003819">
        <w:rPr>
          <w:sz w:val="24"/>
          <w:szCs w:val="24"/>
        </w:rPr>
        <w:t>Relativ styrke (RP) bestemmes ved at sammenligne antistofniveauet med antistofniveauet i serum fra mus, der er immuniseret med en referencebatch af vaccine, som opfylder kravene i challenge-testen på dyrearten.</w:t>
      </w:r>
    </w:p>
    <w:p w14:paraId="6D936947" w14:textId="77777777" w:rsidR="0007533F" w:rsidRPr="00003819" w:rsidRDefault="0007533F" w:rsidP="00003819">
      <w:pPr>
        <w:ind w:left="851"/>
        <w:rPr>
          <w:iCs/>
          <w:sz w:val="24"/>
          <w:szCs w:val="24"/>
        </w:rPr>
      </w:pPr>
    </w:p>
    <w:p w14:paraId="4B3AC446" w14:textId="77777777" w:rsidR="0007533F" w:rsidRPr="00003819" w:rsidRDefault="0007533F" w:rsidP="00003819">
      <w:pPr>
        <w:ind w:left="851"/>
        <w:rPr>
          <w:sz w:val="24"/>
          <w:szCs w:val="24"/>
        </w:rPr>
      </w:pPr>
      <w:proofErr w:type="spellStart"/>
      <w:r w:rsidRPr="00003819">
        <w:rPr>
          <w:b/>
          <w:sz w:val="24"/>
          <w:szCs w:val="24"/>
        </w:rPr>
        <w:t>Adjuvans</w:t>
      </w:r>
      <w:proofErr w:type="spellEnd"/>
      <w:r w:rsidRPr="00003819">
        <w:rPr>
          <w:b/>
          <w:sz w:val="24"/>
          <w:szCs w:val="24"/>
        </w:rPr>
        <w:t>:</w:t>
      </w:r>
    </w:p>
    <w:p w14:paraId="28889875" w14:textId="77777777" w:rsidR="0007533F" w:rsidRPr="00003819" w:rsidRDefault="0007533F" w:rsidP="00003819">
      <w:pPr>
        <w:ind w:left="851"/>
        <w:rPr>
          <w:sz w:val="24"/>
          <w:szCs w:val="24"/>
        </w:rPr>
      </w:pPr>
      <w:r w:rsidRPr="00003819">
        <w:rPr>
          <w:sz w:val="24"/>
          <w:szCs w:val="24"/>
        </w:rPr>
        <w:t>Aluminiumhydroxidgel 2%: 0,4 ml</w:t>
      </w:r>
    </w:p>
    <w:p w14:paraId="1B4D90FB" w14:textId="77777777" w:rsidR="0007533F" w:rsidRPr="00003819" w:rsidRDefault="0007533F" w:rsidP="00003819">
      <w:pPr>
        <w:ind w:left="851"/>
        <w:rPr>
          <w:sz w:val="24"/>
          <w:szCs w:val="24"/>
        </w:rPr>
      </w:pPr>
    </w:p>
    <w:p w14:paraId="09BFA3CF" w14:textId="77777777" w:rsidR="0007533F" w:rsidRPr="00003819" w:rsidRDefault="0007533F" w:rsidP="00003819">
      <w:pPr>
        <w:ind w:left="851"/>
        <w:rPr>
          <w:sz w:val="24"/>
          <w:szCs w:val="24"/>
        </w:rPr>
      </w:pPr>
      <w:r w:rsidRPr="00003819">
        <w:rPr>
          <w:b/>
          <w:sz w:val="24"/>
          <w:szCs w:val="24"/>
        </w:rPr>
        <w:t>Hjælpestoffer:</w:t>
      </w:r>
    </w:p>
    <w:p w14:paraId="17FBFFA3" w14:textId="77777777" w:rsidR="0007533F" w:rsidRPr="00003819" w:rsidRDefault="0007533F" w:rsidP="00003819">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267"/>
      </w:tblGrid>
      <w:tr w:rsidR="0007533F" w:rsidRPr="00003819" w14:paraId="076DCD2C" w14:textId="77777777" w:rsidTr="00003819">
        <w:tc>
          <w:tcPr>
            <w:tcW w:w="4521" w:type="dxa"/>
            <w:tcBorders>
              <w:top w:val="single" w:sz="4" w:space="0" w:color="000000"/>
              <w:left w:val="single" w:sz="4" w:space="0" w:color="000000"/>
              <w:bottom w:val="single" w:sz="4" w:space="0" w:color="000000"/>
              <w:right w:val="single" w:sz="4" w:space="0" w:color="000000"/>
            </w:tcBorders>
            <w:vAlign w:val="center"/>
            <w:hideMark/>
          </w:tcPr>
          <w:p w14:paraId="398AD5F9" w14:textId="77777777" w:rsidR="0007533F" w:rsidRPr="00003819" w:rsidRDefault="0007533F">
            <w:pPr>
              <w:spacing w:before="60" w:after="60"/>
              <w:rPr>
                <w:b/>
                <w:bCs/>
                <w:iCs/>
                <w:sz w:val="24"/>
                <w:szCs w:val="24"/>
              </w:rPr>
            </w:pPr>
            <w:r w:rsidRPr="00003819">
              <w:rPr>
                <w:b/>
                <w:bCs/>
                <w:iCs/>
                <w:sz w:val="24"/>
                <w:szCs w:val="24"/>
              </w:rPr>
              <w:t>Kvalitativ sammensætning af hjælpestoffer og andre bestanddele</w:t>
            </w:r>
          </w:p>
        </w:tc>
        <w:tc>
          <w:tcPr>
            <w:tcW w:w="4267" w:type="dxa"/>
            <w:tcBorders>
              <w:top w:val="single" w:sz="4" w:space="0" w:color="000000"/>
              <w:left w:val="single" w:sz="4" w:space="0" w:color="000000"/>
              <w:bottom w:val="single" w:sz="4" w:space="0" w:color="000000"/>
              <w:right w:val="single" w:sz="4" w:space="0" w:color="000000"/>
            </w:tcBorders>
            <w:vAlign w:val="center"/>
            <w:hideMark/>
          </w:tcPr>
          <w:p w14:paraId="1E3F8F6B" w14:textId="77777777" w:rsidR="0007533F" w:rsidRPr="00003819" w:rsidRDefault="0007533F">
            <w:pPr>
              <w:spacing w:before="60" w:after="60"/>
              <w:rPr>
                <w:b/>
                <w:bCs/>
                <w:iCs/>
                <w:sz w:val="24"/>
                <w:szCs w:val="24"/>
              </w:rPr>
            </w:pPr>
            <w:r w:rsidRPr="00003819">
              <w:rPr>
                <w:b/>
                <w:bCs/>
                <w:iCs/>
                <w:sz w:val="24"/>
                <w:szCs w:val="24"/>
              </w:rPr>
              <w:t>Kvantitativ sammensætning, hvis oplysningen er vigtig for korrekt administration af veterinærlægemidlet</w:t>
            </w:r>
          </w:p>
        </w:tc>
      </w:tr>
      <w:tr w:rsidR="0007533F" w:rsidRPr="00003819" w14:paraId="7F4EE109" w14:textId="77777777" w:rsidTr="00003819">
        <w:tc>
          <w:tcPr>
            <w:tcW w:w="4521" w:type="dxa"/>
            <w:tcBorders>
              <w:top w:val="single" w:sz="4" w:space="0" w:color="000000"/>
              <w:left w:val="single" w:sz="4" w:space="0" w:color="000000"/>
              <w:bottom w:val="single" w:sz="4" w:space="0" w:color="000000"/>
              <w:right w:val="single" w:sz="4" w:space="0" w:color="000000"/>
            </w:tcBorders>
            <w:vAlign w:val="center"/>
            <w:hideMark/>
          </w:tcPr>
          <w:p w14:paraId="1A64C789" w14:textId="77777777" w:rsidR="0007533F" w:rsidRPr="00003819" w:rsidRDefault="0007533F">
            <w:pPr>
              <w:spacing w:before="60" w:after="60"/>
              <w:ind w:left="567" w:hanging="567"/>
              <w:rPr>
                <w:iCs/>
                <w:sz w:val="24"/>
                <w:szCs w:val="24"/>
              </w:rPr>
            </w:pPr>
            <w:proofErr w:type="spellStart"/>
            <w:r w:rsidRPr="00003819">
              <w:rPr>
                <w:sz w:val="24"/>
                <w:szCs w:val="24"/>
              </w:rPr>
              <w:t>Thiomersal</w:t>
            </w:r>
            <w:proofErr w:type="spellEnd"/>
          </w:p>
        </w:tc>
        <w:tc>
          <w:tcPr>
            <w:tcW w:w="4267" w:type="dxa"/>
            <w:tcBorders>
              <w:top w:val="single" w:sz="4" w:space="0" w:color="000000"/>
              <w:left w:val="single" w:sz="4" w:space="0" w:color="000000"/>
              <w:bottom w:val="single" w:sz="4" w:space="0" w:color="000000"/>
              <w:right w:val="single" w:sz="4" w:space="0" w:color="000000"/>
            </w:tcBorders>
            <w:vAlign w:val="center"/>
            <w:hideMark/>
          </w:tcPr>
          <w:p w14:paraId="27478F3D" w14:textId="77777777" w:rsidR="0007533F" w:rsidRPr="00003819" w:rsidRDefault="0007533F">
            <w:pPr>
              <w:spacing w:before="60" w:after="60"/>
              <w:rPr>
                <w:iCs/>
                <w:sz w:val="24"/>
                <w:szCs w:val="24"/>
              </w:rPr>
            </w:pPr>
            <w:r w:rsidRPr="00003819">
              <w:rPr>
                <w:iCs/>
                <w:sz w:val="24"/>
                <w:szCs w:val="24"/>
              </w:rPr>
              <w:t>0,2 mg</w:t>
            </w:r>
          </w:p>
        </w:tc>
      </w:tr>
      <w:tr w:rsidR="0007533F" w:rsidRPr="00003819" w14:paraId="63841548" w14:textId="77777777" w:rsidTr="00003819">
        <w:tc>
          <w:tcPr>
            <w:tcW w:w="4521" w:type="dxa"/>
            <w:tcBorders>
              <w:top w:val="single" w:sz="4" w:space="0" w:color="000000"/>
              <w:left w:val="single" w:sz="4" w:space="0" w:color="000000"/>
              <w:bottom w:val="single" w:sz="4" w:space="0" w:color="000000"/>
              <w:right w:val="single" w:sz="4" w:space="0" w:color="000000"/>
            </w:tcBorders>
            <w:vAlign w:val="center"/>
            <w:hideMark/>
          </w:tcPr>
          <w:p w14:paraId="101C1A39" w14:textId="77777777" w:rsidR="0007533F" w:rsidRPr="00003819" w:rsidRDefault="0007533F">
            <w:pPr>
              <w:spacing w:before="60" w:after="60"/>
              <w:rPr>
                <w:iCs/>
                <w:sz w:val="24"/>
                <w:szCs w:val="24"/>
              </w:rPr>
            </w:pPr>
            <w:r w:rsidRPr="00003819">
              <w:rPr>
                <w:sz w:val="24"/>
                <w:szCs w:val="24"/>
              </w:rPr>
              <w:t>Formaldehyd</w:t>
            </w:r>
          </w:p>
        </w:tc>
        <w:tc>
          <w:tcPr>
            <w:tcW w:w="4267" w:type="dxa"/>
            <w:tcBorders>
              <w:top w:val="single" w:sz="4" w:space="0" w:color="000000"/>
              <w:left w:val="single" w:sz="4" w:space="0" w:color="000000"/>
              <w:bottom w:val="single" w:sz="4" w:space="0" w:color="000000"/>
              <w:right w:val="single" w:sz="4" w:space="0" w:color="000000"/>
            </w:tcBorders>
            <w:vAlign w:val="center"/>
            <w:hideMark/>
          </w:tcPr>
          <w:p w14:paraId="2126AB3D" w14:textId="77777777" w:rsidR="0007533F" w:rsidRPr="00003819" w:rsidRDefault="0007533F">
            <w:pPr>
              <w:spacing w:before="60" w:after="60"/>
              <w:rPr>
                <w:iCs/>
                <w:sz w:val="24"/>
                <w:szCs w:val="24"/>
              </w:rPr>
            </w:pPr>
            <w:r w:rsidRPr="00003819">
              <w:rPr>
                <w:sz w:val="24"/>
                <w:szCs w:val="24"/>
              </w:rPr>
              <w:t>≤ 1 mg</w:t>
            </w:r>
          </w:p>
        </w:tc>
      </w:tr>
      <w:tr w:rsidR="0007533F" w:rsidRPr="00003819" w14:paraId="11B587B8" w14:textId="77777777" w:rsidTr="00003819">
        <w:tc>
          <w:tcPr>
            <w:tcW w:w="4521" w:type="dxa"/>
            <w:tcBorders>
              <w:top w:val="single" w:sz="4" w:space="0" w:color="000000"/>
              <w:left w:val="single" w:sz="4" w:space="0" w:color="000000"/>
              <w:bottom w:val="single" w:sz="4" w:space="0" w:color="000000"/>
              <w:right w:val="single" w:sz="4" w:space="0" w:color="000000"/>
            </w:tcBorders>
            <w:vAlign w:val="center"/>
            <w:hideMark/>
          </w:tcPr>
          <w:p w14:paraId="5D3147FE" w14:textId="77777777" w:rsidR="0007533F" w:rsidRPr="00003819" w:rsidRDefault="0007533F">
            <w:pPr>
              <w:spacing w:before="60" w:after="60"/>
              <w:rPr>
                <w:iCs/>
                <w:sz w:val="24"/>
                <w:szCs w:val="24"/>
              </w:rPr>
            </w:pPr>
            <w:proofErr w:type="spellStart"/>
            <w:r w:rsidRPr="00003819">
              <w:rPr>
                <w:iCs/>
                <w:sz w:val="24"/>
                <w:szCs w:val="24"/>
              </w:rPr>
              <w:t>Natriumchlorid</w:t>
            </w:r>
            <w:proofErr w:type="spellEnd"/>
          </w:p>
        </w:tc>
        <w:tc>
          <w:tcPr>
            <w:tcW w:w="4267" w:type="dxa"/>
            <w:tcBorders>
              <w:top w:val="single" w:sz="4" w:space="0" w:color="000000"/>
              <w:left w:val="single" w:sz="4" w:space="0" w:color="000000"/>
              <w:bottom w:val="single" w:sz="4" w:space="0" w:color="000000"/>
              <w:right w:val="single" w:sz="4" w:space="0" w:color="000000"/>
            </w:tcBorders>
            <w:vAlign w:val="center"/>
            <w:hideMark/>
          </w:tcPr>
          <w:p w14:paraId="46A3B723" w14:textId="77777777" w:rsidR="0007533F" w:rsidRPr="00003819" w:rsidRDefault="0007533F">
            <w:pPr>
              <w:spacing w:before="60" w:after="60"/>
              <w:rPr>
                <w:iCs/>
                <w:sz w:val="24"/>
                <w:szCs w:val="24"/>
              </w:rPr>
            </w:pPr>
            <w:r w:rsidRPr="00003819">
              <w:rPr>
                <w:iCs/>
                <w:sz w:val="24"/>
                <w:szCs w:val="24"/>
              </w:rPr>
              <w:t>-</w:t>
            </w:r>
          </w:p>
        </w:tc>
      </w:tr>
      <w:tr w:rsidR="0007533F" w:rsidRPr="00003819" w14:paraId="46F08D69" w14:textId="77777777" w:rsidTr="00003819">
        <w:tc>
          <w:tcPr>
            <w:tcW w:w="4521" w:type="dxa"/>
            <w:tcBorders>
              <w:top w:val="single" w:sz="4" w:space="0" w:color="000000"/>
              <w:left w:val="single" w:sz="4" w:space="0" w:color="000000"/>
              <w:bottom w:val="single" w:sz="4" w:space="0" w:color="000000"/>
              <w:right w:val="single" w:sz="4" w:space="0" w:color="000000"/>
            </w:tcBorders>
            <w:vAlign w:val="center"/>
            <w:hideMark/>
          </w:tcPr>
          <w:p w14:paraId="7C2454B0" w14:textId="77777777" w:rsidR="0007533F" w:rsidRPr="00003819" w:rsidRDefault="0007533F">
            <w:pPr>
              <w:spacing w:before="60" w:after="60"/>
              <w:ind w:left="567" w:hanging="567"/>
              <w:rPr>
                <w:iCs/>
                <w:sz w:val="24"/>
                <w:szCs w:val="24"/>
              </w:rPr>
            </w:pPr>
            <w:r w:rsidRPr="00003819">
              <w:rPr>
                <w:iCs/>
                <w:sz w:val="24"/>
                <w:szCs w:val="24"/>
              </w:rPr>
              <w:t>Vand til injektionsvæsker</w:t>
            </w:r>
          </w:p>
        </w:tc>
        <w:tc>
          <w:tcPr>
            <w:tcW w:w="4267" w:type="dxa"/>
            <w:tcBorders>
              <w:top w:val="single" w:sz="4" w:space="0" w:color="000000"/>
              <w:left w:val="single" w:sz="4" w:space="0" w:color="000000"/>
              <w:bottom w:val="single" w:sz="4" w:space="0" w:color="000000"/>
              <w:right w:val="single" w:sz="4" w:space="0" w:color="000000"/>
            </w:tcBorders>
            <w:vAlign w:val="center"/>
            <w:hideMark/>
          </w:tcPr>
          <w:p w14:paraId="18D1E2A5" w14:textId="77777777" w:rsidR="0007533F" w:rsidRPr="00003819" w:rsidRDefault="0007533F">
            <w:pPr>
              <w:spacing w:before="60" w:after="60"/>
              <w:rPr>
                <w:iCs/>
                <w:sz w:val="24"/>
                <w:szCs w:val="24"/>
              </w:rPr>
            </w:pPr>
            <w:r w:rsidRPr="00003819">
              <w:rPr>
                <w:iCs/>
                <w:sz w:val="24"/>
                <w:szCs w:val="24"/>
              </w:rPr>
              <w:t>-</w:t>
            </w:r>
          </w:p>
        </w:tc>
      </w:tr>
    </w:tbl>
    <w:p w14:paraId="156DDB33" w14:textId="77777777" w:rsidR="0007533F" w:rsidRPr="00003819" w:rsidRDefault="0007533F" w:rsidP="00003819">
      <w:pPr>
        <w:ind w:left="851"/>
        <w:rPr>
          <w:sz w:val="24"/>
          <w:szCs w:val="24"/>
        </w:rPr>
      </w:pPr>
    </w:p>
    <w:p w14:paraId="327EF624" w14:textId="77777777" w:rsidR="0007533F" w:rsidRPr="00003819" w:rsidRDefault="0007533F" w:rsidP="00003819">
      <w:pPr>
        <w:ind w:left="851"/>
        <w:rPr>
          <w:sz w:val="24"/>
          <w:szCs w:val="24"/>
        </w:rPr>
      </w:pPr>
      <w:r w:rsidRPr="00003819">
        <w:rPr>
          <w:sz w:val="24"/>
          <w:szCs w:val="24"/>
        </w:rPr>
        <w:t>En lys væske med gråligt bundfald. Grå uklar væske efter omrystning.</w:t>
      </w:r>
    </w:p>
    <w:p w14:paraId="1BF92051" w14:textId="77777777" w:rsidR="008203A8" w:rsidRPr="00003819" w:rsidRDefault="008203A8" w:rsidP="008203A8">
      <w:pPr>
        <w:ind w:left="851"/>
        <w:rPr>
          <w:sz w:val="24"/>
          <w:szCs w:val="24"/>
        </w:rPr>
      </w:pPr>
    </w:p>
    <w:p w14:paraId="3F598A9C" w14:textId="77777777" w:rsidR="008203A8" w:rsidRPr="00003819" w:rsidRDefault="008203A8" w:rsidP="008203A8">
      <w:pPr>
        <w:ind w:left="851"/>
        <w:rPr>
          <w:sz w:val="24"/>
          <w:szCs w:val="24"/>
        </w:rPr>
      </w:pPr>
    </w:p>
    <w:p w14:paraId="69274B93" w14:textId="77777777" w:rsidR="008203A8" w:rsidRPr="00003819" w:rsidRDefault="008203A8" w:rsidP="008203A8">
      <w:pPr>
        <w:ind w:left="851" w:hanging="851"/>
        <w:rPr>
          <w:b/>
          <w:sz w:val="24"/>
          <w:szCs w:val="24"/>
        </w:rPr>
      </w:pPr>
      <w:r w:rsidRPr="00003819">
        <w:rPr>
          <w:b/>
          <w:sz w:val="24"/>
          <w:szCs w:val="24"/>
        </w:rPr>
        <w:t>3.</w:t>
      </w:r>
      <w:r w:rsidRPr="00003819">
        <w:rPr>
          <w:b/>
          <w:sz w:val="24"/>
          <w:szCs w:val="24"/>
        </w:rPr>
        <w:tab/>
        <w:t>KLINISKE OPLYSNINGER</w:t>
      </w:r>
    </w:p>
    <w:p w14:paraId="238B3C7E" w14:textId="77777777" w:rsidR="008203A8" w:rsidRPr="00003819" w:rsidRDefault="008203A8" w:rsidP="008203A8">
      <w:pPr>
        <w:tabs>
          <w:tab w:val="left" w:pos="851"/>
        </w:tabs>
        <w:ind w:left="851"/>
        <w:rPr>
          <w:sz w:val="24"/>
          <w:szCs w:val="24"/>
        </w:rPr>
      </w:pPr>
    </w:p>
    <w:p w14:paraId="2F9C6B71" w14:textId="77777777" w:rsidR="008203A8" w:rsidRPr="00003819" w:rsidRDefault="008203A8" w:rsidP="008203A8">
      <w:pPr>
        <w:ind w:left="851" w:hanging="851"/>
        <w:rPr>
          <w:b/>
          <w:sz w:val="24"/>
          <w:szCs w:val="24"/>
          <w:u w:val="single"/>
        </w:rPr>
      </w:pPr>
      <w:r w:rsidRPr="00003819">
        <w:rPr>
          <w:b/>
          <w:sz w:val="24"/>
          <w:szCs w:val="24"/>
        </w:rPr>
        <w:t>3.1</w:t>
      </w:r>
      <w:r w:rsidRPr="00003819">
        <w:rPr>
          <w:b/>
          <w:sz w:val="24"/>
          <w:szCs w:val="24"/>
        </w:rPr>
        <w:tab/>
        <w:t>Dyrearter, som lægemidlet er beregnet til</w:t>
      </w:r>
    </w:p>
    <w:p w14:paraId="0EF35A41" w14:textId="77777777" w:rsidR="0007533F" w:rsidRPr="00003819" w:rsidRDefault="0007533F" w:rsidP="00003819">
      <w:pPr>
        <w:ind w:left="851"/>
        <w:rPr>
          <w:sz w:val="24"/>
          <w:szCs w:val="24"/>
        </w:rPr>
      </w:pPr>
      <w:r w:rsidRPr="00003819">
        <w:rPr>
          <w:sz w:val="24"/>
          <w:szCs w:val="24"/>
        </w:rPr>
        <w:t>Kvæg (køer og kvier).</w:t>
      </w:r>
    </w:p>
    <w:p w14:paraId="0F916942" w14:textId="77777777" w:rsidR="008203A8" w:rsidRPr="00003819" w:rsidRDefault="008203A8" w:rsidP="008203A8">
      <w:pPr>
        <w:ind w:left="851"/>
        <w:rPr>
          <w:sz w:val="24"/>
          <w:szCs w:val="24"/>
        </w:rPr>
      </w:pPr>
    </w:p>
    <w:p w14:paraId="587FBD6D" w14:textId="77777777" w:rsidR="008203A8" w:rsidRPr="00003819" w:rsidRDefault="008203A8" w:rsidP="008203A8">
      <w:pPr>
        <w:pStyle w:val="Sidehoved"/>
        <w:tabs>
          <w:tab w:val="clear" w:pos="4819"/>
        </w:tabs>
        <w:ind w:left="851" w:hanging="851"/>
        <w:rPr>
          <w:b/>
          <w:szCs w:val="24"/>
        </w:rPr>
      </w:pPr>
      <w:r w:rsidRPr="00003819">
        <w:rPr>
          <w:b/>
          <w:szCs w:val="24"/>
        </w:rPr>
        <w:t>3.2</w:t>
      </w:r>
      <w:r w:rsidRPr="00003819">
        <w:rPr>
          <w:b/>
          <w:szCs w:val="24"/>
        </w:rPr>
        <w:tab/>
        <w:t>Terapeutiske indikationer for hver dyreart, som lægemidlet er beregnet til</w:t>
      </w:r>
    </w:p>
    <w:p w14:paraId="4B665AA1" w14:textId="77777777" w:rsidR="0007533F" w:rsidRPr="00003819" w:rsidRDefault="0007533F" w:rsidP="00003819">
      <w:pPr>
        <w:ind w:left="851"/>
        <w:rPr>
          <w:sz w:val="24"/>
          <w:szCs w:val="24"/>
        </w:rPr>
      </w:pPr>
      <w:r w:rsidRPr="00003819">
        <w:rPr>
          <w:sz w:val="24"/>
          <w:szCs w:val="24"/>
        </w:rPr>
        <w:t xml:space="preserve">Til aktiv immunisering af raske køer og kvier i malkekvægsbesætninger med gentagne tilfælde af </w:t>
      </w:r>
      <w:proofErr w:type="spellStart"/>
      <w:r w:rsidRPr="00003819">
        <w:rPr>
          <w:sz w:val="24"/>
          <w:szCs w:val="24"/>
        </w:rPr>
        <w:t>mastitis</w:t>
      </w:r>
      <w:proofErr w:type="spellEnd"/>
      <w:r w:rsidRPr="00003819">
        <w:rPr>
          <w:sz w:val="24"/>
          <w:szCs w:val="24"/>
        </w:rPr>
        <w:t xml:space="preserve">, med henblik på at reducere forekomsten og sværhedsgraden af klinisk </w:t>
      </w:r>
      <w:proofErr w:type="spellStart"/>
      <w:r w:rsidRPr="00003819">
        <w:rPr>
          <w:sz w:val="24"/>
          <w:szCs w:val="24"/>
        </w:rPr>
        <w:t>mastitis</w:t>
      </w:r>
      <w:proofErr w:type="spellEnd"/>
      <w:r w:rsidRPr="00003819">
        <w:rPr>
          <w:sz w:val="24"/>
          <w:szCs w:val="24"/>
        </w:rPr>
        <w:t xml:space="preserve"> forårsaget af </w:t>
      </w:r>
      <w:proofErr w:type="spellStart"/>
      <w:r w:rsidRPr="00003819">
        <w:rPr>
          <w:i/>
          <w:iCs/>
          <w:sz w:val="24"/>
          <w:szCs w:val="24"/>
        </w:rPr>
        <w:t>Staphylococcus</w:t>
      </w:r>
      <w:proofErr w:type="spellEnd"/>
      <w:r w:rsidRPr="00003819">
        <w:rPr>
          <w:i/>
          <w:iCs/>
          <w:sz w:val="24"/>
          <w:szCs w:val="24"/>
        </w:rPr>
        <w:t xml:space="preserve"> aureus</w:t>
      </w:r>
      <w:r w:rsidRPr="00003819">
        <w:rPr>
          <w:sz w:val="24"/>
          <w:szCs w:val="24"/>
        </w:rPr>
        <w:t> og </w:t>
      </w:r>
      <w:r w:rsidRPr="00003819">
        <w:rPr>
          <w:i/>
          <w:iCs/>
          <w:sz w:val="24"/>
          <w:szCs w:val="24"/>
        </w:rPr>
        <w:t>Escherichia coli</w:t>
      </w:r>
      <w:r w:rsidRPr="00003819">
        <w:rPr>
          <w:sz w:val="24"/>
          <w:szCs w:val="24"/>
        </w:rPr>
        <w:t>.</w:t>
      </w:r>
    </w:p>
    <w:p w14:paraId="30AF9DCB" w14:textId="77777777" w:rsidR="0007533F" w:rsidRPr="00003819" w:rsidRDefault="0007533F" w:rsidP="00003819">
      <w:pPr>
        <w:ind w:left="851"/>
        <w:rPr>
          <w:sz w:val="24"/>
          <w:szCs w:val="24"/>
        </w:rPr>
      </w:pPr>
    </w:p>
    <w:p w14:paraId="5C453D46" w14:textId="77777777" w:rsidR="0007533F" w:rsidRPr="00003819" w:rsidRDefault="0007533F" w:rsidP="00003819">
      <w:pPr>
        <w:ind w:left="851"/>
        <w:rPr>
          <w:sz w:val="24"/>
          <w:szCs w:val="24"/>
        </w:rPr>
      </w:pPr>
      <w:r w:rsidRPr="00003819">
        <w:rPr>
          <w:sz w:val="24"/>
          <w:szCs w:val="24"/>
        </w:rPr>
        <w:t>Indtræden af immunitet: 4 uger efter afsluttet basisvaccination.</w:t>
      </w:r>
    </w:p>
    <w:p w14:paraId="674CA009" w14:textId="77777777" w:rsidR="0007533F" w:rsidRPr="00003819" w:rsidRDefault="0007533F" w:rsidP="00003819">
      <w:pPr>
        <w:ind w:left="851"/>
        <w:rPr>
          <w:sz w:val="24"/>
          <w:szCs w:val="24"/>
        </w:rPr>
      </w:pPr>
      <w:r w:rsidRPr="00003819">
        <w:rPr>
          <w:sz w:val="24"/>
          <w:szCs w:val="24"/>
        </w:rPr>
        <w:t>Varighed af immunitet: op til 6 måneder efter afsluttet basisvaccination.</w:t>
      </w:r>
    </w:p>
    <w:p w14:paraId="18608889" w14:textId="77777777" w:rsidR="008203A8" w:rsidRPr="00003819" w:rsidRDefault="008203A8" w:rsidP="008203A8">
      <w:pPr>
        <w:pStyle w:val="Sidehoved"/>
        <w:ind w:left="851"/>
        <w:rPr>
          <w:szCs w:val="24"/>
        </w:rPr>
      </w:pPr>
    </w:p>
    <w:p w14:paraId="4A629C80" w14:textId="77777777" w:rsidR="008203A8" w:rsidRPr="00003819" w:rsidRDefault="008203A8" w:rsidP="008203A8">
      <w:pPr>
        <w:pStyle w:val="Sidehoved"/>
        <w:tabs>
          <w:tab w:val="clear" w:pos="4819"/>
          <w:tab w:val="left" w:pos="851"/>
        </w:tabs>
        <w:ind w:left="851" w:hanging="851"/>
        <w:rPr>
          <w:b/>
          <w:szCs w:val="24"/>
        </w:rPr>
      </w:pPr>
      <w:r w:rsidRPr="00003819">
        <w:rPr>
          <w:b/>
          <w:szCs w:val="24"/>
        </w:rPr>
        <w:t>3.3</w:t>
      </w:r>
      <w:r w:rsidRPr="00003819">
        <w:rPr>
          <w:b/>
          <w:szCs w:val="24"/>
        </w:rPr>
        <w:tab/>
        <w:t>Kontraindikationer</w:t>
      </w:r>
    </w:p>
    <w:p w14:paraId="0089304C" w14:textId="77777777" w:rsidR="0007533F" w:rsidRPr="00003819" w:rsidRDefault="0007533F" w:rsidP="00003819">
      <w:pPr>
        <w:ind w:left="851"/>
        <w:rPr>
          <w:sz w:val="24"/>
          <w:szCs w:val="24"/>
        </w:rPr>
      </w:pPr>
      <w:r w:rsidRPr="00003819">
        <w:rPr>
          <w:sz w:val="24"/>
          <w:szCs w:val="24"/>
        </w:rPr>
        <w:t>Ingen.</w:t>
      </w:r>
    </w:p>
    <w:p w14:paraId="520C022E" w14:textId="77777777" w:rsidR="008203A8" w:rsidRPr="00003819" w:rsidRDefault="008203A8" w:rsidP="008203A8">
      <w:pPr>
        <w:pStyle w:val="Sidehoved"/>
        <w:tabs>
          <w:tab w:val="clear" w:pos="4819"/>
        </w:tabs>
        <w:ind w:left="851"/>
        <w:rPr>
          <w:szCs w:val="24"/>
        </w:rPr>
      </w:pPr>
    </w:p>
    <w:p w14:paraId="31BC7195" w14:textId="77777777" w:rsidR="008203A8" w:rsidRPr="00003819" w:rsidRDefault="008203A8" w:rsidP="008203A8">
      <w:pPr>
        <w:tabs>
          <w:tab w:val="left" w:pos="851"/>
        </w:tabs>
        <w:ind w:left="851" w:hanging="851"/>
        <w:rPr>
          <w:b/>
          <w:sz w:val="24"/>
          <w:szCs w:val="24"/>
        </w:rPr>
      </w:pPr>
      <w:r w:rsidRPr="00003819">
        <w:rPr>
          <w:b/>
          <w:sz w:val="24"/>
          <w:szCs w:val="24"/>
        </w:rPr>
        <w:t>3.4</w:t>
      </w:r>
      <w:r w:rsidRPr="00003819">
        <w:rPr>
          <w:b/>
          <w:sz w:val="24"/>
          <w:szCs w:val="24"/>
        </w:rPr>
        <w:tab/>
        <w:t>Særlige advarsler</w:t>
      </w:r>
    </w:p>
    <w:p w14:paraId="5572820E" w14:textId="77777777" w:rsidR="0007533F" w:rsidRPr="00003819" w:rsidRDefault="0007533F" w:rsidP="00003819">
      <w:pPr>
        <w:ind w:left="851"/>
        <w:rPr>
          <w:sz w:val="24"/>
          <w:szCs w:val="24"/>
        </w:rPr>
      </w:pPr>
      <w:r w:rsidRPr="00003819">
        <w:rPr>
          <w:sz w:val="24"/>
          <w:szCs w:val="24"/>
        </w:rPr>
        <w:t>Hele besætningen bør immuniseres.</w:t>
      </w:r>
      <w:r w:rsidRPr="00003819">
        <w:rPr>
          <w:sz w:val="24"/>
          <w:szCs w:val="24"/>
        </w:rPr>
        <w:br/>
        <w:t xml:space="preserve">Vaccination skal betragtes som en del af et omfattende forebyggende </w:t>
      </w:r>
      <w:proofErr w:type="spellStart"/>
      <w:r w:rsidRPr="00003819">
        <w:rPr>
          <w:sz w:val="24"/>
          <w:szCs w:val="24"/>
        </w:rPr>
        <w:t>mastitis</w:t>
      </w:r>
      <w:proofErr w:type="spellEnd"/>
      <w:r w:rsidRPr="00003819">
        <w:rPr>
          <w:sz w:val="24"/>
          <w:szCs w:val="24"/>
        </w:rPr>
        <w:t>-kontrolprogram, som bør tage højde for alle faktorer, der er vigtige for yverets sundhed (f.eks. malketeknik, goldning og reproduktionsstyring, hygiejne, ernæring, opstaldning, strøelse, ko-komfort, luft- og vandkvalitet, sundhedsovervågning) samt andre relevante driftsrutiner.</w:t>
      </w:r>
    </w:p>
    <w:p w14:paraId="24F42762" w14:textId="77777777" w:rsidR="0007533F" w:rsidRPr="00003819" w:rsidRDefault="0007533F" w:rsidP="00003819">
      <w:pPr>
        <w:ind w:left="851"/>
        <w:rPr>
          <w:sz w:val="24"/>
          <w:szCs w:val="24"/>
        </w:rPr>
      </w:pPr>
    </w:p>
    <w:p w14:paraId="45979B57" w14:textId="77777777" w:rsidR="0007533F" w:rsidRPr="00003819" w:rsidRDefault="0007533F" w:rsidP="00003819">
      <w:pPr>
        <w:ind w:left="851"/>
        <w:rPr>
          <w:sz w:val="24"/>
          <w:szCs w:val="24"/>
        </w:rPr>
      </w:pPr>
      <w:r w:rsidRPr="00003819">
        <w:rPr>
          <w:sz w:val="24"/>
          <w:szCs w:val="24"/>
        </w:rPr>
        <w:t>Kun raske dyr må vaccineres.</w:t>
      </w:r>
    </w:p>
    <w:p w14:paraId="2A6DD4C0" w14:textId="77777777" w:rsidR="008203A8" w:rsidRPr="00003819" w:rsidRDefault="008203A8" w:rsidP="008203A8">
      <w:pPr>
        <w:pStyle w:val="Sidehoved"/>
        <w:tabs>
          <w:tab w:val="clear" w:pos="4819"/>
        </w:tabs>
        <w:ind w:left="851"/>
        <w:rPr>
          <w:szCs w:val="24"/>
        </w:rPr>
      </w:pPr>
    </w:p>
    <w:p w14:paraId="52879B7F" w14:textId="77777777" w:rsidR="008203A8" w:rsidRPr="00003819" w:rsidRDefault="008203A8" w:rsidP="008203A8">
      <w:pPr>
        <w:tabs>
          <w:tab w:val="left" w:pos="851"/>
        </w:tabs>
        <w:ind w:left="851" w:hanging="851"/>
        <w:rPr>
          <w:b/>
          <w:sz w:val="24"/>
          <w:szCs w:val="24"/>
        </w:rPr>
      </w:pPr>
      <w:r w:rsidRPr="00003819">
        <w:rPr>
          <w:b/>
          <w:sz w:val="24"/>
          <w:szCs w:val="24"/>
        </w:rPr>
        <w:t>3.5</w:t>
      </w:r>
      <w:r w:rsidRPr="00003819">
        <w:rPr>
          <w:b/>
          <w:sz w:val="24"/>
          <w:szCs w:val="24"/>
        </w:rPr>
        <w:tab/>
        <w:t>Særlige forholdsregler vedrørende brugen</w:t>
      </w:r>
    </w:p>
    <w:p w14:paraId="3765377F" w14:textId="77777777" w:rsidR="008203A8" w:rsidRPr="00003819" w:rsidRDefault="008203A8" w:rsidP="008203A8">
      <w:pPr>
        <w:tabs>
          <w:tab w:val="left" w:pos="851"/>
        </w:tabs>
        <w:ind w:left="851"/>
        <w:rPr>
          <w:sz w:val="24"/>
          <w:szCs w:val="24"/>
        </w:rPr>
      </w:pPr>
    </w:p>
    <w:p w14:paraId="410ECD3E" w14:textId="77777777" w:rsidR="008203A8" w:rsidRPr="00003819" w:rsidRDefault="008203A8" w:rsidP="008203A8">
      <w:pPr>
        <w:tabs>
          <w:tab w:val="left" w:pos="851"/>
        </w:tabs>
        <w:ind w:left="851"/>
        <w:rPr>
          <w:sz w:val="24"/>
          <w:szCs w:val="24"/>
          <w:u w:val="single"/>
        </w:rPr>
      </w:pPr>
      <w:r w:rsidRPr="00003819">
        <w:rPr>
          <w:sz w:val="24"/>
          <w:szCs w:val="24"/>
          <w:u w:val="single"/>
        </w:rPr>
        <w:t>Særlige forholdsregler vedrørende sikker brug hos de dyrearter, som lægemidlet er beregnet til</w:t>
      </w:r>
    </w:p>
    <w:p w14:paraId="4E694399" w14:textId="77777777" w:rsidR="0007533F" w:rsidRPr="00003819" w:rsidRDefault="0007533F" w:rsidP="00003819">
      <w:pPr>
        <w:ind w:left="851"/>
        <w:rPr>
          <w:sz w:val="24"/>
          <w:szCs w:val="24"/>
        </w:rPr>
      </w:pPr>
      <w:r w:rsidRPr="00003819">
        <w:rPr>
          <w:sz w:val="24"/>
          <w:szCs w:val="24"/>
        </w:rPr>
        <w:t>Ikke relevant.</w:t>
      </w:r>
    </w:p>
    <w:p w14:paraId="2E67C220" w14:textId="77777777" w:rsidR="008203A8" w:rsidRPr="00003819" w:rsidRDefault="008203A8" w:rsidP="008203A8">
      <w:pPr>
        <w:tabs>
          <w:tab w:val="left" w:pos="851"/>
        </w:tabs>
        <w:ind w:left="851"/>
        <w:rPr>
          <w:sz w:val="24"/>
          <w:szCs w:val="24"/>
        </w:rPr>
      </w:pPr>
    </w:p>
    <w:p w14:paraId="5D8F11FA" w14:textId="77777777" w:rsidR="008203A8" w:rsidRPr="00003819" w:rsidRDefault="008203A8" w:rsidP="008203A8">
      <w:pPr>
        <w:tabs>
          <w:tab w:val="left" w:pos="851"/>
        </w:tabs>
        <w:ind w:left="851"/>
        <w:rPr>
          <w:sz w:val="24"/>
          <w:szCs w:val="24"/>
          <w:u w:val="single"/>
        </w:rPr>
      </w:pPr>
      <w:r w:rsidRPr="00003819">
        <w:rPr>
          <w:sz w:val="24"/>
          <w:szCs w:val="24"/>
          <w:u w:val="single"/>
        </w:rPr>
        <w:t>Særlige forholdsregler for personer, der administrerer veterinærlægemidlet til dyr</w:t>
      </w:r>
    </w:p>
    <w:p w14:paraId="737C3D69" w14:textId="77777777" w:rsidR="0007533F" w:rsidRPr="00003819" w:rsidRDefault="0007533F" w:rsidP="00003819">
      <w:pPr>
        <w:ind w:left="851"/>
        <w:rPr>
          <w:sz w:val="24"/>
          <w:szCs w:val="24"/>
        </w:rPr>
      </w:pPr>
      <w:r w:rsidRPr="00003819">
        <w:rPr>
          <w:sz w:val="24"/>
          <w:szCs w:val="24"/>
        </w:rPr>
        <w:t>I tilfælde af lokal reaktion efter utilsigtet selvinjektion skal der straks søges lægehjælp, og indlægssedlen bør vises til lægen.</w:t>
      </w:r>
    </w:p>
    <w:p w14:paraId="38B5A7FD" w14:textId="77777777" w:rsidR="008203A8" w:rsidRPr="00003819" w:rsidRDefault="008203A8" w:rsidP="008203A8">
      <w:pPr>
        <w:tabs>
          <w:tab w:val="left" w:pos="851"/>
        </w:tabs>
        <w:ind w:left="851"/>
        <w:rPr>
          <w:sz w:val="24"/>
          <w:szCs w:val="24"/>
        </w:rPr>
      </w:pPr>
    </w:p>
    <w:p w14:paraId="2BFA6C6E" w14:textId="77777777" w:rsidR="008203A8" w:rsidRPr="00003819" w:rsidRDefault="008203A8" w:rsidP="008203A8">
      <w:pPr>
        <w:tabs>
          <w:tab w:val="left" w:pos="851"/>
        </w:tabs>
        <w:ind w:left="851"/>
        <w:rPr>
          <w:sz w:val="24"/>
          <w:szCs w:val="24"/>
          <w:u w:val="single"/>
        </w:rPr>
      </w:pPr>
      <w:r w:rsidRPr="00003819">
        <w:rPr>
          <w:sz w:val="24"/>
          <w:szCs w:val="24"/>
          <w:u w:val="single"/>
        </w:rPr>
        <w:t>Særlige forholdsregler vedrørende beskyttelse af miljøet</w:t>
      </w:r>
    </w:p>
    <w:p w14:paraId="33D92A52" w14:textId="77777777" w:rsidR="0007533F" w:rsidRPr="00003819" w:rsidRDefault="0007533F" w:rsidP="00003819">
      <w:pPr>
        <w:ind w:left="851"/>
        <w:rPr>
          <w:sz w:val="24"/>
          <w:szCs w:val="24"/>
        </w:rPr>
      </w:pPr>
      <w:r w:rsidRPr="00003819">
        <w:rPr>
          <w:sz w:val="24"/>
          <w:szCs w:val="24"/>
        </w:rPr>
        <w:t>Ikke relevant.</w:t>
      </w:r>
    </w:p>
    <w:p w14:paraId="3FA762A8" w14:textId="77777777" w:rsidR="008203A8" w:rsidRPr="00003819" w:rsidRDefault="008203A8" w:rsidP="008203A8">
      <w:pPr>
        <w:tabs>
          <w:tab w:val="left" w:pos="851"/>
        </w:tabs>
        <w:ind w:left="851"/>
        <w:rPr>
          <w:sz w:val="24"/>
          <w:szCs w:val="24"/>
        </w:rPr>
      </w:pPr>
    </w:p>
    <w:p w14:paraId="13809436" w14:textId="77777777" w:rsidR="008203A8" w:rsidRPr="00003819" w:rsidRDefault="008203A8" w:rsidP="008203A8">
      <w:pPr>
        <w:tabs>
          <w:tab w:val="left" w:pos="851"/>
        </w:tabs>
        <w:ind w:left="851" w:hanging="851"/>
        <w:rPr>
          <w:b/>
          <w:sz w:val="24"/>
          <w:szCs w:val="24"/>
        </w:rPr>
      </w:pPr>
      <w:r w:rsidRPr="00003819">
        <w:rPr>
          <w:b/>
          <w:sz w:val="24"/>
          <w:szCs w:val="24"/>
        </w:rPr>
        <w:t>3.6</w:t>
      </w:r>
      <w:r w:rsidRPr="00003819">
        <w:rPr>
          <w:b/>
          <w:sz w:val="24"/>
          <w:szCs w:val="24"/>
        </w:rPr>
        <w:tab/>
        <w:t>Bivirkninger</w:t>
      </w:r>
    </w:p>
    <w:p w14:paraId="30C72172" w14:textId="77777777" w:rsidR="0007533F" w:rsidRPr="00003819" w:rsidRDefault="0007533F" w:rsidP="00003819">
      <w:pPr>
        <w:ind w:left="851"/>
        <w:rPr>
          <w:sz w:val="24"/>
          <w:szCs w:val="24"/>
        </w:rPr>
      </w:pPr>
      <w:r w:rsidRPr="00003819">
        <w:rPr>
          <w:sz w:val="24"/>
          <w:szCs w:val="24"/>
        </w:rPr>
        <w:t>Kvæg (køer og kvier):</w:t>
      </w:r>
    </w:p>
    <w:p w14:paraId="625AEE93" w14:textId="77777777" w:rsidR="0007533F" w:rsidRPr="00003819" w:rsidRDefault="0007533F" w:rsidP="00003819">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07533F" w:rsidRPr="00003819" w14:paraId="0A98836F" w14:textId="77777777" w:rsidTr="00003819">
        <w:tc>
          <w:tcPr>
            <w:tcW w:w="2482" w:type="pct"/>
            <w:tcBorders>
              <w:top w:val="single" w:sz="4" w:space="0" w:color="auto"/>
              <w:left w:val="single" w:sz="4" w:space="0" w:color="auto"/>
              <w:bottom w:val="single" w:sz="4" w:space="0" w:color="auto"/>
              <w:right w:val="single" w:sz="4" w:space="0" w:color="auto"/>
            </w:tcBorders>
            <w:hideMark/>
          </w:tcPr>
          <w:p w14:paraId="557F6746" w14:textId="77777777" w:rsidR="0007533F" w:rsidRPr="00003819" w:rsidRDefault="0007533F">
            <w:pPr>
              <w:spacing w:before="60" w:after="60"/>
              <w:rPr>
                <w:sz w:val="24"/>
                <w:szCs w:val="24"/>
              </w:rPr>
            </w:pPr>
            <w:r w:rsidRPr="00003819">
              <w:rPr>
                <w:sz w:val="24"/>
                <w:szCs w:val="24"/>
              </w:rPr>
              <w:t>Almindelig</w:t>
            </w:r>
          </w:p>
          <w:p w14:paraId="13A9DB86" w14:textId="77777777" w:rsidR="0007533F" w:rsidRPr="00003819" w:rsidRDefault="0007533F">
            <w:pPr>
              <w:spacing w:before="60" w:after="60"/>
              <w:rPr>
                <w:sz w:val="24"/>
                <w:szCs w:val="24"/>
              </w:rPr>
            </w:pPr>
            <w:r w:rsidRPr="00003819">
              <w:rPr>
                <w:sz w:val="24"/>
                <w:szCs w:val="24"/>
              </w:rPr>
              <w:t>(1 til 10 dyr ud af 100 behandlede dyr):</w:t>
            </w:r>
          </w:p>
        </w:tc>
        <w:tc>
          <w:tcPr>
            <w:tcW w:w="2518" w:type="pct"/>
            <w:tcBorders>
              <w:top w:val="single" w:sz="4" w:space="0" w:color="auto"/>
              <w:left w:val="single" w:sz="4" w:space="0" w:color="auto"/>
              <w:bottom w:val="single" w:sz="4" w:space="0" w:color="auto"/>
              <w:right w:val="single" w:sz="4" w:space="0" w:color="auto"/>
            </w:tcBorders>
            <w:hideMark/>
          </w:tcPr>
          <w:p w14:paraId="76575727" w14:textId="77777777" w:rsidR="0007533F" w:rsidRPr="00003819" w:rsidRDefault="0007533F">
            <w:pPr>
              <w:spacing w:before="60" w:after="60"/>
              <w:rPr>
                <w:sz w:val="24"/>
                <w:szCs w:val="24"/>
                <w:vertAlign w:val="superscript"/>
              </w:rPr>
            </w:pPr>
            <w:r w:rsidRPr="00003819">
              <w:rPr>
                <w:sz w:val="24"/>
                <w:szCs w:val="24"/>
              </w:rPr>
              <w:t>Hævelse ved injektionsstedet</w:t>
            </w:r>
            <w:r w:rsidRPr="00003819">
              <w:rPr>
                <w:sz w:val="24"/>
                <w:szCs w:val="24"/>
                <w:vertAlign w:val="superscript"/>
              </w:rPr>
              <w:t>1</w:t>
            </w:r>
          </w:p>
          <w:p w14:paraId="0FB76B35" w14:textId="77777777" w:rsidR="0007533F" w:rsidRPr="00003819" w:rsidRDefault="0007533F">
            <w:pPr>
              <w:spacing w:before="60" w:after="60"/>
              <w:rPr>
                <w:iCs/>
                <w:sz w:val="24"/>
                <w:szCs w:val="24"/>
                <w:vertAlign w:val="superscript"/>
              </w:rPr>
            </w:pPr>
            <w:r w:rsidRPr="00003819">
              <w:rPr>
                <w:sz w:val="24"/>
                <w:szCs w:val="24"/>
              </w:rPr>
              <w:t>Forhøjet temperatur</w:t>
            </w:r>
            <w:r w:rsidRPr="00003819">
              <w:rPr>
                <w:sz w:val="24"/>
                <w:szCs w:val="24"/>
                <w:vertAlign w:val="superscript"/>
              </w:rPr>
              <w:t>2</w:t>
            </w:r>
          </w:p>
        </w:tc>
      </w:tr>
    </w:tbl>
    <w:p w14:paraId="77406222" w14:textId="77777777" w:rsidR="0007533F" w:rsidRPr="00003819" w:rsidRDefault="0007533F" w:rsidP="00003819">
      <w:pPr>
        <w:ind w:left="1276" w:hanging="425"/>
        <w:rPr>
          <w:sz w:val="20"/>
        </w:rPr>
      </w:pPr>
      <w:r w:rsidRPr="00003819">
        <w:rPr>
          <w:sz w:val="20"/>
          <w:vertAlign w:val="superscript"/>
        </w:rPr>
        <w:t>1</w:t>
      </w:r>
      <w:r w:rsidRPr="00003819">
        <w:rPr>
          <w:sz w:val="20"/>
          <w:vertAlign w:val="superscript"/>
        </w:rPr>
        <w:tab/>
      </w:r>
      <w:r w:rsidRPr="00003819">
        <w:rPr>
          <w:sz w:val="20"/>
        </w:rPr>
        <w:t>Hævelse (op til 5 cm²) i op til 2 uger.</w:t>
      </w:r>
    </w:p>
    <w:p w14:paraId="7C01A570" w14:textId="77777777" w:rsidR="0007533F" w:rsidRPr="00003819" w:rsidRDefault="0007533F" w:rsidP="00003819">
      <w:pPr>
        <w:ind w:left="1276" w:hanging="425"/>
        <w:rPr>
          <w:sz w:val="20"/>
        </w:rPr>
      </w:pPr>
      <w:r w:rsidRPr="00003819">
        <w:rPr>
          <w:sz w:val="20"/>
          <w:vertAlign w:val="superscript"/>
        </w:rPr>
        <w:t>2</w:t>
      </w:r>
      <w:r w:rsidRPr="00003819">
        <w:rPr>
          <w:sz w:val="20"/>
          <w:vertAlign w:val="superscript"/>
        </w:rPr>
        <w:tab/>
      </w:r>
      <w:r w:rsidRPr="00003819">
        <w:rPr>
          <w:sz w:val="20"/>
        </w:rPr>
        <w:t>En let og forbigående stigning i legemstemperaturen på op til 1,5 °C kan forekomme og forsvinder spontant inden for de første 24 timer efter injektionen.</w:t>
      </w:r>
    </w:p>
    <w:p w14:paraId="6634B9E3" w14:textId="77777777" w:rsidR="0007533F" w:rsidRPr="00003819" w:rsidRDefault="0007533F" w:rsidP="00003819">
      <w:pPr>
        <w:ind w:left="851"/>
        <w:rPr>
          <w:sz w:val="24"/>
          <w:szCs w:val="24"/>
        </w:rPr>
      </w:pPr>
    </w:p>
    <w:p w14:paraId="0FCC3194" w14:textId="77777777" w:rsidR="0007533F" w:rsidRPr="00003819" w:rsidRDefault="0007533F" w:rsidP="00003819">
      <w:pPr>
        <w:ind w:left="851"/>
        <w:rPr>
          <w:sz w:val="24"/>
          <w:szCs w:val="24"/>
        </w:rPr>
      </w:pPr>
      <w:bookmarkStart w:id="0" w:name="_Hlk66891708"/>
      <w:r w:rsidRPr="00003819">
        <w:rPr>
          <w:sz w:val="24"/>
          <w:szCs w:val="24"/>
        </w:rPr>
        <w:lastRenderedPageBreak/>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0"/>
    </w:p>
    <w:p w14:paraId="317C9771" w14:textId="77777777" w:rsidR="008203A8" w:rsidRPr="00003819" w:rsidRDefault="008203A8" w:rsidP="008203A8">
      <w:pPr>
        <w:tabs>
          <w:tab w:val="left" w:pos="851"/>
        </w:tabs>
        <w:ind w:left="851"/>
        <w:rPr>
          <w:sz w:val="24"/>
          <w:szCs w:val="24"/>
        </w:rPr>
      </w:pPr>
    </w:p>
    <w:p w14:paraId="13CAA5B1" w14:textId="77777777" w:rsidR="008203A8" w:rsidRPr="00003819" w:rsidRDefault="008203A8" w:rsidP="008203A8">
      <w:pPr>
        <w:tabs>
          <w:tab w:val="left" w:pos="851"/>
        </w:tabs>
        <w:ind w:left="851" w:hanging="851"/>
        <w:rPr>
          <w:b/>
          <w:sz w:val="24"/>
          <w:szCs w:val="24"/>
        </w:rPr>
      </w:pPr>
      <w:r w:rsidRPr="00003819">
        <w:rPr>
          <w:b/>
          <w:sz w:val="24"/>
          <w:szCs w:val="24"/>
        </w:rPr>
        <w:t>3.7</w:t>
      </w:r>
      <w:r w:rsidRPr="00003819">
        <w:rPr>
          <w:b/>
          <w:sz w:val="24"/>
          <w:szCs w:val="24"/>
        </w:rPr>
        <w:tab/>
        <w:t>Anvendelse under drægtighed, laktation eller æglægning</w:t>
      </w:r>
    </w:p>
    <w:p w14:paraId="18114509" w14:textId="77777777" w:rsidR="00003819" w:rsidRDefault="00003819" w:rsidP="00003819">
      <w:pPr>
        <w:ind w:left="851"/>
        <w:rPr>
          <w:sz w:val="24"/>
          <w:szCs w:val="24"/>
        </w:rPr>
      </w:pPr>
    </w:p>
    <w:p w14:paraId="04F232BD" w14:textId="173CF1B4" w:rsidR="0007533F" w:rsidRPr="00003819" w:rsidRDefault="0007533F" w:rsidP="00003819">
      <w:pPr>
        <w:ind w:left="851"/>
        <w:rPr>
          <w:sz w:val="24"/>
          <w:szCs w:val="24"/>
          <w:u w:val="single"/>
        </w:rPr>
      </w:pPr>
      <w:r w:rsidRPr="00003819">
        <w:rPr>
          <w:sz w:val="24"/>
          <w:szCs w:val="24"/>
          <w:u w:val="single"/>
        </w:rPr>
        <w:t>Drægtighed:</w:t>
      </w:r>
    </w:p>
    <w:p w14:paraId="5A9121F9" w14:textId="77777777" w:rsidR="0007533F" w:rsidRPr="00003819" w:rsidRDefault="0007533F" w:rsidP="00003819">
      <w:pPr>
        <w:ind w:left="851"/>
        <w:rPr>
          <w:sz w:val="24"/>
          <w:szCs w:val="24"/>
        </w:rPr>
      </w:pPr>
      <w:r w:rsidRPr="00003819">
        <w:rPr>
          <w:sz w:val="24"/>
          <w:szCs w:val="24"/>
        </w:rPr>
        <w:t>Kan anvendes i sidste trimester af drægtigheden.</w:t>
      </w:r>
    </w:p>
    <w:p w14:paraId="0CA47C45" w14:textId="77777777" w:rsidR="008203A8" w:rsidRPr="00003819" w:rsidRDefault="008203A8" w:rsidP="008203A8">
      <w:pPr>
        <w:tabs>
          <w:tab w:val="left" w:pos="851"/>
        </w:tabs>
        <w:ind w:left="851"/>
        <w:rPr>
          <w:sz w:val="24"/>
          <w:szCs w:val="24"/>
        </w:rPr>
      </w:pPr>
    </w:p>
    <w:p w14:paraId="1D4013EC" w14:textId="77777777" w:rsidR="008203A8" w:rsidRPr="00003819" w:rsidRDefault="008203A8" w:rsidP="008203A8">
      <w:pPr>
        <w:tabs>
          <w:tab w:val="left" w:pos="851"/>
        </w:tabs>
        <w:ind w:left="851" w:hanging="851"/>
        <w:rPr>
          <w:b/>
          <w:sz w:val="24"/>
          <w:szCs w:val="24"/>
        </w:rPr>
      </w:pPr>
      <w:r w:rsidRPr="00003819">
        <w:rPr>
          <w:b/>
          <w:sz w:val="24"/>
          <w:szCs w:val="24"/>
        </w:rPr>
        <w:t>3.8</w:t>
      </w:r>
      <w:r w:rsidRPr="00003819">
        <w:rPr>
          <w:b/>
          <w:sz w:val="24"/>
          <w:szCs w:val="24"/>
        </w:rPr>
        <w:tab/>
        <w:t>Interaktion med andre lægemidler og andre former for interaktion</w:t>
      </w:r>
    </w:p>
    <w:p w14:paraId="57A422C1" w14:textId="77777777" w:rsidR="0007533F" w:rsidRPr="00003819" w:rsidRDefault="0007533F" w:rsidP="00003819">
      <w:pPr>
        <w:ind w:left="851"/>
        <w:rPr>
          <w:sz w:val="24"/>
          <w:szCs w:val="24"/>
        </w:rPr>
      </w:pPr>
      <w:r w:rsidRPr="00003819">
        <w:rPr>
          <w:sz w:val="24"/>
          <w:szCs w:val="24"/>
        </w:rPr>
        <w:t>Der foreligger ingen oplysninger om sikkerhed og virkning ved brug af vaccinen sammen med andre veterinærlægemidler. En beslutning om at anvende vaccinen før eller efter brug af et andet veterinærlægemiddel skal derfor tages med udgangspunkt i det enkelte tilfælde.</w:t>
      </w:r>
    </w:p>
    <w:p w14:paraId="12DF64D7" w14:textId="77777777" w:rsidR="008203A8" w:rsidRPr="00003819" w:rsidRDefault="008203A8" w:rsidP="008203A8">
      <w:pPr>
        <w:tabs>
          <w:tab w:val="left" w:pos="851"/>
        </w:tabs>
        <w:ind w:left="851"/>
        <w:rPr>
          <w:sz w:val="24"/>
          <w:szCs w:val="24"/>
        </w:rPr>
      </w:pPr>
    </w:p>
    <w:p w14:paraId="1F2C4D38" w14:textId="77777777" w:rsidR="008203A8" w:rsidRPr="00003819" w:rsidRDefault="008203A8" w:rsidP="008203A8">
      <w:pPr>
        <w:tabs>
          <w:tab w:val="left" w:pos="851"/>
        </w:tabs>
        <w:ind w:left="851" w:hanging="851"/>
        <w:rPr>
          <w:b/>
          <w:sz w:val="24"/>
          <w:szCs w:val="24"/>
        </w:rPr>
      </w:pPr>
      <w:r w:rsidRPr="00003819">
        <w:rPr>
          <w:b/>
          <w:sz w:val="24"/>
          <w:szCs w:val="24"/>
        </w:rPr>
        <w:t>3.9</w:t>
      </w:r>
      <w:r w:rsidRPr="00003819">
        <w:rPr>
          <w:b/>
          <w:sz w:val="24"/>
          <w:szCs w:val="24"/>
        </w:rPr>
        <w:tab/>
        <w:t>Administrationsveje og dosering</w:t>
      </w:r>
    </w:p>
    <w:p w14:paraId="097DA99B" w14:textId="77777777" w:rsidR="0007533F" w:rsidRPr="00003819" w:rsidRDefault="0007533F" w:rsidP="00003819">
      <w:pPr>
        <w:ind w:left="851"/>
        <w:rPr>
          <w:sz w:val="24"/>
          <w:szCs w:val="24"/>
        </w:rPr>
      </w:pPr>
      <w:r w:rsidRPr="00003819">
        <w:rPr>
          <w:sz w:val="24"/>
          <w:szCs w:val="24"/>
        </w:rPr>
        <w:t>Intramuskulær anvendelse.</w:t>
      </w:r>
    </w:p>
    <w:p w14:paraId="34E04E4A" w14:textId="77777777" w:rsidR="0007533F" w:rsidRPr="00003819" w:rsidRDefault="0007533F" w:rsidP="00003819">
      <w:pPr>
        <w:ind w:left="851"/>
        <w:rPr>
          <w:sz w:val="24"/>
          <w:szCs w:val="24"/>
        </w:rPr>
      </w:pPr>
      <w:r w:rsidRPr="00003819">
        <w:rPr>
          <w:sz w:val="24"/>
          <w:szCs w:val="24"/>
        </w:rPr>
        <w:t>Lad vaccinen opnå en temperatur på 15 - 25 °C og omryst hætteglasset let før administration.</w:t>
      </w:r>
      <w:r w:rsidRPr="00003819">
        <w:rPr>
          <w:sz w:val="24"/>
          <w:szCs w:val="24"/>
        </w:rPr>
        <w:br/>
        <w:t>Administrer én dosis (2 ml) intramuskulært efter følgende plan:</w:t>
      </w:r>
    </w:p>
    <w:p w14:paraId="1C284274" w14:textId="77777777" w:rsidR="0007533F" w:rsidRPr="00003819" w:rsidRDefault="0007533F" w:rsidP="00003819">
      <w:pPr>
        <w:pStyle w:val="Listeafsnit"/>
        <w:numPr>
          <w:ilvl w:val="0"/>
          <w:numId w:val="6"/>
        </w:numPr>
        <w:tabs>
          <w:tab w:val="clear" w:pos="567"/>
        </w:tabs>
        <w:ind w:left="1276" w:hanging="425"/>
        <w:rPr>
          <w:sz w:val="24"/>
          <w:szCs w:val="24"/>
        </w:rPr>
      </w:pPr>
      <w:r w:rsidRPr="00003819">
        <w:rPr>
          <w:sz w:val="24"/>
          <w:szCs w:val="24"/>
        </w:rPr>
        <w:t>Første dosis: 45 dage før forventet kælvning.</w:t>
      </w:r>
    </w:p>
    <w:p w14:paraId="4F8A2040" w14:textId="77777777" w:rsidR="0007533F" w:rsidRPr="00003819" w:rsidRDefault="0007533F" w:rsidP="00003819">
      <w:pPr>
        <w:pStyle w:val="Listeafsnit"/>
        <w:numPr>
          <w:ilvl w:val="0"/>
          <w:numId w:val="6"/>
        </w:numPr>
        <w:tabs>
          <w:tab w:val="clear" w:pos="567"/>
        </w:tabs>
        <w:ind w:left="1276" w:hanging="425"/>
        <w:rPr>
          <w:sz w:val="24"/>
          <w:szCs w:val="24"/>
        </w:rPr>
      </w:pPr>
      <w:r w:rsidRPr="00003819">
        <w:rPr>
          <w:sz w:val="24"/>
          <w:szCs w:val="24"/>
        </w:rPr>
        <w:t>Anden dosis: 3 uger efter den første administration.</w:t>
      </w:r>
    </w:p>
    <w:p w14:paraId="0104155D" w14:textId="77777777" w:rsidR="0007533F" w:rsidRPr="00003819" w:rsidRDefault="0007533F" w:rsidP="00003819">
      <w:pPr>
        <w:ind w:left="851"/>
        <w:rPr>
          <w:sz w:val="24"/>
          <w:szCs w:val="24"/>
        </w:rPr>
      </w:pPr>
    </w:p>
    <w:p w14:paraId="14B449A9" w14:textId="77777777" w:rsidR="0007533F" w:rsidRPr="00003819" w:rsidRDefault="0007533F" w:rsidP="00003819">
      <w:pPr>
        <w:ind w:left="851"/>
        <w:rPr>
          <w:sz w:val="24"/>
          <w:szCs w:val="24"/>
        </w:rPr>
      </w:pPr>
      <w:r w:rsidRPr="00003819">
        <w:rPr>
          <w:sz w:val="24"/>
          <w:szCs w:val="24"/>
        </w:rPr>
        <w:t>Det anbefales at administrere hver dosis i skiftevis side.</w:t>
      </w:r>
      <w:r w:rsidRPr="00003819">
        <w:rPr>
          <w:sz w:val="24"/>
          <w:szCs w:val="24"/>
        </w:rPr>
        <w:br/>
        <w:t>Dette fulde vaccinationsprogram skal gentages ved hver drægtighed.</w:t>
      </w:r>
    </w:p>
    <w:p w14:paraId="39BDC1F7" w14:textId="77777777" w:rsidR="008203A8" w:rsidRPr="00003819" w:rsidRDefault="008203A8" w:rsidP="008203A8">
      <w:pPr>
        <w:tabs>
          <w:tab w:val="left" w:pos="851"/>
        </w:tabs>
        <w:ind w:left="851"/>
        <w:rPr>
          <w:sz w:val="24"/>
          <w:szCs w:val="24"/>
        </w:rPr>
      </w:pPr>
    </w:p>
    <w:p w14:paraId="3FC6E66A" w14:textId="77777777" w:rsidR="008203A8" w:rsidRPr="00003819" w:rsidRDefault="008203A8" w:rsidP="008203A8">
      <w:pPr>
        <w:tabs>
          <w:tab w:val="left" w:pos="851"/>
        </w:tabs>
        <w:ind w:left="851" w:hanging="851"/>
        <w:rPr>
          <w:b/>
          <w:sz w:val="24"/>
          <w:szCs w:val="24"/>
        </w:rPr>
      </w:pPr>
      <w:r w:rsidRPr="00003819">
        <w:rPr>
          <w:b/>
          <w:sz w:val="24"/>
          <w:szCs w:val="24"/>
        </w:rPr>
        <w:t>3.10</w:t>
      </w:r>
      <w:r w:rsidRPr="00003819">
        <w:rPr>
          <w:b/>
          <w:sz w:val="24"/>
          <w:szCs w:val="24"/>
        </w:rPr>
        <w:tab/>
        <w:t>Symptomer på overdosering (og, hvis relevant, nødforanstaltninger og modgift)</w:t>
      </w:r>
    </w:p>
    <w:p w14:paraId="0D1F08F4" w14:textId="77777777" w:rsidR="0007533F" w:rsidRPr="00003819" w:rsidRDefault="0007533F" w:rsidP="00003819">
      <w:pPr>
        <w:ind w:left="851"/>
        <w:rPr>
          <w:sz w:val="24"/>
          <w:szCs w:val="24"/>
        </w:rPr>
      </w:pPr>
      <w:r w:rsidRPr="00003819">
        <w:rPr>
          <w:sz w:val="24"/>
          <w:szCs w:val="24"/>
        </w:rPr>
        <w:t>Ikke relevant.</w:t>
      </w:r>
    </w:p>
    <w:p w14:paraId="3EB59B22" w14:textId="77777777" w:rsidR="008203A8" w:rsidRPr="00003819" w:rsidRDefault="008203A8" w:rsidP="008203A8">
      <w:pPr>
        <w:tabs>
          <w:tab w:val="left" w:pos="851"/>
        </w:tabs>
        <w:ind w:left="851"/>
        <w:rPr>
          <w:sz w:val="24"/>
          <w:szCs w:val="24"/>
        </w:rPr>
      </w:pPr>
    </w:p>
    <w:p w14:paraId="580D332E" w14:textId="77777777" w:rsidR="008203A8" w:rsidRPr="00003819" w:rsidRDefault="008203A8" w:rsidP="008203A8">
      <w:pPr>
        <w:tabs>
          <w:tab w:val="left" w:pos="851"/>
        </w:tabs>
        <w:ind w:left="851" w:hanging="851"/>
        <w:rPr>
          <w:sz w:val="24"/>
          <w:szCs w:val="24"/>
        </w:rPr>
      </w:pPr>
      <w:r w:rsidRPr="00003819">
        <w:rPr>
          <w:b/>
          <w:sz w:val="24"/>
          <w:szCs w:val="24"/>
        </w:rPr>
        <w:t>3.11</w:t>
      </w:r>
      <w:r w:rsidRPr="00003819">
        <w:rPr>
          <w:sz w:val="24"/>
          <w:szCs w:val="24"/>
        </w:rPr>
        <w:tab/>
      </w:r>
      <w:r w:rsidRPr="00003819">
        <w:rPr>
          <w:b/>
          <w:sz w:val="24"/>
          <w:szCs w:val="24"/>
        </w:rPr>
        <w:t>Særlige begrænsninger og betingelser for anvendelse, herunder begrænsninger for anvendelsen af antimikrobielle og antiparasitære veterinærlægemidler for at begrænse risikoen for udvikling af resistens</w:t>
      </w:r>
    </w:p>
    <w:p w14:paraId="79828DAD" w14:textId="77777777" w:rsidR="0007533F" w:rsidRPr="00003819" w:rsidRDefault="0007533F" w:rsidP="00003819">
      <w:pPr>
        <w:ind w:left="851"/>
        <w:rPr>
          <w:sz w:val="24"/>
          <w:szCs w:val="24"/>
        </w:rPr>
      </w:pPr>
      <w:r w:rsidRPr="00003819">
        <w:rPr>
          <w:sz w:val="24"/>
          <w:szCs w:val="24"/>
        </w:rPr>
        <w:t>Ikke relevant.</w:t>
      </w:r>
    </w:p>
    <w:p w14:paraId="4C7D8FCB" w14:textId="77777777" w:rsidR="008203A8" w:rsidRPr="00003819" w:rsidRDefault="008203A8" w:rsidP="008203A8">
      <w:pPr>
        <w:tabs>
          <w:tab w:val="left" w:pos="851"/>
        </w:tabs>
        <w:ind w:left="851"/>
        <w:rPr>
          <w:sz w:val="24"/>
          <w:szCs w:val="24"/>
        </w:rPr>
      </w:pPr>
    </w:p>
    <w:p w14:paraId="080233A5" w14:textId="77777777" w:rsidR="008203A8" w:rsidRPr="00003819" w:rsidRDefault="008203A8" w:rsidP="008203A8">
      <w:pPr>
        <w:tabs>
          <w:tab w:val="left" w:pos="851"/>
        </w:tabs>
        <w:ind w:left="851" w:hanging="851"/>
        <w:rPr>
          <w:b/>
          <w:sz w:val="24"/>
          <w:szCs w:val="24"/>
        </w:rPr>
      </w:pPr>
      <w:r w:rsidRPr="00003819">
        <w:rPr>
          <w:b/>
          <w:sz w:val="24"/>
          <w:szCs w:val="24"/>
        </w:rPr>
        <w:t>3.12</w:t>
      </w:r>
      <w:r w:rsidRPr="00003819">
        <w:rPr>
          <w:b/>
          <w:sz w:val="24"/>
          <w:szCs w:val="24"/>
        </w:rPr>
        <w:tab/>
        <w:t>Tilbageholdelsestid(er)</w:t>
      </w:r>
    </w:p>
    <w:p w14:paraId="00B2DD03" w14:textId="77777777" w:rsidR="0007533F" w:rsidRPr="00003819" w:rsidRDefault="0007533F" w:rsidP="00003819">
      <w:pPr>
        <w:ind w:left="851"/>
        <w:rPr>
          <w:sz w:val="24"/>
          <w:szCs w:val="24"/>
        </w:rPr>
      </w:pPr>
      <w:r w:rsidRPr="00003819">
        <w:rPr>
          <w:sz w:val="24"/>
          <w:szCs w:val="24"/>
        </w:rPr>
        <w:t>0 dage.</w:t>
      </w:r>
    </w:p>
    <w:p w14:paraId="7B1C6BDC" w14:textId="77777777" w:rsidR="008203A8" w:rsidRPr="00003819" w:rsidRDefault="008203A8" w:rsidP="008203A8">
      <w:pPr>
        <w:pStyle w:val="Sidehoved"/>
        <w:tabs>
          <w:tab w:val="clear" w:pos="4819"/>
        </w:tabs>
        <w:ind w:left="851"/>
        <w:rPr>
          <w:szCs w:val="24"/>
        </w:rPr>
      </w:pPr>
    </w:p>
    <w:p w14:paraId="0C62D927" w14:textId="77777777" w:rsidR="008203A8" w:rsidRPr="00003819" w:rsidRDefault="008203A8" w:rsidP="008203A8">
      <w:pPr>
        <w:tabs>
          <w:tab w:val="left" w:pos="851"/>
        </w:tabs>
        <w:ind w:left="851"/>
        <w:rPr>
          <w:sz w:val="24"/>
          <w:szCs w:val="24"/>
        </w:rPr>
      </w:pPr>
    </w:p>
    <w:p w14:paraId="473154F4" w14:textId="3D434D36" w:rsidR="008203A8" w:rsidRPr="00003819" w:rsidRDefault="008203A8" w:rsidP="008203A8">
      <w:pPr>
        <w:ind w:left="851" w:hanging="851"/>
        <w:rPr>
          <w:b/>
          <w:sz w:val="24"/>
          <w:szCs w:val="24"/>
        </w:rPr>
      </w:pPr>
      <w:r w:rsidRPr="00003819">
        <w:rPr>
          <w:b/>
          <w:sz w:val="24"/>
          <w:szCs w:val="24"/>
        </w:rPr>
        <w:t>4.</w:t>
      </w:r>
      <w:r w:rsidRPr="00003819">
        <w:rPr>
          <w:b/>
          <w:sz w:val="24"/>
          <w:szCs w:val="24"/>
        </w:rPr>
        <w:tab/>
        <w:t>IMMUNOLOGISKE OPLYSNINGER</w:t>
      </w:r>
    </w:p>
    <w:p w14:paraId="4A94FFCA" w14:textId="77777777" w:rsidR="008203A8" w:rsidRPr="00003819" w:rsidRDefault="008203A8" w:rsidP="008203A8">
      <w:pPr>
        <w:ind w:left="851"/>
        <w:rPr>
          <w:sz w:val="24"/>
          <w:szCs w:val="24"/>
        </w:rPr>
      </w:pPr>
    </w:p>
    <w:p w14:paraId="5125B87B" w14:textId="77777777" w:rsidR="008203A8" w:rsidRPr="00003819" w:rsidRDefault="008203A8" w:rsidP="008203A8">
      <w:pPr>
        <w:ind w:left="851" w:hanging="851"/>
        <w:rPr>
          <w:b/>
          <w:sz w:val="24"/>
          <w:szCs w:val="24"/>
        </w:rPr>
      </w:pPr>
      <w:r w:rsidRPr="00003819">
        <w:rPr>
          <w:b/>
          <w:sz w:val="24"/>
          <w:szCs w:val="24"/>
        </w:rPr>
        <w:t>4.1</w:t>
      </w:r>
      <w:r w:rsidRPr="00003819">
        <w:rPr>
          <w:b/>
          <w:sz w:val="24"/>
          <w:szCs w:val="24"/>
        </w:rPr>
        <w:tab/>
      </w:r>
      <w:proofErr w:type="spellStart"/>
      <w:r w:rsidRPr="00003819">
        <w:rPr>
          <w:b/>
          <w:sz w:val="24"/>
          <w:szCs w:val="24"/>
        </w:rPr>
        <w:t>ATCvet</w:t>
      </w:r>
      <w:proofErr w:type="spellEnd"/>
      <w:r w:rsidRPr="00003819">
        <w:rPr>
          <w:b/>
          <w:sz w:val="24"/>
          <w:szCs w:val="24"/>
        </w:rPr>
        <w:t>-kode</w:t>
      </w:r>
    </w:p>
    <w:p w14:paraId="119A7B81" w14:textId="77777777" w:rsidR="0007533F" w:rsidRPr="00003819" w:rsidRDefault="0007533F" w:rsidP="00003819">
      <w:pPr>
        <w:ind w:left="851"/>
        <w:rPr>
          <w:sz w:val="24"/>
          <w:szCs w:val="24"/>
        </w:rPr>
      </w:pPr>
      <w:r w:rsidRPr="00003819">
        <w:rPr>
          <w:sz w:val="24"/>
          <w:szCs w:val="24"/>
        </w:rPr>
        <w:t>QI02AB17</w:t>
      </w:r>
    </w:p>
    <w:p w14:paraId="6E80BCF5" w14:textId="77777777" w:rsidR="0007533F" w:rsidRPr="00003819" w:rsidRDefault="0007533F" w:rsidP="00003819">
      <w:pPr>
        <w:ind w:left="851"/>
        <w:rPr>
          <w:sz w:val="24"/>
          <w:szCs w:val="24"/>
        </w:rPr>
      </w:pPr>
    </w:p>
    <w:p w14:paraId="5BDDEC94" w14:textId="77777777" w:rsidR="0007533F" w:rsidRPr="00003819" w:rsidRDefault="0007533F" w:rsidP="00003819">
      <w:pPr>
        <w:ind w:left="851"/>
        <w:rPr>
          <w:sz w:val="24"/>
          <w:szCs w:val="24"/>
        </w:rPr>
      </w:pPr>
      <w:r w:rsidRPr="00003819">
        <w:rPr>
          <w:sz w:val="24"/>
          <w:szCs w:val="24"/>
        </w:rPr>
        <w:t>For at stimulere aktiv immunitet mod stammer af </w:t>
      </w:r>
      <w:proofErr w:type="spellStart"/>
      <w:r w:rsidRPr="00003819">
        <w:rPr>
          <w:i/>
          <w:iCs/>
          <w:sz w:val="24"/>
          <w:szCs w:val="24"/>
        </w:rPr>
        <w:t>Staphylococcus</w:t>
      </w:r>
      <w:proofErr w:type="spellEnd"/>
      <w:r w:rsidRPr="00003819">
        <w:rPr>
          <w:i/>
          <w:iCs/>
          <w:sz w:val="24"/>
          <w:szCs w:val="24"/>
        </w:rPr>
        <w:t xml:space="preserve"> aureus</w:t>
      </w:r>
      <w:r w:rsidRPr="00003819">
        <w:rPr>
          <w:sz w:val="24"/>
          <w:szCs w:val="24"/>
        </w:rPr>
        <w:t> og </w:t>
      </w:r>
      <w:r w:rsidRPr="00003819">
        <w:rPr>
          <w:i/>
          <w:iCs/>
          <w:sz w:val="24"/>
          <w:szCs w:val="24"/>
        </w:rPr>
        <w:t>E. coli</w:t>
      </w:r>
      <w:r w:rsidRPr="00003819">
        <w:rPr>
          <w:sz w:val="24"/>
          <w:szCs w:val="24"/>
        </w:rPr>
        <w:t xml:space="preserve">, der forårsager </w:t>
      </w:r>
      <w:proofErr w:type="spellStart"/>
      <w:r w:rsidRPr="00003819">
        <w:rPr>
          <w:sz w:val="24"/>
          <w:szCs w:val="24"/>
        </w:rPr>
        <w:t>bovin</w:t>
      </w:r>
      <w:proofErr w:type="spellEnd"/>
      <w:r w:rsidRPr="00003819">
        <w:rPr>
          <w:sz w:val="24"/>
          <w:szCs w:val="24"/>
        </w:rPr>
        <w:t xml:space="preserve"> </w:t>
      </w:r>
      <w:proofErr w:type="spellStart"/>
      <w:r w:rsidRPr="00003819">
        <w:rPr>
          <w:sz w:val="24"/>
          <w:szCs w:val="24"/>
        </w:rPr>
        <w:t>mastitis</w:t>
      </w:r>
      <w:proofErr w:type="spellEnd"/>
      <w:r w:rsidRPr="00003819">
        <w:rPr>
          <w:sz w:val="24"/>
          <w:szCs w:val="24"/>
        </w:rPr>
        <w:t>.</w:t>
      </w:r>
    </w:p>
    <w:p w14:paraId="6BC9C10E" w14:textId="77777777" w:rsidR="0007533F" w:rsidRPr="00003819" w:rsidRDefault="0007533F" w:rsidP="00003819">
      <w:pPr>
        <w:ind w:left="851"/>
        <w:rPr>
          <w:sz w:val="24"/>
          <w:szCs w:val="24"/>
        </w:rPr>
      </w:pPr>
      <w:r w:rsidRPr="00003819">
        <w:rPr>
          <w:sz w:val="24"/>
          <w:szCs w:val="24"/>
        </w:rPr>
        <w:t>Under feltforhold blev der observeret en reduktion i det somatiske celletal (SCC) hos vaccinerede køer.</w:t>
      </w:r>
    </w:p>
    <w:p w14:paraId="27DC49D3" w14:textId="77777777" w:rsidR="008203A8" w:rsidRPr="00003819" w:rsidRDefault="008203A8" w:rsidP="008203A8">
      <w:pPr>
        <w:ind w:left="851"/>
        <w:rPr>
          <w:sz w:val="24"/>
          <w:szCs w:val="24"/>
        </w:rPr>
      </w:pPr>
    </w:p>
    <w:p w14:paraId="4908F0E7" w14:textId="6EA9D699" w:rsidR="00B1599E" w:rsidRDefault="00B1599E">
      <w:pPr>
        <w:rPr>
          <w:sz w:val="24"/>
          <w:szCs w:val="24"/>
        </w:rPr>
      </w:pPr>
      <w:r>
        <w:rPr>
          <w:sz w:val="24"/>
          <w:szCs w:val="24"/>
        </w:rPr>
        <w:br w:type="page"/>
      </w:r>
    </w:p>
    <w:p w14:paraId="049AA1F9" w14:textId="77777777" w:rsidR="008203A8" w:rsidRPr="00003819" w:rsidRDefault="008203A8" w:rsidP="008203A8">
      <w:pPr>
        <w:tabs>
          <w:tab w:val="left" w:pos="851"/>
        </w:tabs>
        <w:ind w:left="851"/>
        <w:rPr>
          <w:sz w:val="24"/>
          <w:szCs w:val="24"/>
        </w:rPr>
      </w:pPr>
    </w:p>
    <w:p w14:paraId="770EB22B" w14:textId="77777777" w:rsidR="008203A8" w:rsidRPr="00003819" w:rsidRDefault="008203A8" w:rsidP="008203A8">
      <w:pPr>
        <w:ind w:left="851" w:hanging="851"/>
        <w:rPr>
          <w:b/>
          <w:sz w:val="24"/>
          <w:szCs w:val="24"/>
        </w:rPr>
      </w:pPr>
      <w:r w:rsidRPr="00003819">
        <w:rPr>
          <w:b/>
          <w:sz w:val="24"/>
          <w:szCs w:val="24"/>
        </w:rPr>
        <w:t>5.</w:t>
      </w:r>
      <w:r w:rsidRPr="00003819">
        <w:rPr>
          <w:b/>
          <w:sz w:val="24"/>
          <w:szCs w:val="24"/>
        </w:rPr>
        <w:tab/>
        <w:t>FARMACEUTISKE OPLYSNINGER</w:t>
      </w:r>
    </w:p>
    <w:p w14:paraId="09D61D2D" w14:textId="77777777" w:rsidR="008203A8" w:rsidRPr="00003819" w:rsidRDefault="008203A8" w:rsidP="008203A8">
      <w:pPr>
        <w:tabs>
          <w:tab w:val="left" w:pos="851"/>
        </w:tabs>
        <w:ind w:left="851"/>
        <w:rPr>
          <w:sz w:val="24"/>
          <w:szCs w:val="24"/>
        </w:rPr>
      </w:pPr>
    </w:p>
    <w:p w14:paraId="7629FD11" w14:textId="77777777" w:rsidR="008203A8" w:rsidRPr="00003819" w:rsidRDefault="008203A8" w:rsidP="008203A8">
      <w:pPr>
        <w:ind w:left="851" w:hanging="851"/>
        <w:rPr>
          <w:b/>
          <w:sz w:val="24"/>
          <w:szCs w:val="24"/>
        </w:rPr>
      </w:pPr>
      <w:r w:rsidRPr="00003819">
        <w:rPr>
          <w:b/>
          <w:sz w:val="24"/>
          <w:szCs w:val="24"/>
        </w:rPr>
        <w:t>5.1</w:t>
      </w:r>
      <w:r w:rsidRPr="00003819">
        <w:rPr>
          <w:b/>
          <w:sz w:val="24"/>
          <w:szCs w:val="24"/>
        </w:rPr>
        <w:tab/>
        <w:t>Væsentlige uforligeligheder</w:t>
      </w:r>
    </w:p>
    <w:p w14:paraId="34739649" w14:textId="77777777" w:rsidR="0007533F" w:rsidRPr="00003819" w:rsidRDefault="0007533F" w:rsidP="00003819">
      <w:pPr>
        <w:ind w:left="851"/>
        <w:rPr>
          <w:sz w:val="24"/>
          <w:szCs w:val="24"/>
        </w:rPr>
      </w:pPr>
      <w:r w:rsidRPr="00003819">
        <w:rPr>
          <w:sz w:val="24"/>
          <w:szCs w:val="24"/>
        </w:rPr>
        <w:t>Må ikke blandes med andre veterinærlægemidler.</w:t>
      </w:r>
    </w:p>
    <w:p w14:paraId="49A5AC43" w14:textId="77777777" w:rsidR="008203A8" w:rsidRPr="00003819" w:rsidRDefault="008203A8" w:rsidP="008203A8">
      <w:pPr>
        <w:tabs>
          <w:tab w:val="left" w:pos="851"/>
        </w:tabs>
        <w:ind w:left="851"/>
        <w:rPr>
          <w:sz w:val="24"/>
          <w:szCs w:val="24"/>
        </w:rPr>
      </w:pPr>
    </w:p>
    <w:p w14:paraId="73CE5FCD" w14:textId="77777777" w:rsidR="008203A8" w:rsidRPr="00003819" w:rsidRDefault="008203A8" w:rsidP="008203A8">
      <w:pPr>
        <w:ind w:left="851" w:hanging="851"/>
        <w:rPr>
          <w:b/>
          <w:sz w:val="24"/>
          <w:szCs w:val="24"/>
        </w:rPr>
      </w:pPr>
      <w:r w:rsidRPr="00003819">
        <w:rPr>
          <w:b/>
          <w:sz w:val="24"/>
          <w:szCs w:val="24"/>
        </w:rPr>
        <w:t>5.2</w:t>
      </w:r>
      <w:r w:rsidRPr="00003819">
        <w:rPr>
          <w:b/>
          <w:sz w:val="24"/>
          <w:szCs w:val="24"/>
        </w:rPr>
        <w:tab/>
        <w:t>Opbevaringstid</w:t>
      </w:r>
    </w:p>
    <w:p w14:paraId="42CE24B0" w14:textId="77777777" w:rsidR="0007533F" w:rsidRPr="00003819" w:rsidRDefault="0007533F" w:rsidP="00003819">
      <w:pPr>
        <w:ind w:left="851"/>
        <w:rPr>
          <w:sz w:val="24"/>
          <w:szCs w:val="24"/>
        </w:rPr>
      </w:pPr>
      <w:r w:rsidRPr="00003819">
        <w:rPr>
          <w:sz w:val="24"/>
          <w:szCs w:val="24"/>
        </w:rPr>
        <w:t>Opbevaringstid for veterinærlægemidlet i salgspakning: 2 år.</w:t>
      </w:r>
    </w:p>
    <w:p w14:paraId="79625498" w14:textId="77777777" w:rsidR="0007533F" w:rsidRPr="00003819" w:rsidRDefault="0007533F" w:rsidP="00003819">
      <w:pPr>
        <w:ind w:left="851"/>
        <w:rPr>
          <w:sz w:val="24"/>
          <w:szCs w:val="24"/>
        </w:rPr>
      </w:pPr>
      <w:r w:rsidRPr="00003819">
        <w:rPr>
          <w:sz w:val="24"/>
          <w:szCs w:val="24"/>
        </w:rPr>
        <w:t>Opbevaringstid efter første åbning af den indre emballage: 10 timer.</w:t>
      </w:r>
    </w:p>
    <w:p w14:paraId="20D1F59D" w14:textId="77777777" w:rsidR="008203A8" w:rsidRPr="00003819" w:rsidRDefault="008203A8" w:rsidP="008203A8">
      <w:pPr>
        <w:tabs>
          <w:tab w:val="left" w:pos="851"/>
        </w:tabs>
        <w:ind w:left="851"/>
        <w:rPr>
          <w:sz w:val="24"/>
          <w:szCs w:val="24"/>
        </w:rPr>
      </w:pPr>
    </w:p>
    <w:p w14:paraId="31C85B5B" w14:textId="77777777" w:rsidR="008203A8" w:rsidRPr="00003819" w:rsidRDefault="008203A8" w:rsidP="008203A8">
      <w:pPr>
        <w:ind w:left="851" w:hanging="851"/>
        <w:rPr>
          <w:b/>
          <w:sz w:val="24"/>
          <w:szCs w:val="24"/>
        </w:rPr>
      </w:pPr>
      <w:r w:rsidRPr="00003819">
        <w:rPr>
          <w:b/>
          <w:sz w:val="24"/>
          <w:szCs w:val="24"/>
        </w:rPr>
        <w:t>5.3</w:t>
      </w:r>
      <w:r w:rsidRPr="00003819">
        <w:rPr>
          <w:b/>
          <w:sz w:val="24"/>
          <w:szCs w:val="24"/>
        </w:rPr>
        <w:tab/>
        <w:t>Særlige forholdsregler vedrørende opbevaring</w:t>
      </w:r>
    </w:p>
    <w:p w14:paraId="574AD307" w14:textId="77777777" w:rsidR="0007533F" w:rsidRPr="00003819" w:rsidRDefault="0007533F" w:rsidP="00003819">
      <w:pPr>
        <w:ind w:left="851"/>
        <w:rPr>
          <w:sz w:val="24"/>
          <w:szCs w:val="24"/>
        </w:rPr>
      </w:pPr>
      <w:r w:rsidRPr="00003819">
        <w:rPr>
          <w:sz w:val="24"/>
          <w:szCs w:val="24"/>
        </w:rPr>
        <w:t>Opbevares og transporteres nedkølet (2 °C – 8 °C).</w:t>
      </w:r>
    </w:p>
    <w:p w14:paraId="6C8E9FF6" w14:textId="77777777" w:rsidR="0007533F" w:rsidRPr="00003819" w:rsidRDefault="0007533F" w:rsidP="00003819">
      <w:pPr>
        <w:ind w:left="851"/>
        <w:rPr>
          <w:sz w:val="24"/>
          <w:szCs w:val="24"/>
        </w:rPr>
      </w:pPr>
      <w:r w:rsidRPr="00003819">
        <w:rPr>
          <w:sz w:val="24"/>
          <w:szCs w:val="24"/>
        </w:rPr>
        <w:t>Beskyttes mod frost.</w:t>
      </w:r>
    </w:p>
    <w:p w14:paraId="369B9A34" w14:textId="77777777" w:rsidR="0007533F" w:rsidRPr="00003819" w:rsidRDefault="0007533F" w:rsidP="00003819">
      <w:pPr>
        <w:ind w:left="851"/>
        <w:rPr>
          <w:sz w:val="24"/>
          <w:szCs w:val="24"/>
        </w:rPr>
      </w:pPr>
      <w:r w:rsidRPr="00003819">
        <w:rPr>
          <w:sz w:val="24"/>
          <w:szCs w:val="24"/>
        </w:rPr>
        <w:t>Beskyttes mod lys.</w:t>
      </w:r>
    </w:p>
    <w:p w14:paraId="489DC943" w14:textId="77777777" w:rsidR="008203A8" w:rsidRPr="00003819" w:rsidRDefault="008203A8" w:rsidP="008203A8">
      <w:pPr>
        <w:tabs>
          <w:tab w:val="left" w:pos="851"/>
        </w:tabs>
        <w:ind w:left="851"/>
        <w:rPr>
          <w:sz w:val="24"/>
          <w:szCs w:val="24"/>
        </w:rPr>
      </w:pPr>
    </w:p>
    <w:p w14:paraId="683EE37B" w14:textId="77777777" w:rsidR="008203A8" w:rsidRPr="00003819" w:rsidRDefault="008203A8" w:rsidP="008203A8">
      <w:pPr>
        <w:ind w:left="851" w:hanging="851"/>
        <w:rPr>
          <w:b/>
          <w:sz w:val="24"/>
          <w:szCs w:val="24"/>
        </w:rPr>
      </w:pPr>
      <w:r w:rsidRPr="00003819">
        <w:rPr>
          <w:b/>
          <w:sz w:val="24"/>
          <w:szCs w:val="24"/>
        </w:rPr>
        <w:t>5.4</w:t>
      </w:r>
      <w:r w:rsidRPr="00003819">
        <w:rPr>
          <w:b/>
          <w:sz w:val="24"/>
          <w:szCs w:val="24"/>
        </w:rPr>
        <w:tab/>
        <w:t>Den indre emballages art og indhold</w:t>
      </w:r>
    </w:p>
    <w:p w14:paraId="7AD6688D" w14:textId="77777777" w:rsidR="0007533F" w:rsidRPr="00003819" w:rsidRDefault="0007533F" w:rsidP="00003819">
      <w:pPr>
        <w:ind w:left="851"/>
        <w:rPr>
          <w:sz w:val="24"/>
          <w:szCs w:val="24"/>
        </w:rPr>
      </w:pPr>
      <w:r w:rsidRPr="00003819">
        <w:rPr>
          <w:sz w:val="24"/>
          <w:szCs w:val="24"/>
        </w:rPr>
        <w:t xml:space="preserve">Hætteglas af type I-glas med 10 ml, med </w:t>
      </w:r>
      <w:proofErr w:type="spellStart"/>
      <w:r w:rsidRPr="00003819">
        <w:rPr>
          <w:sz w:val="24"/>
          <w:szCs w:val="24"/>
        </w:rPr>
        <w:t>chlorobutyl</w:t>
      </w:r>
      <w:proofErr w:type="spellEnd"/>
      <w:r w:rsidRPr="00003819">
        <w:rPr>
          <w:sz w:val="24"/>
          <w:szCs w:val="24"/>
        </w:rPr>
        <w:t>-gummiprop og aluminium- eller flip-</w:t>
      </w:r>
      <w:proofErr w:type="spellStart"/>
      <w:r w:rsidRPr="00003819">
        <w:rPr>
          <w:sz w:val="24"/>
          <w:szCs w:val="24"/>
        </w:rPr>
        <w:t>off</w:t>
      </w:r>
      <w:proofErr w:type="spellEnd"/>
      <w:r w:rsidRPr="00003819">
        <w:rPr>
          <w:sz w:val="24"/>
          <w:szCs w:val="24"/>
        </w:rPr>
        <w:t xml:space="preserve"> kapsel.</w:t>
      </w:r>
      <w:r w:rsidRPr="00003819">
        <w:rPr>
          <w:sz w:val="24"/>
          <w:szCs w:val="24"/>
        </w:rPr>
        <w:br/>
        <w:t xml:space="preserve">Hætteglas af type II-glas med 50 ml eller 100 ml, med </w:t>
      </w:r>
      <w:proofErr w:type="spellStart"/>
      <w:r w:rsidRPr="00003819">
        <w:rPr>
          <w:sz w:val="24"/>
          <w:szCs w:val="24"/>
        </w:rPr>
        <w:t>chlorobutyl</w:t>
      </w:r>
      <w:proofErr w:type="spellEnd"/>
      <w:r w:rsidRPr="00003819">
        <w:rPr>
          <w:sz w:val="24"/>
          <w:szCs w:val="24"/>
        </w:rPr>
        <w:t>-gummiprop og aluminium- eller flip-</w:t>
      </w:r>
      <w:proofErr w:type="spellStart"/>
      <w:r w:rsidRPr="00003819">
        <w:rPr>
          <w:sz w:val="24"/>
          <w:szCs w:val="24"/>
        </w:rPr>
        <w:t>off</w:t>
      </w:r>
      <w:proofErr w:type="spellEnd"/>
      <w:r w:rsidRPr="00003819">
        <w:rPr>
          <w:sz w:val="24"/>
          <w:szCs w:val="24"/>
        </w:rPr>
        <w:t xml:space="preserve"> kapsel.</w:t>
      </w:r>
      <w:r w:rsidRPr="00003819">
        <w:rPr>
          <w:sz w:val="24"/>
          <w:szCs w:val="24"/>
        </w:rPr>
        <w:br/>
        <w:t xml:space="preserve">Gennemsigtige hætteglas af plast (HDPE) med 15 ml, 60 ml eller 120 ml, med </w:t>
      </w:r>
      <w:proofErr w:type="spellStart"/>
      <w:r w:rsidRPr="00003819">
        <w:rPr>
          <w:sz w:val="24"/>
          <w:szCs w:val="24"/>
        </w:rPr>
        <w:t>chlorobutyl</w:t>
      </w:r>
      <w:proofErr w:type="spellEnd"/>
      <w:r w:rsidRPr="00003819">
        <w:rPr>
          <w:sz w:val="24"/>
          <w:szCs w:val="24"/>
        </w:rPr>
        <w:t>-gummiprop og aluminium- eller flip-</w:t>
      </w:r>
      <w:proofErr w:type="spellStart"/>
      <w:r w:rsidRPr="00003819">
        <w:rPr>
          <w:sz w:val="24"/>
          <w:szCs w:val="24"/>
        </w:rPr>
        <w:t>off</w:t>
      </w:r>
      <w:proofErr w:type="spellEnd"/>
      <w:r w:rsidRPr="00003819">
        <w:rPr>
          <w:sz w:val="24"/>
          <w:szCs w:val="24"/>
        </w:rPr>
        <w:t xml:space="preserve"> kapsel.</w:t>
      </w:r>
    </w:p>
    <w:p w14:paraId="0E75DF3D" w14:textId="77777777" w:rsidR="0007533F" w:rsidRPr="00003819" w:rsidRDefault="0007533F" w:rsidP="00003819">
      <w:pPr>
        <w:ind w:left="851"/>
        <w:rPr>
          <w:sz w:val="24"/>
          <w:szCs w:val="24"/>
        </w:rPr>
      </w:pPr>
      <w:r w:rsidRPr="00003819">
        <w:rPr>
          <w:sz w:val="24"/>
          <w:szCs w:val="24"/>
        </w:rPr>
        <w:t>Plastæske med 10 hætteglas af glas eller plast med 5 doser (10 ml).</w:t>
      </w:r>
      <w:r w:rsidRPr="00003819">
        <w:rPr>
          <w:sz w:val="24"/>
          <w:szCs w:val="24"/>
        </w:rPr>
        <w:br/>
        <w:t>Papæske med 1 hætteglas af glas eller plast med 5 doser (10 ml), 25 doser (50 ml) eller 50 doser (100 ml).</w:t>
      </w:r>
    </w:p>
    <w:p w14:paraId="5B01DDEE" w14:textId="77777777" w:rsidR="0007533F" w:rsidRPr="00003819" w:rsidRDefault="0007533F" w:rsidP="00003819">
      <w:pPr>
        <w:ind w:left="851"/>
        <w:rPr>
          <w:sz w:val="24"/>
          <w:szCs w:val="24"/>
        </w:rPr>
      </w:pPr>
    </w:p>
    <w:p w14:paraId="71ABEB32" w14:textId="77777777" w:rsidR="0007533F" w:rsidRPr="00003819" w:rsidRDefault="0007533F" w:rsidP="00003819">
      <w:pPr>
        <w:ind w:left="851"/>
        <w:rPr>
          <w:sz w:val="24"/>
          <w:szCs w:val="24"/>
        </w:rPr>
      </w:pPr>
      <w:r w:rsidRPr="00003819">
        <w:rPr>
          <w:sz w:val="24"/>
          <w:szCs w:val="24"/>
        </w:rPr>
        <w:t>Ikke alle pakningsstørrelser er nødvendigvis markedsført.</w:t>
      </w:r>
    </w:p>
    <w:p w14:paraId="43CB284D" w14:textId="77777777" w:rsidR="008203A8" w:rsidRPr="00003819" w:rsidRDefault="008203A8" w:rsidP="008203A8">
      <w:pPr>
        <w:tabs>
          <w:tab w:val="left" w:pos="851"/>
        </w:tabs>
        <w:ind w:left="851"/>
        <w:rPr>
          <w:sz w:val="24"/>
          <w:szCs w:val="24"/>
        </w:rPr>
      </w:pPr>
    </w:p>
    <w:p w14:paraId="63D5EA16" w14:textId="77777777" w:rsidR="008203A8" w:rsidRPr="00003819" w:rsidRDefault="008203A8" w:rsidP="008203A8">
      <w:pPr>
        <w:tabs>
          <w:tab w:val="left" w:pos="851"/>
        </w:tabs>
        <w:ind w:left="851" w:hanging="851"/>
        <w:rPr>
          <w:sz w:val="24"/>
          <w:szCs w:val="24"/>
        </w:rPr>
      </w:pPr>
      <w:r w:rsidRPr="00003819">
        <w:rPr>
          <w:b/>
          <w:sz w:val="24"/>
          <w:szCs w:val="24"/>
        </w:rPr>
        <w:t>5.5</w:t>
      </w:r>
      <w:r w:rsidRPr="00003819">
        <w:rPr>
          <w:b/>
          <w:sz w:val="24"/>
          <w:szCs w:val="24"/>
        </w:rPr>
        <w:tab/>
        <w:t>Særlige forholdsregler vedrørende bortskaffelse af ubrugte veterinærlægemidler eller affaldsmaterialer fra brugen heraf</w:t>
      </w:r>
    </w:p>
    <w:p w14:paraId="1414AD06" w14:textId="77777777" w:rsidR="0007533F" w:rsidRPr="00003819" w:rsidRDefault="0007533F" w:rsidP="00003819">
      <w:pPr>
        <w:ind w:left="851"/>
        <w:rPr>
          <w:sz w:val="24"/>
          <w:szCs w:val="24"/>
        </w:rPr>
      </w:pPr>
      <w:r w:rsidRPr="00003819">
        <w:rPr>
          <w:sz w:val="24"/>
          <w:szCs w:val="24"/>
        </w:rPr>
        <w:t>Lægemidler må ikke bortskaffes sammen med spildevand eller husholdningsaffald.</w:t>
      </w:r>
    </w:p>
    <w:p w14:paraId="783E829D" w14:textId="77777777" w:rsidR="0007533F" w:rsidRPr="00003819" w:rsidRDefault="0007533F" w:rsidP="00003819">
      <w:pPr>
        <w:ind w:left="851"/>
        <w:rPr>
          <w:sz w:val="24"/>
          <w:szCs w:val="24"/>
        </w:rPr>
      </w:pPr>
    </w:p>
    <w:p w14:paraId="1125AD29" w14:textId="77777777" w:rsidR="0007533F" w:rsidRPr="00003819" w:rsidRDefault="0007533F" w:rsidP="00003819">
      <w:pPr>
        <w:ind w:left="851"/>
        <w:rPr>
          <w:sz w:val="24"/>
          <w:szCs w:val="24"/>
        </w:rPr>
      </w:pPr>
      <w:r w:rsidRPr="00003819">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3A2A2200" w14:textId="77777777" w:rsidR="008203A8" w:rsidRPr="00003819" w:rsidRDefault="008203A8" w:rsidP="008203A8">
      <w:pPr>
        <w:tabs>
          <w:tab w:val="left" w:pos="851"/>
        </w:tabs>
        <w:ind w:left="851"/>
        <w:rPr>
          <w:sz w:val="24"/>
          <w:szCs w:val="24"/>
        </w:rPr>
      </w:pPr>
    </w:p>
    <w:p w14:paraId="7D672A05" w14:textId="77777777" w:rsidR="008203A8" w:rsidRPr="00003819" w:rsidRDefault="008203A8" w:rsidP="008203A8">
      <w:pPr>
        <w:tabs>
          <w:tab w:val="left" w:pos="851"/>
        </w:tabs>
        <w:ind w:left="851" w:hanging="851"/>
        <w:rPr>
          <w:b/>
          <w:sz w:val="24"/>
          <w:szCs w:val="24"/>
        </w:rPr>
      </w:pPr>
      <w:r w:rsidRPr="00003819">
        <w:rPr>
          <w:b/>
          <w:sz w:val="24"/>
          <w:szCs w:val="24"/>
        </w:rPr>
        <w:t>6.</w:t>
      </w:r>
      <w:r w:rsidRPr="00003819">
        <w:rPr>
          <w:b/>
          <w:sz w:val="24"/>
          <w:szCs w:val="24"/>
        </w:rPr>
        <w:tab/>
        <w:t>NAVN PÅ INDEHAVEREN AF MARKEDSFØRINGSTILLADELSEN</w:t>
      </w:r>
    </w:p>
    <w:p w14:paraId="401841E9" w14:textId="19E9FFF3" w:rsidR="0007533F" w:rsidRPr="00003819" w:rsidRDefault="0007533F" w:rsidP="00003819">
      <w:pPr>
        <w:ind w:left="851"/>
        <w:rPr>
          <w:sz w:val="24"/>
          <w:szCs w:val="24"/>
          <w:lang w:val="pl-PL"/>
        </w:rPr>
      </w:pPr>
      <w:r w:rsidRPr="00003819">
        <w:rPr>
          <w:sz w:val="24"/>
          <w:szCs w:val="24"/>
          <w:lang w:val="pl-PL"/>
        </w:rPr>
        <w:t>Boehringer Ingelheim Vetmedica GmbH</w:t>
      </w:r>
    </w:p>
    <w:p w14:paraId="410CD908" w14:textId="29AC4911" w:rsidR="00510C36" w:rsidRPr="00003819" w:rsidRDefault="00510C36" w:rsidP="00003819">
      <w:pPr>
        <w:ind w:left="851"/>
        <w:rPr>
          <w:sz w:val="24"/>
          <w:szCs w:val="24"/>
          <w:lang w:val="pl-PL"/>
        </w:rPr>
      </w:pPr>
      <w:r w:rsidRPr="00003819">
        <w:rPr>
          <w:sz w:val="24"/>
          <w:szCs w:val="24"/>
          <w:lang w:val="pl-PL"/>
        </w:rPr>
        <w:t>Binger Strasse 173</w:t>
      </w:r>
    </w:p>
    <w:p w14:paraId="517BE6D1" w14:textId="1F78A093" w:rsidR="00510C36" w:rsidRPr="00003819" w:rsidRDefault="00510C36" w:rsidP="00003819">
      <w:pPr>
        <w:ind w:left="851"/>
        <w:rPr>
          <w:sz w:val="24"/>
          <w:szCs w:val="24"/>
          <w:lang w:val="pl-PL"/>
        </w:rPr>
      </w:pPr>
      <w:r w:rsidRPr="00003819">
        <w:rPr>
          <w:sz w:val="24"/>
          <w:szCs w:val="24"/>
          <w:lang w:val="pl-PL"/>
        </w:rPr>
        <w:t>55216</w:t>
      </w:r>
      <w:r w:rsidR="00693281" w:rsidRPr="00003819">
        <w:rPr>
          <w:sz w:val="24"/>
          <w:szCs w:val="24"/>
          <w:lang w:val="pl-PL"/>
        </w:rPr>
        <w:t xml:space="preserve"> Ingelheim Am Rhein</w:t>
      </w:r>
    </w:p>
    <w:p w14:paraId="71B4E7FD" w14:textId="03451AB5" w:rsidR="00693281" w:rsidRPr="00003819" w:rsidRDefault="00693281" w:rsidP="00003819">
      <w:pPr>
        <w:ind w:left="851"/>
        <w:rPr>
          <w:sz w:val="24"/>
          <w:szCs w:val="24"/>
          <w:lang w:val="pl-PL"/>
        </w:rPr>
      </w:pPr>
      <w:r w:rsidRPr="00003819">
        <w:rPr>
          <w:sz w:val="24"/>
          <w:szCs w:val="24"/>
          <w:lang w:val="pl-PL"/>
        </w:rPr>
        <w:t>Tyskland</w:t>
      </w:r>
    </w:p>
    <w:p w14:paraId="6F82CC14" w14:textId="77777777" w:rsidR="008203A8" w:rsidRPr="00003819" w:rsidRDefault="008203A8" w:rsidP="00003819">
      <w:pPr>
        <w:ind w:left="851"/>
        <w:rPr>
          <w:sz w:val="24"/>
          <w:szCs w:val="24"/>
        </w:rPr>
      </w:pPr>
    </w:p>
    <w:p w14:paraId="07DC0C30" w14:textId="77777777" w:rsidR="008203A8" w:rsidRPr="00003819" w:rsidRDefault="008203A8" w:rsidP="00003819">
      <w:pPr>
        <w:ind w:left="851"/>
        <w:rPr>
          <w:b/>
          <w:sz w:val="24"/>
          <w:szCs w:val="24"/>
          <w:lang w:val="en-US"/>
        </w:rPr>
      </w:pPr>
      <w:proofErr w:type="spellStart"/>
      <w:r w:rsidRPr="00003819">
        <w:rPr>
          <w:b/>
          <w:sz w:val="24"/>
          <w:szCs w:val="24"/>
          <w:lang w:val="en-US"/>
        </w:rPr>
        <w:t>Repræsentant</w:t>
      </w:r>
      <w:proofErr w:type="spellEnd"/>
    </w:p>
    <w:p w14:paraId="0B8AB2FA" w14:textId="2220AEEA" w:rsidR="0007533F" w:rsidRPr="00003819" w:rsidRDefault="0007533F" w:rsidP="00003819">
      <w:pPr>
        <w:ind w:left="851"/>
        <w:rPr>
          <w:sz w:val="24"/>
          <w:szCs w:val="24"/>
          <w:lang w:val="en-US"/>
        </w:rPr>
      </w:pPr>
      <w:r w:rsidRPr="00003819">
        <w:rPr>
          <w:sz w:val="24"/>
          <w:szCs w:val="24"/>
          <w:lang w:val="en-US"/>
        </w:rPr>
        <w:t xml:space="preserve">Boehringer Ingelheim Animal Health </w:t>
      </w:r>
      <w:r w:rsidR="00B1599E">
        <w:rPr>
          <w:sz w:val="24"/>
          <w:szCs w:val="24"/>
          <w:lang w:val="en-US"/>
        </w:rPr>
        <w:t>Nordic</w:t>
      </w:r>
      <w:r w:rsidRPr="00003819">
        <w:rPr>
          <w:sz w:val="24"/>
          <w:szCs w:val="24"/>
          <w:lang w:val="en-US"/>
        </w:rPr>
        <w:t xml:space="preserve"> A/S</w:t>
      </w:r>
    </w:p>
    <w:p w14:paraId="6300CCBA" w14:textId="77777777" w:rsidR="0007533F" w:rsidRPr="00003819" w:rsidRDefault="0007533F" w:rsidP="00003819">
      <w:pPr>
        <w:ind w:left="851"/>
        <w:rPr>
          <w:sz w:val="24"/>
          <w:szCs w:val="24"/>
        </w:rPr>
      </w:pPr>
      <w:proofErr w:type="spellStart"/>
      <w:r w:rsidRPr="00003819">
        <w:rPr>
          <w:sz w:val="24"/>
          <w:szCs w:val="24"/>
        </w:rPr>
        <w:t>Weidekampsgade</w:t>
      </w:r>
      <w:proofErr w:type="spellEnd"/>
      <w:r w:rsidRPr="00003819">
        <w:rPr>
          <w:sz w:val="24"/>
          <w:szCs w:val="24"/>
        </w:rPr>
        <w:t xml:space="preserve"> 14</w:t>
      </w:r>
    </w:p>
    <w:p w14:paraId="30BAE658" w14:textId="7A6BF159" w:rsidR="0007533F" w:rsidRPr="00003819" w:rsidRDefault="0007533F" w:rsidP="00003819">
      <w:pPr>
        <w:ind w:left="851"/>
        <w:rPr>
          <w:sz w:val="24"/>
          <w:szCs w:val="24"/>
        </w:rPr>
      </w:pPr>
      <w:r w:rsidRPr="00003819">
        <w:rPr>
          <w:sz w:val="24"/>
          <w:szCs w:val="24"/>
        </w:rPr>
        <w:t>2300 København S</w:t>
      </w:r>
    </w:p>
    <w:p w14:paraId="785C3444" w14:textId="77777777" w:rsidR="008203A8" w:rsidRPr="00003819" w:rsidRDefault="008203A8" w:rsidP="008203A8">
      <w:pPr>
        <w:tabs>
          <w:tab w:val="left" w:pos="851"/>
        </w:tabs>
        <w:ind w:left="851"/>
        <w:rPr>
          <w:sz w:val="24"/>
          <w:szCs w:val="24"/>
        </w:rPr>
      </w:pPr>
    </w:p>
    <w:p w14:paraId="044E0579" w14:textId="77777777" w:rsidR="008203A8" w:rsidRPr="00003819" w:rsidRDefault="008203A8" w:rsidP="008203A8">
      <w:pPr>
        <w:ind w:left="851" w:hanging="851"/>
        <w:rPr>
          <w:b/>
          <w:sz w:val="24"/>
          <w:szCs w:val="24"/>
        </w:rPr>
      </w:pPr>
      <w:r w:rsidRPr="00003819">
        <w:rPr>
          <w:b/>
          <w:sz w:val="24"/>
          <w:szCs w:val="24"/>
        </w:rPr>
        <w:t>7.</w:t>
      </w:r>
      <w:r w:rsidRPr="00003819">
        <w:rPr>
          <w:b/>
          <w:sz w:val="24"/>
          <w:szCs w:val="24"/>
        </w:rPr>
        <w:tab/>
        <w:t>MARKEDSFØRINGSTILLADELSESNUMMER (-NUMRE)</w:t>
      </w:r>
    </w:p>
    <w:p w14:paraId="4034B4AB" w14:textId="6F58B246" w:rsidR="008203A8" w:rsidRPr="00003819" w:rsidRDefault="0007533F" w:rsidP="008203A8">
      <w:pPr>
        <w:tabs>
          <w:tab w:val="left" w:pos="851"/>
        </w:tabs>
        <w:ind w:left="851"/>
        <w:rPr>
          <w:sz w:val="24"/>
          <w:szCs w:val="24"/>
        </w:rPr>
      </w:pPr>
      <w:r w:rsidRPr="00003819">
        <w:rPr>
          <w:sz w:val="24"/>
          <w:szCs w:val="24"/>
        </w:rPr>
        <w:t>72962</w:t>
      </w:r>
    </w:p>
    <w:p w14:paraId="4103E96D" w14:textId="5AE31814" w:rsidR="00B1599E" w:rsidRDefault="00B1599E">
      <w:pPr>
        <w:rPr>
          <w:sz w:val="24"/>
          <w:szCs w:val="24"/>
        </w:rPr>
      </w:pPr>
      <w:r>
        <w:rPr>
          <w:sz w:val="24"/>
          <w:szCs w:val="24"/>
        </w:rPr>
        <w:br w:type="page"/>
      </w:r>
    </w:p>
    <w:p w14:paraId="551FA5A2" w14:textId="77777777" w:rsidR="008203A8" w:rsidRPr="00003819" w:rsidRDefault="008203A8" w:rsidP="008203A8">
      <w:pPr>
        <w:tabs>
          <w:tab w:val="left" w:pos="851"/>
        </w:tabs>
        <w:ind w:left="851"/>
        <w:rPr>
          <w:sz w:val="24"/>
          <w:szCs w:val="24"/>
        </w:rPr>
      </w:pPr>
    </w:p>
    <w:p w14:paraId="4E1EC440" w14:textId="77777777" w:rsidR="008203A8" w:rsidRPr="00003819" w:rsidRDefault="008203A8" w:rsidP="008203A8">
      <w:pPr>
        <w:tabs>
          <w:tab w:val="left" w:pos="851"/>
        </w:tabs>
        <w:ind w:left="851" w:hanging="851"/>
        <w:rPr>
          <w:b/>
          <w:sz w:val="24"/>
          <w:szCs w:val="24"/>
        </w:rPr>
      </w:pPr>
      <w:r w:rsidRPr="00003819">
        <w:rPr>
          <w:b/>
          <w:sz w:val="24"/>
          <w:szCs w:val="24"/>
        </w:rPr>
        <w:t>8.</w:t>
      </w:r>
      <w:r w:rsidRPr="00003819">
        <w:rPr>
          <w:b/>
          <w:sz w:val="24"/>
          <w:szCs w:val="24"/>
        </w:rPr>
        <w:tab/>
        <w:t>DATO FOR FØRSTE TILLADELSE</w:t>
      </w:r>
    </w:p>
    <w:p w14:paraId="0D5BBA4C" w14:textId="2683ED3E" w:rsidR="008203A8" w:rsidRPr="00003819" w:rsidRDefault="00FC1D77" w:rsidP="008203A8">
      <w:pPr>
        <w:tabs>
          <w:tab w:val="left" w:pos="851"/>
        </w:tabs>
        <w:ind w:left="851"/>
        <w:rPr>
          <w:sz w:val="24"/>
          <w:szCs w:val="24"/>
        </w:rPr>
      </w:pPr>
      <w:r>
        <w:rPr>
          <w:sz w:val="24"/>
          <w:szCs w:val="24"/>
        </w:rPr>
        <w:t>1. december 2025</w:t>
      </w:r>
    </w:p>
    <w:p w14:paraId="1306B06E" w14:textId="77777777" w:rsidR="008203A8" w:rsidRPr="00003819" w:rsidRDefault="008203A8" w:rsidP="008203A8">
      <w:pPr>
        <w:tabs>
          <w:tab w:val="left" w:pos="851"/>
        </w:tabs>
        <w:ind w:left="851"/>
        <w:rPr>
          <w:sz w:val="24"/>
          <w:szCs w:val="24"/>
        </w:rPr>
      </w:pPr>
    </w:p>
    <w:p w14:paraId="02AB35FF" w14:textId="77777777" w:rsidR="008203A8" w:rsidRPr="00003819" w:rsidRDefault="008203A8" w:rsidP="008203A8">
      <w:pPr>
        <w:tabs>
          <w:tab w:val="left" w:pos="851"/>
        </w:tabs>
        <w:ind w:left="851" w:hanging="851"/>
        <w:rPr>
          <w:b/>
          <w:sz w:val="24"/>
          <w:szCs w:val="24"/>
        </w:rPr>
      </w:pPr>
      <w:r w:rsidRPr="00003819">
        <w:rPr>
          <w:b/>
          <w:sz w:val="24"/>
          <w:szCs w:val="24"/>
        </w:rPr>
        <w:lastRenderedPageBreak/>
        <w:t>9.</w:t>
      </w:r>
      <w:r w:rsidRPr="00003819">
        <w:rPr>
          <w:b/>
          <w:sz w:val="24"/>
          <w:szCs w:val="24"/>
        </w:rPr>
        <w:tab/>
        <w:t>DATO FOR SENESTE ÆNDRING AF PRODUKTRESUMÉET</w:t>
      </w:r>
    </w:p>
    <w:p w14:paraId="7D43166E" w14:textId="28AD3CBD" w:rsidR="008203A8" w:rsidRPr="00003819" w:rsidRDefault="00B1599E" w:rsidP="008203A8">
      <w:pPr>
        <w:tabs>
          <w:tab w:val="left" w:pos="851"/>
        </w:tabs>
        <w:ind w:left="851"/>
        <w:rPr>
          <w:sz w:val="24"/>
          <w:szCs w:val="24"/>
        </w:rPr>
      </w:pPr>
      <w:r>
        <w:rPr>
          <w:sz w:val="24"/>
          <w:szCs w:val="24"/>
        </w:rPr>
        <w:t>10. december 2025</w:t>
      </w:r>
      <w:bookmarkStart w:id="1" w:name="_GoBack"/>
      <w:bookmarkEnd w:id="1"/>
    </w:p>
    <w:p w14:paraId="11C06CE8" w14:textId="77777777" w:rsidR="008203A8" w:rsidRPr="00003819" w:rsidRDefault="008203A8" w:rsidP="008203A8">
      <w:pPr>
        <w:tabs>
          <w:tab w:val="left" w:pos="851"/>
        </w:tabs>
        <w:ind w:left="851"/>
        <w:rPr>
          <w:sz w:val="24"/>
          <w:szCs w:val="24"/>
        </w:rPr>
      </w:pPr>
    </w:p>
    <w:p w14:paraId="1E1EBCE7" w14:textId="77777777" w:rsidR="008203A8" w:rsidRPr="00003819" w:rsidRDefault="008203A8" w:rsidP="008203A8">
      <w:pPr>
        <w:tabs>
          <w:tab w:val="left" w:pos="851"/>
        </w:tabs>
        <w:ind w:left="851" w:hanging="851"/>
        <w:rPr>
          <w:b/>
          <w:sz w:val="24"/>
          <w:szCs w:val="24"/>
        </w:rPr>
      </w:pPr>
      <w:r w:rsidRPr="00003819">
        <w:rPr>
          <w:b/>
          <w:sz w:val="24"/>
          <w:szCs w:val="24"/>
        </w:rPr>
        <w:t>10.</w:t>
      </w:r>
      <w:r w:rsidRPr="00003819">
        <w:rPr>
          <w:b/>
          <w:sz w:val="24"/>
          <w:szCs w:val="24"/>
        </w:rPr>
        <w:tab/>
        <w:t>KLASSIFICERING AF VETERINÆRLÆGEMIDLER</w:t>
      </w:r>
    </w:p>
    <w:p w14:paraId="20672024" w14:textId="77777777" w:rsidR="006D20D2" w:rsidRPr="00003819" w:rsidRDefault="006D20D2" w:rsidP="00003819">
      <w:pPr>
        <w:ind w:left="851"/>
        <w:rPr>
          <w:sz w:val="24"/>
          <w:szCs w:val="24"/>
        </w:rPr>
      </w:pPr>
      <w:r w:rsidRPr="00003819">
        <w:rPr>
          <w:sz w:val="24"/>
          <w:szCs w:val="24"/>
        </w:rPr>
        <w:t xml:space="preserve">BP </w:t>
      </w:r>
    </w:p>
    <w:p w14:paraId="1BF260DC" w14:textId="41B5B5FF" w:rsidR="0003527F" w:rsidRPr="00003819" w:rsidRDefault="006D20D2" w:rsidP="00003819">
      <w:pPr>
        <w:ind w:left="851"/>
        <w:rPr>
          <w:sz w:val="24"/>
          <w:szCs w:val="24"/>
        </w:rPr>
      </w:pPr>
      <w:r w:rsidRPr="00003819">
        <w:rPr>
          <w:sz w:val="24"/>
          <w:szCs w:val="24"/>
        </w:rPr>
        <w:t>Der findes detaljerede oplysninger om dette veterinærlægemiddel i EU-lægemiddel</w:t>
      </w:r>
      <w:r w:rsidR="00003819">
        <w:rPr>
          <w:sz w:val="24"/>
          <w:szCs w:val="24"/>
        </w:rPr>
        <w:softHyphen/>
      </w:r>
      <w:r w:rsidRPr="00003819">
        <w:rPr>
          <w:sz w:val="24"/>
          <w:szCs w:val="24"/>
        </w:rPr>
        <w:t>databasen (</w:t>
      </w:r>
      <w:hyperlink r:id="rId8" w:history="1">
        <w:r w:rsidRPr="00003819">
          <w:rPr>
            <w:rStyle w:val="Hyperlink"/>
            <w:sz w:val="24"/>
            <w:szCs w:val="24"/>
          </w:rPr>
          <w:t>https://medicines.health.europa.eu/veterinary</w:t>
        </w:r>
      </w:hyperlink>
      <w:r w:rsidRPr="00003819">
        <w:rPr>
          <w:sz w:val="24"/>
          <w:szCs w:val="24"/>
        </w:rPr>
        <w:t>).</w:t>
      </w:r>
    </w:p>
    <w:sectPr w:rsidR="0003527F" w:rsidRPr="00003819" w:rsidSect="00C479BF">
      <w:footerReference w:type="default" r:id="rId9"/>
      <w:headerReference w:type="first" r:id="rId10"/>
      <w:footerReference w:type="first" r:id="rId1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6775" w14:textId="77777777" w:rsidR="009A38D0" w:rsidRDefault="009A38D0">
      <w:r>
        <w:separator/>
      </w:r>
    </w:p>
  </w:endnote>
  <w:endnote w:type="continuationSeparator" w:id="0">
    <w:p w14:paraId="4B2D852D" w14:textId="77777777" w:rsidR="009A38D0" w:rsidRDefault="009A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CBA1C" w14:textId="77777777" w:rsidR="004A62CC" w:rsidRDefault="004A62CC">
    <w:pPr>
      <w:pStyle w:val="Sidefod"/>
      <w:pBdr>
        <w:bottom w:val="single" w:sz="6" w:space="1" w:color="auto"/>
      </w:pBdr>
      <w:tabs>
        <w:tab w:val="clear" w:pos="4819"/>
        <w:tab w:val="left" w:pos="8647"/>
      </w:tabs>
      <w:rPr>
        <w:i/>
        <w:snapToGrid w:val="0"/>
        <w:sz w:val="18"/>
      </w:rPr>
    </w:pPr>
  </w:p>
  <w:p w14:paraId="24FC98C5" w14:textId="77777777" w:rsidR="004A62CC" w:rsidRDefault="004A62CC">
    <w:pPr>
      <w:pStyle w:val="Sidefod"/>
      <w:tabs>
        <w:tab w:val="clear" w:pos="4819"/>
        <w:tab w:val="left" w:pos="8647"/>
      </w:tabs>
      <w:rPr>
        <w:i/>
        <w:snapToGrid w:val="0"/>
        <w:sz w:val="18"/>
      </w:rPr>
    </w:pPr>
  </w:p>
  <w:p w14:paraId="097D73D1" w14:textId="4D6CFFF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C1D77">
      <w:rPr>
        <w:i/>
        <w:noProof/>
        <w:snapToGrid w:val="0"/>
        <w:sz w:val="18"/>
      </w:rPr>
      <w:t>Lenzelta, injektionsvæske, suspension.docx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82654" w14:textId="77777777" w:rsidR="004A62CC" w:rsidRDefault="004A62CC">
    <w:pPr>
      <w:pStyle w:val="Sidefod"/>
      <w:pBdr>
        <w:bottom w:val="single" w:sz="6" w:space="1" w:color="auto"/>
      </w:pBdr>
      <w:tabs>
        <w:tab w:val="clear" w:pos="4819"/>
        <w:tab w:val="left" w:pos="8647"/>
      </w:tabs>
      <w:rPr>
        <w:i/>
        <w:snapToGrid w:val="0"/>
        <w:sz w:val="18"/>
      </w:rPr>
    </w:pPr>
  </w:p>
  <w:p w14:paraId="5CC35BBA" w14:textId="77777777" w:rsidR="004A62CC" w:rsidRDefault="004A62CC">
    <w:pPr>
      <w:pStyle w:val="Sidefod"/>
      <w:tabs>
        <w:tab w:val="clear" w:pos="4819"/>
        <w:tab w:val="left" w:pos="8647"/>
      </w:tabs>
      <w:rPr>
        <w:i/>
        <w:snapToGrid w:val="0"/>
        <w:sz w:val="18"/>
      </w:rPr>
    </w:pPr>
  </w:p>
  <w:p w14:paraId="4DA2C81C" w14:textId="50A3F309"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C1D77">
      <w:rPr>
        <w:i/>
        <w:noProof/>
        <w:snapToGrid w:val="0"/>
        <w:sz w:val="18"/>
      </w:rPr>
      <w:t>Lenzelta, injektionsvæske, suspension.docx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6FEF6" w14:textId="77777777" w:rsidR="009A38D0" w:rsidRDefault="009A38D0">
      <w:r>
        <w:separator/>
      </w:r>
    </w:p>
  </w:footnote>
  <w:footnote w:type="continuationSeparator" w:id="0">
    <w:p w14:paraId="2BFB8AC3" w14:textId="77777777" w:rsidR="009A38D0" w:rsidRDefault="009A3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BB77"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EE87337"/>
    <w:multiLevelType w:val="hybridMultilevel"/>
    <w:tmpl w:val="A064C3D0"/>
    <w:lvl w:ilvl="0" w:tplc="91E0C1A0">
      <w:start w:val="9"/>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6A90943"/>
    <w:multiLevelType w:val="hybridMultilevel"/>
    <w:tmpl w:val="C8781DB8"/>
    <w:lvl w:ilvl="0" w:tplc="91E0C1A0">
      <w:start w:val="9"/>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D0"/>
    <w:rsid w:val="00003819"/>
    <w:rsid w:val="000241E8"/>
    <w:rsid w:val="0003527F"/>
    <w:rsid w:val="0004390D"/>
    <w:rsid w:val="0005355A"/>
    <w:rsid w:val="00065C7D"/>
    <w:rsid w:val="0007533F"/>
    <w:rsid w:val="00092AFF"/>
    <w:rsid w:val="000B102C"/>
    <w:rsid w:val="000C6CD4"/>
    <w:rsid w:val="00131D7A"/>
    <w:rsid w:val="001577E4"/>
    <w:rsid w:val="001623D2"/>
    <w:rsid w:val="00162A88"/>
    <w:rsid w:val="00173F52"/>
    <w:rsid w:val="0018534D"/>
    <w:rsid w:val="001858CA"/>
    <w:rsid w:val="001869DB"/>
    <w:rsid w:val="001903E6"/>
    <w:rsid w:val="001C4AEF"/>
    <w:rsid w:val="001D1D35"/>
    <w:rsid w:val="001D3CC5"/>
    <w:rsid w:val="00202A14"/>
    <w:rsid w:val="00207C0E"/>
    <w:rsid w:val="002A01E9"/>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510C36"/>
    <w:rsid w:val="00514C36"/>
    <w:rsid w:val="00565A74"/>
    <w:rsid w:val="005B0036"/>
    <w:rsid w:val="005D1DAA"/>
    <w:rsid w:val="005D6A0B"/>
    <w:rsid w:val="005E336B"/>
    <w:rsid w:val="005F5831"/>
    <w:rsid w:val="00601E64"/>
    <w:rsid w:val="0061389F"/>
    <w:rsid w:val="00614110"/>
    <w:rsid w:val="00627236"/>
    <w:rsid w:val="00633A39"/>
    <w:rsid w:val="00646A5F"/>
    <w:rsid w:val="00662012"/>
    <w:rsid w:val="00666B01"/>
    <w:rsid w:val="00687CE3"/>
    <w:rsid w:val="00693281"/>
    <w:rsid w:val="00696BF6"/>
    <w:rsid w:val="006B1539"/>
    <w:rsid w:val="006C2FE7"/>
    <w:rsid w:val="006D20D2"/>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A38D0"/>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1599E"/>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7216E"/>
    <w:rsid w:val="00E84DC6"/>
    <w:rsid w:val="00EB5778"/>
    <w:rsid w:val="00EB5D56"/>
    <w:rsid w:val="00EE14EA"/>
    <w:rsid w:val="00EE5253"/>
    <w:rsid w:val="00EF3507"/>
    <w:rsid w:val="00EF3C59"/>
    <w:rsid w:val="00F34BBE"/>
    <w:rsid w:val="00F36781"/>
    <w:rsid w:val="00F41E3A"/>
    <w:rsid w:val="00F60B72"/>
    <w:rsid w:val="00FA2112"/>
    <w:rsid w:val="00FA3E7E"/>
    <w:rsid w:val="00FA66E4"/>
    <w:rsid w:val="00FC1D77"/>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BADD0"/>
  <w15:chartTrackingRefBased/>
  <w15:docId w15:val="{4AF22D86-9242-40B0-BF7F-50010FF6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customStyle="1" w:styleId="rynqvb">
    <w:name w:val="rynqvb"/>
    <w:basedOn w:val="Standardskrifttypeiafsnit"/>
    <w:rsid w:val="0007533F"/>
  </w:style>
  <w:style w:type="paragraph" w:styleId="Listeafsnit">
    <w:name w:val="List Paragraph"/>
    <w:basedOn w:val="Normal"/>
    <w:uiPriority w:val="34"/>
    <w:qFormat/>
    <w:rsid w:val="0007533F"/>
    <w:pPr>
      <w:tabs>
        <w:tab w:val="left" w:pos="567"/>
      </w:tabs>
      <w:spacing w:line="260" w:lineRule="exact"/>
      <w:ind w:left="720"/>
      <w:contextualSpacing/>
    </w:pPr>
    <w:rPr>
      <w:sz w:val="22"/>
    </w:rPr>
  </w:style>
  <w:style w:type="paragraph" w:customStyle="1" w:styleId="Style1">
    <w:name w:val="Style1"/>
    <w:basedOn w:val="Normal"/>
    <w:qFormat/>
    <w:rsid w:val="0007533F"/>
    <w:pPr>
      <w:tabs>
        <w:tab w:val="left" w:pos="0"/>
      </w:tabs>
      <w:ind w:left="567" w:hanging="567"/>
    </w:pPr>
    <w:rPr>
      <w:b/>
      <w:sz w:val="22"/>
      <w:szCs w:val="22"/>
    </w:rPr>
  </w:style>
  <w:style w:type="paragraph" w:customStyle="1" w:styleId="Style5">
    <w:name w:val="Style5"/>
    <w:basedOn w:val="Normal"/>
    <w:qFormat/>
    <w:rsid w:val="0007533F"/>
    <w:pPr>
      <w:numPr>
        <w:ilvl w:val="12"/>
      </w:numPr>
    </w:pPr>
    <w:rPr>
      <w:sz w:val="22"/>
      <w:szCs w:val="22"/>
    </w:rPr>
  </w:style>
  <w:style w:type="character" w:styleId="Hyperlink">
    <w:name w:val="Hyperlink"/>
    <w:semiHidden/>
    <w:unhideWhenUsed/>
    <w:rsid w:val="006D2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870">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53091435">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74817346">
      <w:bodyDiv w:val="1"/>
      <w:marLeft w:val="0"/>
      <w:marRight w:val="0"/>
      <w:marTop w:val="0"/>
      <w:marBottom w:val="0"/>
      <w:divBdr>
        <w:top w:val="none" w:sz="0" w:space="0" w:color="auto"/>
        <w:left w:val="none" w:sz="0" w:space="0" w:color="auto"/>
        <w:bottom w:val="none" w:sz="0" w:space="0" w:color="auto"/>
        <w:right w:val="none" w:sz="0" w:space="0" w:color="auto"/>
      </w:divBdr>
    </w:div>
    <w:div w:id="399445501">
      <w:bodyDiv w:val="1"/>
      <w:marLeft w:val="0"/>
      <w:marRight w:val="0"/>
      <w:marTop w:val="0"/>
      <w:marBottom w:val="0"/>
      <w:divBdr>
        <w:top w:val="none" w:sz="0" w:space="0" w:color="auto"/>
        <w:left w:val="none" w:sz="0" w:space="0" w:color="auto"/>
        <w:bottom w:val="none" w:sz="0" w:space="0" w:color="auto"/>
        <w:right w:val="none" w:sz="0" w:space="0" w:color="auto"/>
      </w:divBdr>
    </w:div>
    <w:div w:id="486823092">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91437897">
      <w:bodyDiv w:val="1"/>
      <w:marLeft w:val="0"/>
      <w:marRight w:val="0"/>
      <w:marTop w:val="0"/>
      <w:marBottom w:val="0"/>
      <w:divBdr>
        <w:top w:val="none" w:sz="0" w:space="0" w:color="auto"/>
        <w:left w:val="none" w:sz="0" w:space="0" w:color="auto"/>
        <w:bottom w:val="none" w:sz="0" w:space="0" w:color="auto"/>
        <w:right w:val="none" w:sz="0" w:space="0" w:color="auto"/>
      </w:divBdr>
    </w:div>
    <w:div w:id="826554601">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87588782">
      <w:bodyDiv w:val="1"/>
      <w:marLeft w:val="0"/>
      <w:marRight w:val="0"/>
      <w:marTop w:val="0"/>
      <w:marBottom w:val="0"/>
      <w:divBdr>
        <w:top w:val="none" w:sz="0" w:space="0" w:color="auto"/>
        <w:left w:val="none" w:sz="0" w:space="0" w:color="auto"/>
        <w:bottom w:val="none" w:sz="0" w:space="0" w:color="auto"/>
        <w:right w:val="none" w:sz="0" w:space="0" w:color="auto"/>
      </w:divBdr>
    </w:div>
    <w:div w:id="1029068874">
      <w:bodyDiv w:val="1"/>
      <w:marLeft w:val="0"/>
      <w:marRight w:val="0"/>
      <w:marTop w:val="0"/>
      <w:marBottom w:val="0"/>
      <w:divBdr>
        <w:top w:val="none" w:sz="0" w:space="0" w:color="auto"/>
        <w:left w:val="none" w:sz="0" w:space="0" w:color="auto"/>
        <w:bottom w:val="none" w:sz="0" w:space="0" w:color="auto"/>
        <w:right w:val="none" w:sz="0" w:space="0" w:color="auto"/>
      </w:divBdr>
    </w:div>
    <w:div w:id="1048652943">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83474167">
      <w:bodyDiv w:val="1"/>
      <w:marLeft w:val="0"/>
      <w:marRight w:val="0"/>
      <w:marTop w:val="0"/>
      <w:marBottom w:val="0"/>
      <w:divBdr>
        <w:top w:val="none" w:sz="0" w:space="0" w:color="auto"/>
        <w:left w:val="none" w:sz="0" w:space="0" w:color="auto"/>
        <w:bottom w:val="none" w:sz="0" w:space="0" w:color="auto"/>
        <w:right w:val="none" w:sz="0" w:space="0" w:color="auto"/>
      </w:divBdr>
    </w:div>
    <w:div w:id="1223911088">
      <w:bodyDiv w:val="1"/>
      <w:marLeft w:val="0"/>
      <w:marRight w:val="0"/>
      <w:marTop w:val="0"/>
      <w:marBottom w:val="0"/>
      <w:divBdr>
        <w:top w:val="none" w:sz="0" w:space="0" w:color="auto"/>
        <w:left w:val="none" w:sz="0" w:space="0" w:color="auto"/>
        <w:bottom w:val="none" w:sz="0" w:space="0" w:color="auto"/>
        <w:right w:val="none" w:sz="0" w:space="0" w:color="auto"/>
      </w:divBdr>
    </w:div>
    <w:div w:id="1271084130">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09324872">
      <w:bodyDiv w:val="1"/>
      <w:marLeft w:val="0"/>
      <w:marRight w:val="0"/>
      <w:marTop w:val="0"/>
      <w:marBottom w:val="0"/>
      <w:divBdr>
        <w:top w:val="none" w:sz="0" w:space="0" w:color="auto"/>
        <w:left w:val="none" w:sz="0" w:space="0" w:color="auto"/>
        <w:bottom w:val="none" w:sz="0" w:space="0" w:color="auto"/>
        <w:right w:val="none" w:sz="0" w:space="0" w:color="auto"/>
      </w:divBdr>
    </w:div>
    <w:div w:id="1525173343">
      <w:bodyDiv w:val="1"/>
      <w:marLeft w:val="0"/>
      <w:marRight w:val="0"/>
      <w:marTop w:val="0"/>
      <w:marBottom w:val="0"/>
      <w:divBdr>
        <w:top w:val="none" w:sz="0" w:space="0" w:color="auto"/>
        <w:left w:val="none" w:sz="0" w:space="0" w:color="auto"/>
        <w:bottom w:val="none" w:sz="0" w:space="0" w:color="auto"/>
        <w:right w:val="none" w:sz="0" w:space="0" w:color="auto"/>
      </w:divBdr>
    </w:div>
    <w:div w:id="1536231311">
      <w:bodyDiv w:val="1"/>
      <w:marLeft w:val="0"/>
      <w:marRight w:val="0"/>
      <w:marTop w:val="0"/>
      <w:marBottom w:val="0"/>
      <w:divBdr>
        <w:top w:val="none" w:sz="0" w:space="0" w:color="auto"/>
        <w:left w:val="none" w:sz="0" w:space="0" w:color="auto"/>
        <w:bottom w:val="none" w:sz="0" w:space="0" w:color="auto"/>
        <w:right w:val="none" w:sz="0" w:space="0" w:color="auto"/>
      </w:divBdr>
    </w:div>
    <w:div w:id="1581022303">
      <w:bodyDiv w:val="1"/>
      <w:marLeft w:val="0"/>
      <w:marRight w:val="0"/>
      <w:marTop w:val="0"/>
      <w:marBottom w:val="0"/>
      <w:divBdr>
        <w:top w:val="none" w:sz="0" w:space="0" w:color="auto"/>
        <w:left w:val="none" w:sz="0" w:space="0" w:color="auto"/>
        <w:bottom w:val="none" w:sz="0" w:space="0" w:color="auto"/>
        <w:right w:val="none" w:sz="0" w:space="0" w:color="auto"/>
      </w:divBdr>
    </w:div>
    <w:div w:id="1663853559">
      <w:bodyDiv w:val="1"/>
      <w:marLeft w:val="0"/>
      <w:marRight w:val="0"/>
      <w:marTop w:val="0"/>
      <w:marBottom w:val="0"/>
      <w:divBdr>
        <w:top w:val="none" w:sz="0" w:space="0" w:color="auto"/>
        <w:left w:val="none" w:sz="0" w:space="0" w:color="auto"/>
        <w:bottom w:val="none" w:sz="0" w:space="0" w:color="auto"/>
        <w:right w:val="none" w:sz="0" w:space="0" w:color="auto"/>
      </w:divBdr>
    </w:div>
    <w:div w:id="1680353426">
      <w:bodyDiv w:val="1"/>
      <w:marLeft w:val="0"/>
      <w:marRight w:val="0"/>
      <w:marTop w:val="0"/>
      <w:marBottom w:val="0"/>
      <w:divBdr>
        <w:top w:val="none" w:sz="0" w:space="0" w:color="auto"/>
        <w:left w:val="none" w:sz="0" w:space="0" w:color="auto"/>
        <w:bottom w:val="none" w:sz="0" w:space="0" w:color="auto"/>
        <w:right w:val="none" w:sz="0" w:space="0" w:color="auto"/>
      </w:divBdr>
    </w:div>
    <w:div w:id="1780446299">
      <w:bodyDiv w:val="1"/>
      <w:marLeft w:val="0"/>
      <w:marRight w:val="0"/>
      <w:marTop w:val="0"/>
      <w:marBottom w:val="0"/>
      <w:divBdr>
        <w:top w:val="none" w:sz="0" w:space="0" w:color="auto"/>
        <w:left w:val="none" w:sz="0" w:space="0" w:color="auto"/>
        <w:bottom w:val="none" w:sz="0" w:space="0" w:color="auto"/>
        <w:right w:val="none" w:sz="0" w:space="0" w:color="auto"/>
      </w:divBdr>
    </w:div>
    <w:div w:id="1801530606">
      <w:bodyDiv w:val="1"/>
      <w:marLeft w:val="0"/>
      <w:marRight w:val="0"/>
      <w:marTop w:val="0"/>
      <w:marBottom w:val="0"/>
      <w:divBdr>
        <w:top w:val="none" w:sz="0" w:space="0" w:color="auto"/>
        <w:left w:val="none" w:sz="0" w:space="0" w:color="auto"/>
        <w:bottom w:val="none" w:sz="0" w:space="0" w:color="auto"/>
        <w:right w:val="none" w:sz="0" w:space="0" w:color="auto"/>
      </w:divBdr>
    </w:div>
    <w:div w:id="1840190023">
      <w:bodyDiv w:val="1"/>
      <w:marLeft w:val="0"/>
      <w:marRight w:val="0"/>
      <w:marTop w:val="0"/>
      <w:marBottom w:val="0"/>
      <w:divBdr>
        <w:top w:val="none" w:sz="0" w:space="0" w:color="auto"/>
        <w:left w:val="none" w:sz="0" w:space="0" w:color="auto"/>
        <w:bottom w:val="none" w:sz="0" w:space="0" w:color="auto"/>
        <w:right w:val="none" w:sz="0" w:space="0" w:color="auto"/>
      </w:divBdr>
    </w:div>
    <w:div w:id="1899245934">
      <w:bodyDiv w:val="1"/>
      <w:marLeft w:val="0"/>
      <w:marRight w:val="0"/>
      <w:marTop w:val="0"/>
      <w:marBottom w:val="0"/>
      <w:divBdr>
        <w:top w:val="none" w:sz="0" w:space="0" w:color="auto"/>
        <w:left w:val="none" w:sz="0" w:space="0" w:color="auto"/>
        <w:bottom w:val="none" w:sz="0" w:space="0" w:color="auto"/>
        <w:right w:val="none" w:sz="0" w:space="0" w:color="auto"/>
      </w:divBdr>
    </w:div>
    <w:div w:id="1996715885">
      <w:bodyDiv w:val="1"/>
      <w:marLeft w:val="0"/>
      <w:marRight w:val="0"/>
      <w:marTop w:val="0"/>
      <w:marBottom w:val="0"/>
      <w:divBdr>
        <w:top w:val="none" w:sz="0" w:space="0" w:color="auto"/>
        <w:left w:val="none" w:sz="0" w:space="0" w:color="auto"/>
        <w:bottom w:val="none" w:sz="0" w:space="0" w:color="auto"/>
        <w:right w:val="none" w:sz="0" w:space="0" w:color="auto"/>
      </w:divBdr>
    </w:div>
    <w:div w:id="21021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2</TotalTime>
  <Pages>5</Pages>
  <Words>891</Words>
  <Characters>5962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2024121482, rettelse i pkt. 1 og repræsentant navn</dc:description>
  <cp:lastModifiedBy>Gitte Jørgensen</cp:lastModifiedBy>
  <cp:revision>7</cp:revision>
  <cp:lastPrinted>2022-05-18T14:03:00Z</cp:lastPrinted>
  <dcterms:created xsi:type="dcterms:W3CDTF">2025-12-10T09:58:00Z</dcterms:created>
  <dcterms:modified xsi:type="dcterms:W3CDTF">2025-12-10T10:01:00Z</dcterms:modified>
</cp:coreProperties>
</file>