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60BDE"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77F29CF5" wp14:editId="317C541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B920451" w14:textId="77777777" w:rsidR="008203A8" w:rsidRDefault="008203A8" w:rsidP="008203A8">
      <w:pPr>
        <w:rPr>
          <w:sz w:val="24"/>
          <w:szCs w:val="24"/>
        </w:rPr>
      </w:pPr>
    </w:p>
    <w:p w14:paraId="7BBC4189" w14:textId="2D7314DE" w:rsidR="008203A8" w:rsidRPr="00C6511E" w:rsidRDefault="008203A8" w:rsidP="008203A8">
      <w:pPr>
        <w:tabs>
          <w:tab w:val="right" w:pos="9356"/>
        </w:tabs>
        <w:rPr>
          <w:b/>
          <w:sz w:val="24"/>
          <w:szCs w:val="24"/>
        </w:rPr>
      </w:pPr>
      <w:r>
        <w:rPr>
          <w:b/>
          <w:sz w:val="24"/>
          <w:szCs w:val="24"/>
        </w:rPr>
        <w:tab/>
      </w:r>
      <w:r w:rsidR="002E7CE1">
        <w:rPr>
          <w:b/>
          <w:sz w:val="24"/>
          <w:szCs w:val="24"/>
        </w:rPr>
        <w:t>23</w:t>
      </w:r>
      <w:r w:rsidR="007A3F96" w:rsidRPr="00C6511E">
        <w:rPr>
          <w:b/>
          <w:sz w:val="24"/>
          <w:szCs w:val="24"/>
        </w:rPr>
        <w:t xml:space="preserve">. </w:t>
      </w:r>
      <w:r w:rsidR="002E7CE1">
        <w:rPr>
          <w:b/>
          <w:sz w:val="24"/>
          <w:szCs w:val="24"/>
        </w:rPr>
        <w:t xml:space="preserve">maj </w:t>
      </w:r>
      <w:r w:rsidR="007A3F96" w:rsidRPr="00C6511E">
        <w:rPr>
          <w:b/>
          <w:sz w:val="24"/>
          <w:szCs w:val="24"/>
        </w:rPr>
        <w:t>202</w:t>
      </w:r>
      <w:r w:rsidR="002E7CE1">
        <w:rPr>
          <w:b/>
          <w:sz w:val="24"/>
          <w:szCs w:val="24"/>
        </w:rPr>
        <w:t>4</w:t>
      </w:r>
    </w:p>
    <w:p w14:paraId="77B7D959" w14:textId="77777777" w:rsidR="002E7CE1" w:rsidRDefault="002E7CE1" w:rsidP="008203A8">
      <w:pPr>
        <w:jc w:val="center"/>
        <w:rPr>
          <w:b/>
          <w:sz w:val="24"/>
          <w:szCs w:val="24"/>
        </w:rPr>
      </w:pPr>
    </w:p>
    <w:p w14:paraId="002DDBC2" w14:textId="20F525CC" w:rsidR="008203A8" w:rsidRPr="007A3F96" w:rsidRDefault="008203A8" w:rsidP="008203A8">
      <w:pPr>
        <w:jc w:val="center"/>
        <w:rPr>
          <w:b/>
          <w:sz w:val="24"/>
          <w:szCs w:val="24"/>
        </w:rPr>
      </w:pPr>
      <w:r w:rsidRPr="007A3F96">
        <w:rPr>
          <w:b/>
          <w:sz w:val="24"/>
          <w:szCs w:val="24"/>
        </w:rPr>
        <w:t>PRODUKTRESUMÉ</w:t>
      </w:r>
    </w:p>
    <w:p w14:paraId="7A545BD3" w14:textId="77777777" w:rsidR="008203A8" w:rsidRPr="007A3F96" w:rsidRDefault="008203A8" w:rsidP="008203A8">
      <w:pPr>
        <w:jc w:val="center"/>
        <w:rPr>
          <w:b/>
          <w:sz w:val="24"/>
          <w:szCs w:val="24"/>
        </w:rPr>
      </w:pPr>
    </w:p>
    <w:p w14:paraId="1153A274" w14:textId="77777777" w:rsidR="008203A8" w:rsidRPr="007A3F96" w:rsidRDefault="008203A8" w:rsidP="008203A8">
      <w:pPr>
        <w:jc w:val="center"/>
        <w:rPr>
          <w:b/>
          <w:sz w:val="24"/>
          <w:szCs w:val="24"/>
        </w:rPr>
      </w:pPr>
      <w:r w:rsidRPr="007A3F96">
        <w:rPr>
          <w:b/>
          <w:sz w:val="24"/>
          <w:szCs w:val="24"/>
        </w:rPr>
        <w:t>for</w:t>
      </w:r>
    </w:p>
    <w:p w14:paraId="508BE653" w14:textId="77777777" w:rsidR="008203A8" w:rsidRPr="007A3F96" w:rsidRDefault="008203A8" w:rsidP="008203A8">
      <w:pPr>
        <w:jc w:val="center"/>
        <w:rPr>
          <w:b/>
          <w:sz w:val="24"/>
          <w:szCs w:val="24"/>
        </w:rPr>
      </w:pPr>
    </w:p>
    <w:p w14:paraId="220FE21C" w14:textId="77777777" w:rsidR="008203A8" w:rsidRPr="00C21C88" w:rsidRDefault="00C21C88" w:rsidP="008203A8">
      <w:pPr>
        <w:jc w:val="center"/>
        <w:rPr>
          <w:b/>
          <w:sz w:val="24"/>
          <w:szCs w:val="24"/>
        </w:rPr>
      </w:pPr>
      <w:proofErr w:type="spellStart"/>
      <w:r w:rsidRPr="00C21C88">
        <w:rPr>
          <w:b/>
          <w:sz w:val="24"/>
          <w:szCs w:val="24"/>
        </w:rPr>
        <w:t>Lincoral</w:t>
      </w:r>
      <w:proofErr w:type="spellEnd"/>
      <w:r w:rsidRPr="00C21C88">
        <w:rPr>
          <w:b/>
          <w:sz w:val="24"/>
          <w:szCs w:val="24"/>
        </w:rPr>
        <w:t xml:space="preserve">-s, pulver til anvendelse </w:t>
      </w:r>
      <w:r>
        <w:rPr>
          <w:b/>
          <w:sz w:val="24"/>
          <w:szCs w:val="24"/>
        </w:rPr>
        <w:t>i drikkevand</w:t>
      </w:r>
    </w:p>
    <w:p w14:paraId="56620B7C" w14:textId="77777777" w:rsidR="008203A8" w:rsidRPr="00C21C88" w:rsidRDefault="008203A8" w:rsidP="008203A8">
      <w:pPr>
        <w:jc w:val="both"/>
        <w:rPr>
          <w:sz w:val="24"/>
          <w:szCs w:val="24"/>
        </w:rPr>
      </w:pPr>
    </w:p>
    <w:p w14:paraId="0CD32EF0" w14:textId="77777777" w:rsidR="008203A8" w:rsidRPr="00C21C88" w:rsidRDefault="008203A8" w:rsidP="008203A8">
      <w:pPr>
        <w:jc w:val="both"/>
        <w:rPr>
          <w:sz w:val="24"/>
          <w:szCs w:val="24"/>
        </w:rPr>
      </w:pPr>
    </w:p>
    <w:p w14:paraId="1CBC69E2" w14:textId="77777777" w:rsidR="008203A8" w:rsidRPr="007A3F96" w:rsidRDefault="008203A8" w:rsidP="008203A8">
      <w:pPr>
        <w:ind w:left="851" w:hanging="851"/>
        <w:rPr>
          <w:b/>
          <w:sz w:val="24"/>
          <w:szCs w:val="24"/>
        </w:rPr>
      </w:pPr>
      <w:r w:rsidRPr="007A3F96">
        <w:rPr>
          <w:b/>
          <w:sz w:val="24"/>
          <w:szCs w:val="24"/>
        </w:rPr>
        <w:t>0.</w:t>
      </w:r>
      <w:r w:rsidRPr="007A3F96">
        <w:rPr>
          <w:b/>
          <w:sz w:val="24"/>
          <w:szCs w:val="24"/>
        </w:rPr>
        <w:tab/>
        <w:t>D.SP.NR.</w:t>
      </w:r>
    </w:p>
    <w:p w14:paraId="0336BB87" w14:textId="77777777" w:rsidR="008203A8" w:rsidRPr="00406EE7" w:rsidRDefault="00C21C88" w:rsidP="008203A8">
      <w:pPr>
        <w:ind w:left="851"/>
        <w:rPr>
          <w:sz w:val="24"/>
          <w:szCs w:val="24"/>
        </w:rPr>
      </w:pPr>
      <w:r>
        <w:rPr>
          <w:sz w:val="24"/>
          <w:szCs w:val="24"/>
        </w:rPr>
        <w:t>32816</w:t>
      </w:r>
    </w:p>
    <w:p w14:paraId="65C4D4E6" w14:textId="77777777" w:rsidR="008203A8" w:rsidRPr="00406EE7" w:rsidRDefault="008203A8" w:rsidP="008203A8">
      <w:pPr>
        <w:ind w:left="851"/>
        <w:rPr>
          <w:sz w:val="24"/>
          <w:szCs w:val="24"/>
        </w:rPr>
      </w:pPr>
    </w:p>
    <w:p w14:paraId="4B2877DD"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6A8B30E0" w14:textId="6AB892A5" w:rsidR="008203A8" w:rsidRDefault="00872A3D" w:rsidP="008203A8">
      <w:pPr>
        <w:ind w:left="851"/>
        <w:rPr>
          <w:sz w:val="24"/>
          <w:szCs w:val="24"/>
        </w:rPr>
      </w:pPr>
      <w:proofErr w:type="spellStart"/>
      <w:r>
        <w:rPr>
          <w:sz w:val="24"/>
          <w:szCs w:val="24"/>
        </w:rPr>
        <w:t>Lincoral</w:t>
      </w:r>
      <w:proofErr w:type="spellEnd"/>
      <w:r>
        <w:rPr>
          <w:sz w:val="24"/>
          <w:szCs w:val="24"/>
        </w:rPr>
        <w:t>-s</w:t>
      </w:r>
    </w:p>
    <w:p w14:paraId="78DEE82C" w14:textId="77777777" w:rsidR="008203A8" w:rsidRDefault="008203A8" w:rsidP="008203A8">
      <w:pPr>
        <w:ind w:left="851"/>
        <w:rPr>
          <w:sz w:val="24"/>
          <w:szCs w:val="24"/>
        </w:rPr>
      </w:pPr>
    </w:p>
    <w:p w14:paraId="1A7DE848" w14:textId="5D346F21" w:rsidR="008203A8" w:rsidRPr="00776C2C" w:rsidRDefault="008203A8" w:rsidP="008203A8">
      <w:pPr>
        <w:ind w:left="851"/>
        <w:rPr>
          <w:sz w:val="24"/>
          <w:szCs w:val="24"/>
        </w:rPr>
      </w:pPr>
      <w:r w:rsidRPr="00776C2C">
        <w:rPr>
          <w:sz w:val="24"/>
          <w:szCs w:val="24"/>
        </w:rPr>
        <w:t xml:space="preserve">Lægemiddelform: </w:t>
      </w:r>
      <w:r w:rsidR="0081727F">
        <w:rPr>
          <w:sz w:val="24"/>
          <w:szCs w:val="24"/>
        </w:rPr>
        <w:t>Pulver til anvendelse i drikkevand.</w:t>
      </w:r>
    </w:p>
    <w:p w14:paraId="6B44D537" w14:textId="2998A89F" w:rsidR="008203A8" w:rsidRPr="00776C2C" w:rsidRDefault="008203A8" w:rsidP="008203A8">
      <w:pPr>
        <w:ind w:left="851"/>
        <w:rPr>
          <w:sz w:val="24"/>
          <w:szCs w:val="24"/>
        </w:rPr>
      </w:pPr>
      <w:r w:rsidRPr="00776C2C">
        <w:rPr>
          <w:sz w:val="24"/>
          <w:szCs w:val="24"/>
        </w:rPr>
        <w:t xml:space="preserve">Styrke: </w:t>
      </w:r>
      <w:r w:rsidR="0081727F">
        <w:rPr>
          <w:sz w:val="24"/>
          <w:szCs w:val="24"/>
        </w:rPr>
        <w:t>222+444,7 mg/g</w:t>
      </w:r>
    </w:p>
    <w:p w14:paraId="4AB48EA0" w14:textId="77777777" w:rsidR="008203A8" w:rsidRPr="00406EE7" w:rsidRDefault="008203A8" w:rsidP="008203A8">
      <w:pPr>
        <w:ind w:left="851"/>
        <w:rPr>
          <w:sz w:val="24"/>
          <w:szCs w:val="24"/>
        </w:rPr>
      </w:pPr>
    </w:p>
    <w:p w14:paraId="0BD05C7B"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11597CA2" w14:textId="77777777" w:rsidR="00872A3D" w:rsidRPr="00872A3D" w:rsidRDefault="00872A3D" w:rsidP="00872A3D">
      <w:pPr>
        <w:ind w:left="851"/>
        <w:rPr>
          <w:bCs/>
          <w:sz w:val="24"/>
          <w:szCs w:val="24"/>
        </w:rPr>
      </w:pPr>
      <w:r w:rsidRPr="00872A3D">
        <w:rPr>
          <w:bCs/>
          <w:sz w:val="24"/>
          <w:szCs w:val="24"/>
        </w:rPr>
        <w:t>1 gram indeholder:</w:t>
      </w:r>
    </w:p>
    <w:p w14:paraId="310F14F1" w14:textId="77777777" w:rsidR="00872A3D" w:rsidRPr="00872A3D" w:rsidRDefault="00872A3D" w:rsidP="00872A3D">
      <w:pPr>
        <w:ind w:left="851"/>
        <w:rPr>
          <w:b/>
          <w:sz w:val="24"/>
          <w:szCs w:val="24"/>
        </w:rPr>
      </w:pPr>
    </w:p>
    <w:p w14:paraId="2AA31CF8" w14:textId="77777777" w:rsidR="00872A3D" w:rsidRPr="00872A3D" w:rsidRDefault="00872A3D" w:rsidP="00872A3D">
      <w:pPr>
        <w:ind w:left="851"/>
        <w:rPr>
          <w:b/>
          <w:sz w:val="24"/>
          <w:szCs w:val="24"/>
        </w:rPr>
      </w:pPr>
      <w:r w:rsidRPr="00872A3D">
        <w:rPr>
          <w:b/>
          <w:sz w:val="24"/>
          <w:szCs w:val="24"/>
        </w:rPr>
        <w:t>Aktive stoffer:</w:t>
      </w:r>
    </w:p>
    <w:p w14:paraId="4E9B3181" w14:textId="77777777" w:rsidR="00872A3D" w:rsidRPr="00872A3D" w:rsidRDefault="00872A3D" w:rsidP="00872A3D">
      <w:pPr>
        <w:ind w:left="851"/>
        <w:rPr>
          <w:sz w:val="24"/>
          <w:szCs w:val="24"/>
        </w:rPr>
      </w:pPr>
      <w:bookmarkStart w:id="1" w:name="_Hlk106977526"/>
      <w:proofErr w:type="spellStart"/>
      <w:r w:rsidRPr="00872A3D">
        <w:rPr>
          <w:sz w:val="24"/>
          <w:szCs w:val="24"/>
        </w:rPr>
        <w:t>Lincomycin</w:t>
      </w:r>
      <w:proofErr w:type="spellEnd"/>
      <w:r w:rsidRPr="00872A3D">
        <w:rPr>
          <w:sz w:val="24"/>
          <w:szCs w:val="24"/>
        </w:rPr>
        <w:t xml:space="preserve"> </w:t>
      </w:r>
      <w:r w:rsidRPr="00872A3D">
        <w:rPr>
          <w:sz w:val="24"/>
          <w:szCs w:val="24"/>
        </w:rPr>
        <w:tab/>
        <w:t>222 mg</w:t>
      </w:r>
    </w:p>
    <w:p w14:paraId="32C712C8" w14:textId="77777777" w:rsidR="00872A3D" w:rsidRPr="00872A3D" w:rsidRDefault="00872A3D" w:rsidP="00872A3D">
      <w:pPr>
        <w:ind w:left="851"/>
        <w:rPr>
          <w:sz w:val="24"/>
          <w:szCs w:val="24"/>
        </w:rPr>
      </w:pPr>
      <w:bookmarkStart w:id="2" w:name="_Hlk107499106"/>
      <w:r w:rsidRPr="00872A3D">
        <w:rPr>
          <w:sz w:val="24"/>
          <w:szCs w:val="24"/>
        </w:rPr>
        <w:t xml:space="preserve">(svarende til 251,7 mg </w:t>
      </w:r>
      <w:proofErr w:type="spellStart"/>
      <w:r w:rsidRPr="00872A3D">
        <w:rPr>
          <w:sz w:val="24"/>
          <w:szCs w:val="24"/>
        </w:rPr>
        <w:t>lincomycinhydrochloridmonohydrat</w:t>
      </w:r>
      <w:proofErr w:type="spellEnd"/>
      <w:r w:rsidRPr="00872A3D">
        <w:rPr>
          <w:sz w:val="24"/>
          <w:szCs w:val="24"/>
        </w:rPr>
        <w:t>)</w:t>
      </w:r>
    </w:p>
    <w:bookmarkEnd w:id="2"/>
    <w:p w14:paraId="1A28523C" w14:textId="77777777" w:rsidR="00872A3D" w:rsidRPr="00872A3D" w:rsidRDefault="00872A3D" w:rsidP="00872A3D">
      <w:pPr>
        <w:ind w:left="851"/>
        <w:rPr>
          <w:sz w:val="24"/>
          <w:szCs w:val="24"/>
        </w:rPr>
      </w:pPr>
      <w:proofErr w:type="spellStart"/>
      <w:r w:rsidRPr="00872A3D">
        <w:rPr>
          <w:sz w:val="24"/>
          <w:szCs w:val="24"/>
        </w:rPr>
        <w:t>Spectinomycin</w:t>
      </w:r>
      <w:proofErr w:type="spellEnd"/>
      <w:r w:rsidRPr="00872A3D">
        <w:rPr>
          <w:sz w:val="24"/>
          <w:szCs w:val="24"/>
        </w:rPr>
        <w:tab/>
        <w:t>444,7 mg</w:t>
      </w:r>
    </w:p>
    <w:p w14:paraId="17E77787" w14:textId="77777777" w:rsidR="00872A3D" w:rsidRPr="00872A3D" w:rsidRDefault="00872A3D" w:rsidP="00872A3D">
      <w:pPr>
        <w:ind w:left="851"/>
        <w:rPr>
          <w:sz w:val="24"/>
          <w:szCs w:val="24"/>
        </w:rPr>
      </w:pPr>
      <w:bookmarkStart w:id="3" w:name="_Hlk107499120"/>
      <w:r w:rsidRPr="00872A3D">
        <w:rPr>
          <w:sz w:val="24"/>
          <w:szCs w:val="24"/>
        </w:rPr>
        <w:t xml:space="preserve">(svarende til 672,4 mg </w:t>
      </w:r>
      <w:proofErr w:type="spellStart"/>
      <w:r w:rsidRPr="00872A3D">
        <w:rPr>
          <w:sz w:val="24"/>
          <w:szCs w:val="24"/>
        </w:rPr>
        <w:t>spectinomycinsulfattetrahydrat</w:t>
      </w:r>
      <w:proofErr w:type="spellEnd"/>
      <w:r w:rsidRPr="00872A3D">
        <w:rPr>
          <w:sz w:val="24"/>
          <w:szCs w:val="24"/>
        </w:rPr>
        <w:t>)</w:t>
      </w:r>
    </w:p>
    <w:bookmarkEnd w:id="1"/>
    <w:bookmarkEnd w:id="3"/>
    <w:p w14:paraId="25E14492" w14:textId="77777777" w:rsidR="00872A3D" w:rsidRPr="00872A3D" w:rsidRDefault="00872A3D" w:rsidP="00872A3D">
      <w:pPr>
        <w:ind w:left="851"/>
        <w:rPr>
          <w:sz w:val="24"/>
          <w:szCs w:val="24"/>
        </w:rPr>
      </w:pPr>
    </w:p>
    <w:p w14:paraId="4E10564D" w14:textId="77777777" w:rsidR="00872A3D" w:rsidRPr="00872A3D" w:rsidRDefault="00872A3D" w:rsidP="00872A3D">
      <w:pPr>
        <w:ind w:left="851"/>
        <w:rPr>
          <w:sz w:val="24"/>
          <w:szCs w:val="24"/>
        </w:rPr>
      </w:pPr>
      <w:r w:rsidRPr="00872A3D">
        <w:rPr>
          <w:b/>
          <w:sz w:val="24"/>
          <w:szCs w:val="24"/>
        </w:rPr>
        <w:t>Hjælpestof:</w:t>
      </w:r>
    </w:p>
    <w:p w14:paraId="63CBA9D4" w14:textId="77777777" w:rsidR="00872A3D" w:rsidRPr="00872A3D" w:rsidRDefault="00872A3D" w:rsidP="00872A3D">
      <w:pPr>
        <w:ind w:left="851"/>
        <w:rPr>
          <w:sz w:val="24"/>
          <w:szCs w:val="24"/>
        </w:rPr>
      </w:pPr>
    </w:p>
    <w:tbl>
      <w:tblPr>
        <w:tblW w:w="708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tblGrid>
      <w:tr w:rsidR="00872A3D" w:rsidRPr="00872A3D" w14:paraId="68CB6B7C" w14:textId="77777777" w:rsidTr="0005604A">
        <w:tc>
          <w:tcPr>
            <w:tcW w:w="7087" w:type="dxa"/>
            <w:tcBorders>
              <w:top w:val="single" w:sz="4" w:space="0" w:color="000000"/>
              <w:left w:val="single" w:sz="4" w:space="0" w:color="000000"/>
              <w:bottom w:val="single" w:sz="4" w:space="0" w:color="000000"/>
              <w:right w:val="single" w:sz="4" w:space="0" w:color="000000"/>
            </w:tcBorders>
            <w:vAlign w:val="center"/>
            <w:hideMark/>
          </w:tcPr>
          <w:p w14:paraId="173F0C66" w14:textId="77777777" w:rsidR="00872A3D" w:rsidRPr="00872A3D" w:rsidRDefault="00872A3D" w:rsidP="0005604A">
            <w:pPr>
              <w:ind w:left="36"/>
              <w:rPr>
                <w:b/>
                <w:bCs/>
                <w:iCs/>
                <w:sz w:val="24"/>
                <w:szCs w:val="24"/>
              </w:rPr>
            </w:pPr>
            <w:r w:rsidRPr="00872A3D">
              <w:rPr>
                <w:b/>
                <w:bCs/>
                <w:iCs/>
                <w:sz w:val="24"/>
                <w:szCs w:val="24"/>
              </w:rPr>
              <w:t>Kvalitativ sammensætning af hjælpestoffer og andre bestanddele</w:t>
            </w:r>
          </w:p>
        </w:tc>
      </w:tr>
      <w:tr w:rsidR="00872A3D" w:rsidRPr="00872A3D" w14:paraId="6EE81DFE" w14:textId="77777777" w:rsidTr="0005604A">
        <w:tc>
          <w:tcPr>
            <w:tcW w:w="7087" w:type="dxa"/>
            <w:tcBorders>
              <w:top w:val="single" w:sz="4" w:space="0" w:color="000000"/>
              <w:left w:val="single" w:sz="4" w:space="0" w:color="000000"/>
              <w:bottom w:val="single" w:sz="4" w:space="0" w:color="000000"/>
              <w:right w:val="single" w:sz="4" w:space="0" w:color="000000"/>
            </w:tcBorders>
            <w:vAlign w:val="center"/>
            <w:hideMark/>
          </w:tcPr>
          <w:p w14:paraId="5EE76A5B" w14:textId="77777777" w:rsidR="00872A3D" w:rsidRPr="00872A3D" w:rsidRDefault="00872A3D" w:rsidP="0005604A">
            <w:pPr>
              <w:ind w:left="36"/>
              <w:rPr>
                <w:iCs/>
                <w:sz w:val="24"/>
                <w:szCs w:val="24"/>
              </w:rPr>
            </w:pPr>
            <w:proofErr w:type="spellStart"/>
            <w:r w:rsidRPr="00872A3D">
              <w:rPr>
                <w:iCs/>
                <w:sz w:val="24"/>
                <w:szCs w:val="24"/>
              </w:rPr>
              <w:t>Lactosemonohydrat</w:t>
            </w:r>
            <w:proofErr w:type="spellEnd"/>
          </w:p>
        </w:tc>
      </w:tr>
    </w:tbl>
    <w:p w14:paraId="59D3798E" w14:textId="77777777" w:rsidR="00872A3D" w:rsidRPr="00872A3D" w:rsidRDefault="00872A3D" w:rsidP="00872A3D">
      <w:pPr>
        <w:ind w:left="851"/>
        <w:rPr>
          <w:sz w:val="24"/>
          <w:szCs w:val="24"/>
        </w:rPr>
      </w:pPr>
    </w:p>
    <w:p w14:paraId="20EB262A" w14:textId="77777777" w:rsidR="00872A3D" w:rsidRPr="00872A3D" w:rsidRDefault="00872A3D" w:rsidP="00872A3D">
      <w:pPr>
        <w:ind w:left="851"/>
        <w:rPr>
          <w:sz w:val="24"/>
          <w:szCs w:val="24"/>
        </w:rPr>
      </w:pPr>
      <w:r w:rsidRPr="00872A3D">
        <w:rPr>
          <w:sz w:val="24"/>
          <w:szCs w:val="24"/>
        </w:rPr>
        <w:t>Hvidt til næsten hvidt pulver.</w:t>
      </w:r>
    </w:p>
    <w:p w14:paraId="5379A67D" w14:textId="77777777" w:rsidR="008203A8" w:rsidRDefault="008203A8" w:rsidP="008203A8">
      <w:pPr>
        <w:ind w:left="851"/>
        <w:rPr>
          <w:sz w:val="24"/>
          <w:szCs w:val="24"/>
        </w:rPr>
      </w:pPr>
    </w:p>
    <w:p w14:paraId="7CF4E0EC" w14:textId="77777777" w:rsidR="008203A8" w:rsidRPr="008509BB" w:rsidRDefault="008203A8" w:rsidP="008203A8">
      <w:pPr>
        <w:ind w:left="851"/>
        <w:rPr>
          <w:sz w:val="24"/>
          <w:szCs w:val="24"/>
        </w:rPr>
      </w:pPr>
    </w:p>
    <w:p w14:paraId="5965C3EE"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301A6797" w14:textId="77777777" w:rsidR="008203A8" w:rsidRPr="00406EE7" w:rsidRDefault="008203A8" w:rsidP="008203A8">
      <w:pPr>
        <w:tabs>
          <w:tab w:val="left" w:pos="851"/>
        </w:tabs>
        <w:ind w:left="851"/>
        <w:rPr>
          <w:sz w:val="24"/>
          <w:szCs w:val="24"/>
        </w:rPr>
      </w:pPr>
    </w:p>
    <w:p w14:paraId="0004D570"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547CEB66" w14:textId="523450CF" w:rsidR="008203A8" w:rsidRDefault="0005604A" w:rsidP="008203A8">
      <w:pPr>
        <w:ind w:left="851"/>
        <w:rPr>
          <w:sz w:val="24"/>
          <w:szCs w:val="24"/>
        </w:rPr>
      </w:pPr>
      <w:r>
        <w:rPr>
          <w:sz w:val="24"/>
          <w:szCs w:val="24"/>
        </w:rPr>
        <w:t>Svin</w:t>
      </w:r>
    </w:p>
    <w:p w14:paraId="3C0CFBA0" w14:textId="006F02BF" w:rsidR="0005604A" w:rsidRPr="00406EE7" w:rsidRDefault="0005604A" w:rsidP="008203A8">
      <w:pPr>
        <w:ind w:left="851"/>
        <w:rPr>
          <w:sz w:val="24"/>
          <w:szCs w:val="24"/>
        </w:rPr>
      </w:pPr>
      <w:r>
        <w:rPr>
          <w:sz w:val="24"/>
          <w:szCs w:val="24"/>
        </w:rPr>
        <w:t>Kyllinger</w:t>
      </w:r>
    </w:p>
    <w:p w14:paraId="575F8D5C" w14:textId="77777777" w:rsidR="008203A8" w:rsidRPr="00406EE7" w:rsidRDefault="008203A8" w:rsidP="008203A8">
      <w:pPr>
        <w:ind w:left="851"/>
        <w:rPr>
          <w:sz w:val="24"/>
          <w:szCs w:val="24"/>
        </w:rPr>
      </w:pPr>
    </w:p>
    <w:p w14:paraId="07BED9F1"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51EEBA87" w14:textId="77777777" w:rsidR="00861B90" w:rsidRPr="00861B90" w:rsidRDefault="00861B90" w:rsidP="00861B90">
      <w:pPr>
        <w:pStyle w:val="Sidehoved"/>
        <w:ind w:left="851"/>
        <w:rPr>
          <w:szCs w:val="24"/>
        </w:rPr>
      </w:pPr>
    </w:p>
    <w:p w14:paraId="4E76BDCF" w14:textId="77777777" w:rsidR="00861B90" w:rsidRPr="00861B90" w:rsidRDefault="00861B90" w:rsidP="00861B90">
      <w:pPr>
        <w:pStyle w:val="Sidehoved"/>
        <w:ind w:left="851"/>
        <w:rPr>
          <w:szCs w:val="24"/>
          <w:u w:val="single"/>
        </w:rPr>
      </w:pPr>
      <w:r w:rsidRPr="00861B90">
        <w:rPr>
          <w:szCs w:val="24"/>
          <w:u w:val="single"/>
        </w:rPr>
        <w:t>Svin</w:t>
      </w:r>
    </w:p>
    <w:p w14:paraId="3C5C9633" w14:textId="77777777" w:rsidR="00861B90" w:rsidRPr="00861B90" w:rsidRDefault="00861B90" w:rsidP="00861B90">
      <w:pPr>
        <w:pStyle w:val="Sidehoved"/>
        <w:ind w:left="851"/>
        <w:rPr>
          <w:szCs w:val="24"/>
        </w:rPr>
      </w:pPr>
      <w:r w:rsidRPr="00861B90">
        <w:rPr>
          <w:szCs w:val="24"/>
        </w:rPr>
        <w:t xml:space="preserve">Til behandling og </w:t>
      </w:r>
      <w:proofErr w:type="spellStart"/>
      <w:r w:rsidRPr="00861B90">
        <w:rPr>
          <w:szCs w:val="24"/>
        </w:rPr>
        <w:t>metafylakse</w:t>
      </w:r>
      <w:proofErr w:type="spellEnd"/>
      <w:r w:rsidRPr="00861B90">
        <w:rPr>
          <w:szCs w:val="24"/>
        </w:rPr>
        <w:t xml:space="preserve"> af </w:t>
      </w:r>
      <w:proofErr w:type="spellStart"/>
      <w:r w:rsidRPr="00861B90">
        <w:rPr>
          <w:szCs w:val="24"/>
        </w:rPr>
        <w:t>porcin</w:t>
      </w:r>
      <w:proofErr w:type="spellEnd"/>
      <w:r w:rsidRPr="00861B90">
        <w:rPr>
          <w:szCs w:val="24"/>
        </w:rPr>
        <w:t xml:space="preserve"> </w:t>
      </w:r>
      <w:proofErr w:type="spellStart"/>
      <w:r w:rsidRPr="00861B90">
        <w:rPr>
          <w:szCs w:val="24"/>
        </w:rPr>
        <w:t>proliferativ</w:t>
      </w:r>
      <w:proofErr w:type="spellEnd"/>
      <w:r w:rsidRPr="00861B90">
        <w:rPr>
          <w:szCs w:val="24"/>
        </w:rPr>
        <w:t xml:space="preserve"> </w:t>
      </w:r>
      <w:proofErr w:type="spellStart"/>
      <w:r w:rsidRPr="00861B90">
        <w:rPr>
          <w:szCs w:val="24"/>
        </w:rPr>
        <w:t>enteropati</w:t>
      </w:r>
      <w:proofErr w:type="spellEnd"/>
      <w:r w:rsidRPr="00861B90">
        <w:rPr>
          <w:szCs w:val="24"/>
        </w:rPr>
        <w:t xml:space="preserve"> (</w:t>
      </w:r>
      <w:proofErr w:type="spellStart"/>
      <w:r w:rsidRPr="00861B90">
        <w:rPr>
          <w:szCs w:val="24"/>
        </w:rPr>
        <w:t>ileitis</w:t>
      </w:r>
      <w:proofErr w:type="spellEnd"/>
      <w:r w:rsidRPr="00861B90">
        <w:rPr>
          <w:szCs w:val="24"/>
        </w:rPr>
        <w:t xml:space="preserve">) forårsaget af </w:t>
      </w:r>
      <w:proofErr w:type="spellStart"/>
      <w:r w:rsidRPr="00861B90">
        <w:rPr>
          <w:i/>
          <w:szCs w:val="24"/>
        </w:rPr>
        <w:t>Lawsonia</w:t>
      </w:r>
      <w:proofErr w:type="spellEnd"/>
      <w:r w:rsidRPr="00861B90">
        <w:rPr>
          <w:i/>
          <w:szCs w:val="24"/>
        </w:rPr>
        <w:t xml:space="preserve"> </w:t>
      </w:r>
      <w:proofErr w:type="spellStart"/>
      <w:r w:rsidRPr="00861B90">
        <w:rPr>
          <w:i/>
          <w:szCs w:val="24"/>
        </w:rPr>
        <w:t>intracellularis</w:t>
      </w:r>
      <w:proofErr w:type="spellEnd"/>
      <w:r w:rsidRPr="00861B90">
        <w:rPr>
          <w:szCs w:val="24"/>
        </w:rPr>
        <w:t xml:space="preserve"> og tilknyttede </w:t>
      </w:r>
      <w:proofErr w:type="spellStart"/>
      <w:r w:rsidRPr="00861B90">
        <w:rPr>
          <w:szCs w:val="24"/>
        </w:rPr>
        <w:t>enteropatogener</w:t>
      </w:r>
      <w:proofErr w:type="spellEnd"/>
      <w:r w:rsidRPr="00861B90">
        <w:rPr>
          <w:szCs w:val="24"/>
        </w:rPr>
        <w:t xml:space="preserve"> </w:t>
      </w:r>
      <w:r w:rsidRPr="00861B90">
        <w:rPr>
          <w:i/>
          <w:szCs w:val="24"/>
        </w:rPr>
        <w:t>(Escherichia coli</w:t>
      </w:r>
      <w:r w:rsidRPr="00861B90">
        <w:rPr>
          <w:szCs w:val="24"/>
        </w:rPr>
        <w:t>).</w:t>
      </w:r>
    </w:p>
    <w:p w14:paraId="46FB00DD" w14:textId="77777777" w:rsidR="00861B90" w:rsidRPr="00861B90" w:rsidRDefault="00861B90" w:rsidP="00861B90">
      <w:pPr>
        <w:pStyle w:val="Sidehoved"/>
        <w:ind w:left="851"/>
        <w:rPr>
          <w:szCs w:val="24"/>
        </w:rPr>
      </w:pPr>
      <w:r w:rsidRPr="00861B90">
        <w:rPr>
          <w:szCs w:val="24"/>
        </w:rPr>
        <w:lastRenderedPageBreak/>
        <w:t>Tilstedeværelse af sygdommen i flokken skal være fastslået, før veterinærlægemidlet anvendes.</w:t>
      </w:r>
    </w:p>
    <w:p w14:paraId="265CEC10" w14:textId="77777777" w:rsidR="00861B90" w:rsidRPr="00861B90" w:rsidRDefault="00861B90" w:rsidP="00861B90">
      <w:pPr>
        <w:pStyle w:val="Sidehoved"/>
        <w:ind w:left="851"/>
        <w:rPr>
          <w:szCs w:val="24"/>
        </w:rPr>
      </w:pPr>
    </w:p>
    <w:p w14:paraId="55D8EA1E" w14:textId="77777777" w:rsidR="00861B90" w:rsidRPr="00861B90" w:rsidRDefault="00861B90" w:rsidP="00861B90">
      <w:pPr>
        <w:pStyle w:val="Sidehoved"/>
        <w:ind w:left="851"/>
        <w:rPr>
          <w:szCs w:val="24"/>
          <w:u w:val="single"/>
        </w:rPr>
      </w:pPr>
      <w:r w:rsidRPr="00861B90">
        <w:rPr>
          <w:szCs w:val="24"/>
          <w:u w:val="single"/>
        </w:rPr>
        <w:t>Kyllinger</w:t>
      </w:r>
    </w:p>
    <w:p w14:paraId="7D9A6599" w14:textId="77777777" w:rsidR="00861B90" w:rsidRPr="00861B90" w:rsidRDefault="00861B90" w:rsidP="00861B90">
      <w:pPr>
        <w:pStyle w:val="Sidehoved"/>
        <w:ind w:left="851"/>
        <w:rPr>
          <w:szCs w:val="24"/>
        </w:rPr>
      </w:pPr>
      <w:r w:rsidRPr="00861B90">
        <w:rPr>
          <w:szCs w:val="24"/>
        </w:rPr>
        <w:t xml:space="preserve">Til behandling og </w:t>
      </w:r>
      <w:proofErr w:type="spellStart"/>
      <w:r w:rsidRPr="00861B90">
        <w:rPr>
          <w:szCs w:val="24"/>
        </w:rPr>
        <w:t>metafylakse</w:t>
      </w:r>
      <w:proofErr w:type="spellEnd"/>
      <w:r w:rsidRPr="00861B90">
        <w:rPr>
          <w:szCs w:val="24"/>
        </w:rPr>
        <w:t xml:space="preserve"> af kronisk luftvejssygdom, som er forårsaget af </w:t>
      </w:r>
      <w:proofErr w:type="spellStart"/>
      <w:r w:rsidRPr="00861B90">
        <w:rPr>
          <w:i/>
          <w:szCs w:val="24"/>
        </w:rPr>
        <w:t>Mycoplasma</w:t>
      </w:r>
      <w:proofErr w:type="spellEnd"/>
      <w:r w:rsidRPr="00861B90">
        <w:rPr>
          <w:i/>
          <w:szCs w:val="24"/>
        </w:rPr>
        <w:t xml:space="preserve"> </w:t>
      </w:r>
      <w:proofErr w:type="spellStart"/>
      <w:r w:rsidRPr="00861B90">
        <w:rPr>
          <w:i/>
          <w:szCs w:val="24"/>
        </w:rPr>
        <w:t>gallisepticum</w:t>
      </w:r>
      <w:proofErr w:type="spellEnd"/>
      <w:r w:rsidRPr="00861B90">
        <w:rPr>
          <w:szCs w:val="24"/>
        </w:rPr>
        <w:t xml:space="preserve"> og </w:t>
      </w:r>
      <w:r w:rsidRPr="00861B90">
        <w:rPr>
          <w:i/>
          <w:szCs w:val="24"/>
        </w:rPr>
        <w:t>Escherichia coli</w:t>
      </w:r>
      <w:r w:rsidRPr="00861B90">
        <w:rPr>
          <w:szCs w:val="24"/>
        </w:rPr>
        <w:t xml:space="preserve"> og forbundet med lav dødelighed.</w:t>
      </w:r>
    </w:p>
    <w:p w14:paraId="2738A395" w14:textId="77777777" w:rsidR="00861B90" w:rsidRPr="00861B90" w:rsidRDefault="00861B90" w:rsidP="00861B90">
      <w:pPr>
        <w:pStyle w:val="Sidehoved"/>
        <w:ind w:left="851"/>
        <w:rPr>
          <w:szCs w:val="24"/>
        </w:rPr>
      </w:pPr>
      <w:r w:rsidRPr="00861B90">
        <w:rPr>
          <w:szCs w:val="24"/>
        </w:rPr>
        <w:t>Tilstedeværelse af sygdommen i flokken skal være fastslået, før veterinærlægemidlet anvendes</w:t>
      </w:r>
      <w:r w:rsidRPr="00861B90">
        <w:rPr>
          <w:i/>
          <w:szCs w:val="24"/>
        </w:rPr>
        <w:t>.</w:t>
      </w:r>
    </w:p>
    <w:p w14:paraId="1DC321DF" w14:textId="77777777" w:rsidR="008203A8" w:rsidRDefault="008203A8" w:rsidP="00861B90">
      <w:pPr>
        <w:pStyle w:val="Sidehoved"/>
        <w:ind w:left="851"/>
        <w:rPr>
          <w:szCs w:val="24"/>
        </w:rPr>
      </w:pPr>
    </w:p>
    <w:p w14:paraId="61F72A9F"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0C842ABF" w14:textId="77777777" w:rsidR="00861B90" w:rsidRPr="00861B90" w:rsidRDefault="00861B90" w:rsidP="00861B90">
      <w:pPr>
        <w:pStyle w:val="Sidehoved"/>
        <w:ind w:left="851"/>
        <w:rPr>
          <w:szCs w:val="24"/>
        </w:rPr>
      </w:pPr>
      <w:r w:rsidRPr="00861B90">
        <w:rPr>
          <w:szCs w:val="24"/>
        </w:rPr>
        <w:t>Må ikke anvendes i tilfælde af overfølsomhed over for de aktive stoffer eller over for et eller flere af hjælpestofferne.</w:t>
      </w:r>
    </w:p>
    <w:p w14:paraId="45689610" w14:textId="77777777" w:rsidR="00861B90" w:rsidRPr="00861B90" w:rsidRDefault="00861B90" w:rsidP="00861B90">
      <w:pPr>
        <w:pStyle w:val="Sidehoved"/>
        <w:ind w:left="851"/>
        <w:rPr>
          <w:szCs w:val="24"/>
        </w:rPr>
      </w:pPr>
      <w:r w:rsidRPr="00861B90">
        <w:rPr>
          <w:szCs w:val="24"/>
        </w:rPr>
        <w:t>Må ikke anvendes i tilfælde af nedsat leverfunktion.</w:t>
      </w:r>
    </w:p>
    <w:p w14:paraId="5851B1E3" w14:textId="77777777" w:rsidR="00861B90" w:rsidRPr="00861B90" w:rsidRDefault="00861B90" w:rsidP="00861B90">
      <w:pPr>
        <w:pStyle w:val="Sidehoved"/>
        <w:ind w:left="851"/>
        <w:rPr>
          <w:szCs w:val="24"/>
        </w:rPr>
      </w:pPr>
      <w:r w:rsidRPr="00861B90">
        <w:rPr>
          <w:szCs w:val="24"/>
        </w:rPr>
        <w:t xml:space="preserve">Lad ikke kaniner, gnavere (f.eks. chinchillaer, hamstere, marsvin), heste eller drøvtyggere få adgang til drikkevand eller foder, der indeholder </w:t>
      </w:r>
      <w:proofErr w:type="spellStart"/>
      <w:r w:rsidRPr="00861B90">
        <w:rPr>
          <w:szCs w:val="24"/>
        </w:rPr>
        <w:t>lincomycin</w:t>
      </w:r>
      <w:proofErr w:type="spellEnd"/>
      <w:r w:rsidRPr="00861B90">
        <w:rPr>
          <w:szCs w:val="24"/>
        </w:rPr>
        <w:t xml:space="preserve">. Hvis disse dyrearter indtager dette, kan det forårsage alvorlige </w:t>
      </w:r>
      <w:proofErr w:type="spellStart"/>
      <w:r w:rsidRPr="00861B90">
        <w:rPr>
          <w:szCs w:val="24"/>
        </w:rPr>
        <w:t>gastrointestinale</w:t>
      </w:r>
      <w:proofErr w:type="spellEnd"/>
      <w:r w:rsidRPr="00861B90">
        <w:rPr>
          <w:szCs w:val="24"/>
        </w:rPr>
        <w:t xml:space="preserve"> bivirkninger.</w:t>
      </w:r>
    </w:p>
    <w:p w14:paraId="512235A5" w14:textId="77777777" w:rsidR="00861B90" w:rsidRPr="00861B90" w:rsidRDefault="00861B90" w:rsidP="00861B90">
      <w:pPr>
        <w:pStyle w:val="Sidehoved"/>
        <w:ind w:left="851"/>
        <w:rPr>
          <w:szCs w:val="24"/>
        </w:rPr>
      </w:pPr>
      <w:r w:rsidRPr="00861B90">
        <w:rPr>
          <w:szCs w:val="24"/>
        </w:rPr>
        <w:t xml:space="preserve">Må ikke anvendes til </w:t>
      </w:r>
      <w:proofErr w:type="spellStart"/>
      <w:r w:rsidRPr="00861B90">
        <w:rPr>
          <w:szCs w:val="24"/>
        </w:rPr>
        <w:t>læggehøns</w:t>
      </w:r>
      <w:proofErr w:type="spellEnd"/>
      <w:r w:rsidRPr="00861B90">
        <w:rPr>
          <w:szCs w:val="24"/>
        </w:rPr>
        <w:t>.</w:t>
      </w:r>
    </w:p>
    <w:p w14:paraId="26F6F8EF" w14:textId="77777777" w:rsidR="008203A8" w:rsidRPr="00406EE7" w:rsidRDefault="008203A8" w:rsidP="00861B90">
      <w:pPr>
        <w:pStyle w:val="Sidehoved"/>
        <w:tabs>
          <w:tab w:val="clear" w:pos="4819"/>
        </w:tabs>
        <w:ind w:left="851"/>
        <w:rPr>
          <w:szCs w:val="24"/>
        </w:rPr>
      </w:pPr>
    </w:p>
    <w:p w14:paraId="6BB8B5F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2A26AD50" w14:textId="77777777" w:rsidR="00861B90" w:rsidRPr="00861B90" w:rsidRDefault="00861B90" w:rsidP="00861B90">
      <w:pPr>
        <w:pStyle w:val="Sidehoved"/>
        <w:ind w:left="851"/>
        <w:rPr>
          <w:szCs w:val="24"/>
        </w:rPr>
      </w:pPr>
      <w:r w:rsidRPr="00861B90">
        <w:rPr>
          <w:szCs w:val="24"/>
        </w:rPr>
        <w:t xml:space="preserve">Blandt </w:t>
      </w:r>
      <w:r w:rsidRPr="00861B90">
        <w:rPr>
          <w:i/>
          <w:iCs/>
          <w:szCs w:val="24"/>
        </w:rPr>
        <w:t xml:space="preserve">E. coli </w:t>
      </w:r>
      <w:r w:rsidRPr="00861B90">
        <w:rPr>
          <w:szCs w:val="24"/>
        </w:rPr>
        <w:t xml:space="preserve">udviser en væsentlig del af stammerne høje værdier af MIC (mindste hæmmende koncentration) over for kombinationen </w:t>
      </w:r>
      <w:proofErr w:type="spellStart"/>
      <w:r w:rsidRPr="00861B90">
        <w:rPr>
          <w:szCs w:val="24"/>
        </w:rPr>
        <w:t>lincomycin-spectinomycin</w:t>
      </w:r>
      <w:proofErr w:type="spellEnd"/>
      <w:r w:rsidRPr="00861B90">
        <w:rPr>
          <w:szCs w:val="24"/>
        </w:rPr>
        <w:t xml:space="preserve"> og kan være klinisk resistente, skønt der ikke er fastlagt et afskæringspunkt.</w:t>
      </w:r>
    </w:p>
    <w:p w14:paraId="28D390CF" w14:textId="77777777" w:rsidR="00861B90" w:rsidRPr="00861B90" w:rsidRDefault="00861B90" w:rsidP="00861B90">
      <w:pPr>
        <w:pStyle w:val="Sidehoved"/>
        <w:ind w:left="851"/>
        <w:rPr>
          <w:szCs w:val="24"/>
        </w:rPr>
      </w:pPr>
      <w:r w:rsidRPr="00861B90">
        <w:rPr>
          <w:szCs w:val="24"/>
        </w:rPr>
        <w:t xml:space="preserve">Tekniske begrænsninger vanskeliggør </w:t>
      </w:r>
      <w:r w:rsidRPr="00861B90">
        <w:rPr>
          <w:i/>
          <w:iCs/>
          <w:szCs w:val="24"/>
        </w:rPr>
        <w:t xml:space="preserve">in </w:t>
      </w:r>
      <w:proofErr w:type="spellStart"/>
      <w:r w:rsidRPr="00861B90">
        <w:rPr>
          <w:i/>
          <w:iCs/>
          <w:szCs w:val="24"/>
        </w:rPr>
        <w:t>vitro</w:t>
      </w:r>
      <w:proofErr w:type="spellEnd"/>
      <w:r w:rsidRPr="00861B90">
        <w:rPr>
          <w:szCs w:val="24"/>
        </w:rPr>
        <w:t xml:space="preserve">-følsomhedsbestemmelse af </w:t>
      </w:r>
      <w:r w:rsidRPr="00861B90">
        <w:rPr>
          <w:i/>
          <w:iCs/>
          <w:szCs w:val="24"/>
        </w:rPr>
        <w:t xml:space="preserve">L. </w:t>
      </w:r>
      <w:proofErr w:type="spellStart"/>
      <w:r w:rsidRPr="00861B90">
        <w:rPr>
          <w:i/>
          <w:iCs/>
          <w:szCs w:val="24"/>
        </w:rPr>
        <w:t>intracellularis</w:t>
      </w:r>
      <w:proofErr w:type="spellEnd"/>
      <w:r w:rsidRPr="00861B90">
        <w:rPr>
          <w:szCs w:val="24"/>
        </w:rPr>
        <w:t xml:space="preserve">, og der savnes data om status af </w:t>
      </w:r>
      <w:proofErr w:type="spellStart"/>
      <w:r w:rsidRPr="00861B90">
        <w:rPr>
          <w:szCs w:val="24"/>
        </w:rPr>
        <w:t>lincomycin</w:t>
      </w:r>
      <w:proofErr w:type="spellEnd"/>
      <w:r w:rsidRPr="00861B90">
        <w:rPr>
          <w:szCs w:val="24"/>
        </w:rPr>
        <w:t>-</w:t>
      </w:r>
      <w:proofErr w:type="spellStart"/>
      <w:r w:rsidRPr="00861B90">
        <w:rPr>
          <w:szCs w:val="24"/>
        </w:rPr>
        <w:t>spectinomycin</w:t>
      </w:r>
      <w:proofErr w:type="spellEnd"/>
      <w:r w:rsidRPr="00861B90">
        <w:rPr>
          <w:szCs w:val="24"/>
        </w:rPr>
        <w:t>-resistens hos denne art.</w:t>
      </w:r>
    </w:p>
    <w:p w14:paraId="57671842" w14:textId="77777777" w:rsidR="00861B90" w:rsidRPr="00861B90" w:rsidRDefault="00861B90" w:rsidP="00861B90">
      <w:pPr>
        <w:pStyle w:val="Sidehoved"/>
        <w:ind w:left="851"/>
        <w:rPr>
          <w:szCs w:val="24"/>
        </w:rPr>
      </w:pPr>
      <w:bookmarkStart w:id="4" w:name="_Hlk107500459"/>
      <w:bookmarkStart w:id="5" w:name="_Hlk132301205"/>
      <w:r w:rsidRPr="00861B90">
        <w:rPr>
          <w:szCs w:val="24"/>
        </w:rPr>
        <w:t xml:space="preserve">Der er vist krydsresistens mellem </w:t>
      </w:r>
      <w:proofErr w:type="spellStart"/>
      <w:r w:rsidRPr="00861B90">
        <w:rPr>
          <w:szCs w:val="24"/>
        </w:rPr>
        <w:t>lincomycin</w:t>
      </w:r>
      <w:proofErr w:type="spellEnd"/>
      <w:r w:rsidRPr="00861B90">
        <w:rPr>
          <w:szCs w:val="24"/>
        </w:rPr>
        <w:t xml:space="preserve"> og forskellige antimikrobielle midler herunder andre lincosamider, makrolider og </w:t>
      </w:r>
      <w:proofErr w:type="spellStart"/>
      <w:r w:rsidRPr="00861B90">
        <w:rPr>
          <w:szCs w:val="24"/>
        </w:rPr>
        <w:t>streptogramin</w:t>
      </w:r>
      <w:proofErr w:type="spellEnd"/>
      <w:r w:rsidRPr="00861B90">
        <w:rPr>
          <w:szCs w:val="24"/>
        </w:rPr>
        <w:t xml:space="preserve"> B. Anvendelse af dette veterinærlægemiddel bør nøje overvejes, hvis følsomhedsbestemmelse har vist resistens over for lincosamider, makrolider og </w:t>
      </w:r>
      <w:proofErr w:type="spellStart"/>
      <w:r w:rsidRPr="00861B90">
        <w:rPr>
          <w:szCs w:val="24"/>
        </w:rPr>
        <w:t>streptogramin</w:t>
      </w:r>
      <w:proofErr w:type="spellEnd"/>
      <w:r w:rsidRPr="00861B90">
        <w:rPr>
          <w:szCs w:val="24"/>
        </w:rPr>
        <w:t xml:space="preserve"> B, da dets virkning kan være nedsat.</w:t>
      </w:r>
    </w:p>
    <w:bookmarkEnd w:id="4"/>
    <w:bookmarkEnd w:id="5"/>
    <w:p w14:paraId="291A8B9F" w14:textId="77777777" w:rsidR="00861B90" w:rsidRPr="00861B90" w:rsidRDefault="00861B90" w:rsidP="00861B90">
      <w:pPr>
        <w:pStyle w:val="Sidehoved"/>
        <w:ind w:left="851"/>
        <w:rPr>
          <w:szCs w:val="24"/>
        </w:rPr>
      </w:pPr>
    </w:p>
    <w:p w14:paraId="059DC68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10D5DE05" w14:textId="77777777" w:rsidR="008203A8" w:rsidRPr="002374DA" w:rsidRDefault="008203A8" w:rsidP="008203A8">
      <w:pPr>
        <w:tabs>
          <w:tab w:val="left" w:pos="851"/>
        </w:tabs>
        <w:ind w:left="851"/>
        <w:rPr>
          <w:sz w:val="24"/>
          <w:szCs w:val="24"/>
        </w:rPr>
      </w:pPr>
    </w:p>
    <w:p w14:paraId="77B32966"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2CC679ED" w14:textId="77777777" w:rsidR="00746EBB" w:rsidRPr="00746EBB" w:rsidRDefault="00746EBB" w:rsidP="00746EBB">
      <w:pPr>
        <w:tabs>
          <w:tab w:val="left" w:pos="851"/>
        </w:tabs>
        <w:ind w:left="851"/>
        <w:rPr>
          <w:sz w:val="24"/>
          <w:szCs w:val="24"/>
        </w:rPr>
      </w:pPr>
      <w:r w:rsidRPr="00746EBB">
        <w:rPr>
          <w:sz w:val="24"/>
          <w:szCs w:val="24"/>
        </w:rPr>
        <w:t>Anvendelse af veterinærlægemidlet bør baseres på identificering og følsomhedsbestemmelse af målbakterie(r). Hvis det ikke er muligt, skal behandlingen baseres på epidemiologisk information og viden om målbakteriers følsomhed på bedriftsplan eller på lokalt/regionalt plan. Anvendelse af veterinærlægemidlet bør ske i overensstemmelse med officielle, nationale og lokale regler for brug af antimikrobielle midler. Denne antimikrobielle kombination bør kun anvendes i tilfælde, hvor diagnostiske undersøgelser har vist nødvendigheden af samtidig administration af begge de aktive stoffer.</w:t>
      </w:r>
    </w:p>
    <w:p w14:paraId="554036FD" w14:textId="77777777" w:rsidR="00746EBB" w:rsidRPr="00746EBB" w:rsidRDefault="00746EBB" w:rsidP="00746EBB">
      <w:pPr>
        <w:tabs>
          <w:tab w:val="left" w:pos="851"/>
        </w:tabs>
        <w:ind w:left="851"/>
        <w:rPr>
          <w:sz w:val="24"/>
          <w:szCs w:val="24"/>
        </w:rPr>
      </w:pPr>
      <w:r w:rsidRPr="00746EBB">
        <w:rPr>
          <w:sz w:val="24"/>
          <w:szCs w:val="24"/>
        </w:rPr>
        <w:t>Hvis følsomhedstest antyder en sandsynlig effekt, bør der anvendes et antibiotikum med en lavere risiko for antimikrobiel resistens (lavere AMEG-kategori (</w:t>
      </w:r>
      <w:proofErr w:type="spellStart"/>
      <w:r w:rsidRPr="00746EBB">
        <w:rPr>
          <w:i/>
          <w:iCs/>
          <w:sz w:val="24"/>
          <w:szCs w:val="24"/>
        </w:rPr>
        <w:t>Antimicrobial</w:t>
      </w:r>
      <w:proofErr w:type="spellEnd"/>
      <w:r w:rsidRPr="00746EBB">
        <w:rPr>
          <w:i/>
          <w:iCs/>
          <w:sz w:val="24"/>
          <w:szCs w:val="24"/>
        </w:rPr>
        <w:t xml:space="preserve"> </w:t>
      </w:r>
      <w:proofErr w:type="spellStart"/>
      <w:r w:rsidRPr="00746EBB">
        <w:rPr>
          <w:i/>
          <w:iCs/>
          <w:sz w:val="24"/>
          <w:szCs w:val="24"/>
        </w:rPr>
        <w:t>Advice</w:t>
      </w:r>
      <w:proofErr w:type="spellEnd"/>
      <w:r w:rsidRPr="00746EBB">
        <w:rPr>
          <w:i/>
          <w:iCs/>
          <w:sz w:val="24"/>
          <w:szCs w:val="24"/>
        </w:rPr>
        <w:t xml:space="preserve"> Ad Hoc Expert Group</w:t>
      </w:r>
      <w:r w:rsidRPr="00746EBB">
        <w:rPr>
          <w:sz w:val="24"/>
          <w:szCs w:val="24"/>
        </w:rPr>
        <w:t xml:space="preserve">) til førstevalgsbehandling. </w:t>
      </w:r>
    </w:p>
    <w:p w14:paraId="1B8A631A" w14:textId="77777777" w:rsidR="00746EBB" w:rsidRPr="00746EBB" w:rsidRDefault="00746EBB" w:rsidP="00746EBB">
      <w:pPr>
        <w:tabs>
          <w:tab w:val="left" w:pos="851"/>
        </w:tabs>
        <w:ind w:left="851"/>
        <w:rPr>
          <w:sz w:val="24"/>
          <w:szCs w:val="24"/>
        </w:rPr>
      </w:pPr>
      <w:r w:rsidRPr="00746EBB">
        <w:rPr>
          <w:sz w:val="24"/>
          <w:szCs w:val="24"/>
        </w:rPr>
        <w:t>Veterinærlægemidlet må ikke anvendes profylaktisk.</w:t>
      </w:r>
    </w:p>
    <w:p w14:paraId="27089219" w14:textId="77777777" w:rsidR="00746EBB" w:rsidRPr="00746EBB" w:rsidRDefault="00746EBB" w:rsidP="00746EBB">
      <w:pPr>
        <w:tabs>
          <w:tab w:val="left" w:pos="851"/>
        </w:tabs>
        <w:ind w:left="851"/>
        <w:rPr>
          <w:sz w:val="24"/>
          <w:szCs w:val="24"/>
        </w:rPr>
      </w:pPr>
      <w:r w:rsidRPr="00746EBB">
        <w:rPr>
          <w:sz w:val="24"/>
          <w:szCs w:val="24"/>
        </w:rPr>
        <w:t xml:space="preserve">Anvendelse af veterinærlægemidlet, der afviger fra vejledningerne i produktresumeet, kan øge risikoen for udvikling og selektion af resistente bakterier og reducere den effektive virkning af behandling med makrolider på grund af risikoen for krydsresistens. </w:t>
      </w:r>
    </w:p>
    <w:p w14:paraId="0ED97EA9" w14:textId="77777777" w:rsidR="00746EBB" w:rsidRPr="00746EBB" w:rsidRDefault="00746EBB" w:rsidP="00746EBB">
      <w:pPr>
        <w:tabs>
          <w:tab w:val="left" w:pos="851"/>
        </w:tabs>
        <w:ind w:left="851"/>
        <w:rPr>
          <w:sz w:val="24"/>
          <w:szCs w:val="24"/>
        </w:rPr>
      </w:pPr>
      <w:r w:rsidRPr="00746EBB">
        <w:rPr>
          <w:sz w:val="24"/>
          <w:szCs w:val="24"/>
        </w:rPr>
        <w:t xml:space="preserve">Oral anvendelse af veterinære lægemidler indeholdende </w:t>
      </w:r>
      <w:proofErr w:type="spellStart"/>
      <w:r w:rsidRPr="00746EBB">
        <w:rPr>
          <w:sz w:val="24"/>
          <w:szCs w:val="24"/>
        </w:rPr>
        <w:t>lincomycin</w:t>
      </w:r>
      <w:proofErr w:type="spellEnd"/>
      <w:r w:rsidRPr="00746EBB">
        <w:rPr>
          <w:sz w:val="24"/>
          <w:szCs w:val="24"/>
        </w:rPr>
        <w:t xml:space="preserve"> er kun indiceret til svin og kyllinger.</w:t>
      </w:r>
    </w:p>
    <w:p w14:paraId="48DCC800" w14:textId="77777777" w:rsidR="00746EBB" w:rsidRPr="00746EBB" w:rsidRDefault="00746EBB" w:rsidP="00746EBB">
      <w:pPr>
        <w:tabs>
          <w:tab w:val="left" w:pos="851"/>
        </w:tabs>
        <w:ind w:left="851"/>
        <w:rPr>
          <w:sz w:val="24"/>
          <w:szCs w:val="24"/>
        </w:rPr>
      </w:pPr>
      <w:r w:rsidRPr="00746EBB">
        <w:rPr>
          <w:sz w:val="24"/>
          <w:szCs w:val="24"/>
        </w:rPr>
        <w:lastRenderedPageBreak/>
        <w:t xml:space="preserve">Lad ikke andre dyrearter få adgang til det medicinerede vand. </w:t>
      </w:r>
      <w:proofErr w:type="spellStart"/>
      <w:r w:rsidRPr="00746EBB">
        <w:rPr>
          <w:sz w:val="24"/>
          <w:szCs w:val="24"/>
        </w:rPr>
        <w:t>Lincomycin</w:t>
      </w:r>
      <w:proofErr w:type="spellEnd"/>
      <w:r w:rsidRPr="00746EBB">
        <w:rPr>
          <w:sz w:val="24"/>
          <w:szCs w:val="24"/>
        </w:rPr>
        <w:t xml:space="preserve"> kan forårsage alvorlige </w:t>
      </w:r>
      <w:proofErr w:type="spellStart"/>
      <w:r w:rsidRPr="00746EBB">
        <w:rPr>
          <w:sz w:val="24"/>
          <w:szCs w:val="24"/>
        </w:rPr>
        <w:t>gastrointestinale</w:t>
      </w:r>
      <w:proofErr w:type="spellEnd"/>
      <w:r w:rsidRPr="00746EBB">
        <w:rPr>
          <w:sz w:val="24"/>
          <w:szCs w:val="24"/>
        </w:rPr>
        <w:t xml:space="preserve"> bivirkninger hos andre dyrearter. </w:t>
      </w:r>
    </w:p>
    <w:p w14:paraId="58F18117" w14:textId="77777777" w:rsidR="00746EBB" w:rsidRPr="00746EBB" w:rsidRDefault="00746EBB" w:rsidP="00746EBB">
      <w:pPr>
        <w:tabs>
          <w:tab w:val="left" w:pos="851"/>
        </w:tabs>
        <w:ind w:left="851"/>
        <w:rPr>
          <w:sz w:val="24"/>
          <w:szCs w:val="24"/>
        </w:rPr>
      </w:pPr>
      <w:r w:rsidRPr="00746EBB">
        <w:rPr>
          <w:sz w:val="24"/>
          <w:szCs w:val="24"/>
        </w:rPr>
        <w:t>Gentagen eller langvarig anvendelse skal undgås ved optimering af bedriftspraksis og desinfektionspraksis.</w:t>
      </w:r>
    </w:p>
    <w:p w14:paraId="43F22812" w14:textId="77777777" w:rsidR="00746EBB" w:rsidRPr="00746EBB" w:rsidRDefault="00746EBB" w:rsidP="00746EBB">
      <w:pPr>
        <w:tabs>
          <w:tab w:val="left" w:pos="851"/>
        </w:tabs>
        <w:ind w:left="851"/>
        <w:rPr>
          <w:sz w:val="24"/>
          <w:szCs w:val="24"/>
        </w:rPr>
      </w:pPr>
      <w:r w:rsidRPr="00746EBB">
        <w:rPr>
          <w:sz w:val="24"/>
          <w:szCs w:val="24"/>
        </w:rPr>
        <w:t>Syge dyr har nedsat ædelyst og ændret drikkemønster og meget syge dyr kan derfor have behov for parenteral behandling.</w:t>
      </w:r>
    </w:p>
    <w:p w14:paraId="3BF816C7" w14:textId="77777777" w:rsidR="00746EBB" w:rsidRPr="00746EBB" w:rsidRDefault="00746EBB" w:rsidP="00746EBB">
      <w:pPr>
        <w:tabs>
          <w:tab w:val="left" w:pos="851"/>
        </w:tabs>
        <w:ind w:left="851"/>
        <w:rPr>
          <w:sz w:val="24"/>
          <w:szCs w:val="24"/>
        </w:rPr>
      </w:pPr>
      <w:r w:rsidRPr="00746EBB">
        <w:rPr>
          <w:sz w:val="24"/>
          <w:szCs w:val="24"/>
        </w:rPr>
        <w:t>Dette pulver er kun til anvendelse i drikkevand og skal opløses før anvendelse.</w:t>
      </w:r>
    </w:p>
    <w:p w14:paraId="7E37B653" w14:textId="77777777" w:rsidR="008203A8" w:rsidRPr="00406EE7" w:rsidRDefault="008203A8" w:rsidP="008203A8">
      <w:pPr>
        <w:tabs>
          <w:tab w:val="left" w:pos="851"/>
        </w:tabs>
        <w:ind w:left="851"/>
        <w:rPr>
          <w:sz w:val="24"/>
          <w:szCs w:val="24"/>
        </w:rPr>
      </w:pPr>
    </w:p>
    <w:p w14:paraId="3A5A8D88"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0B0169C6" w14:textId="77777777" w:rsidR="00746EBB" w:rsidRPr="00746EBB" w:rsidRDefault="00746EBB" w:rsidP="00746EBB">
      <w:pPr>
        <w:tabs>
          <w:tab w:val="left" w:pos="851"/>
        </w:tabs>
        <w:ind w:left="851"/>
        <w:rPr>
          <w:sz w:val="24"/>
          <w:szCs w:val="24"/>
        </w:rPr>
      </w:pPr>
      <w:r w:rsidRPr="00746EBB">
        <w:rPr>
          <w:sz w:val="24"/>
          <w:szCs w:val="24"/>
        </w:rPr>
        <w:t xml:space="preserve">Dette veterinærlægemiddel indeholder </w:t>
      </w:r>
      <w:proofErr w:type="spellStart"/>
      <w:r w:rsidRPr="00746EBB">
        <w:rPr>
          <w:sz w:val="24"/>
          <w:szCs w:val="24"/>
        </w:rPr>
        <w:t>lincomycin</w:t>
      </w:r>
      <w:proofErr w:type="spellEnd"/>
      <w:r w:rsidRPr="00746EBB">
        <w:rPr>
          <w:sz w:val="24"/>
          <w:szCs w:val="24"/>
        </w:rPr>
        <w:t>, der kan være skadeligt for ufødte børn. Gravide bør håndtere dette veterinærlægemiddel med stor forsigtighed.</w:t>
      </w:r>
    </w:p>
    <w:p w14:paraId="50437FD6" w14:textId="77777777" w:rsidR="00746EBB" w:rsidRPr="00746EBB" w:rsidRDefault="00746EBB" w:rsidP="00746EBB">
      <w:pPr>
        <w:tabs>
          <w:tab w:val="left" w:pos="851"/>
        </w:tabs>
        <w:ind w:left="851"/>
        <w:rPr>
          <w:sz w:val="24"/>
          <w:szCs w:val="24"/>
        </w:rPr>
      </w:pPr>
      <w:r w:rsidRPr="00746EBB">
        <w:rPr>
          <w:sz w:val="24"/>
          <w:szCs w:val="24"/>
        </w:rPr>
        <w:t xml:space="preserve">Dette veterinærlægemiddel indeholder </w:t>
      </w:r>
      <w:proofErr w:type="spellStart"/>
      <w:r w:rsidRPr="00746EBB">
        <w:rPr>
          <w:sz w:val="24"/>
          <w:szCs w:val="24"/>
        </w:rPr>
        <w:t>lincomycin</w:t>
      </w:r>
      <w:proofErr w:type="spellEnd"/>
      <w:r w:rsidRPr="00746EBB">
        <w:rPr>
          <w:sz w:val="24"/>
          <w:szCs w:val="24"/>
        </w:rPr>
        <w:t xml:space="preserve">, </w:t>
      </w:r>
      <w:proofErr w:type="spellStart"/>
      <w:r w:rsidRPr="00746EBB">
        <w:rPr>
          <w:sz w:val="24"/>
          <w:szCs w:val="24"/>
        </w:rPr>
        <w:t>spectinomycin</w:t>
      </w:r>
      <w:proofErr w:type="spellEnd"/>
      <w:r w:rsidRPr="00746EBB">
        <w:rPr>
          <w:sz w:val="24"/>
          <w:szCs w:val="24"/>
        </w:rPr>
        <w:t xml:space="preserve"> og </w:t>
      </w:r>
      <w:proofErr w:type="spellStart"/>
      <w:r w:rsidRPr="00746EBB">
        <w:rPr>
          <w:sz w:val="24"/>
          <w:szCs w:val="24"/>
        </w:rPr>
        <w:t>lactosemonohydrat</w:t>
      </w:r>
      <w:proofErr w:type="spellEnd"/>
      <w:r w:rsidRPr="00746EBB">
        <w:rPr>
          <w:sz w:val="24"/>
          <w:szCs w:val="24"/>
        </w:rPr>
        <w:t>, som alle kan forårsage overfølsomhed hos nogle mennesker.</w:t>
      </w:r>
    </w:p>
    <w:p w14:paraId="488C0357" w14:textId="77777777" w:rsidR="00746EBB" w:rsidRPr="00746EBB" w:rsidRDefault="00746EBB" w:rsidP="00746EBB">
      <w:pPr>
        <w:tabs>
          <w:tab w:val="left" w:pos="851"/>
        </w:tabs>
        <w:ind w:left="851"/>
        <w:rPr>
          <w:sz w:val="24"/>
          <w:szCs w:val="24"/>
        </w:rPr>
      </w:pPr>
      <w:r w:rsidRPr="00746EBB">
        <w:rPr>
          <w:sz w:val="24"/>
          <w:szCs w:val="24"/>
        </w:rPr>
        <w:t xml:space="preserve">Ved overfølsomhed over for </w:t>
      </w:r>
      <w:proofErr w:type="spellStart"/>
      <w:r w:rsidRPr="00746EBB">
        <w:rPr>
          <w:sz w:val="24"/>
          <w:szCs w:val="24"/>
        </w:rPr>
        <w:t>lincomycin</w:t>
      </w:r>
      <w:proofErr w:type="spellEnd"/>
      <w:r w:rsidRPr="00746EBB">
        <w:rPr>
          <w:sz w:val="24"/>
          <w:szCs w:val="24"/>
        </w:rPr>
        <w:t xml:space="preserve">, </w:t>
      </w:r>
      <w:proofErr w:type="spellStart"/>
      <w:r w:rsidRPr="00746EBB">
        <w:rPr>
          <w:sz w:val="24"/>
          <w:szCs w:val="24"/>
        </w:rPr>
        <w:t>spectinomycin</w:t>
      </w:r>
      <w:proofErr w:type="spellEnd"/>
      <w:r w:rsidRPr="00746EBB">
        <w:rPr>
          <w:sz w:val="24"/>
          <w:szCs w:val="24"/>
        </w:rPr>
        <w:t xml:space="preserve"> eller </w:t>
      </w:r>
      <w:proofErr w:type="spellStart"/>
      <w:r w:rsidRPr="00746EBB">
        <w:rPr>
          <w:sz w:val="24"/>
          <w:szCs w:val="24"/>
        </w:rPr>
        <w:t>lactosemonohydrat</w:t>
      </w:r>
      <w:proofErr w:type="spellEnd"/>
      <w:r w:rsidRPr="00746EBB">
        <w:rPr>
          <w:sz w:val="24"/>
          <w:szCs w:val="24"/>
        </w:rPr>
        <w:t>, bør kontakt med veterinærlægemidlet undgås. Veterinærlægemidlet kan være skadeligt, hvis det inhaleres inden det fortyndes i drikkevand. Der skal udvises forsigtighed, så pulveret ikke hvirvles op og inhaleres. Veterinærlægemidlet kan medføre irritation af hud og øjne. Kontakt med hud og øjne skal undgås. Veterinærlægemidlet skal håndteres med stor forsigtighed, så kontakt med hud og øjne undgås.</w:t>
      </w:r>
    </w:p>
    <w:p w14:paraId="3E690F33" w14:textId="77777777" w:rsidR="00746EBB" w:rsidRPr="00746EBB" w:rsidRDefault="00746EBB" w:rsidP="00746EBB">
      <w:pPr>
        <w:tabs>
          <w:tab w:val="left" w:pos="851"/>
        </w:tabs>
        <w:ind w:left="851"/>
        <w:rPr>
          <w:sz w:val="24"/>
          <w:szCs w:val="24"/>
        </w:rPr>
      </w:pPr>
    </w:p>
    <w:p w14:paraId="5F78F543" w14:textId="77777777" w:rsidR="00746EBB" w:rsidRPr="00746EBB" w:rsidRDefault="00746EBB" w:rsidP="00746EBB">
      <w:pPr>
        <w:tabs>
          <w:tab w:val="left" w:pos="851"/>
        </w:tabs>
        <w:ind w:left="851"/>
        <w:rPr>
          <w:sz w:val="24"/>
          <w:szCs w:val="24"/>
        </w:rPr>
      </w:pPr>
      <w:r w:rsidRPr="00746EBB">
        <w:rPr>
          <w:sz w:val="24"/>
          <w:szCs w:val="24"/>
        </w:rPr>
        <w:t>Personligt beskyttelsesudstyr i form af handsker, sikkerhedsbriller og en engangsstøvmaske, der er i overensstemmelse med den europæiske standard EN 149 (generelt FFP2, FFP3 til gravide) eller et genbrugeligt åndedrætsværn, der er i overensstemmelse med den europæiske standard EN 140 med et filter, som er i overensstemmelse med EN143, bør anvendes ved klargøring af det medicinerede drikkevand.</w:t>
      </w:r>
    </w:p>
    <w:p w14:paraId="3E65EE19" w14:textId="77777777" w:rsidR="00746EBB" w:rsidRPr="00746EBB" w:rsidRDefault="00746EBB" w:rsidP="00746EBB">
      <w:pPr>
        <w:tabs>
          <w:tab w:val="left" w:pos="851"/>
        </w:tabs>
        <w:ind w:left="851"/>
        <w:rPr>
          <w:sz w:val="24"/>
          <w:szCs w:val="24"/>
        </w:rPr>
      </w:pPr>
    </w:p>
    <w:p w14:paraId="676BF7FE" w14:textId="77777777" w:rsidR="00746EBB" w:rsidRPr="00746EBB" w:rsidRDefault="00746EBB" w:rsidP="00746EBB">
      <w:pPr>
        <w:tabs>
          <w:tab w:val="left" w:pos="851"/>
        </w:tabs>
        <w:ind w:left="851"/>
        <w:rPr>
          <w:sz w:val="24"/>
          <w:szCs w:val="24"/>
        </w:rPr>
      </w:pPr>
      <w:r w:rsidRPr="00746EBB">
        <w:rPr>
          <w:sz w:val="24"/>
          <w:szCs w:val="24"/>
        </w:rPr>
        <w:t>Vask hænder og eksponeret hud med sæbe og vand straks efter anvendelse. I tilfælde af kontakt med øjnene skal øjnene straks skylles med rigelige mængder rent vand.</w:t>
      </w:r>
    </w:p>
    <w:p w14:paraId="3415ACFB" w14:textId="77777777" w:rsidR="00746EBB" w:rsidRPr="00746EBB" w:rsidRDefault="00746EBB" w:rsidP="00746EBB">
      <w:pPr>
        <w:tabs>
          <w:tab w:val="left" w:pos="851"/>
        </w:tabs>
        <w:ind w:left="851"/>
        <w:rPr>
          <w:sz w:val="24"/>
          <w:szCs w:val="24"/>
        </w:rPr>
      </w:pPr>
      <w:r w:rsidRPr="00746EBB">
        <w:rPr>
          <w:sz w:val="24"/>
          <w:szCs w:val="24"/>
        </w:rPr>
        <w:t>Hvis der forekommer symptomer såsom hududslæt eller vedvarende øjenirritation efter eksponering, skal der straks søges lægehjælp, og indlægssedlen eller etiketten bør vises til lægen.</w:t>
      </w:r>
    </w:p>
    <w:p w14:paraId="3E99EDA1" w14:textId="77777777" w:rsidR="00746EBB" w:rsidRPr="00746EBB" w:rsidRDefault="00746EBB" w:rsidP="00746EBB">
      <w:pPr>
        <w:tabs>
          <w:tab w:val="left" w:pos="851"/>
        </w:tabs>
        <w:ind w:left="851"/>
        <w:rPr>
          <w:sz w:val="24"/>
          <w:szCs w:val="24"/>
        </w:rPr>
      </w:pPr>
    </w:p>
    <w:p w14:paraId="2DE2A926"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4FE814E5" w14:textId="77777777" w:rsidR="00493D18" w:rsidRPr="00493D18" w:rsidRDefault="00493D18" w:rsidP="00493D18">
      <w:pPr>
        <w:tabs>
          <w:tab w:val="left" w:pos="851"/>
        </w:tabs>
        <w:ind w:left="851"/>
        <w:rPr>
          <w:sz w:val="24"/>
          <w:szCs w:val="24"/>
        </w:rPr>
      </w:pPr>
      <w:bookmarkStart w:id="6" w:name="_Hlk135637292"/>
      <w:r w:rsidRPr="00493D18">
        <w:rPr>
          <w:sz w:val="24"/>
          <w:szCs w:val="24"/>
        </w:rPr>
        <w:t>Anvendelse af veterinærlægemidlet kan udgøre en risiko for organismer i vand og på land, grundvandets økosystem og kan være skadeligt for mennesker ved indtagelse af grundvand. Veterinærlægemidlet bør ikke komme i kontakt med vandområder.</w:t>
      </w:r>
      <w:bookmarkEnd w:id="6"/>
    </w:p>
    <w:p w14:paraId="2431B348" w14:textId="77777777" w:rsidR="008203A8" w:rsidRPr="00406EE7" w:rsidRDefault="008203A8" w:rsidP="008203A8">
      <w:pPr>
        <w:tabs>
          <w:tab w:val="left" w:pos="851"/>
        </w:tabs>
        <w:ind w:left="851"/>
        <w:rPr>
          <w:sz w:val="24"/>
          <w:szCs w:val="24"/>
        </w:rPr>
      </w:pPr>
    </w:p>
    <w:p w14:paraId="0EDF661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758A1EA6" w14:textId="77777777" w:rsidR="0055508C" w:rsidRPr="0055508C" w:rsidRDefault="0055508C" w:rsidP="0055508C">
      <w:pPr>
        <w:tabs>
          <w:tab w:val="left" w:pos="851"/>
        </w:tabs>
        <w:ind w:left="851"/>
        <w:rPr>
          <w:sz w:val="24"/>
          <w:szCs w:val="24"/>
        </w:rPr>
      </w:pPr>
    </w:p>
    <w:p w14:paraId="4EC6C3A9" w14:textId="77777777" w:rsidR="0055508C" w:rsidRPr="0055508C" w:rsidRDefault="0055508C" w:rsidP="0055508C">
      <w:pPr>
        <w:tabs>
          <w:tab w:val="left" w:pos="851"/>
        </w:tabs>
        <w:ind w:left="851"/>
        <w:rPr>
          <w:sz w:val="24"/>
          <w:szCs w:val="24"/>
        </w:rPr>
      </w:pPr>
      <w:r w:rsidRPr="0055508C">
        <w:rPr>
          <w:sz w:val="24"/>
          <w:szCs w:val="24"/>
        </w:rPr>
        <w:t>Svin:</w:t>
      </w:r>
    </w:p>
    <w:p w14:paraId="3A4CFFE3" w14:textId="77777777" w:rsidR="0055508C" w:rsidRPr="0055508C" w:rsidRDefault="0055508C" w:rsidP="0055508C">
      <w:pPr>
        <w:tabs>
          <w:tab w:val="left" w:pos="851"/>
        </w:tabs>
        <w:ind w:left="851"/>
        <w:rPr>
          <w:sz w:val="24"/>
          <w:szCs w:val="24"/>
        </w:rPr>
      </w:pPr>
    </w:p>
    <w:tbl>
      <w:tblPr>
        <w:tblW w:w="471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708"/>
      </w:tblGrid>
      <w:tr w:rsidR="0055508C" w:rsidRPr="0055508C" w14:paraId="1141A926" w14:textId="77777777" w:rsidTr="004B6822">
        <w:tc>
          <w:tcPr>
            <w:tcW w:w="2405" w:type="pct"/>
            <w:tcBorders>
              <w:top w:val="single" w:sz="4" w:space="0" w:color="auto"/>
              <w:left w:val="single" w:sz="4" w:space="0" w:color="auto"/>
              <w:bottom w:val="single" w:sz="4" w:space="0" w:color="auto"/>
              <w:right w:val="single" w:sz="4" w:space="0" w:color="auto"/>
            </w:tcBorders>
            <w:hideMark/>
          </w:tcPr>
          <w:p w14:paraId="37018AF8" w14:textId="77777777" w:rsidR="0055508C" w:rsidRPr="0055508C" w:rsidRDefault="0055508C" w:rsidP="009A7A00">
            <w:pPr>
              <w:ind w:left="36"/>
              <w:rPr>
                <w:sz w:val="24"/>
                <w:szCs w:val="24"/>
              </w:rPr>
            </w:pPr>
            <w:r w:rsidRPr="0055508C">
              <w:rPr>
                <w:sz w:val="24"/>
                <w:szCs w:val="24"/>
              </w:rPr>
              <w:t>Sjælden</w:t>
            </w:r>
          </w:p>
          <w:p w14:paraId="513D2E53" w14:textId="77777777" w:rsidR="0055508C" w:rsidRPr="0055508C" w:rsidRDefault="0055508C" w:rsidP="009A7A00">
            <w:pPr>
              <w:ind w:left="36"/>
              <w:rPr>
                <w:sz w:val="24"/>
                <w:szCs w:val="24"/>
              </w:rPr>
            </w:pPr>
            <w:r w:rsidRPr="0055508C">
              <w:rPr>
                <w:sz w:val="24"/>
                <w:szCs w:val="24"/>
              </w:rPr>
              <w:t>(1 til 10 dyr ud af 10 000 behandlede dyr):</w:t>
            </w:r>
          </w:p>
        </w:tc>
        <w:tc>
          <w:tcPr>
            <w:tcW w:w="2595" w:type="pct"/>
            <w:tcBorders>
              <w:top w:val="single" w:sz="4" w:space="0" w:color="auto"/>
              <w:left w:val="single" w:sz="4" w:space="0" w:color="auto"/>
              <w:bottom w:val="single" w:sz="4" w:space="0" w:color="auto"/>
              <w:right w:val="single" w:sz="4" w:space="0" w:color="auto"/>
            </w:tcBorders>
            <w:hideMark/>
          </w:tcPr>
          <w:p w14:paraId="33270503" w14:textId="77777777" w:rsidR="0055508C" w:rsidRPr="0055508C" w:rsidRDefault="0055508C" w:rsidP="009A7A00">
            <w:pPr>
              <w:rPr>
                <w:sz w:val="24"/>
                <w:szCs w:val="24"/>
              </w:rPr>
            </w:pPr>
            <w:r w:rsidRPr="0055508C">
              <w:rPr>
                <w:sz w:val="24"/>
                <w:szCs w:val="24"/>
              </w:rPr>
              <w:t>Allergisk reaktion</w:t>
            </w:r>
            <w:r w:rsidRPr="0055508C">
              <w:rPr>
                <w:sz w:val="24"/>
                <w:szCs w:val="24"/>
                <w:vertAlign w:val="superscript"/>
              </w:rPr>
              <w:t>1</w:t>
            </w:r>
            <w:r w:rsidRPr="0055508C">
              <w:rPr>
                <w:sz w:val="24"/>
                <w:szCs w:val="24"/>
              </w:rPr>
              <w:t>, overfølsomhedsreaktion</w:t>
            </w:r>
            <w:r w:rsidRPr="0055508C">
              <w:rPr>
                <w:sz w:val="24"/>
                <w:szCs w:val="24"/>
                <w:vertAlign w:val="superscript"/>
              </w:rPr>
              <w:t>1</w:t>
            </w:r>
          </w:p>
          <w:p w14:paraId="7AF81C47" w14:textId="77777777" w:rsidR="0055508C" w:rsidRPr="0055508C" w:rsidRDefault="0055508C" w:rsidP="009A7A00">
            <w:pPr>
              <w:rPr>
                <w:sz w:val="24"/>
                <w:szCs w:val="24"/>
              </w:rPr>
            </w:pPr>
            <w:r w:rsidRPr="0055508C">
              <w:rPr>
                <w:sz w:val="24"/>
                <w:szCs w:val="24"/>
              </w:rPr>
              <w:t xml:space="preserve">Irritabilitet, ophidselse </w:t>
            </w:r>
          </w:p>
          <w:p w14:paraId="1B61C7FB" w14:textId="77777777" w:rsidR="0055508C" w:rsidRPr="0055508C" w:rsidRDefault="0055508C" w:rsidP="009A7A00">
            <w:pPr>
              <w:rPr>
                <w:iCs/>
                <w:sz w:val="24"/>
                <w:szCs w:val="24"/>
              </w:rPr>
            </w:pPr>
            <w:r w:rsidRPr="0055508C">
              <w:rPr>
                <w:sz w:val="24"/>
                <w:szCs w:val="24"/>
              </w:rPr>
              <w:t xml:space="preserve">Udslæt, </w:t>
            </w:r>
            <w:proofErr w:type="spellStart"/>
            <w:r w:rsidRPr="0055508C">
              <w:rPr>
                <w:sz w:val="24"/>
                <w:szCs w:val="24"/>
              </w:rPr>
              <w:t>pruritus</w:t>
            </w:r>
            <w:proofErr w:type="spellEnd"/>
          </w:p>
        </w:tc>
      </w:tr>
      <w:tr w:rsidR="0055508C" w:rsidRPr="0055508C" w14:paraId="673CD116" w14:textId="77777777" w:rsidTr="004B6822">
        <w:tc>
          <w:tcPr>
            <w:tcW w:w="2405" w:type="pct"/>
            <w:tcBorders>
              <w:top w:val="single" w:sz="4" w:space="0" w:color="auto"/>
              <w:left w:val="single" w:sz="4" w:space="0" w:color="auto"/>
              <w:bottom w:val="single" w:sz="4" w:space="0" w:color="auto"/>
              <w:right w:val="single" w:sz="4" w:space="0" w:color="auto"/>
            </w:tcBorders>
            <w:hideMark/>
          </w:tcPr>
          <w:p w14:paraId="1F02DCCA" w14:textId="77777777" w:rsidR="0055508C" w:rsidRPr="0055508C" w:rsidRDefault="0055508C" w:rsidP="009A7A00">
            <w:pPr>
              <w:ind w:left="36"/>
              <w:rPr>
                <w:sz w:val="24"/>
                <w:szCs w:val="24"/>
              </w:rPr>
            </w:pPr>
            <w:r w:rsidRPr="0055508C">
              <w:rPr>
                <w:sz w:val="24"/>
                <w:szCs w:val="24"/>
              </w:rPr>
              <w:t>Meget sjælden</w:t>
            </w:r>
          </w:p>
          <w:p w14:paraId="4BDCFDE2" w14:textId="77777777" w:rsidR="0055508C" w:rsidRPr="0055508C" w:rsidRDefault="0055508C" w:rsidP="009A7A00">
            <w:pPr>
              <w:ind w:left="36"/>
              <w:rPr>
                <w:sz w:val="24"/>
                <w:szCs w:val="24"/>
              </w:rPr>
            </w:pPr>
            <w:r w:rsidRPr="0055508C">
              <w:rPr>
                <w:sz w:val="24"/>
                <w:szCs w:val="24"/>
              </w:rPr>
              <w:t>(&lt; 1 dyr ud af 10 000 behandlede dyr, herunder enkeltstående indberetninger):</w:t>
            </w:r>
          </w:p>
        </w:tc>
        <w:tc>
          <w:tcPr>
            <w:tcW w:w="2595" w:type="pct"/>
            <w:tcBorders>
              <w:top w:val="single" w:sz="4" w:space="0" w:color="auto"/>
              <w:left w:val="single" w:sz="4" w:space="0" w:color="auto"/>
              <w:bottom w:val="single" w:sz="4" w:space="0" w:color="auto"/>
              <w:right w:val="single" w:sz="4" w:space="0" w:color="auto"/>
            </w:tcBorders>
            <w:hideMark/>
          </w:tcPr>
          <w:p w14:paraId="7804B265" w14:textId="77777777" w:rsidR="0055508C" w:rsidRPr="0055508C" w:rsidRDefault="0055508C" w:rsidP="009A7A00">
            <w:pPr>
              <w:rPr>
                <w:iCs/>
                <w:sz w:val="24"/>
                <w:szCs w:val="24"/>
              </w:rPr>
            </w:pPr>
            <w:r w:rsidRPr="0055508C">
              <w:rPr>
                <w:sz w:val="24"/>
                <w:szCs w:val="24"/>
              </w:rPr>
              <w:t>D</w:t>
            </w:r>
            <w:r w:rsidRPr="0055508C">
              <w:rPr>
                <w:iCs/>
                <w:sz w:val="24"/>
                <w:szCs w:val="24"/>
              </w:rPr>
              <w:t>iarré</w:t>
            </w:r>
            <w:r w:rsidRPr="0055508C">
              <w:rPr>
                <w:iCs/>
                <w:sz w:val="24"/>
                <w:szCs w:val="24"/>
                <w:vertAlign w:val="superscript"/>
              </w:rPr>
              <w:t>2</w:t>
            </w:r>
            <w:r w:rsidRPr="0055508C">
              <w:rPr>
                <w:iCs/>
                <w:sz w:val="24"/>
                <w:szCs w:val="24"/>
              </w:rPr>
              <w:t>, blød fæces</w:t>
            </w:r>
            <w:r w:rsidRPr="0055508C">
              <w:rPr>
                <w:iCs/>
                <w:sz w:val="24"/>
                <w:szCs w:val="24"/>
                <w:vertAlign w:val="superscript"/>
              </w:rPr>
              <w:t>2</w:t>
            </w:r>
            <w:r w:rsidRPr="0055508C">
              <w:rPr>
                <w:iCs/>
                <w:sz w:val="24"/>
                <w:szCs w:val="24"/>
              </w:rPr>
              <w:t>, perianal inflammation</w:t>
            </w:r>
            <w:r w:rsidRPr="0055508C">
              <w:rPr>
                <w:iCs/>
                <w:sz w:val="24"/>
                <w:szCs w:val="24"/>
                <w:vertAlign w:val="superscript"/>
              </w:rPr>
              <w:t>2</w:t>
            </w:r>
          </w:p>
        </w:tc>
      </w:tr>
    </w:tbl>
    <w:p w14:paraId="3F1B876C" w14:textId="403B1E11" w:rsidR="0055508C" w:rsidRPr="009A7A00" w:rsidRDefault="0055508C" w:rsidP="004B6822">
      <w:pPr>
        <w:ind w:left="993" w:hanging="142"/>
        <w:rPr>
          <w:sz w:val="20"/>
          <w:vertAlign w:val="superscript"/>
        </w:rPr>
      </w:pPr>
      <w:bookmarkStart w:id="7" w:name="_Hlk135637374"/>
      <w:bookmarkStart w:id="8" w:name="_Hlk66891708"/>
      <w:r w:rsidRPr="009A7A00">
        <w:rPr>
          <w:sz w:val="20"/>
          <w:vertAlign w:val="superscript"/>
        </w:rPr>
        <w:t>1</w:t>
      </w:r>
      <w:r w:rsidR="004B6822">
        <w:rPr>
          <w:sz w:val="20"/>
          <w:vertAlign w:val="superscript"/>
        </w:rPr>
        <w:tab/>
      </w:r>
      <w:r w:rsidRPr="009A7A00">
        <w:rPr>
          <w:sz w:val="20"/>
        </w:rPr>
        <w:t>Behandlingen skal seponeres og symptomatisk behandling implementeres.</w:t>
      </w:r>
    </w:p>
    <w:p w14:paraId="1E271952" w14:textId="2BA2666C" w:rsidR="0055508C" w:rsidRPr="009A7A00" w:rsidRDefault="0055508C" w:rsidP="004B6822">
      <w:pPr>
        <w:ind w:left="993" w:hanging="142"/>
        <w:rPr>
          <w:sz w:val="20"/>
        </w:rPr>
      </w:pPr>
      <w:bookmarkStart w:id="9" w:name="_Hlk132623731"/>
      <w:bookmarkEnd w:id="7"/>
      <w:r w:rsidRPr="009A7A00">
        <w:rPr>
          <w:sz w:val="20"/>
          <w:vertAlign w:val="superscript"/>
        </w:rPr>
        <w:t>2</w:t>
      </w:r>
      <w:r w:rsidR="004B6822">
        <w:rPr>
          <w:sz w:val="20"/>
          <w:vertAlign w:val="superscript"/>
        </w:rPr>
        <w:tab/>
      </w:r>
      <w:r w:rsidRPr="009A7A00">
        <w:rPr>
          <w:sz w:val="20"/>
        </w:rPr>
        <w:t>Hos raske svin i starten af behandlingen. Symptomerne forsvandt inden for 5-8 dage uden afbrydelse af behandlingen.</w:t>
      </w:r>
    </w:p>
    <w:bookmarkEnd w:id="9"/>
    <w:p w14:paraId="5D032585" w14:textId="77777777" w:rsidR="0055508C" w:rsidRPr="0055508C" w:rsidRDefault="0055508C" w:rsidP="0055508C">
      <w:pPr>
        <w:tabs>
          <w:tab w:val="left" w:pos="851"/>
        </w:tabs>
        <w:ind w:left="851"/>
        <w:rPr>
          <w:sz w:val="24"/>
          <w:szCs w:val="24"/>
        </w:rPr>
      </w:pPr>
    </w:p>
    <w:p w14:paraId="5CC34B23" w14:textId="77777777" w:rsidR="0055508C" w:rsidRPr="0055508C" w:rsidRDefault="0055508C" w:rsidP="0055508C">
      <w:pPr>
        <w:tabs>
          <w:tab w:val="left" w:pos="851"/>
        </w:tabs>
        <w:ind w:left="851"/>
        <w:rPr>
          <w:sz w:val="24"/>
          <w:szCs w:val="24"/>
        </w:rPr>
      </w:pPr>
      <w:r w:rsidRPr="0055508C">
        <w:rPr>
          <w:sz w:val="24"/>
          <w:szCs w:val="24"/>
        </w:rPr>
        <w:t>Kyllinger:</w:t>
      </w:r>
    </w:p>
    <w:p w14:paraId="4B26662A" w14:textId="77777777" w:rsidR="0055508C" w:rsidRPr="0055508C" w:rsidRDefault="0055508C" w:rsidP="0055508C">
      <w:pPr>
        <w:tabs>
          <w:tab w:val="left" w:pos="851"/>
        </w:tabs>
        <w:ind w:left="851"/>
        <w:rPr>
          <w:sz w:val="24"/>
          <w:szCs w:val="24"/>
        </w:rPr>
      </w:pPr>
    </w:p>
    <w:tbl>
      <w:tblPr>
        <w:tblW w:w="471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708"/>
      </w:tblGrid>
      <w:tr w:rsidR="0055508C" w:rsidRPr="0055508C" w14:paraId="4E904239" w14:textId="77777777" w:rsidTr="004B6822">
        <w:tc>
          <w:tcPr>
            <w:tcW w:w="2405" w:type="pct"/>
            <w:tcBorders>
              <w:top w:val="single" w:sz="4" w:space="0" w:color="auto"/>
              <w:left w:val="single" w:sz="4" w:space="0" w:color="auto"/>
              <w:bottom w:val="single" w:sz="4" w:space="0" w:color="auto"/>
              <w:right w:val="single" w:sz="4" w:space="0" w:color="auto"/>
            </w:tcBorders>
            <w:hideMark/>
          </w:tcPr>
          <w:p w14:paraId="1B2A3B0B" w14:textId="77777777" w:rsidR="0055508C" w:rsidRPr="0055508C" w:rsidRDefault="0055508C" w:rsidP="004B6822">
            <w:pPr>
              <w:ind w:left="36"/>
              <w:rPr>
                <w:sz w:val="24"/>
                <w:szCs w:val="24"/>
              </w:rPr>
            </w:pPr>
            <w:r w:rsidRPr="0055508C">
              <w:rPr>
                <w:sz w:val="24"/>
                <w:szCs w:val="24"/>
              </w:rPr>
              <w:t>Sjælden</w:t>
            </w:r>
          </w:p>
          <w:p w14:paraId="3E27CA0C" w14:textId="77777777" w:rsidR="0055508C" w:rsidRPr="0055508C" w:rsidRDefault="0055508C" w:rsidP="004B6822">
            <w:pPr>
              <w:ind w:left="36"/>
              <w:rPr>
                <w:sz w:val="24"/>
                <w:szCs w:val="24"/>
              </w:rPr>
            </w:pPr>
            <w:r w:rsidRPr="0055508C">
              <w:rPr>
                <w:sz w:val="24"/>
                <w:szCs w:val="24"/>
              </w:rPr>
              <w:t>(1 til 10 dyr ud af 10 000 behandlede dyr):</w:t>
            </w:r>
          </w:p>
        </w:tc>
        <w:tc>
          <w:tcPr>
            <w:tcW w:w="2595" w:type="pct"/>
            <w:tcBorders>
              <w:top w:val="single" w:sz="4" w:space="0" w:color="auto"/>
              <w:left w:val="single" w:sz="4" w:space="0" w:color="auto"/>
              <w:bottom w:val="single" w:sz="4" w:space="0" w:color="auto"/>
              <w:right w:val="single" w:sz="4" w:space="0" w:color="auto"/>
            </w:tcBorders>
          </w:tcPr>
          <w:p w14:paraId="177EF8EA" w14:textId="77777777" w:rsidR="0055508C" w:rsidRPr="0055508C" w:rsidRDefault="0055508C" w:rsidP="004B6822">
            <w:pPr>
              <w:ind w:left="66"/>
              <w:rPr>
                <w:sz w:val="24"/>
                <w:szCs w:val="24"/>
              </w:rPr>
            </w:pPr>
            <w:r w:rsidRPr="0055508C">
              <w:rPr>
                <w:sz w:val="24"/>
                <w:szCs w:val="24"/>
              </w:rPr>
              <w:t>Allergisk reaktion</w:t>
            </w:r>
            <w:r w:rsidRPr="0055508C">
              <w:rPr>
                <w:sz w:val="24"/>
                <w:szCs w:val="24"/>
                <w:vertAlign w:val="superscript"/>
              </w:rPr>
              <w:t>1</w:t>
            </w:r>
            <w:r w:rsidRPr="0055508C">
              <w:rPr>
                <w:sz w:val="24"/>
                <w:szCs w:val="24"/>
              </w:rPr>
              <w:t>, overfølsomhedsreaktion</w:t>
            </w:r>
            <w:r w:rsidRPr="0055508C">
              <w:rPr>
                <w:sz w:val="24"/>
                <w:szCs w:val="24"/>
                <w:vertAlign w:val="superscript"/>
              </w:rPr>
              <w:t>1</w:t>
            </w:r>
          </w:p>
          <w:p w14:paraId="7D1FF894" w14:textId="77777777" w:rsidR="0055508C" w:rsidRPr="0055508C" w:rsidRDefault="0055508C" w:rsidP="004B6822">
            <w:pPr>
              <w:ind w:left="66"/>
              <w:rPr>
                <w:iCs/>
                <w:sz w:val="24"/>
                <w:szCs w:val="24"/>
              </w:rPr>
            </w:pPr>
          </w:p>
        </w:tc>
      </w:tr>
    </w:tbl>
    <w:p w14:paraId="0B0DC5EF" w14:textId="6F4FC7BB" w:rsidR="0055508C" w:rsidRPr="00516253" w:rsidRDefault="0055508C" w:rsidP="00516253">
      <w:pPr>
        <w:tabs>
          <w:tab w:val="left" w:pos="851"/>
          <w:tab w:val="left" w:pos="993"/>
        </w:tabs>
        <w:ind w:left="851"/>
        <w:rPr>
          <w:sz w:val="20"/>
          <w:vertAlign w:val="superscript"/>
        </w:rPr>
      </w:pPr>
      <w:r w:rsidRPr="00516253">
        <w:rPr>
          <w:sz w:val="20"/>
          <w:vertAlign w:val="superscript"/>
        </w:rPr>
        <w:t xml:space="preserve">1 </w:t>
      </w:r>
      <w:r w:rsidR="00516253">
        <w:rPr>
          <w:sz w:val="20"/>
          <w:vertAlign w:val="superscript"/>
        </w:rPr>
        <w:tab/>
      </w:r>
      <w:r w:rsidRPr="00516253">
        <w:rPr>
          <w:sz w:val="20"/>
        </w:rPr>
        <w:t>Behandlingen skal seponeres og symptomatisk behandling implementeres.</w:t>
      </w:r>
    </w:p>
    <w:p w14:paraId="2A6F1933" w14:textId="77777777" w:rsidR="0055508C" w:rsidRPr="0055508C" w:rsidRDefault="0055508C" w:rsidP="0055508C">
      <w:pPr>
        <w:tabs>
          <w:tab w:val="left" w:pos="851"/>
        </w:tabs>
        <w:ind w:left="851"/>
        <w:rPr>
          <w:sz w:val="24"/>
          <w:szCs w:val="24"/>
        </w:rPr>
      </w:pPr>
    </w:p>
    <w:p w14:paraId="032675EC" w14:textId="77777777" w:rsidR="0055508C" w:rsidRPr="0055508C" w:rsidRDefault="0055508C" w:rsidP="0055508C">
      <w:pPr>
        <w:tabs>
          <w:tab w:val="left" w:pos="851"/>
        </w:tabs>
        <w:ind w:left="851"/>
        <w:rPr>
          <w:sz w:val="24"/>
          <w:szCs w:val="24"/>
        </w:rPr>
      </w:pPr>
      <w:r w:rsidRPr="0055508C">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bookmarkEnd w:id="8"/>
    </w:p>
    <w:p w14:paraId="06637BEC" w14:textId="77777777" w:rsidR="008203A8" w:rsidRPr="00406EE7" w:rsidRDefault="008203A8" w:rsidP="008203A8">
      <w:pPr>
        <w:tabs>
          <w:tab w:val="left" w:pos="851"/>
        </w:tabs>
        <w:ind w:left="851"/>
        <w:rPr>
          <w:sz w:val="24"/>
          <w:szCs w:val="24"/>
        </w:rPr>
      </w:pPr>
    </w:p>
    <w:p w14:paraId="3195CF5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616D57FF" w14:textId="77777777" w:rsidR="0055508C" w:rsidRPr="0055508C" w:rsidRDefault="0055508C" w:rsidP="0055508C">
      <w:pPr>
        <w:tabs>
          <w:tab w:val="left" w:pos="851"/>
        </w:tabs>
        <w:ind w:left="851"/>
        <w:rPr>
          <w:sz w:val="24"/>
          <w:szCs w:val="24"/>
        </w:rPr>
      </w:pPr>
      <w:r w:rsidRPr="0055508C">
        <w:rPr>
          <w:sz w:val="24"/>
          <w:szCs w:val="24"/>
        </w:rPr>
        <w:t>Veterinærlægemidlets sikkerhed under drægtighed, laktation og æglægning er ikke fastlagt.</w:t>
      </w:r>
    </w:p>
    <w:p w14:paraId="3AD5BD29" w14:textId="77777777" w:rsidR="0055508C" w:rsidRPr="0055508C" w:rsidRDefault="0055508C" w:rsidP="0055508C">
      <w:pPr>
        <w:tabs>
          <w:tab w:val="left" w:pos="851"/>
        </w:tabs>
        <w:ind w:left="851"/>
        <w:rPr>
          <w:sz w:val="24"/>
          <w:szCs w:val="24"/>
        </w:rPr>
      </w:pPr>
    </w:p>
    <w:p w14:paraId="34C69A79" w14:textId="62AE479E" w:rsidR="0055508C" w:rsidRPr="0055508C" w:rsidRDefault="0055508C" w:rsidP="0055508C">
      <w:pPr>
        <w:tabs>
          <w:tab w:val="left" w:pos="851"/>
        </w:tabs>
        <w:ind w:left="851"/>
        <w:rPr>
          <w:sz w:val="24"/>
          <w:szCs w:val="24"/>
        </w:rPr>
      </w:pPr>
      <w:r w:rsidRPr="0055508C">
        <w:rPr>
          <w:sz w:val="24"/>
          <w:szCs w:val="24"/>
          <w:u w:val="single"/>
        </w:rPr>
        <w:t>Drægtighed og laktation</w:t>
      </w:r>
    </w:p>
    <w:p w14:paraId="4220DFDC" w14:textId="77777777" w:rsidR="0055508C" w:rsidRPr="0055508C" w:rsidRDefault="0055508C" w:rsidP="0055508C">
      <w:pPr>
        <w:tabs>
          <w:tab w:val="left" w:pos="851"/>
        </w:tabs>
        <w:ind w:left="851"/>
        <w:rPr>
          <w:sz w:val="24"/>
          <w:szCs w:val="24"/>
        </w:rPr>
      </w:pPr>
      <w:r w:rsidRPr="0055508C">
        <w:rPr>
          <w:sz w:val="24"/>
          <w:szCs w:val="24"/>
        </w:rPr>
        <w:t xml:space="preserve">Laboratorieundersøgelser af hunde og rotter har ikke afsløret reproduktionstoksicitet eller </w:t>
      </w:r>
      <w:proofErr w:type="spellStart"/>
      <w:r w:rsidRPr="0055508C">
        <w:rPr>
          <w:sz w:val="24"/>
          <w:szCs w:val="24"/>
        </w:rPr>
        <w:t>føtotoksiske</w:t>
      </w:r>
      <w:proofErr w:type="spellEnd"/>
      <w:r w:rsidRPr="0055508C">
        <w:rPr>
          <w:sz w:val="24"/>
          <w:szCs w:val="24"/>
        </w:rPr>
        <w:t xml:space="preserve"> eller </w:t>
      </w:r>
      <w:proofErr w:type="spellStart"/>
      <w:r w:rsidRPr="0055508C">
        <w:rPr>
          <w:sz w:val="24"/>
          <w:szCs w:val="24"/>
        </w:rPr>
        <w:t>teratogene</w:t>
      </w:r>
      <w:proofErr w:type="spellEnd"/>
      <w:r w:rsidRPr="0055508C">
        <w:rPr>
          <w:sz w:val="24"/>
          <w:szCs w:val="24"/>
        </w:rPr>
        <w:t xml:space="preserve"> virkninger ved </w:t>
      </w:r>
      <w:proofErr w:type="spellStart"/>
      <w:r w:rsidRPr="0055508C">
        <w:rPr>
          <w:sz w:val="24"/>
          <w:szCs w:val="24"/>
        </w:rPr>
        <w:t>lincomycin</w:t>
      </w:r>
      <w:proofErr w:type="spellEnd"/>
      <w:r w:rsidRPr="0055508C">
        <w:rPr>
          <w:sz w:val="24"/>
          <w:szCs w:val="24"/>
        </w:rPr>
        <w:t xml:space="preserve"> eller </w:t>
      </w:r>
      <w:proofErr w:type="spellStart"/>
      <w:r w:rsidRPr="0055508C">
        <w:rPr>
          <w:sz w:val="24"/>
          <w:szCs w:val="24"/>
        </w:rPr>
        <w:t>spectinomycin</w:t>
      </w:r>
      <w:proofErr w:type="spellEnd"/>
      <w:r w:rsidRPr="0055508C">
        <w:rPr>
          <w:sz w:val="24"/>
          <w:szCs w:val="24"/>
        </w:rPr>
        <w:t>.</w:t>
      </w:r>
    </w:p>
    <w:p w14:paraId="0238D4D7" w14:textId="77777777" w:rsidR="0055508C" w:rsidRPr="0055508C" w:rsidRDefault="0055508C" w:rsidP="0055508C">
      <w:pPr>
        <w:tabs>
          <w:tab w:val="left" w:pos="851"/>
        </w:tabs>
        <w:ind w:left="851"/>
        <w:rPr>
          <w:sz w:val="24"/>
          <w:szCs w:val="24"/>
        </w:rPr>
      </w:pPr>
      <w:proofErr w:type="spellStart"/>
      <w:r w:rsidRPr="0055508C">
        <w:rPr>
          <w:sz w:val="24"/>
          <w:szCs w:val="24"/>
        </w:rPr>
        <w:t>Lincomycin</w:t>
      </w:r>
      <w:proofErr w:type="spellEnd"/>
      <w:r w:rsidRPr="0055508C">
        <w:rPr>
          <w:sz w:val="24"/>
          <w:szCs w:val="24"/>
        </w:rPr>
        <w:t xml:space="preserve"> udskilles i mælk.</w:t>
      </w:r>
    </w:p>
    <w:p w14:paraId="5949EE62" w14:textId="77777777" w:rsidR="0055508C" w:rsidRPr="0055508C" w:rsidRDefault="0055508C" w:rsidP="0055508C">
      <w:pPr>
        <w:tabs>
          <w:tab w:val="left" w:pos="851"/>
        </w:tabs>
        <w:ind w:left="851"/>
        <w:rPr>
          <w:sz w:val="24"/>
          <w:szCs w:val="24"/>
        </w:rPr>
      </w:pPr>
      <w:r w:rsidRPr="0055508C">
        <w:rPr>
          <w:sz w:val="24"/>
          <w:szCs w:val="24"/>
        </w:rPr>
        <w:t>Må kun anvendes i overensstemmelse med den ansvarlige dyrlæges vurdering af benefit/</w:t>
      </w:r>
      <w:proofErr w:type="spellStart"/>
      <w:r w:rsidRPr="0055508C">
        <w:rPr>
          <w:sz w:val="24"/>
          <w:szCs w:val="24"/>
        </w:rPr>
        <w:t>risk</w:t>
      </w:r>
      <w:proofErr w:type="spellEnd"/>
      <w:r w:rsidRPr="0055508C">
        <w:rPr>
          <w:sz w:val="24"/>
          <w:szCs w:val="24"/>
        </w:rPr>
        <w:t>-forholdet.</w:t>
      </w:r>
    </w:p>
    <w:p w14:paraId="044AFAE0" w14:textId="77777777" w:rsidR="0055508C" w:rsidRPr="0055508C" w:rsidRDefault="0055508C" w:rsidP="0055508C">
      <w:pPr>
        <w:tabs>
          <w:tab w:val="left" w:pos="851"/>
        </w:tabs>
        <w:ind w:left="851"/>
        <w:rPr>
          <w:sz w:val="24"/>
          <w:szCs w:val="24"/>
        </w:rPr>
      </w:pPr>
    </w:p>
    <w:p w14:paraId="4B87229D" w14:textId="52FE6DCF" w:rsidR="0055508C" w:rsidRPr="0055508C" w:rsidRDefault="0055508C" w:rsidP="0055508C">
      <w:pPr>
        <w:tabs>
          <w:tab w:val="left" w:pos="851"/>
        </w:tabs>
        <w:ind w:left="851"/>
        <w:rPr>
          <w:sz w:val="24"/>
          <w:szCs w:val="24"/>
        </w:rPr>
      </w:pPr>
      <w:r w:rsidRPr="0055508C">
        <w:rPr>
          <w:sz w:val="24"/>
          <w:szCs w:val="24"/>
          <w:u w:val="single"/>
        </w:rPr>
        <w:t>Æglæggende fugle</w:t>
      </w:r>
    </w:p>
    <w:p w14:paraId="1A47C691" w14:textId="77777777" w:rsidR="0055508C" w:rsidRPr="0055508C" w:rsidRDefault="0055508C" w:rsidP="0055508C">
      <w:pPr>
        <w:tabs>
          <w:tab w:val="left" w:pos="851"/>
        </w:tabs>
        <w:ind w:left="851"/>
        <w:rPr>
          <w:sz w:val="24"/>
          <w:szCs w:val="24"/>
        </w:rPr>
      </w:pPr>
      <w:r w:rsidRPr="0055508C">
        <w:rPr>
          <w:sz w:val="24"/>
          <w:szCs w:val="24"/>
        </w:rPr>
        <w:t>Må ikke anvendes til æglæggende fugle, hvis æg er bestemt til menneskeføde.</w:t>
      </w:r>
    </w:p>
    <w:p w14:paraId="4D29E330" w14:textId="77777777" w:rsidR="008203A8" w:rsidRPr="00406EE7" w:rsidRDefault="008203A8" w:rsidP="008203A8">
      <w:pPr>
        <w:tabs>
          <w:tab w:val="left" w:pos="851"/>
        </w:tabs>
        <w:ind w:left="851"/>
        <w:rPr>
          <w:sz w:val="24"/>
          <w:szCs w:val="24"/>
        </w:rPr>
      </w:pPr>
    </w:p>
    <w:p w14:paraId="5AFD759D"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2E9092D0" w14:textId="77777777" w:rsidR="0055508C" w:rsidRPr="0055508C" w:rsidRDefault="0055508C" w:rsidP="0055508C">
      <w:pPr>
        <w:tabs>
          <w:tab w:val="left" w:pos="851"/>
        </w:tabs>
        <w:ind w:left="851"/>
        <w:rPr>
          <w:sz w:val="24"/>
          <w:szCs w:val="24"/>
        </w:rPr>
      </w:pPr>
      <w:r w:rsidRPr="0055508C">
        <w:rPr>
          <w:sz w:val="24"/>
          <w:szCs w:val="24"/>
        </w:rPr>
        <w:t xml:space="preserve">Kombinationen af lincosamider og makrolider er antagonistisk på grund af </w:t>
      </w:r>
      <w:proofErr w:type="spellStart"/>
      <w:r w:rsidRPr="0055508C">
        <w:rPr>
          <w:sz w:val="24"/>
          <w:szCs w:val="24"/>
        </w:rPr>
        <w:t>kompetitiv</w:t>
      </w:r>
      <w:proofErr w:type="spellEnd"/>
      <w:r w:rsidRPr="0055508C">
        <w:rPr>
          <w:sz w:val="24"/>
          <w:szCs w:val="24"/>
        </w:rPr>
        <w:t xml:space="preserve"> binding til deres virkningssted. Kombination med </w:t>
      </w:r>
      <w:proofErr w:type="spellStart"/>
      <w:r w:rsidRPr="0055508C">
        <w:rPr>
          <w:sz w:val="24"/>
          <w:szCs w:val="24"/>
        </w:rPr>
        <w:t>anæstetika</w:t>
      </w:r>
      <w:proofErr w:type="spellEnd"/>
      <w:r w:rsidRPr="0055508C">
        <w:rPr>
          <w:sz w:val="24"/>
          <w:szCs w:val="24"/>
        </w:rPr>
        <w:t xml:space="preserve"> kan føre til eventuel </w:t>
      </w:r>
      <w:proofErr w:type="spellStart"/>
      <w:r w:rsidRPr="0055508C">
        <w:rPr>
          <w:sz w:val="24"/>
          <w:szCs w:val="24"/>
        </w:rPr>
        <w:t>neuromuskulær</w:t>
      </w:r>
      <w:proofErr w:type="spellEnd"/>
      <w:r w:rsidRPr="0055508C">
        <w:rPr>
          <w:sz w:val="24"/>
          <w:szCs w:val="24"/>
        </w:rPr>
        <w:t xml:space="preserve"> blokade. </w:t>
      </w:r>
    </w:p>
    <w:p w14:paraId="7B5D06A2" w14:textId="77777777" w:rsidR="0055508C" w:rsidRPr="0055508C" w:rsidRDefault="0055508C" w:rsidP="0055508C">
      <w:pPr>
        <w:tabs>
          <w:tab w:val="left" w:pos="851"/>
        </w:tabs>
        <w:ind w:left="851"/>
        <w:rPr>
          <w:sz w:val="24"/>
          <w:szCs w:val="24"/>
        </w:rPr>
      </w:pPr>
      <w:r w:rsidRPr="0055508C">
        <w:rPr>
          <w:sz w:val="24"/>
          <w:szCs w:val="24"/>
        </w:rPr>
        <w:t xml:space="preserve">Må ikke administreres sammen med kaolin eller </w:t>
      </w:r>
      <w:proofErr w:type="spellStart"/>
      <w:r w:rsidRPr="0055508C">
        <w:rPr>
          <w:sz w:val="24"/>
          <w:szCs w:val="24"/>
        </w:rPr>
        <w:t>pectin</w:t>
      </w:r>
      <w:proofErr w:type="spellEnd"/>
      <w:r w:rsidRPr="0055508C">
        <w:rPr>
          <w:sz w:val="24"/>
          <w:szCs w:val="24"/>
        </w:rPr>
        <w:t xml:space="preserve">, da disse kan nedsætte absorptionen af </w:t>
      </w:r>
      <w:proofErr w:type="spellStart"/>
      <w:r w:rsidRPr="0055508C">
        <w:rPr>
          <w:sz w:val="24"/>
          <w:szCs w:val="24"/>
        </w:rPr>
        <w:t>lincomycin</w:t>
      </w:r>
      <w:proofErr w:type="spellEnd"/>
      <w:r w:rsidRPr="0055508C">
        <w:rPr>
          <w:sz w:val="24"/>
          <w:szCs w:val="24"/>
        </w:rPr>
        <w:t>. Hvis samtidig administration er påkrævet, skal der gå to timer mellem indtagelserne.</w:t>
      </w:r>
    </w:p>
    <w:p w14:paraId="3AD46339" w14:textId="77777777" w:rsidR="0055508C" w:rsidRPr="0055508C" w:rsidRDefault="0055508C" w:rsidP="0055508C">
      <w:pPr>
        <w:tabs>
          <w:tab w:val="left" w:pos="851"/>
        </w:tabs>
        <w:ind w:left="851"/>
        <w:rPr>
          <w:b/>
          <w:sz w:val="24"/>
          <w:szCs w:val="24"/>
        </w:rPr>
      </w:pPr>
    </w:p>
    <w:p w14:paraId="320C4CB8"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4F126636" w14:textId="77777777" w:rsidR="0055508C" w:rsidRPr="00516253" w:rsidRDefault="0055508C" w:rsidP="00516253">
      <w:pPr>
        <w:tabs>
          <w:tab w:val="left" w:pos="1304"/>
        </w:tabs>
        <w:ind w:left="851"/>
        <w:rPr>
          <w:sz w:val="24"/>
          <w:szCs w:val="24"/>
        </w:rPr>
      </w:pPr>
      <w:r w:rsidRPr="00516253">
        <w:rPr>
          <w:sz w:val="24"/>
          <w:szCs w:val="24"/>
        </w:rPr>
        <w:t>Til anvendelse i drikkevand.</w:t>
      </w:r>
    </w:p>
    <w:p w14:paraId="0FE8145D" w14:textId="77777777" w:rsidR="0055508C" w:rsidRPr="00516253" w:rsidRDefault="0055508C" w:rsidP="00516253">
      <w:pPr>
        <w:tabs>
          <w:tab w:val="left" w:pos="1304"/>
        </w:tabs>
        <w:ind w:left="851"/>
        <w:rPr>
          <w:sz w:val="24"/>
          <w:szCs w:val="24"/>
        </w:rPr>
      </w:pPr>
    </w:p>
    <w:p w14:paraId="5561F918" w14:textId="77777777" w:rsidR="0055508C" w:rsidRPr="00516253" w:rsidRDefault="0055508C" w:rsidP="00516253">
      <w:pPr>
        <w:keepNext/>
        <w:tabs>
          <w:tab w:val="left" w:pos="851"/>
        </w:tabs>
        <w:ind w:left="851"/>
        <w:rPr>
          <w:spacing w:val="-3"/>
          <w:sz w:val="24"/>
          <w:szCs w:val="24"/>
        </w:rPr>
      </w:pPr>
      <w:r w:rsidRPr="00516253">
        <w:rPr>
          <w:spacing w:val="-3"/>
          <w:sz w:val="24"/>
          <w:szCs w:val="24"/>
        </w:rPr>
        <w:t>Anbefalet dosering:</w:t>
      </w:r>
    </w:p>
    <w:p w14:paraId="2A9DE83C" w14:textId="77777777" w:rsidR="0055508C" w:rsidRPr="00516253" w:rsidRDefault="0055508C" w:rsidP="00516253">
      <w:pPr>
        <w:tabs>
          <w:tab w:val="left" w:pos="851"/>
        </w:tabs>
        <w:ind w:left="851"/>
        <w:rPr>
          <w:spacing w:val="-3"/>
          <w:sz w:val="24"/>
          <w:szCs w:val="24"/>
        </w:rPr>
      </w:pPr>
    </w:p>
    <w:p w14:paraId="02B24FD3" w14:textId="77777777" w:rsidR="00D62C39" w:rsidRDefault="0055508C" w:rsidP="00516253">
      <w:pPr>
        <w:tabs>
          <w:tab w:val="left" w:pos="851"/>
        </w:tabs>
        <w:ind w:left="851"/>
        <w:rPr>
          <w:spacing w:val="-3"/>
          <w:sz w:val="24"/>
          <w:szCs w:val="24"/>
        </w:rPr>
      </w:pPr>
      <w:r w:rsidRPr="00516253">
        <w:rPr>
          <w:spacing w:val="-3"/>
          <w:sz w:val="24"/>
          <w:szCs w:val="24"/>
          <w:u w:val="single"/>
        </w:rPr>
        <w:t>Svin</w:t>
      </w:r>
    </w:p>
    <w:p w14:paraId="06E30976" w14:textId="2080A7CE" w:rsidR="0055508C" w:rsidRPr="00516253" w:rsidRDefault="0055508C" w:rsidP="00516253">
      <w:pPr>
        <w:tabs>
          <w:tab w:val="left" w:pos="851"/>
        </w:tabs>
        <w:ind w:left="851"/>
        <w:rPr>
          <w:spacing w:val="-3"/>
          <w:sz w:val="24"/>
          <w:szCs w:val="24"/>
        </w:rPr>
      </w:pPr>
      <w:r w:rsidRPr="00516253">
        <w:rPr>
          <w:spacing w:val="-3"/>
          <w:sz w:val="24"/>
          <w:szCs w:val="24"/>
        </w:rPr>
        <w:t xml:space="preserve">3,33 mg </w:t>
      </w:r>
      <w:proofErr w:type="spellStart"/>
      <w:r w:rsidRPr="00516253">
        <w:rPr>
          <w:spacing w:val="-3"/>
          <w:sz w:val="24"/>
          <w:szCs w:val="24"/>
        </w:rPr>
        <w:t>lincomycin</w:t>
      </w:r>
      <w:proofErr w:type="spellEnd"/>
      <w:r w:rsidRPr="00516253">
        <w:rPr>
          <w:spacing w:val="-3"/>
          <w:sz w:val="24"/>
          <w:szCs w:val="24"/>
        </w:rPr>
        <w:t xml:space="preserve"> og 6,67 mg </w:t>
      </w:r>
      <w:proofErr w:type="spellStart"/>
      <w:r w:rsidRPr="00516253">
        <w:rPr>
          <w:spacing w:val="-3"/>
          <w:sz w:val="24"/>
          <w:szCs w:val="24"/>
        </w:rPr>
        <w:t>spectinomycin</w:t>
      </w:r>
      <w:proofErr w:type="spellEnd"/>
      <w:r w:rsidRPr="00516253">
        <w:rPr>
          <w:spacing w:val="-3"/>
          <w:sz w:val="24"/>
          <w:szCs w:val="24"/>
        </w:rPr>
        <w:t>/kg legemsvægt/dag i 7 dage. Det svarer til 15 mg pulver/kg legemsvægt/dag i 7 dage.</w:t>
      </w:r>
    </w:p>
    <w:p w14:paraId="4EEEA82B" w14:textId="77777777" w:rsidR="0055508C" w:rsidRPr="00516253" w:rsidRDefault="0055508C" w:rsidP="00516253">
      <w:pPr>
        <w:tabs>
          <w:tab w:val="left" w:pos="851"/>
        </w:tabs>
        <w:ind w:left="851"/>
        <w:rPr>
          <w:spacing w:val="-3"/>
          <w:sz w:val="24"/>
          <w:szCs w:val="24"/>
          <w:u w:val="single"/>
        </w:rPr>
      </w:pPr>
    </w:p>
    <w:p w14:paraId="4525D173" w14:textId="77777777" w:rsidR="00D62C39" w:rsidRPr="00D62C39" w:rsidRDefault="0055508C" w:rsidP="00516253">
      <w:pPr>
        <w:tabs>
          <w:tab w:val="left" w:pos="851"/>
        </w:tabs>
        <w:ind w:left="851"/>
        <w:rPr>
          <w:spacing w:val="-3"/>
          <w:sz w:val="24"/>
          <w:szCs w:val="24"/>
          <w:u w:val="single"/>
        </w:rPr>
      </w:pPr>
      <w:r w:rsidRPr="00D62C39">
        <w:rPr>
          <w:spacing w:val="-3"/>
          <w:sz w:val="24"/>
          <w:szCs w:val="24"/>
          <w:u w:val="single"/>
        </w:rPr>
        <w:t>Kyllinger</w:t>
      </w:r>
    </w:p>
    <w:p w14:paraId="34B64B38" w14:textId="1B206740" w:rsidR="0055508C" w:rsidRPr="00516253" w:rsidRDefault="0055508C" w:rsidP="00516253">
      <w:pPr>
        <w:tabs>
          <w:tab w:val="left" w:pos="851"/>
        </w:tabs>
        <w:ind w:left="851"/>
        <w:rPr>
          <w:spacing w:val="-3"/>
          <w:sz w:val="24"/>
          <w:szCs w:val="24"/>
        </w:rPr>
      </w:pPr>
      <w:r w:rsidRPr="00516253">
        <w:rPr>
          <w:spacing w:val="-3"/>
          <w:sz w:val="24"/>
          <w:szCs w:val="24"/>
        </w:rPr>
        <w:t xml:space="preserve">16,65 mg </w:t>
      </w:r>
      <w:proofErr w:type="spellStart"/>
      <w:r w:rsidRPr="00516253">
        <w:rPr>
          <w:spacing w:val="-3"/>
          <w:sz w:val="24"/>
          <w:szCs w:val="24"/>
        </w:rPr>
        <w:t>lincomycin</w:t>
      </w:r>
      <w:proofErr w:type="spellEnd"/>
      <w:r w:rsidRPr="00516253">
        <w:rPr>
          <w:spacing w:val="-3"/>
          <w:sz w:val="24"/>
          <w:szCs w:val="24"/>
        </w:rPr>
        <w:t xml:space="preserve"> og 33,35 mg </w:t>
      </w:r>
      <w:proofErr w:type="spellStart"/>
      <w:r w:rsidRPr="00516253">
        <w:rPr>
          <w:spacing w:val="-3"/>
          <w:sz w:val="24"/>
          <w:szCs w:val="24"/>
        </w:rPr>
        <w:t>spectinomycin</w:t>
      </w:r>
      <w:proofErr w:type="spellEnd"/>
      <w:r w:rsidRPr="00516253">
        <w:rPr>
          <w:spacing w:val="-3"/>
          <w:sz w:val="24"/>
          <w:szCs w:val="24"/>
        </w:rPr>
        <w:t>/kg legemsvægt/dag i 7 dage. Det svarer til 75 mg pulver/kg legemsvægt/dag i 7 dage.</w:t>
      </w:r>
    </w:p>
    <w:p w14:paraId="507075C4" w14:textId="77777777" w:rsidR="0055508C" w:rsidRPr="00516253" w:rsidRDefault="0055508C" w:rsidP="00516253">
      <w:pPr>
        <w:tabs>
          <w:tab w:val="left" w:pos="851"/>
        </w:tabs>
        <w:ind w:left="851"/>
        <w:rPr>
          <w:spacing w:val="-3"/>
          <w:sz w:val="24"/>
          <w:szCs w:val="24"/>
        </w:rPr>
      </w:pPr>
    </w:p>
    <w:p w14:paraId="0562B28E" w14:textId="77777777" w:rsidR="0055508C" w:rsidRPr="00516253" w:rsidRDefault="0055508C" w:rsidP="00516253">
      <w:pPr>
        <w:tabs>
          <w:tab w:val="left" w:pos="851"/>
        </w:tabs>
        <w:ind w:left="851"/>
        <w:rPr>
          <w:spacing w:val="-3"/>
          <w:sz w:val="24"/>
          <w:szCs w:val="24"/>
        </w:rPr>
      </w:pPr>
      <w:r w:rsidRPr="00516253">
        <w:rPr>
          <w:spacing w:val="-3"/>
          <w:sz w:val="24"/>
          <w:szCs w:val="24"/>
        </w:rPr>
        <w:t xml:space="preserve">Behandlingen skal initieres, så snart de første kliniske tegn opstår. </w:t>
      </w:r>
    </w:p>
    <w:p w14:paraId="3668969A" w14:textId="77777777" w:rsidR="0055508C" w:rsidRPr="00516253" w:rsidRDefault="0055508C" w:rsidP="00516253">
      <w:pPr>
        <w:ind w:left="851"/>
        <w:rPr>
          <w:sz w:val="24"/>
          <w:szCs w:val="24"/>
        </w:rPr>
      </w:pPr>
    </w:p>
    <w:p w14:paraId="65666171" w14:textId="77777777" w:rsidR="0055508C" w:rsidRPr="00516253" w:rsidRDefault="0055508C" w:rsidP="00516253">
      <w:pPr>
        <w:ind w:left="851"/>
        <w:rPr>
          <w:sz w:val="24"/>
          <w:szCs w:val="24"/>
        </w:rPr>
      </w:pPr>
      <w:r w:rsidRPr="00516253">
        <w:rPr>
          <w:sz w:val="24"/>
          <w:szCs w:val="24"/>
        </w:rPr>
        <w:t>For at sikre korrekt dosering bør besætningens gennemsnitlige legemsvægt fastlægges så præcist som muligt.</w:t>
      </w:r>
    </w:p>
    <w:p w14:paraId="23B5218A" w14:textId="77777777" w:rsidR="0055508C" w:rsidRPr="00516253" w:rsidRDefault="0055508C" w:rsidP="00516253">
      <w:pPr>
        <w:tabs>
          <w:tab w:val="left" w:pos="851"/>
        </w:tabs>
        <w:ind w:left="851"/>
        <w:rPr>
          <w:spacing w:val="-3"/>
          <w:sz w:val="24"/>
          <w:szCs w:val="24"/>
        </w:rPr>
      </w:pPr>
    </w:p>
    <w:p w14:paraId="76D47DC7" w14:textId="77777777" w:rsidR="0055508C" w:rsidRPr="00516253" w:rsidRDefault="0055508C" w:rsidP="00516253">
      <w:pPr>
        <w:ind w:left="851"/>
        <w:rPr>
          <w:sz w:val="24"/>
          <w:szCs w:val="24"/>
        </w:rPr>
      </w:pPr>
      <w:r w:rsidRPr="00516253">
        <w:rPr>
          <w:sz w:val="24"/>
          <w:szCs w:val="24"/>
        </w:rPr>
        <w:t xml:space="preserve">Indtagelse af medicineret vand afhænger af dyrenes kliniske tilstand. For at opnå den korrekte dosering kan det være nødvendigt at justere koncentrationen af </w:t>
      </w:r>
      <w:proofErr w:type="spellStart"/>
      <w:r w:rsidRPr="00516253">
        <w:rPr>
          <w:sz w:val="24"/>
          <w:szCs w:val="24"/>
        </w:rPr>
        <w:t>lincomycin</w:t>
      </w:r>
      <w:proofErr w:type="spellEnd"/>
      <w:r w:rsidRPr="00516253">
        <w:rPr>
          <w:sz w:val="24"/>
          <w:szCs w:val="24"/>
        </w:rPr>
        <w:t xml:space="preserve"> og </w:t>
      </w:r>
      <w:proofErr w:type="spellStart"/>
      <w:r w:rsidRPr="00516253">
        <w:rPr>
          <w:sz w:val="24"/>
          <w:szCs w:val="24"/>
        </w:rPr>
        <w:t>spectinomycin</w:t>
      </w:r>
      <w:proofErr w:type="spellEnd"/>
      <w:r w:rsidRPr="00516253">
        <w:rPr>
          <w:sz w:val="24"/>
          <w:szCs w:val="24"/>
        </w:rPr>
        <w:t xml:space="preserve"> i overensstemmelse hermed.</w:t>
      </w:r>
    </w:p>
    <w:p w14:paraId="50EA228B" w14:textId="77777777" w:rsidR="0055508C" w:rsidRPr="00516253" w:rsidRDefault="0055508C" w:rsidP="00516253">
      <w:pPr>
        <w:ind w:left="851"/>
        <w:rPr>
          <w:sz w:val="24"/>
          <w:szCs w:val="24"/>
        </w:rPr>
      </w:pPr>
    </w:p>
    <w:p w14:paraId="413C1406" w14:textId="77777777" w:rsidR="0055508C" w:rsidRPr="00516253" w:rsidRDefault="0055508C" w:rsidP="00516253">
      <w:pPr>
        <w:ind w:left="851"/>
        <w:rPr>
          <w:sz w:val="24"/>
          <w:szCs w:val="24"/>
        </w:rPr>
      </w:pPr>
      <w:r w:rsidRPr="00516253">
        <w:rPr>
          <w:sz w:val="24"/>
          <w:szCs w:val="24"/>
        </w:rPr>
        <w:t>Det anbefales at anvende hensigtsmæssigt kalibreret måleudstyr.</w:t>
      </w:r>
    </w:p>
    <w:p w14:paraId="38D908BD" w14:textId="77777777" w:rsidR="0055508C" w:rsidRPr="00516253" w:rsidRDefault="0055508C" w:rsidP="00516253">
      <w:pPr>
        <w:ind w:left="851"/>
        <w:rPr>
          <w:sz w:val="24"/>
          <w:szCs w:val="24"/>
        </w:rPr>
      </w:pPr>
    </w:p>
    <w:p w14:paraId="79311D56" w14:textId="77777777" w:rsidR="0055508C" w:rsidRPr="00516253" w:rsidRDefault="0055508C" w:rsidP="00516253">
      <w:pPr>
        <w:ind w:left="851"/>
        <w:rPr>
          <w:sz w:val="24"/>
          <w:szCs w:val="24"/>
        </w:rPr>
      </w:pPr>
      <w:r w:rsidRPr="00516253">
        <w:rPr>
          <w:sz w:val="24"/>
          <w:szCs w:val="24"/>
        </w:rPr>
        <w:t>Baseret på den anbefalede dosis, antallet af dyr, der skal behandles, samt disses legemsvægt bør den nøjagtige daglige koncentration af veterinærlægemidlet beregnes efter følgende formel:</w:t>
      </w:r>
    </w:p>
    <w:p w14:paraId="6C3F74E9" w14:textId="77777777" w:rsidR="0055508C" w:rsidRDefault="0055508C" w:rsidP="0055508C">
      <w:pPr>
        <w:rPr>
          <w:szCs w:val="22"/>
        </w:rPr>
      </w:pPr>
    </w:p>
    <w:tbl>
      <w:tblPr>
        <w:tblStyle w:val="Tabel-Gitter"/>
        <w:tblW w:w="963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398"/>
        <w:gridCol w:w="3223"/>
        <w:gridCol w:w="70"/>
        <w:gridCol w:w="300"/>
        <w:gridCol w:w="112"/>
        <w:gridCol w:w="2875"/>
        <w:gridCol w:w="64"/>
      </w:tblGrid>
      <w:tr w:rsidR="0055508C" w14:paraId="2CB1BBFC" w14:textId="77777777" w:rsidTr="00516253">
        <w:trPr>
          <w:gridAfter w:val="1"/>
          <w:wAfter w:w="64" w:type="dxa"/>
        </w:trPr>
        <w:tc>
          <w:tcPr>
            <w:tcW w:w="2592" w:type="dxa"/>
            <w:tcBorders>
              <w:top w:val="nil"/>
              <w:left w:val="nil"/>
              <w:bottom w:val="single" w:sz="4" w:space="0" w:color="auto"/>
              <w:right w:val="nil"/>
            </w:tcBorders>
            <w:hideMark/>
          </w:tcPr>
          <w:p w14:paraId="5974F479" w14:textId="77777777" w:rsidR="0055508C" w:rsidRDefault="0055508C" w:rsidP="00D62C39">
            <w:pPr>
              <w:ind w:right="66"/>
              <w:textAlignment w:val="baseline"/>
              <w:rPr>
                <w:rFonts w:eastAsia="Arial"/>
                <w:color w:val="000000"/>
                <w:szCs w:val="22"/>
              </w:rPr>
            </w:pPr>
            <w:bookmarkStart w:id="10" w:name="_Hlk132294723"/>
            <w:r>
              <w:rPr>
                <w:rFonts w:eastAsia="Arial"/>
                <w:color w:val="000000"/>
                <w:szCs w:val="22"/>
              </w:rPr>
              <w:t>mg pulver/ kg legemsvægt/ dag</w:t>
            </w:r>
          </w:p>
        </w:tc>
        <w:tc>
          <w:tcPr>
            <w:tcW w:w="398" w:type="dxa"/>
            <w:tcBorders>
              <w:top w:val="nil"/>
              <w:left w:val="nil"/>
              <w:bottom w:val="single" w:sz="4" w:space="0" w:color="auto"/>
              <w:right w:val="nil"/>
            </w:tcBorders>
            <w:vAlign w:val="bottom"/>
            <w:hideMark/>
          </w:tcPr>
          <w:p w14:paraId="76D39A19" w14:textId="77777777" w:rsidR="0055508C" w:rsidRDefault="0055508C">
            <w:pPr>
              <w:ind w:right="66"/>
              <w:jc w:val="center"/>
              <w:textAlignment w:val="baseline"/>
              <w:rPr>
                <w:rFonts w:eastAsia="Arial"/>
                <w:color w:val="000000"/>
                <w:szCs w:val="22"/>
              </w:rPr>
            </w:pPr>
            <w:r>
              <w:rPr>
                <w:rFonts w:eastAsia="Arial"/>
                <w:color w:val="000000"/>
                <w:szCs w:val="22"/>
              </w:rPr>
              <w:t>x</w:t>
            </w:r>
          </w:p>
        </w:tc>
        <w:tc>
          <w:tcPr>
            <w:tcW w:w="3293" w:type="dxa"/>
            <w:gridSpan w:val="2"/>
            <w:tcBorders>
              <w:top w:val="nil"/>
              <w:left w:val="nil"/>
              <w:bottom w:val="single" w:sz="4" w:space="0" w:color="auto"/>
              <w:right w:val="nil"/>
            </w:tcBorders>
            <w:hideMark/>
          </w:tcPr>
          <w:p w14:paraId="2ECBB09D" w14:textId="77777777" w:rsidR="0055508C" w:rsidRDefault="0055508C">
            <w:pPr>
              <w:ind w:right="66"/>
              <w:jc w:val="both"/>
              <w:textAlignment w:val="baseline"/>
              <w:rPr>
                <w:rFonts w:eastAsia="Arial"/>
                <w:color w:val="000000"/>
                <w:szCs w:val="22"/>
              </w:rPr>
            </w:pPr>
            <w:r>
              <w:rPr>
                <w:rFonts w:eastAsia="Arial"/>
                <w:color w:val="000000"/>
                <w:szCs w:val="22"/>
              </w:rPr>
              <w:t>Gennemsnitlig legemsvægt (kg) på dyr, der skal behandles</w:t>
            </w:r>
          </w:p>
        </w:tc>
        <w:tc>
          <w:tcPr>
            <w:tcW w:w="412" w:type="dxa"/>
            <w:gridSpan w:val="2"/>
            <w:vAlign w:val="bottom"/>
            <w:hideMark/>
          </w:tcPr>
          <w:p w14:paraId="57433081" w14:textId="77777777" w:rsidR="0055508C" w:rsidRDefault="0055508C">
            <w:pPr>
              <w:ind w:right="66"/>
              <w:jc w:val="center"/>
              <w:textAlignment w:val="baseline"/>
              <w:rPr>
                <w:rFonts w:eastAsia="Arial"/>
                <w:color w:val="000000"/>
                <w:szCs w:val="22"/>
              </w:rPr>
            </w:pPr>
            <w:r>
              <w:rPr>
                <w:rFonts w:eastAsia="Arial"/>
                <w:color w:val="000000"/>
                <w:szCs w:val="22"/>
              </w:rPr>
              <w:t>=</w:t>
            </w:r>
          </w:p>
        </w:tc>
        <w:tc>
          <w:tcPr>
            <w:tcW w:w="2875" w:type="dxa"/>
            <w:vAlign w:val="center"/>
            <w:hideMark/>
          </w:tcPr>
          <w:p w14:paraId="47A8AAEA" w14:textId="77777777" w:rsidR="0055508C" w:rsidRDefault="0055508C">
            <w:pPr>
              <w:ind w:right="66"/>
              <w:textAlignment w:val="baseline"/>
              <w:rPr>
                <w:rFonts w:eastAsia="Arial"/>
                <w:color w:val="000000"/>
                <w:szCs w:val="22"/>
              </w:rPr>
            </w:pPr>
            <w:r>
              <w:rPr>
                <w:rFonts w:eastAsia="Arial"/>
                <w:color w:val="000000"/>
                <w:szCs w:val="22"/>
              </w:rPr>
              <w:t>mg pulver pr. liter drikkevand</w:t>
            </w:r>
          </w:p>
        </w:tc>
      </w:tr>
      <w:tr w:rsidR="0055508C" w14:paraId="3477AB65" w14:textId="77777777" w:rsidTr="00516253">
        <w:tc>
          <w:tcPr>
            <w:tcW w:w="6213" w:type="dxa"/>
            <w:gridSpan w:val="3"/>
            <w:tcBorders>
              <w:top w:val="single" w:sz="4" w:space="0" w:color="auto"/>
              <w:left w:val="nil"/>
              <w:bottom w:val="nil"/>
              <w:right w:val="nil"/>
            </w:tcBorders>
            <w:vAlign w:val="bottom"/>
            <w:hideMark/>
          </w:tcPr>
          <w:p w14:paraId="39857861" w14:textId="77777777" w:rsidR="0055508C" w:rsidRDefault="0055508C">
            <w:pPr>
              <w:ind w:right="66"/>
              <w:jc w:val="center"/>
              <w:textAlignment w:val="baseline"/>
              <w:rPr>
                <w:rFonts w:eastAsia="Arial"/>
                <w:color w:val="000000"/>
                <w:szCs w:val="22"/>
              </w:rPr>
            </w:pPr>
            <w:r>
              <w:rPr>
                <w:rFonts w:eastAsia="Arial"/>
                <w:color w:val="000000"/>
                <w:szCs w:val="22"/>
              </w:rPr>
              <w:t>Gennemsnitligt dagligt vandindtag (l/dyr)</w:t>
            </w:r>
          </w:p>
        </w:tc>
        <w:tc>
          <w:tcPr>
            <w:tcW w:w="370" w:type="dxa"/>
            <w:gridSpan w:val="2"/>
            <w:vAlign w:val="bottom"/>
          </w:tcPr>
          <w:p w14:paraId="5068062A" w14:textId="77777777" w:rsidR="0055508C" w:rsidRDefault="0055508C">
            <w:pPr>
              <w:ind w:right="66"/>
              <w:jc w:val="center"/>
              <w:textAlignment w:val="baseline"/>
              <w:rPr>
                <w:rFonts w:eastAsia="Arial"/>
                <w:color w:val="000000"/>
                <w:szCs w:val="22"/>
              </w:rPr>
            </w:pPr>
          </w:p>
        </w:tc>
        <w:tc>
          <w:tcPr>
            <w:tcW w:w="3051" w:type="dxa"/>
            <w:gridSpan w:val="3"/>
          </w:tcPr>
          <w:p w14:paraId="41C16CCC" w14:textId="77777777" w:rsidR="0055508C" w:rsidRDefault="0055508C">
            <w:pPr>
              <w:ind w:right="66"/>
              <w:jc w:val="both"/>
              <w:textAlignment w:val="baseline"/>
              <w:rPr>
                <w:rFonts w:eastAsia="Arial"/>
                <w:color w:val="000000"/>
                <w:szCs w:val="22"/>
              </w:rPr>
            </w:pPr>
          </w:p>
        </w:tc>
      </w:tr>
      <w:bookmarkEnd w:id="10"/>
    </w:tbl>
    <w:p w14:paraId="6DF720FF" w14:textId="77777777" w:rsidR="0055508C" w:rsidRDefault="0055508C" w:rsidP="0055508C">
      <w:pPr>
        <w:tabs>
          <w:tab w:val="left" w:pos="1304"/>
        </w:tabs>
        <w:rPr>
          <w:b/>
          <w:sz w:val="22"/>
          <w:szCs w:val="22"/>
        </w:rPr>
      </w:pPr>
    </w:p>
    <w:p w14:paraId="40B8C4C0" w14:textId="77777777" w:rsidR="0055508C" w:rsidRPr="00516253" w:rsidRDefault="0055508C" w:rsidP="00516253">
      <w:pPr>
        <w:ind w:left="851"/>
        <w:rPr>
          <w:sz w:val="24"/>
          <w:szCs w:val="24"/>
        </w:rPr>
      </w:pPr>
      <w:r w:rsidRPr="00516253">
        <w:rPr>
          <w:sz w:val="24"/>
          <w:szCs w:val="24"/>
        </w:rPr>
        <w:t xml:space="preserve">Det medicinerede drikkevand bør være den eneste adgang til drikkevand i behandlingsperioden. Det medicinerede drikkevand bør opfriskes eller udskiftes efter 24 timer. </w:t>
      </w:r>
    </w:p>
    <w:p w14:paraId="0B60C3EF" w14:textId="77777777" w:rsidR="0055508C" w:rsidRPr="00516253" w:rsidRDefault="0055508C" w:rsidP="00516253">
      <w:pPr>
        <w:ind w:left="851"/>
        <w:rPr>
          <w:sz w:val="24"/>
          <w:szCs w:val="24"/>
        </w:rPr>
      </w:pPr>
      <w:r w:rsidRPr="00516253">
        <w:rPr>
          <w:sz w:val="24"/>
          <w:szCs w:val="24"/>
        </w:rPr>
        <w:t>Al medicineret drikkevand, der ikke er indtaget inden for 24 timer, skal bortskaffes.</w:t>
      </w:r>
    </w:p>
    <w:p w14:paraId="1A49548F" w14:textId="77777777" w:rsidR="0055508C" w:rsidRPr="00516253" w:rsidRDefault="0055508C" w:rsidP="00D62C39">
      <w:pPr>
        <w:ind w:left="851" w:right="66"/>
        <w:textAlignment w:val="baseline"/>
        <w:rPr>
          <w:rFonts w:eastAsia="Arial"/>
          <w:color w:val="000000"/>
          <w:sz w:val="24"/>
          <w:szCs w:val="24"/>
        </w:rPr>
      </w:pPr>
      <w:bookmarkStart w:id="11" w:name="_Hlk106965300"/>
      <w:r w:rsidRPr="00516253">
        <w:rPr>
          <w:rFonts w:eastAsia="Arial"/>
          <w:color w:val="000000"/>
          <w:sz w:val="24"/>
          <w:szCs w:val="24"/>
        </w:rPr>
        <w:t>Veterinærlægemidlets maksimale opløselighed i blødt/hårdt vand er 90 g/l ved 20°C og 70 g/l ved 5°C.</w:t>
      </w:r>
      <w:bookmarkEnd w:id="11"/>
      <w:r w:rsidRPr="00516253">
        <w:rPr>
          <w:rFonts w:eastAsia="Arial"/>
          <w:color w:val="000000"/>
          <w:sz w:val="24"/>
          <w:szCs w:val="24"/>
        </w:rPr>
        <w:t xml:space="preserve"> </w:t>
      </w:r>
    </w:p>
    <w:p w14:paraId="0A3DB64A" w14:textId="77777777" w:rsidR="0055508C" w:rsidRPr="00516253" w:rsidRDefault="0055508C" w:rsidP="00D62C39">
      <w:pPr>
        <w:ind w:left="851"/>
        <w:rPr>
          <w:bCs/>
          <w:sz w:val="24"/>
          <w:szCs w:val="24"/>
        </w:rPr>
      </w:pPr>
      <w:bookmarkStart w:id="12" w:name="_Hlk135640783"/>
      <w:r w:rsidRPr="00516253">
        <w:rPr>
          <w:sz w:val="24"/>
          <w:szCs w:val="24"/>
        </w:rPr>
        <w:t>Ved brug af en vandtank anbefales det at klargøre en stamopløsning og fortynde den til den endelige målkoncentration. Sluk for vandforsyningen til tanken, indtil hele medicinopløsningen er opbrugt.</w:t>
      </w:r>
    </w:p>
    <w:p w14:paraId="7C86DB2B" w14:textId="77777777" w:rsidR="0055508C" w:rsidRPr="00516253" w:rsidRDefault="0055508C" w:rsidP="00D62C39">
      <w:pPr>
        <w:ind w:left="851"/>
        <w:rPr>
          <w:bCs/>
          <w:sz w:val="24"/>
          <w:szCs w:val="24"/>
        </w:rPr>
      </w:pPr>
      <w:r w:rsidRPr="00516253">
        <w:rPr>
          <w:sz w:val="24"/>
          <w:szCs w:val="24"/>
        </w:rPr>
        <w:t xml:space="preserve">Når der anvendes en </w:t>
      </w:r>
      <w:proofErr w:type="spellStart"/>
      <w:r w:rsidRPr="00516253">
        <w:rPr>
          <w:sz w:val="24"/>
          <w:szCs w:val="24"/>
        </w:rPr>
        <w:t>tilblander</w:t>
      </w:r>
      <w:proofErr w:type="spellEnd"/>
      <w:r w:rsidRPr="00516253">
        <w:rPr>
          <w:sz w:val="24"/>
          <w:szCs w:val="24"/>
        </w:rPr>
        <w:t>, justeres doseringspumpens flowhastighed i henhold til stamopløsningens koncentration og vandindtaget hos de dyr, der skal behandles.</w:t>
      </w:r>
    </w:p>
    <w:p w14:paraId="5C92F9DB" w14:textId="77777777" w:rsidR="0055508C" w:rsidRPr="00516253" w:rsidRDefault="0055508C" w:rsidP="00D62C39">
      <w:pPr>
        <w:tabs>
          <w:tab w:val="left" w:pos="1304"/>
        </w:tabs>
        <w:ind w:left="851"/>
        <w:rPr>
          <w:bCs/>
          <w:sz w:val="24"/>
          <w:szCs w:val="24"/>
        </w:rPr>
      </w:pPr>
      <w:r w:rsidRPr="00516253">
        <w:rPr>
          <w:sz w:val="24"/>
          <w:szCs w:val="24"/>
        </w:rPr>
        <w:t>Det skal overvåges, at den påtænkte dosis indtages fuldstændigt.</w:t>
      </w:r>
    </w:p>
    <w:p w14:paraId="0D881C81" w14:textId="77777777" w:rsidR="0055508C" w:rsidRPr="00516253" w:rsidRDefault="0055508C" w:rsidP="00D62C39">
      <w:pPr>
        <w:tabs>
          <w:tab w:val="left" w:pos="1304"/>
        </w:tabs>
        <w:ind w:left="851"/>
        <w:rPr>
          <w:iCs/>
          <w:sz w:val="24"/>
          <w:szCs w:val="24"/>
        </w:rPr>
      </w:pPr>
      <w:r w:rsidRPr="00516253">
        <w:rPr>
          <w:sz w:val="24"/>
          <w:szCs w:val="24"/>
        </w:rPr>
        <w:t>Efter udløb af medicineringsperioden skal vandforsyningssystemet rengøres på passende vis for at undgå indtagelse af subterapeutiske mængder af det aktive stof.</w:t>
      </w:r>
    </w:p>
    <w:bookmarkEnd w:id="12"/>
    <w:p w14:paraId="0D79898D" w14:textId="77777777" w:rsidR="008203A8" w:rsidRPr="00516253" w:rsidRDefault="008203A8" w:rsidP="00516253">
      <w:pPr>
        <w:tabs>
          <w:tab w:val="left" w:pos="851"/>
        </w:tabs>
        <w:ind w:left="851"/>
        <w:rPr>
          <w:sz w:val="24"/>
          <w:szCs w:val="24"/>
        </w:rPr>
      </w:pPr>
    </w:p>
    <w:p w14:paraId="0A9E9714"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16CEC2E7" w14:textId="77777777" w:rsidR="00F062FA" w:rsidRPr="00F062FA" w:rsidRDefault="00F062FA" w:rsidP="00F062FA">
      <w:pPr>
        <w:tabs>
          <w:tab w:val="left" w:pos="851"/>
        </w:tabs>
        <w:ind w:left="851"/>
        <w:rPr>
          <w:sz w:val="24"/>
          <w:szCs w:val="24"/>
        </w:rPr>
      </w:pPr>
      <w:r w:rsidRPr="00F062FA">
        <w:rPr>
          <w:sz w:val="24"/>
          <w:szCs w:val="24"/>
        </w:rPr>
        <w:t>I tilfælde af en overdosis hos svin kan der observeres en ændring i konsistensen af fæces (blød fæces og/eller diarré).</w:t>
      </w:r>
    </w:p>
    <w:p w14:paraId="1517D9C8" w14:textId="77777777" w:rsidR="00F062FA" w:rsidRPr="00F062FA" w:rsidRDefault="00F062FA" w:rsidP="00F062FA">
      <w:pPr>
        <w:tabs>
          <w:tab w:val="left" w:pos="851"/>
        </w:tabs>
        <w:ind w:left="851"/>
        <w:rPr>
          <w:sz w:val="24"/>
          <w:szCs w:val="24"/>
        </w:rPr>
      </w:pPr>
      <w:r w:rsidRPr="00F062FA">
        <w:rPr>
          <w:sz w:val="24"/>
          <w:szCs w:val="24"/>
        </w:rPr>
        <w:t xml:space="preserve">Hos kyllinger, der blev behandlet med en dosis flere gange højere end den anbefalede dosis, kunne der observeres udvidelse af </w:t>
      </w:r>
      <w:proofErr w:type="spellStart"/>
      <w:r w:rsidRPr="00F062FA">
        <w:rPr>
          <w:sz w:val="24"/>
          <w:szCs w:val="24"/>
        </w:rPr>
        <w:t>caecum</w:t>
      </w:r>
      <w:proofErr w:type="spellEnd"/>
      <w:r w:rsidRPr="00F062FA">
        <w:rPr>
          <w:sz w:val="24"/>
          <w:szCs w:val="24"/>
        </w:rPr>
        <w:t xml:space="preserve"> og unormalt indhold i </w:t>
      </w:r>
      <w:proofErr w:type="spellStart"/>
      <w:r w:rsidRPr="00F062FA">
        <w:rPr>
          <w:sz w:val="24"/>
          <w:szCs w:val="24"/>
        </w:rPr>
        <w:t>caecum</w:t>
      </w:r>
      <w:proofErr w:type="spellEnd"/>
      <w:r w:rsidRPr="00F062FA">
        <w:rPr>
          <w:sz w:val="24"/>
          <w:szCs w:val="24"/>
        </w:rPr>
        <w:t>.</w:t>
      </w:r>
    </w:p>
    <w:p w14:paraId="4F0A9A88" w14:textId="77777777" w:rsidR="00F062FA" w:rsidRPr="00F062FA" w:rsidRDefault="00F062FA" w:rsidP="00F062FA">
      <w:pPr>
        <w:tabs>
          <w:tab w:val="left" w:pos="851"/>
        </w:tabs>
        <w:ind w:left="851"/>
        <w:rPr>
          <w:sz w:val="24"/>
          <w:szCs w:val="24"/>
        </w:rPr>
      </w:pPr>
      <w:r w:rsidRPr="00F062FA">
        <w:rPr>
          <w:sz w:val="24"/>
          <w:szCs w:val="24"/>
        </w:rPr>
        <w:t xml:space="preserve">I tilfælde af overdosis ved hændeligt uheld, skal behandlingen seponeres og </w:t>
      </w:r>
      <w:proofErr w:type="spellStart"/>
      <w:r w:rsidRPr="00F062FA">
        <w:rPr>
          <w:sz w:val="24"/>
          <w:szCs w:val="24"/>
        </w:rPr>
        <w:t>reinitieres</w:t>
      </w:r>
      <w:proofErr w:type="spellEnd"/>
      <w:r w:rsidRPr="00F062FA">
        <w:rPr>
          <w:sz w:val="24"/>
          <w:szCs w:val="24"/>
        </w:rPr>
        <w:t xml:space="preserve"> ved den anbefalede dosis.</w:t>
      </w:r>
    </w:p>
    <w:p w14:paraId="5BC0E73E" w14:textId="77777777" w:rsidR="008203A8" w:rsidRDefault="008203A8" w:rsidP="008203A8">
      <w:pPr>
        <w:tabs>
          <w:tab w:val="left" w:pos="851"/>
        </w:tabs>
        <w:ind w:left="851"/>
        <w:rPr>
          <w:sz w:val="24"/>
          <w:szCs w:val="24"/>
        </w:rPr>
      </w:pPr>
    </w:p>
    <w:p w14:paraId="12741D01"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3787505C" w14:textId="77777777" w:rsidR="00F062FA" w:rsidRPr="00F062FA" w:rsidRDefault="00F062FA" w:rsidP="00F062FA">
      <w:pPr>
        <w:tabs>
          <w:tab w:val="left" w:pos="851"/>
        </w:tabs>
        <w:ind w:left="851"/>
        <w:rPr>
          <w:sz w:val="24"/>
          <w:szCs w:val="24"/>
        </w:rPr>
      </w:pPr>
      <w:r w:rsidRPr="00F062FA">
        <w:rPr>
          <w:sz w:val="24"/>
          <w:szCs w:val="24"/>
        </w:rPr>
        <w:t>Ikke relevant.</w:t>
      </w:r>
    </w:p>
    <w:p w14:paraId="31765A35" w14:textId="77777777" w:rsidR="008203A8" w:rsidRPr="00406EE7" w:rsidRDefault="008203A8" w:rsidP="008203A8">
      <w:pPr>
        <w:tabs>
          <w:tab w:val="left" w:pos="851"/>
        </w:tabs>
        <w:ind w:left="851"/>
        <w:rPr>
          <w:sz w:val="24"/>
          <w:szCs w:val="24"/>
        </w:rPr>
      </w:pPr>
    </w:p>
    <w:p w14:paraId="246F7E98"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78C8D596" w14:textId="77777777" w:rsidR="00F062FA" w:rsidRPr="00F062FA" w:rsidRDefault="00F062FA" w:rsidP="00F062FA">
      <w:pPr>
        <w:pStyle w:val="Sidehoved"/>
        <w:ind w:left="851"/>
        <w:rPr>
          <w:szCs w:val="24"/>
        </w:rPr>
      </w:pPr>
    </w:p>
    <w:p w14:paraId="4BB6CBBC" w14:textId="56E10264" w:rsidR="00F062FA" w:rsidRPr="00F062FA" w:rsidRDefault="00F062FA" w:rsidP="00F062FA">
      <w:pPr>
        <w:pStyle w:val="Sidehoved"/>
        <w:ind w:left="851"/>
        <w:rPr>
          <w:szCs w:val="24"/>
          <w:u w:val="single"/>
        </w:rPr>
      </w:pPr>
      <w:r w:rsidRPr="00F062FA">
        <w:rPr>
          <w:szCs w:val="24"/>
          <w:u w:val="single"/>
        </w:rPr>
        <w:t>Svin</w:t>
      </w:r>
    </w:p>
    <w:p w14:paraId="3EB2C908" w14:textId="77777777" w:rsidR="00F062FA" w:rsidRPr="00F062FA" w:rsidRDefault="00F062FA" w:rsidP="00F062FA">
      <w:pPr>
        <w:pStyle w:val="Sidehoved"/>
        <w:ind w:left="851"/>
        <w:rPr>
          <w:szCs w:val="24"/>
        </w:rPr>
      </w:pPr>
      <w:r w:rsidRPr="00F062FA">
        <w:rPr>
          <w:szCs w:val="24"/>
        </w:rPr>
        <w:t>Slagtning: 0 dage.</w:t>
      </w:r>
    </w:p>
    <w:p w14:paraId="6BD71AA9" w14:textId="77777777" w:rsidR="00F062FA" w:rsidRPr="00F062FA" w:rsidRDefault="00F062FA" w:rsidP="00F062FA">
      <w:pPr>
        <w:pStyle w:val="Sidehoved"/>
        <w:ind w:left="851"/>
        <w:rPr>
          <w:szCs w:val="24"/>
        </w:rPr>
      </w:pPr>
    </w:p>
    <w:p w14:paraId="3626AEAB" w14:textId="11259976" w:rsidR="00F062FA" w:rsidRPr="00F062FA" w:rsidRDefault="00F062FA" w:rsidP="00F062FA">
      <w:pPr>
        <w:pStyle w:val="Sidehoved"/>
        <w:ind w:left="851"/>
        <w:rPr>
          <w:szCs w:val="24"/>
          <w:u w:val="single"/>
        </w:rPr>
      </w:pPr>
      <w:r w:rsidRPr="00F062FA">
        <w:rPr>
          <w:szCs w:val="24"/>
          <w:u w:val="single"/>
        </w:rPr>
        <w:t>Kyllinger</w:t>
      </w:r>
    </w:p>
    <w:p w14:paraId="0507B7E8" w14:textId="77777777" w:rsidR="00F062FA" w:rsidRPr="00F062FA" w:rsidRDefault="00F062FA" w:rsidP="00F062FA">
      <w:pPr>
        <w:pStyle w:val="Sidehoved"/>
        <w:ind w:left="851"/>
        <w:rPr>
          <w:szCs w:val="24"/>
        </w:rPr>
      </w:pPr>
      <w:r w:rsidRPr="00F062FA">
        <w:rPr>
          <w:szCs w:val="24"/>
        </w:rPr>
        <w:t>Slagtning: 5 dage.</w:t>
      </w:r>
    </w:p>
    <w:p w14:paraId="1426F455" w14:textId="77777777" w:rsidR="00F062FA" w:rsidRPr="00F062FA" w:rsidRDefault="00F062FA" w:rsidP="00F062FA">
      <w:pPr>
        <w:pStyle w:val="Sidehoved"/>
        <w:ind w:left="851"/>
        <w:rPr>
          <w:szCs w:val="24"/>
        </w:rPr>
      </w:pPr>
      <w:r w:rsidRPr="00F062FA">
        <w:rPr>
          <w:szCs w:val="24"/>
        </w:rPr>
        <w:t>Må ikke anvendes til fugle, hvis æg er bestemt til menneskeføde.</w:t>
      </w:r>
    </w:p>
    <w:p w14:paraId="35782B6F" w14:textId="77777777" w:rsidR="00F062FA" w:rsidRPr="00F062FA" w:rsidRDefault="00F062FA" w:rsidP="00F062FA">
      <w:pPr>
        <w:pStyle w:val="Sidehoved"/>
        <w:ind w:left="851"/>
        <w:rPr>
          <w:szCs w:val="24"/>
        </w:rPr>
      </w:pPr>
    </w:p>
    <w:p w14:paraId="5E2710E6" w14:textId="77777777" w:rsidR="00F062FA" w:rsidRPr="00F062FA" w:rsidRDefault="00F062FA" w:rsidP="00F062FA">
      <w:pPr>
        <w:pStyle w:val="Sidehoved"/>
        <w:ind w:left="851"/>
        <w:rPr>
          <w:szCs w:val="24"/>
        </w:rPr>
      </w:pPr>
      <w:r w:rsidRPr="00F062FA">
        <w:rPr>
          <w:szCs w:val="24"/>
        </w:rPr>
        <w:t>Dyr, der behandles, må ikke slagtes til menneskeføde.</w:t>
      </w:r>
    </w:p>
    <w:p w14:paraId="2B20C288" w14:textId="77777777" w:rsidR="008203A8" w:rsidRPr="00406EE7" w:rsidRDefault="008203A8" w:rsidP="008203A8">
      <w:pPr>
        <w:pStyle w:val="Sidehoved"/>
        <w:tabs>
          <w:tab w:val="clear" w:pos="4819"/>
        </w:tabs>
        <w:ind w:left="851"/>
        <w:rPr>
          <w:szCs w:val="24"/>
        </w:rPr>
      </w:pPr>
    </w:p>
    <w:p w14:paraId="22D3B120" w14:textId="77777777" w:rsidR="008203A8" w:rsidRPr="00406EE7" w:rsidRDefault="008203A8" w:rsidP="008203A8">
      <w:pPr>
        <w:tabs>
          <w:tab w:val="left" w:pos="851"/>
        </w:tabs>
        <w:ind w:left="851"/>
        <w:rPr>
          <w:sz w:val="24"/>
          <w:szCs w:val="24"/>
        </w:rPr>
      </w:pPr>
    </w:p>
    <w:p w14:paraId="2E3EEAAC" w14:textId="46912EA5" w:rsidR="008203A8" w:rsidRPr="00D62C39" w:rsidRDefault="008203A8" w:rsidP="008203A8">
      <w:pPr>
        <w:ind w:left="851" w:hanging="851"/>
        <w:rPr>
          <w:b/>
          <w:sz w:val="24"/>
          <w:szCs w:val="24"/>
        </w:rPr>
      </w:pPr>
      <w:r w:rsidRPr="00D62C39">
        <w:rPr>
          <w:b/>
          <w:sz w:val="24"/>
          <w:szCs w:val="24"/>
        </w:rPr>
        <w:t>4.</w:t>
      </w:r>
      <w:r w:rsidRPr="00D62C39">
        <w:rPr>
          <w:b/>
          <w:sz w:val="24"/>
          <w:szCs w:val="24"/>
        </w:rPr>
        <w:tab/>
        <w:t>FARMAKOLOGISKE OPLYSNINGER</w:t>
      </w:r>
    </w:p>
    <w:p w14:paraId="3EBD9E5A" w14:textId="77777777" w:rsidR="008203A8" w:rsidRPr="00D62C39" w:rsidRDefault="008203A8" w:rsidP="008203A8">
      <w:pPr>
        <w:ind w:left="851"/>
        <w:rPr>
          <w:sz w:val="24"/>
          <w:szCs w:val="24"/>
        </w:rPr>
      </w:pPr>
    </w:p>
    <w:p w14:paraId="0B70C2AF" w14:textId="77777777" w:rsidR="008203A8" w:rsidRPr="00D62C39" w:rsidRDefault="008203A8" w:rsidP="008203A8">
      <w:pPr>
        <w:ind w:left="851" w:hanging="851"/>
        <w:rPr>
          <w:b/>
          <w:sz w:val="24"/>
          <w:szCs w:val="24"/>
        </w:rPr>
      </w:pPr>
      <w:r w:rsidRPr="00D62C39">
        <w:rPr>
          <w:b/>
          <w:sz w:val="24"/>
          <w:szCs w:val="24"/>
        </w:rPr>
        <w:t>4.1</w:t>
      </w:r>
      <w:r w:rsidRPr="00D62C39">
        <w:rPr>
          <w:b/>
          <w:sz w:val="24"/>
          <w:szCs w:val="24"/>
        </w:rPr>
        <w:tab/>
      </w:r>
      <w:proofErr w:type="spellStart"/>
      <w:r w:rsidRPr="00D62C39">
        <w:rPr>
          <w:b/>
          <w:sz w:val="24"/>
          <w:szCs w:val="24"/>
        </w:rPr>
        <w:t>ATCvet</w:t>
      </w:r>
      <w:proofErr w:type="spellEnd"/>
      <w:r w:rsidRPr="00D62C39">
        <w:rPr>
          <w:b/>
          <w:sz w:val="24"/>
          <w:szCs w:val="24"/>
        </w:rPr>
        <w:t>-kode</w:t>
      </w:r>
    </w:p>
    <w:p w14:paraId="7FE95AD5" w14:textId="0C8D569B" w:rsidR="008203A8" w:rsidRPr="00D62C39" w:rsidRDefault="009954DF" w:rsidP="008203A8">
      <w:pPr>
        <w:ind w:left="851"/>
        <w:rPr>
          <w:sz w:val="24"/>
          <w:szCs w:val="24"/>
        </w:rPr>
      </w:pPr>
      <w:r w:rsidRPr="00D62C39">
        <w:rPr>
          <w:sz w:val="24"/>
          <w:szCs w:val="24"/>
        </w:rPr>
        <w:t>QJ01FF52</w:t>
      </w:r>
    </w:p>
    <w:p w14:paraId="364EA47A" w14:textId="77777777" w:rsidR="008203A8" w:rsidRPr="00D62C39" w:rsidRDefault="008203A8" w:rsidP="008203A8">
      <w:pPr>
        <w:ind w:left="851"/>
        <w:rPr>
          <w:sz w:val="24"/>
          <w:szCs w:val="24"/>
        </w:rPr>
      </w:pPr>
    </w:p>
    <w:p w14:paraId="0208A2FB" w14:textId="77777777" w:rsidR="008203A8" w:rsidRPr="00D62C39" w:rsidRDefault="008203A8" w:rsidP="008203A8">
      <w:pPr>
        <w:tabs>
          <w:tab w:val="left" w:pos="851"/>
        </w:tabs>
        <w:ind w:left="851" w:hanging="851"/>
        <w:rPr>
          <w:b/>
          <w:sz w:val="24"/>
          <w:szCs w:val="24"/>
        </w:rPr>
      </w:pPr>
      <w:r w:rsidRPr="00D62C39">
        <w:rPr>
          <w:b/>
          <w:sz w:val="24"/>
          <w:szCs w:val="24"/>
        </w:rPr>
        <w:t>4.2</w:t>
      </w:r>
      <w:r w:rsidRPr="00D62C39">
        <w:rPr>
          <w:b/>
          <w:sz w:val="24"/>
          <w:szCs w:val="24"/>
        </w:rPr>
        <w:tab/>
      </w:r>
      <w:proofErr w:type="spellStart"/>
      <w:r w:rsidRPr="00D62C39">
        <w:rPr>
          <w:b/>
          <w:sz w:val="24"/>
          <w:szCs w:val="24"/>
        </w:rPr>
        <w:t>Farmakodynamiske</w:t>
      </w:r>
      <w:proofErr w:type="spellEnd"/>
      <w:r w:rsidRPr="00D62C39">
        <w:rPr>
          <w:b/>
          <w:sz w:val="24"/>
          <w:szCs w:val="24"/>
        </w:rPr>
        <w:t xml:space="preserve"> oplysninger</w:t>
      </w:r>
    </w:p>
    <w:p w14:paraId="30924794" w14:textId="77777777" w:rsidR="009954DF" w:rsidRPr="009954DF" w:rsidRDefault="009954DF" w:rsidP="009954DF">
      <w:pPr>
        <w:tabs>
          <w:tab w:val="left" w:pos="851"/>
        </w:tabs>
        <w:ind w:left="851"/>
        <w:rPr>
          <w:sz w:val="24"/>
          <w:szCs w:val="24"/>
        </w:rPr>
      </w:pPr>
      <w:r w:rsidRPr="00D62C39">
        <w:rPr>
          <w:sz w:val="24"/>
          <w:szCs w:val="24"/>
        </w:rPr>
        <w:t xml:space="preserve">Veterinærlægemidlet er en kombination af to antibiotika, </w:t>
      </w:r>
      <w:proofErr w:type="spellStart"/>
      <w:r w:rsidRPr="00D62C39">
        <w:rPr>
          <w:sz w:val="24"/>
          <w:szCs w:val="24"/>
        </w:rPr>
        <w:t>lincomycin</w:t>
      </w:r>
      <w:proofErr w:type="spellEnd"/>
      <w:r w:rsidRPr="00D62C39">
        <w:rPr>
          <w:sz w:val="24"/>
          <w:szCs w:val="24"/>
        </w:rPr>
        <w:t xml:space="preserve"> og </w:t>
      </w:r>
      <w:proofErr w:type="spellStart"/>
      <w:r w:rsidRPr="00D62C39">
        <w:rPr>
          <w:sz w:val="24"/>
          <w:szCs w:val="24"/>
        </w:rPr>
        <w:t>spectinomycin</w:t>
      </w:r>
      <w:proofErr w:type="spellEnd"/>
      <w:r w:rsidRPr="00D62C39">
        <w:rPr>
          <w:sz w:val="24"/>
          <w:szCs w:val="24"/>
        </w:rPr>
        <w:t xml:space="preserve">, der har et </w:t>
      </w:r>
      <w:proofErr w:type="spellStart"/>
      <w:r w:rsidRPr="00D62C39">
        <w:rPr>
          <w:sz w:val="24"/>
          <w:szCs w:val="24"/>
        </w:rPr>
        <w:t>komplimentært</w:t>
      </w:r>
      <w:proofErr w:type="spellEnd"/>
      <w:r w:rsidRPr="00D62C39">
        <w:rPr>
          <w:sz w:val="24"/>
          <w:szCs w:val="24"/>
        </w:rPr>
        <w:t xml:space="preserve"> virkningsspektrum.</w:t>
      </w:r>
    </w:p>
    <w:p w14:paraId="76D0D107" w14:textId="77777777" w:rsidR="009954DF" w:rsidRPr="009954DF" w:rsidRDefault="009954DF" w:rsidP="009954DF">
      <w:pPr>
        <w:tabs>
          <w:tab w:val="left" w:pos="851"/>
        </w:tabs>
        <w:ind w:left="851"/>
        <w:rPr>
          <w:iCs/>
          <w:sz w:val="24"/>
          <w:szCs w:val="24"/>
        </w:rPr>
      </w:pPr>
    </w:p>
    <w:p w14:paraId="43EFF8B2" w14:textId="77777777" w:rsidR="009954DF" w:rsidRPr="009954DF" w:rsidRDefault="009954DF" w:rsidP="009954DF">
      <w:pPr>
        <w:tabs>
          <w:tab w:val="left" w:pos="851"/>
        </w:tabs>
        <w:ind w:left="851"/>
        <w:rPr>
          <w:sz w:val="24"/>
          <w:szCs w:val="24"/>
          <w:u w:val="single"/>
        </w:rPr>
      </w:pPr>
      <w:proofErr w:type="spellStart"/>
      <w:r w:rsidRPr="009954DF">
        <w:rPr>
          <w:sz w:val="24"/>
          <w:szCs w:val="24"/>
          <w:u w:val="single"/>
        </w:rPr>
        <w:t>Lincomycin</w:t>
      </w:r>
      <w:proofErr w:type="spellEnd"/>
    </w:p>
    <w:p w14:paraId="6824A7F1" w14:textId="77777777" w:rsidR="009954DF" w:rsidRPr="009954DF" w:rsidRDefault="009954DF" w:rsidP="009954DF">
      <w:pPr>
        <w:tabs>
          <w:tab w:val="left" w:pos="851"/>
        </w:tabs>
        <w:ind w:left="851"/>
        <w:rPr>
          <w:sz w:val="24"/>
          <w:szCs w:val="24"/>
        </w:rPr>
      </w:pPr>
      <w:proofErr w:type="spellStart"/>
      <w:r w:rsidRPr="009954DF">
        <w:rPr>
          <w:sz w:val="24"/>
          <w:szCs w:val="24"/>
        </w:rPr>
        <w:t>Lincomycin</w:t>
      </w:r>
      <w:proofErr w:type="spellEnd"/>
      <w:r w:rsidRPr="009954DF">
        <w:rPr>
          <w:sz w:val="24"/>
          <w:szCs w:val="24"/>
        </w:rPr>
        <w:t xml:space="preserve"> er et lincosamid antibiotikum med primært </w:t>
      </w:r>
      <w:proofErr w:type="spellStart"/>
      <w:r w:rsidRPr="009954DF">
        <w:rPr>
          <w:sz w:val="24"/>
          <w:szCs w:val="24"/>
        </w:rPr>
        <w:t>bakteriostatisk</w:t>
      </w:r>
      <w:proofErr w:type="spellEnd"/>
      <w:r w:rsidRPr="009954DF">
        <w:rPr>
          <w:sz w:val="24"/>
          <w:szCs w:val="24"/>
        </w:rPr>
        <w:t xml:space="preserve"> aktivitet, men ved høje koncentrationer kan det udøve baktericid aktivitet. Dets virkningsmekanisme og bakterielle spektrum </w:t>
      </w:r>
      <w:proofErr w:type="spellStart"/>
      <w:r w:rsidRPr="009954DF">
        <w:rPr>
          <w:sz w:val="24"/>
          <w:szCs w:val="24"/>
        </w:rPr>
        <w:t>tilsvarer</w:t>
      </w:r>
      <w:proofErr w:type="spellEnd"/>
      <w:r w:rsidRPr="009954DF">
        <w:rPr>
          <w:sz w:val="24"/>
          <w:szCs w:val="24"/>
        </w:rPr>
        <w:t xml:space="preserve"> det hos makrolider. </w:t>
      </w:r>
      <w:proofErr w:type="spellStart"/>
      <w:r w:rsidRPr="009954DF">
        <w:rPr>
          <w:sz w:val="24"/>
          <w:szCs w:val="24"/>
        </w:rPr>
        <w:t>Lincomycin</w:t>
      </w:r>
      <w:proofErr w:type="spellEnd"/>
      <w:r w:rsidRPr="009954DF">
        <w:rPr>
          <w:sz w:val="24"/>
          <w:szCs w:val="24"/>
        </w:rPr>
        <w:t xml:space="preserve"> virker ved binding til 50S </w:t>
      </w:r>
      <w:proofErr w:type="spellStart"/>
      <w:r w:rsidRPr="009954DF">
        <w:rPr>
          <w:sz w:val="24"/>
          <w:szCs w:val="24"/>
        </w:rPr>
        <w:t>ribosomal</w:t>
      </w:r>
      <w:proofErr w:type="spellEnd"/>
      <w:r w:rsidRPr="009954DF">
        <w:rPr>
          <w:sz w:val="24"/>
          <w:szCs w:val="24"/>
        </w:rPr>
        <w:t xml:space="preserve"> underenhed, og hæmmer derved bakteriel proteinsyntese.</w:t>
      </w:r>
    </w:p>
    <w:p w14:paraId="614BBC3D" w14:textId="77777777" w:rsidR="009954DF" w:rsidRPr="009954DF" w:rsidRDefault="009954DF" w:rsidP="009954DF">
      <w:pPr>
        <w:tabs>
          <w:tab w:val="left" w:pos="851"/>
        </w:tabs>
        <w:ind w:left="851"/>
        <w:rPr>
          <w:sz w:val="24"/>
          <w:szCs w:val="24"/>
        </w:rPr>
      </w:pPr>
      <w:proofErr w:type="spellStart"/>
      <w:r w:rsidRPr="009954DF">
        <w:rPr>
          <w:sz w:val="24"/>
          <w:szCs w:val="24"/>
        </w:rPr>
        <w:t>Lincomycin</w:t>
      </w:r>
      <w:proofErr w:type="spellEnd"/>
      <w:r w:rsidRPr="009954DF">
        <w:rPr>
          <w:sz w:val="24"/>
          <w:szCs w:val="24"/>
        </w:rPr>
        <w:t xml:space="preserve"> er aktivt mod grampositive bakterier, visse anaerobe gramnegative bakterier og </w:t>
      </w:r>
      <w:proofErr w:type="spellStart"/>
      <w:r w:rsidRPr="009954DF">
        <w:rPr>
          <w:sz w:val="24"/>
          <w:szCs w:val="24"/>
        </w:rPr>
        <w:t>mycoplasma</w:t>
      </w:r>
      <w:proofErr w:type="spellEnd"/>
      <w:r w:rsidRPr="009954DF">
        <w:rPr>
          <w:sz w:val="24"/>
          <w:szCs w:val="24"/>
        </w:rPr>
        <w:t xml:space="preserve">. Det har ringe eller ingen virkning mod gramnegative bakterier såsom </w:t>
      </w:r>
      <w:r w:rsidRPr="009954DF">
        <w:rPr>
          <w:i/>
          <w:iCs/>
          <w:sz w:val="24"/>
          <w:szCs w:val="24"/>
        </w:rPr>
        <w:t>Escherichia coli</w:t>
      </w:r>
      <w:r w:rsidRPr="009954DF">
        <w:rPr>
          <w:sz w:val="24"/>
          <w:szCs w:val="24"/>
        </w:rPr>
        <w:t>.</w:t>
      </w:r>
    </w:p>
    <w:p w14:paraId="31815B62" w14:textId="77777777" w:rsidR="009954DF" w:rsidRPr="009954DF" w:rsidRDefault="009954DF" w:rsidP="009954DF">
      <w:pPr>
        <w:tabs>
          <w:tab w:val="left" w:pos="851"/>
        </w:tabs>
        <w:ind w:left="851"/>
        <w:rPr>
          <w:sz w:val="24"/>
          <w:szCs w:val="24"/>
        </w:rPr>
      </w:pPr>
    </w:p>
    <w:p w14:paraId="4A9B95AB" w14:textId="77777777" w:rsidR="009954DF" w:rsidRPr="009954DF" w:rsidRDefault="009954DF" w:rsidP="009954DF">
      <w:pPr>
        <w:tabs>
          <w:tab w:val="left" w:pos="851"/>
        </w:tabs>
        <w:ind w:left="851"/>
        <w:rPr>
          <w:sz w:val="24"/>
          <w:szCs w:val="24"/>
        </w:rPr>
      </w:pPr>
      <w:r w:rsidRPr="009954DF">
        <w:rPr>
          <w:sz w:val="24"/>
          <w:szCs w:val="24"/>
        </w:rPr>
        <w:t xml:space="preserve">Resistens over for </w:t>
      </w:r>
      <w:proofErr w:type="spellStart"/>
      <w:r w:rsidRPr="009954DF">
        <w:rPr>
          <w:sz w:val="24"/>
          <w:szCs w:val="24"/>
        </w:rPr>
        <w:t>lincomycin</w:t>
      </w:r>
      <w:proofErr w:type="spellEnd"/>
      <w:r w:rsidRPr="009954DF">
        <w:rPr>
          <w:sz w:val="24"/>
          <w:szCs w:val="24"/>
        </w:rPr>
        <w:t xml:space="preserve"> skyldes som oftest </w:t>
      </w:r>
      <w:proofErr w:type="spellStart"/>
      <w:r w:rsidRPr="009954DF">
        <w:rPr>
          <w:sz w:val="24"/>
          <w:szCs w:val="24"/>
        </w:rPr>
        <w:t>methylering</w:t>
      </w:r>
      <w:proofErr w:type="spellEnd"/>
      <w:r w:rsidRPr="009954DF">
        <w:rPr>
          <w:sz w:val="24"/>
          <w:szCs w:val="24"/>
        </w:rPr>
        <w:t xml:space="preserve"> af specifikke nukleotider i den ribosomale 23S RNA-komponent af 50S </w:t>
      </w:r>
      <w:proofErr w:type="spellStart"/>
      <w:r w:rsidRPr="009954DF">
        <w:rPr>
          <w:sz w:val="24"/>
          <w:szCs w:val="24"/>
        </w:rPr>
        <w:t>ribosomal</w:t>
      </w:r>
      <w:proofErr w:type="spellEnd"/>
      <w:r w:rsidRPr="009954DF">
        <w:rPr>
          <w:sz w:val="24"/>
          <w:szCs w:val="24"/>
        </w:rPr>
        <w:t xml:space="preserve"> underenhed, hvilket forhindrer lægemidlet i at bindes til virkningsstedet. </w:t>
      </w:r>
      <w:proofErr w:type="spellStart"/>
      <w:r w:rsidRPr="009954DF">
        <w:rPr>
          <w:sz w:val="24"/>
          <w:szCs w:val="24"/>
        </w:rPr>
        <w:t>rRNA-methylaser</w:t>
      </w:r>
      <w:proofErr w:type="spellEnd"/>
      <w:r w:rsidRPr="009954DF">
        <w:rPr>
          <w:sz w:val="24"/>
          <w:szCs w:val="24"/>
        </w:rPr>
        <w:t xml:space="preserve"> kodes af forskellige </w:t>
      </w:r>
      <w:proofErr w:type="spellStart"/>
      <w:r w:rsidRPr="009954DF">
        <w:rPr>
          <w:sz w:val="24"/>
          <w:szCs w:val="24"/>
        </w:rPr>
        <w:t>erythromycin</w:t>
      </w:r>
      <w:proofErr w:type="spellEnd"/>
      <w:r w:rsidRPr="009954DF">
        <w:rPr>
          <w:sz w:val="24"/>
          <w:szCs w:val="24"/>
        </w:rPr>
        <w:t xml:space="preserve">-resistente </w:t>
      </w:r>
      <w:proofErr w:type="spellStart"/>
      <w:r w:rsidRPr="009954DF">
        <w:rPr>
          <w:sz w:val="24"/>
          <w:szCs w:val="24"/>
        </w:rPr>
        <w:t>methylase</w:t>
      </w:r>
      <w:proofErr w:type="spellEnd"/>
      <w:r w:rsidRPr="009954DF">
        <w:rPr>
          <w:sz w:val="24"/>
          <w:szCs w:val="24"/>
        </w:rPr>
        <w:t xml:space="preserve"> (erm) gener, som kan overføres horisontalt. </w:t>
      </w:r>
    </w:p>
    <w:p w14:paraId="4DC99D82" w14:textId="77777777" w:rsidR="009954DF" w:rsidRPr="009954DF" w:rsidRDefault="009954DF" w:rsidP="009954DF">
      <w:pPr>
        <w:tabs>
          <w:tab w:val="left" w:pos="851"/>
        </w:tabs>
        <w:ind w:left="851"/>
        <w:rPr>
          <w:sz w:val="24"/>
          <w:szCs w:val="24"/>
        </w:rPr>
      </w:pPr>
      <w:r w:rsidRPr="009954DF">
        <w:rPr>
          <w:sz w:val="24"/>
          <w:szCs w:val="24"/>
        </w:rPr>
        <w:t xml:space="preserve">Denne mekanisme, der modificerer virkningsstedet, kan medføre krydsresistens over for makrolider, andre lincosamider og </w:t>
      </w:r>
      <w:proofErr w:type="spellStart"/>
      <w:r w:rsidRPr="009954DF">
        <w:rPr>
          <w:sz w:val="24"/>
          <w:szCs w:val="24"/>
        </w:rPr>
        <w:t>streptogramin</w:t>
      </w:r>
      <w:proofErr w:type="spellEnd"/>
      <w:r w:rsidRPr="009954DF">
        <w:rPr>
          <w:sz w:val="24"/>
          <w:szCs w:val="24"/>
        </w:rPr>
        <w:t xml:space="preserve"> B (dvs. MLSB-fænotype).</w:t>
      </w:r>
    </w:p>
    <w:p w14:paraId="4AAC5CA4" w14:textId="77777777" w:rsidR="009954DF" w:rsidRPr="009954DF" w:rsidRDefault="009954DF" w:rsidP="009954DF">
      <w:pPr>
        <w:tabs>
          <w:tab w:val="left" w:pos="851"/>
        </w:tabs>
        <w:ind w:left="851"/>
        <w:rPr>
          <w:sz w:val="24"/>
          <w:szCs w:val="24"/>
        </w:rPr>
      </w:pPr>
    </w:p>
    <w:p w14:paraId="516AE64E" w14:textId="77777777" w:rsidR="009954DF" w:rsidRPr="009954DF" w:rsidRDefault="009954DF" w:rsidP="009954DF">
      <w:pPr>
        <w:tabs>
          <w:tab w:val="left" w:pos="851"/>
        </w:tabs>
        <w:ind w:left="851"/>
        <w:rPr>
          <w:sz w:val="24"/>
          <w:szCs w:val="24"/>
          <w:u w:val="single"/>
        </w:rPr>
      </w:pPr>
      <w:proofErr w:type="spellStart"/>
      <w:r w:rsidRPr="009954DF">
        <w:rPr>
          <w:sz w:val="24"/>
          <w:szCs w:val="24"/>
          <w:u w:val="single"/>
        </w:rPr>
        <w:t>Spectinomycin</w:t>
      </w:r>
      <w:proofErr w:type="spellEnd"/>
    </w:p>
    <w:p w14:paraId="0D12194D" w14:textId="77777777" w:rsidR="009954DF" w:rsidRPr="009954DF" w:rsidRDefault="009954DF" w:rsidP="009954DF">
      <w:pPr>
        <w:tabs>
          <w:tab w:val="left" w:pos="851"/>
        </w:tabs>
        <w:ind w:left="851"/>
        <w:rPr>
          <w:sz w:val="24"/>
          <w:szCs w:val="24"/>
        </w:rPr>
      </w:pPr>
      <w:proofErr w:type="spellStart"/>
      <w:r w:rsidRPr="009954DF">
        <w:rPr>
          <w:sz w:val="24"/>
          <w:szCs w:val="24"/>
        </w:rPr>
        <w:t>Spectinomycin</w:t>
      </w:r>
      <w:proofErr w:type="spellEnd"/>
      <w:r w:rsidRPr="009954DF">
        <w:rPr>
          <w:sz w:val="24"/>
          <w:szCs w:val="24"/>
        </w:rPr>
        <w:t xml:space="preserve"> er et antibiotikum i </w:t>
      </w:r>
      <w:proofErr w:type="spellStart"/>
      <w:r w:rsidRPr="009954DF">
        <w:rPr>
          <w:sz w:val="24"/>
          <w:szCs w:val="24"/>
        </w:rPr>
        <w:t>aminocyclitolgruppen</w:t>
      </w:r>
      <w:proofErr w:type="spellEnd"/>
      <w:r w:rsidRPr="009954DF">
        <w:rPr>
          <w:sz w:val="24"/>
          <w:szCs w:val="24"/>
        </w:rPr>
        <w:t xml:space="preserve">, der udvindes af </w:t>
      </w:r>
      <w:proofErr w:type="spellStart"/>
      <w:r w:rsidRPr="009954DF">
        <w:rPr>
          <w:i/>
          <w:iCs/>
          <w:sz w:val="24"/>
          <w:szCs w:val="24"/>
        </w:rPr>
        <w:t>Streptomyces</w:t>
      </w:r>
      <w:proofErr w:type="spellEnd"/>
      <w:r w:rsidRPr="009954DF">
        <w:rPr>
          <w:i/>
          <w:iCs/>
          <w:sz w:val="24"/>
          <w:szCs w:val="24"/>
        </w:rPr>
        <w:t xml:space="preserve"> </w:t>
      </w:r>
      <w:proofErr w:type="spellStart"/>
      <w:r w:rsidRPr="009954DF">
        <w:rPr>
          <w:i/>
          <w:iCs/>
          <w:sz w:val="24"/>
          <w:szCs w:val="24"/>
        </w:rPr>
        <w:t>spectabilis</w:t>
      </w:r>
      <w:proofErr w:type="spellEnd"/>
      <w:r w:rsidRPr="009954DF">
        <w:rPr>
          <w:sz w:val="24"/>
          <w:szCs w:val="24"/>
        </w:rPr>
        <w:t>.</w:t>
      </w:r>
    </w:p>
    <w:p w14:paraId="0A616615" w14:textId="77777777" w:rsidR="009954DF" w:rsidRPr="009954DF" w:rsidRDefault="009954DF" w:rsidP="009954DF">
      <w:pPr>
        <w:tabs>
          <w:tab w:val="left" w:pos="851"/>
        </w:tabs>
        <w:ind w:left="851"/>
        <w:rPr>
          <w:sz w:val="24"/>
          <w:szCs w:val="24"/>
        </w:rPr>
      </w:pPr>
      <w:r w:rsidRPr="009954DF">
        <w:rPr>
          <w:sz w:val="24"/>
          <w:szCs w:val="24"/>
        </w:rPr>
        <w:t xml:space="preserve">Det har </w:t>
      </w:r>
      <w:proofErr w:type="spellStart"/>
      <w:r w:rsidRPr="009954DF">
        <w:rPr>
          <w:sz w:val="24"/>
          <w:szCs w:val="24"/>
        </w:rPr>
        <w:t>bakteriostatisk</w:t>
      </w:r>
      <w:proofErr w:type="spellEnd"/>
      <w:r w:rsidRPr="009954DF">
        <w:rPr>
          <w:sz w:val="24"/>
          <w:szCs w:val="24"/>
        </w:rPr>
        <w:t xml:space="preserve"> aktivitet og er aktivt mod </w:t>
      </w:r>
      <w:proofErr w:type="spellStart"/>
      <w:r w:rsidRPr="009954DF">
        <w:rPr>
          <w:i/>
          <w:iCs/>
          <w:sz w:val="24"/>
          <w:szCs w:val="24"/>
        </w:rPr>
        <w:t>Mycoplasma</w:t>
      </w:r>
      <w:proofErr w:type="spellEnd"/>
      <w:r w:rsidRPr="009954DF">
        <w:rPr>
          <w:i/>
          <w:iCs/>
          <w:sz w:val="24"/>
          <w:szCs w:val="24"/>
        </w:rPr>
        <w:t xml:space="preserve"> </w:t>
      </w:r>
      <w:proofErr w:type="spellStart"/>
      <w:r w:rsidRPr="009954DF">
        <w:rPr>
          <w:iCs/>
          <w:sz w:val="24"/>
          <w:szCs w:val="24"/>
        </w:rPr>
        <w:t>spp</w:t>
      </w:r>
      <w:proofErr w:type="spellEnd"/>
      <w:r w:rsidRPr="009954DF">
        <w:rPr>
          <w:sz w:val="24"/>
          <w:szCs w:val="24"/>
        </w:rPr>
        <w:t xml:space="preserve">. og visse </w:t>
      </w:r>
      <w:proofErr w:type="spellStart"/>
      <w:r w:rsidRPr="009954DF">
        <w:rPr>
          <w:sz w:val="24"/>
          <w:szCs w:val="24"/>
        </w:rPr>
        <w:t>Gram-negative</w:t>
      </w:r>
      <w:proofErr w:type="spellEnd"/>
      <w:r w:rsidRPr="009954DF">
        <w:rPr>
          <w:sz w:val="24"/>
          <w:szCs w:val="24"/>
        </w:rPr>
        <w:t xml:space="preserve"> bakterier såsom </w:t>
      </w:r>
      <w:r w:rsidRPr="009954DF">
        <w:rPr>
          <w:i/>
          <w:iCs/>
          <w:sz w:val="24"/>
          <w:szCs w:val="24"/>
        </w:rPr>
        <w:t>E. coli</w:t>
      </w:r>
      <w:r w:rsidRPr="009954DF">
        <w:rPr>
          <w:sz w:val="24"/>
          <w:szCs w:val="24"/>
        </w:rPr>
        <w:t>.</w:t>
      </w:r>
    </w:p>
    <w:p w14:paraId="5595F591" w14:textId="77777777" w:rsidR="009954DF" w:rsidRPr="009954DF" w:rsidRDefault="009954DF" w:rsidP="009954DF">
      <w:pPr>
        <w:tabs>
          <w:tab w:val="left" w:pos="851"/>
        </w:tabs>
        <w:ind w:left="851"/>
        <w:rPr>
          <w:sz w:val="24"/>
          <w:szCs w:val="24"/>
        </w:rPr>
      </w:pPr>
      <w:proofErr w:type="spellStart"/>
      <w:r w:rsidRPr="009954DF">
        <w:rPr>
          <w:sz w:val="24"/>
          <w:szCs w:val="24"/>
        </w:rPr>
        <w:t>Spectinomycin</w:t>
      </w:r>
      <w:proofErr w:type="spellEnd"/>
      <w:r w:rsidRPr="009954DF">
        <w:rPr>
          <w:sz w:val="24"/>
          <w:szCs w:val="24"/>
        </w:rPr>
        <w:t xml:space="preserve"> virker ved at binde til 30S underenheden i det bakterielle ribosom og hæmmer derved proteinsyntese.</w:t>
      </w:r>
    </w:p>
    <w:p w14:paraId="74FA8F85" w14:textId="77777777" w:rsidR="009954DF" w:rsidRPr="009954DF" w:rsidRDefault="009954DF" w:rsidP="009954DF">
      <w:pPr>
        <w:tabs>
          <w:tab w:val="left" w:pos="851"/>
        </w:tabs>
        <w:ind w:left="851"/>
        <w:rPr>
          <w:sz w:val="24"/>
          <w:szCs w:val="24"/>
        </w:rPr>
      </w:pPr>
      <w:r w:rsidRPr="009954DF">
        <w:rPr>
          <w:sz w:val="24"/>
          <w:szCs w:val="24"/>
        </w:rPr>
        <w:t xml:space="preserve">Den mekanisme, ved hvilken oralt administreret </w:t>
      </w:r>
      <w:proofErr w:type="spellStart"/>
      <w:r w:rsidRPr="009954DF">
        <w:rPr>
          <w:sz w:val="24"/>
          <w:szCs w:val="24"/>
        </w:rPr>
        <w:t>spectinomycin</w:t>
      </w:r>
      <w:proofErr w:type="spellEnd"/>
      <w:r w:rsidRPr="009954DF">
        <w:rPr>
          <w:sz w:val="24"/>
          <w:szCs w:val="24"/>
        </w:rPr>
        <w:t xml:space="preserve"> virker systemisk på </w:t>
      </w:r>
      <w:proofErr w:type="spellStart"/>
      <w:r w:rsidRPr="009954DF">
        <w:rPr>
          <w:sz w:val="24"/>
          <w:szCs w:val="24"/>
        </w:rPr>
        <w:t>patogener</w:t>
      </w:r>
      <w:proofErr w:type="spellEnd"/>
      <w:r w:rsidRPr="009954DF">
        <w:rPr>
          <w:sz w:val="24"/>
          <w:szCs w:val="24"/>
        </w:rPr>
        <w:t xml:space="preserve"> trods ringe absorption, er ikke fuldt belyst og kan til dels bestå i indirekte virkninger på tarmfloraen.</w:t>
      </w:r>
    </w:p>
    <w:p w14:paraId="4B60C4F8" w14:textId="77777777" w:rsidR="009954DF" w:rsidRPr="009954DF" w:rsidRDefault="009954DF" w:rsidP="009954DF">
      <w:pPr>
        <w:tabs>
          <w:tab w:val="left" w:pos="851"/>
        </w:tabs>
        <w:ind w:left="851"/>
        <w:rPr>
          <w:sz w:val="24"/>
          <w:szCs w:val="24"/>
        </w:rPr>
      </w:pPr>
      <w:r w:rsidRPr="009954DF">
        <w:rPr>
          <w:sz w:val="24"/>
          <w:szCs w:val="24"/>
        </w:rPr>
        <w:t xml:space="preserve">Hos </w:t>
      </w:r>
      <w:r w:rsidRPr="009954DF">
        <w:rPr>
          <w:i/>
          <w:iCs/>
          <w:sz w:val="24"/>
          <w:szCs w:val="24"/>
        </w:rPr>
        <w:t xml:space="preserve">E. coli </w:t>
      </w:r>
      <w:r w:rsidRPr="009954DF">
        <w:rPr>
          <w:sz w:val="24"/>
          <w:szCs w:val="24"/>
        </w:rPr>
        <w:t xml:space="preserve">synes MIC-fordelingen at være </w:t>
      </w:r>
      <w:proofErr w:type="spellStart"/>
      <w:r w:rsidRPr="009954DF">
        <w:rPr>
          <w:sz w:val="24"/>
          <w:szCs w:val="24"/>
        </w:rPr>
        <w:t>bimodal</w:t>
      </w:r>
      <w:proofErr w:type="spellEnd"/>
      <w:r w:rsidRPr="009954DF">
        <w:rPr>
          <w:sz w:val="24"/>
          <w:szCs w:val="24"/>
        </w:rPr>
        <w:t>, idet en væsentlig del af stammerne udviser høje MIC-værdier, hvilket til dels kan svare til naturlig (</w:t>
      </w:r>
      <w:proofErr w:type="spellStart"/>
      <w:r w:rsidRPr="009954DF">
        <w:rPr>
          <w:sz w:val="24"/>
          <w:szCs w:val="24"/>
        </w:rPr>
        <w:t>intrinsisk</w:t>
      </w:r>
      <w:proofErr w:type="spellEnd"/>
      <w:r w:rsidRPr="009954DF">
        <w:rPr>
          <w:sz w:val="24"/>
          <w:szCs w:val="24"/>
        </w:rPr>
        <w:t>) resistens.</w:t>
      </w:r>
    </w:p>
    <w:p w14:paraId="5A714E69" w14:textId="77777777" w:rsidR="009954DF" w:rsidRPr="009954DF" w:rsidRDefault="009954DF" w:rsidP="009954DF">
      <w:pPr>
        <w:tabs>
          <w:tab w:val="left" w:pos="851"/>
        </w:tabs>
        <w:ind w:left="851"/>
        <w:rPr>
          <w:sz w:val="24"/>
          <w:szCs w:val="24"/>
        </w:rPr>
      </w:pPr>
      <w:r w:rsidRPr="009954DF">
        <w:rPr>
          <w:i/>
          <w:iCs/>
          <w:sz w:val="24"/>
          <w:szCs w:val="24"/>
        </w:rPr>
        <w:t xml:space="preserve">In </w:t>
      </w:r>
      <w:proofErr w:type="spellStart"/>
      <w:r w:rsidRPr="009954DF">
        <w:rPr>
          <w:i/>
          <w:iCs/>
          <w:sz w:val="24"/>
          <w:szCs w:val="24"/>
        </w:rPr>
        <w:t>vitro</w:t>
      </w:r>
      <w:proofErr w:type="spellEnd"/>
      <w:r w:rsidRPr="009954DF">
        <w:rPr>
          <w:sz w:val="24"/>
          <w:szCs w:val="24"/>
        </w:rPr>
        <w:t xml:space="preserve">-undersøgelser samt data vedrørende klinisk virkning viser, at kombinationen </w:t>
      </w:r>
      <w:proofErr w:type="spellStart"/>
      <w:r w:rsidRPr="009954DF">
        <w:rPr>
          <w:sz w:val="24"/>
          <w:szCs w:val="24"/>
        </w:rPr>
        <w:t>lincomycin-spectinomycin</w:t>
      </w:r>
      <w:proofErr w:type="spellEnd"/>
      <w:r w:rsidRPr="009954DF">
        <w:rPr>
          <w:sz w:val="24"/>
          <w:szCs w:val="24"/>
        </w:rPr>
        <w:t xml:space="preserve"> er aktiv mod </w:t>
      </w:r>
      <w:proofErr w:type="spellStart"/>
      <w:r w:rsidRPr="009954DF">
        <w:rPr>
          <w:i/>
          <w:iCs/>
          <w:sz w:val="24"/>
          <w:szCs w:val="24"/>
        </w:rPr>
        <w:t>Lawsonia</w:t>
      </w:r>
      <w:proofErr w:type="spellEnd"/>
      <w:r w:rsidRPr="009954DF">
        <w:rPr>
          <w:i/>
          <w:iCs/>
          <w:sz w:val="24"/>
          <w:szCs w:val="24"/>
        </w:rPr>
        <w:t xml:space="preserve"> </w:t>
      </w:r>
      <w:proofErr w:type="spellStart"/>
      <w:r w:rsidRPr="009954DF">
        <w:rPr>
          <w:i/>
          <w:iCs/>
          <w:sz w:val="24"/>
          <w:szCs w:val="24"/>
        </w:rPr>
        <w:t>intracellularis</w:t>
      </w:r>
      <w:proofErr w:type="spellEnd"/>
      <w:r w:rsidRPr="009954DF">
        <w:rPr>
          <w:sz w:val="24"/>
          <w:szCs w:val="24"/>
        </w:rPr>
        <w:t>.</w:t>
      </w:r>
    </w:p>
    <w:p w14:paraId="47D9F6B3" w14:textId="77777777" w:rsidR="009954DF" w:rsidRPr="009954DF" w:rsidRDefault="009954DF" w:rsidP="009954DF">
      <w:pPr>
        <w:tabs>
          <w:tab w:val="left" w:pos="851"/>
        </w:tabs>
        <w:ind w:left="851"/>
        <w:rPr>
          <w:sz w:val="24"/>
          <w:szCs w:val="24"/>
        </w:rPr>
      </w:pPr>
      <w:r w:rsidRPr="009954DF">
        <w:rPr>
          <w:sz w:val="24"/>
          <w:szCs w:val="24"/>
        </w:rPr>
        <w:t xml:space="preserve">Resistens over for </w:t>
      </w:r>
      <w:proofErr w:type="spellStart"/>
      <w:r w:rsidRPr="009954DF">
        <w:rPr>
          <w:sz w:val="24"/>
          <w:szCs w:val="24"/>
        </w:rPr>
        <w:t>spectinomycin</w:t>
      </w:r>
      <w:proofErr w:type="spellEnd"/>
      <w:r w:rsidRPr="009954DF">
        <w:rPr>
          <w:sz w:val="24"/>
          <w:szCs w:val="24"/>
        </w:rPr>
        <w:t xml:space="preserve"> skyldes sædvanligvis enzymatisk inaktivering af stoffet ved </w:t>
      </w:r>
      <w:proofErr w:type="spellStart"/>
      <w:r w:rsidRPr="009954DF">
        <w:rPr>
          <w:sz w:val="24"/>
          <w:szCs w:val="24"/>
        </w:rPr>
        <w:t>adenylering</w:t>
      </w:r>
      <w:proofErr w:type="spellEnd"/>
      <w:r w:rsidRPr="009954DF">
        <w:rPr>
          <w:sz w:val="24"/>
          <w:szCs w:val="24"/>
        </w:rPr>
        <w:t xml:space="preserve">. Enzymer, der kan </w:t>
      </w:r>
      <w:proofErr w:type="spellStart"/>
      <w:r w:rsidRPr="009954DF">
        <w:rPr>
          <w:sz w:val="24"/>
          <w:szCs w:val="24"/>
        </w:rPr>
        <w:t>adenylere</w:t>
      </w:r>
      <w:proofErr w:type="spellEnd"/>
      <w:r w:rsidRPr="009954DF">
        <w:rPr>
          <w:sz w:val="24"/>
          <w:szCs w:val="24"/>
        </w:rPr>
        <w:t xml:space="preserve"> </w:t>
      </w:r>
      <w:proofErr w:type="spellStart"/>
      <w:r w:rsidRPr="009954DF">
        <w:rPr>
          <w:sz w:val="24"/>
          <w:szCs w:val="24"/>
        </w:rPr>
        <w:t>spectinomycin</w:t>
      </w:r>
      <w:proofErr w:type="spellEnd"/>
      <w:r w:rsidRPr="009954DF">
        <w:rPr>
          <w:sz w:val="24"/>
          <w:szCs w:val="24"/>
        </w:rPr>
        <w:t xml:space="preserve"> og streptomycin, kan forårsage kombineret resistens over for begge antimikrobielle midler.</w:t>
      </w:r>
    </w:p>
    <w:p w14:paraId="4C54F40F" w14:textId="40E64E10" w:rsidR="00D62C39" w:rsidRDefault="00D62C39">
      <w:pPr>
        <w:rPr>
          <w:sz w:val="24"/>
          <w:szCs w:val="24"/>
        </w:rPr>
      </w:pPr>
      <w:r>
        <w:rPr>
          <w:sz w:val="24"/>
          <w:szCs w:val="24"/>
        </w:rPr>
        <w:br w:type="page"/>
      </w:r>
    </w:p>
    <w:p w14:paraId="5E4D8970" w14:textId="77777777" w:rsidR="008203A8" w:rsidRPr="00406EE7" w:rsidRDefault="008203A8" w:rsidP="008203A8">
      <w:pPr>
        <w:tabs>
          <w:tab w:val="left" w:pos="851"/>
        </w:tabs>
        <w:ind w:left="851"/>
        <w:rPr>
          <w:sz w:val="24"/>
          <w:szCs w:val="24"/>
        </w:rPr>
      </w:pPr>
    </w:p>
    <w:p w14:paraId="7223B57E" w14:textId="77777777" w:rsidR="008203A8" w:rsidRPr="00406EE7" w:rsidRDefault="008203A8" w:rsidP="008203A8">
      <w:pPr>
        <w:tabs>
          <w:tab w:val="left" w:pos="851"/>
        </w:tabs>
        <w:ind w:left="851" w:hanging="851"/>
        <w:rPr>
          <w:b/>
          <w:sz w:val="24"/>
          <w:szCs w:val="24"/>
        </w:rPr>
      </w:pPr>
      <w:r w:rsidRPr="00D62C39">
        <w:rPr>
          <w:b/>
          <w:sz w:val="24"/>
          <w:szCs w:val="24"/>
        </w:rPr>
        <w:t>4.3</w:t>
      </w:r>
      <w:r w:rsidRPr="00D62C39">
        <w:rPr>
          <w:b/>
          <w:sz w:val="24"/>
          <w:szCs w:val="24"/>
        </w:rPr>
        <w:tab/>
      </w:r>
      <w:proofErr w:type="spellStart"/>
      <w:r w:rsidRPr="00D62C39">
        <w:rPr>
          <w:b/>
          <w:sz w:val="24"/>
          <w:szCs w:val="24"/>
        </w:rPr>
        <w:t>Farmakokinetiske</w:t>
      </w:r>
      <w:proofErr w:type="spellEnd"/>
      <w:r w:rsidRPr="00D62C39">
        <w:rPr>
          <w:b/>
          <w:sz w:val="24"/>
          <w:szCs w:val="24"/>
        </w:rPr>
        <w:t xml:space="preserve"> oplysninger</w:t>
      </w:r>
    </w:p>
    <w:p w14:paraId="28B19D25" w14:textId="77777777" w:rsidR="00D62C39" w:rsidRDefault="00D62C39" w:rsidP="00B82831">
      <w:pPr>
        <w:tabs>
          <w:tab w:val="left" w:pos="851"/>
        </w:tabs>
        <w:ind w:left="851"/>
        <w:rPr>
          <w:sz w:val="24"/>
          <w:szCs w:val="24"/>
          <w:u w:val="single"/>
        </w:rPr>
      </w:pPr>
    </w:p>
    <w:p w14:paraId="793622A7" w14:textId="254023FE" w:rsidR="00B82831" w:rsidRPr="00B82831" w:rsidRDefault="00B82831" w:rsidP="00B82831">
      <w:pPr>
        <w:tabs>
          <w:tab w:val="left" w:pos="851"/>
        </w:tabs>
        <w:ind w:left="851"/>
        <w:rPr>
          <w:sz w:val="24"/>
          <w:szCs w:val="24"/>
        </w:rPr>
      </w:pPr>
      <w:proofErr w:type="spellStart"/>
      <w:r w:rsidRPr="00B82831">
        <w:rPr>
          <w:sz w:val="24"/>
          <w:szCs w:val="24"/>
          <w:u w:val="single"/>
        </w:rPr>
        <w:t>Lincomycin</w:t>
      </w:r>
      <w:proofErr w:type="spellEnd"/>
      <w:r w:rsidRPr="00B82831">
        <w:rPr>
          <w:sz w:val="24"/>
          <w:szCs w:val="24"/>
        </w:rPr>
        <w:t xml:space="preserve"> </w:t>
      </w:r>
    </w:p>
    <w:p w14:paraId="2CDC5735" w14:textId="77777777" w:rsidR="00B82831" w:rsidRPr="00B82831" w:rsidRDefault="00B82831" w:rsidP="00B82831">
      <w:pPr>
        <w:tabs>
          <w:tab w:val="left" w:pos="851"/>
        </w:tabs>
        <w:ind w:left="851"/>
        <w:rPr>
          <w:sz w:val="24"/>
          <w:szCs w:val="24"/>
        </w:rPr>
      </w:pPr>
      <w:r w:rsidRPr="00B82831">
        <w:rPr>
          <w:sz w:val="24"/>
          <w:szCs w:val="24"/>
        </w:rPr>
        <w:t xml:space="preserve">Hos svin bliver </w:t>
      </w:r>
      <w:proofErr w:type="spellStart"/>
      <w:r w:rsidRPr="00B82831">
        <w:rPr>
          <w:sz w:val="24"/>
          <w:szCs w:val="24"/>
        </w:rPr>
        <w:t>lincomycin</w:t>
      </w:r>
      <w:proofErr w:type="spellEnd"/>
      <w:r w:rsidRPr="00B82831">
        <w:rPr>
          <w:sz w:val="24"/>
          <w:szCs w:val="24"/>
        </w:rPr>
        <w:t xml:space="preserve"> absorberet hurtigt efter oral administration. En enkelt oral administration af </w:t>
      </w:r>
      <w:proofErr w:type="spellStart"/>
      <w:r w:rsidRPr="00B82831">
        <w:rPr>
          <w:sz w:val="24"/>
          <w:szCs w:val="24"/>
        </w:rPr>
        <w:t>lincomycinhydrochlorid</w:t>
      </w:r>
      <w:proofErr w:type="spellEnd"/>
      <w:r w:rsidRPr="00B82831">
        <w:rPr>
          <w:sz w:val="24"/>
          <w:szCs w:val="24"/>
        </w:rPr>
        <w:t xml:space="preserve"> i dosisniveauer på cirka 22, 55 og 100 mg/kg legemsvægt hos svin, resulterede i dosisrelaterede </w:t>
      </w:r>
      <w:proofErr w:type="spellStart"/>
      <w:r w:rsidRPr="00B82831">
        <w:rPr>
          <w:sz w:val="24"/>
          <w:szCs w:val="24"/>
        </w:rPr>
        <w:t>lincomycinkoncentrationer</w:t>
      </w:r>
      <w:proofErr w:type="spellEnd"/>
      <w:r w:rsidRPr="00B82831">
        <w:rPr>
          <w:sz w:val="24"/>
          <w:szCs w:val="24"/>
        </w:rPr>
        <w:t xml:space="preserve"> i serum, detekteret 24-36 timer efter administration. Maksimale serumkoncentrationer blev observeret 4 timer efter dosering. Lignende resultater blev observeret efter orale enkeltdoser på 4,4 og 11,0 mg/kg legemsvægt hos svin. Koncentrationerne var </w:t>
      </w:r>
      <w:proofErr w:type="spellStart"/>
      <w:r w:rsidRPr="00B82831">
        <w:rPr>
          <w:sz w:val="24"/>
          <w:szCs w:val="24"/>
        </w:rPr>
        <w:t>detekterbare</w:t>
      </w:r>
      <w:proofErr w:type="spellEnd"/>
      <w:r w:rsidRPr="00B82831">
        <w:rPr>
          <w:sz w:val="24"/>
          <w:szCs w:val="24"/>
        </w:rPr>
        <w:t xml:space="preserve"> i 12-16 timer, med maksimale koncentrationer efter 4 timer. En oral enkeltdosis på 10 mg/kg legemsvægt blev administreret til svin for at bestemme biotilgængeligheden. Oral absorption af </w:t>
      </w:r>
      <w:proofErr w:type="spellStart"/>
      <w:r w:rsidRPr="00B82831">
        <w:rPr>
          <w:sz w:val="24"/>
          <w:szCs w:val="24"/>
        </w:rPr>
        <w:t>lincomycin</w:t>
      </w:r>
      <w:proofErr w:type="spellEnd"/>
      <w:r w:rsidRPr="00B82831">
        <w:rPr>
          <w:sz w:val="24"/>
          <w:szCs w:val="24"/>
        </w:rPr>
        <w:t xml:space="preserve"> var 53% ± 19%.</w:t>
      </w:r>
    </w:p>
    <w:p w14:paraId="1C0A4D85" w14:textId="77777777" w:rsidR="00B82831" w:rsidRPr="00B82831" w:rsidRDefault="00B82831" w:rsidP="00B82831">
      <w:pPr>
        <w:tabs>
          <w:tab w:val="left" w:pos="851"/>
        </w:tabs>
        <w:ind w:left="851"/>
        <w:rPr>
          <w:sz w:val="24"/>
          <w:szCs w:val="24"/>
        </w:rPr>
      </w:pPr>
    </w:p>
    <w:p w14:paraId="524CA2CF" w14:textId="77777777" w:rsidR="00B82831" w:rsidRPr="00B82831" w:rsidRDefault="00B82831" w:rsidP="00B82831">
      <w:pPr>
        <w:tabs>
          <w:tab w:val="left" w:pos="851"/>
        </w:tabs>
        <w:ind w:left="851"/>
        <w:rPr>
          <w:sz w:val="24"/>
          <w:szCs w:val="24"/>
        </w:rPr>
      </w:pPr>
      <w:r w:rsidRPr="00B82831">
        <w:rPr>
          <w:sz w:val="24"/>
          <w:szCs w:val="24"/>
        </w:rPr>
        <w:t xml:space="preserve">Gentagne doser til svin med daglige orale doser på 22 mg </w:t>
      </w:r>
      <w:proofErr w:type="spellStart"/>
      <w:r w:rsidRPr="00B82831">
        <w:rPr>
          <w:sz w:val="24"/>
          <w:szCs w:val="24"/>
        </w:rPr>
        <w:t>lincomycin</w:t>
      </w:r>
      <w:proofErr w:type="spellEnd"/>
      <w:r w:rsidRPr="00B82831">
        <w:rPr>
          <w:sz w:val="24"/>
          <w:szCs w:val="24"/>
        </w:rPr>
        <w:t xml:space="preserve">/kg legemsvægt i 3 dage indikerede ingen </w:t>
      </w:r>
      <w:proofErr w:type="spellStart"/>
      <w:r w:rsidRPr="00B82831">
        <w:rPr>
          <w:sz w:val="24"/>
          <w:szCs w:val="24"/>
        </w:rPr>
        <w:t>lincomycinakkumulation</w:t>
      </w:r>
      <w:proofErr w:type="spellEnd"/>
      <w:r w:rsidRPr="00B82831">
        <w:rPr>
          <w:sz w:val="24"/>
          <w:szCs w:val="24"/>
        </w:rPr>
        <w:t xml:space="preserve"> hos arterne. Der var ingen </w:t>
      </w:r>
      <w:proofErr w:type="spellStart"/>
      <w:r w:rsidRPr="00B82831">
        <w:rPr>
          <w:sz w:val="24"/>
          <w:szCs w:val="24"/>
        </w:rPr>
        <w:t>detekterbare</w:t>
      </w:r>
      <w:proofErr w:type="spellEnd"/>
      <w:r w:rsidRPr="00B82831">
        <w:rPr>
          <w:sz w:val="24"/>
          <w:szCs w:val="24"/>
        </w:rPr>
        <w:t xml:space="preserve"> serumkoncentrationer af antibiotika 24 timer efter administrationen.</w:t>
      </w:r>
    </w:p>
    <w:p w14:paraId="610EC194" w14:textId="77777777" w:rsidR="00B82831" w:rsidRPr="00B82831" w:rsidRDefault="00B82831" w:rsidP="00B82831">
      <w:pPr>
        <w:tabs>
          <w:tab w:val="left" w:pos="851"/>
        </w:tabs>
        <w:ind w:left="851"/>
        <w:rPr>
          <w:sz w:val="24"/>
          <w:szCs w:val="24"/>
        </w:rPr>
      </w:pPr>
    </w:p>
    <w:p w14:paraId="0E253791" w14:textId="77777777" w:rsidR="00B82831" w:rsidRPr="00B82831" w:rsidRDefault="00B82831" w:rsidP="00B82831">
      <w:pPr>
        <w:tabs>
          <w:tab w:val="left" w:pos="851"/>
        </w:tabs>
        <w:ind w:left="851"/>
        <w:rPr>
          <w:sz w:val="24"/>
          <w:szCs w:val="24"/>
        </w:rPr>
      </w:pPr>
      <w:proofErr w:type="spellStart"/>
      <w:r w:rsidRPr="00B82831">
        <w:rPr>
          <w:sz w:val="24"/>
          <w:szCs w:val="24"/>
        </w:rPr>
        <w:t>Farmakokinetiske</w:t>
      </w:r>
      <w:proofErr w:type="spellEnd"/>
      <w:r w:rsidRPr="00B82831">
        <w:rPr>
          <w:sz w:val="24"/>
          <w:szCs w:val="24"/>
        </w:rPr>
        <w:t xml:space="preserve"> studier med </w:t>
      </w:r>
      <w:proofErr w:type="spellStart"/>
      <w:r w:rsidRPr="00B82831">
        <w:rPr>
          <w:sz w:val="24"/>
          <w:szCs w:val="24"/>
        </w:rPr>
        <w:t>lincomycin</w:t>
      </w:r>
      <w:proofErr w:type="spellEnd"/>
      <w:r w:rsidRPr="00B82831">
        <w:rPr>
          <w:sz w:val="24"/>
          <w:szCs w:val="24"/>
        </w:rPr>
        <w:t xml:space="preserve"> med svin viser, at </w:t>
      </w:r>
      <w:proofErr w:type="spellStart"/>
      <w:r w:rsidRPr="00B82831">
        <w:rPr>
          <w:sz w:val="24"/>
          <w:szCs w:val="24"/>
        </w:rPr>
        <w:t>lincomycin</w:t>
      </w:r>
      <w:proofErr w:type="spellEnd"/>
      <w:r w:rsidRPr="00B82831">
        <w:rPr>
          <w:sz w:val="24"/>
          <w:szCs w:val="24"/>
        </w:rPr>
        <w:t xml:space="preserve"> er biotilgængeligt efter intravenøs, intramuskulær og oral administration. Den gennemsnitlige eliminationshalveringstid for alle administrationsveje er 2,82 timer hos svin. </w:t>
      </w:r>
    </w:p>
    <w:p w14:paraId="44D15F43" w14:textId="77777777" w:rsidR="00B82831" w:rsidRPr="00B82831" w:rsidRDefault="00B82831" w:rsidP="00B82831">
      <w:pPr>
        <w:tabs>
          <w:tab w:val="left" w:pos="851"/>
        </w:tabs>
        <w:ind w:left="851"/>
        <w:rPr>
          <w:sz w:val="24"/>
          <w:szCs w:val="24"/>
        </w:rPr>
      </w:pPr>
    </w:p>
    <w:p w14:paraId="2F405FEA" w14:textId="77777777" w:rsidR="00B82831" w:rsidRPr="00B82831" w:rsidRDefault="00B82831" w:rsidP="00B82831">
      <w:pPr>
        <w:tabs>
          <w:tab w:val="left" w:pos="851"/>
        </w:tabs>
        <w:ind w:left="851"/>
        <w:rPr>
          <w:sz w:val="24"/>
          <w:szCs w:val="24"/>
        </w:rPr>
      </w:pPr>
      <w:r w:rsidRPr="00B82831">
        <w:rPr>
          <w:sz w:val="24"/>
          <w:szCs w:val="24"/>
        </w:rPr>
        <w:t>Hos kyllinger i behandling med veterinærlægemidlet i drikkevand med måldoser på 50 mg/kg legemsvægt af total aktivitet (</w:t>
      </w:r>
      <w:proofErr w:type="spellStart"/>
      <w:r w:rsidRPr="00B82831">
        <w:rPr>
          <w:sz w:val="24"/>
          <w:szCs w:val="24"/>
        </w:rPr>
        <w:t>lincomycin:spectinomycin</w:t>
      </w:r>
      <w:proofErr w:type="spellEnd"/>
      <w:r w:rsidRPr="00B82831">
        <w:rPr>
          <w:sz w:val="24"/>
          <w:szCs w:val="24"/>
        </w:rPr>
        <w:t xml:space="preserve"> i forholdet 1:2) i 7 på hinanden følgende dage, var </w:t>
      </w:r>
      <w:proofErr w:type="spellStart"/>
      <w:r w:rsidRPr="00B82831">
        <w:rPr>
          <w:sz w:val="24"/>
          <w:szCs w:val="24"/>
        </w:rPr>
        <w:t>C</w:t>
      </w:r>
      <w:r w:rsidRPr="00B82831">
        <w:rPr>
          <w:sz w:val="24"/>
          <w:szCs w:val="24"/>
          <w:vertAlign w:val="subscript"/>
        </w:rPr>
        <w:t>max</w:t>
      </w:r>
      <w:proofErr w:type="spellEnd"/>
      <w:r w:rsidRPr="00B82831">
        <w:rPr>
          <w:sz w:val="24"/>
          <w:szCs w:val="24"/>
          <w:vertAlign w:val="subscript"/>
        </w:rPr>
        <w:t xml:space="preserve"> </w:t>
      </w:r>
      <w:r w:rsidRPr="00B82831">
        <w:rPr>
          <w:sz w:val="24"/>
          <w:szCs w:val="24"/>
        </w:rPr>
        <w:t xml:space="preserve">efter første administration af medicineret vand beregnet til at være 0,0631 µg/ml. </w:t>
      </w:r>
      <w:proofErr w:type="spellStart"/>
      <w:r w:rsidRPr="00B82831">
        <w:rPr>
          <w:sz w:val="24"/>
          <w:szCs w:val="24"/>
        </w:rPr>
        <w:t>C</w:t>
      </w:r>
      <w:r w:rsidRPr="00B82831">
        <w:rPr>
          <w:sz w:val="24"/>
          <w:szCs w:val="24"/>
          <w:vertAlign w:val="subscript"/>
        </w:rPr>
        <w:t>max</w:t>
      </w:r>
      <w:proofErr w:type="spellEnd"/>
      <w:r w:rsidRPr="00B82831">
        <w:rPr>
          <w:sz w:val="24"/>
          <w:szCs w:val="24"/>
          <w:vertAlign w:val="subscript"/>
        </w:rPr>
        <w:t xml:space="preserve"> </w:t>
      </w:r>
      <w:r w:rsidRPr="00B82831">
        <w:rPr>
          <w:sz w:val="24"/>
          <w:szCs w:val="24"/>
        </w:rPr>
        <w:t xml:space="preserve">forekom 4 timer efter introduktion af det medicinerede vand. </w:t>
      </w:r>
    </w:p>
    <w:p w14:paraId="53AC4DED" w14:textId="77777777" w:rsidR="00B82831" w:rsidRPr="00B82831" w:rsidRDefault="00B82831" w:rsidP="00B82831">
      <w:pPr>
        <w:tabs>
          <w:tab w:val="left" w:pos="851"/>
        </w:tabs>
        <w:ind w:left="851"/>
        <w:rPr>
          <w:sz w:val="24"/>
          <w:szCs w:val="24"/>
        </w:rPr>
      </w:pPr>
    </w:p>
    <w:p w14:paraId="1436669A" w14:textId="77777777" w:rsidR="00B82831" w:rsidRPr="00B82831" w:rsidRDefault="00B82831" w:rsidP="00B82831">
      <w:pPr>
        <w:tabs>
          <w:tab w:val="left" w:pos="851"/>
        </w:tabs>
        <w:ind w:left="851"/>
        <w:rPr>
          <w:sz w:val="24"/>
          <w:szCs w:val="24"/>
          <w:u w:val="single"/>
        </w:rPr>
      </w:pPr>
      <w:proofErr w:type="spellStart"/>
      <w:r w:rsidRPr="00B82831">
        <w:rPr>
          <w:sz w:val="24"/>
          <w:szCs w:val="24"/>
          <w:u w:val="single"/>
        </w:rPr>
        <w:t>Spectinomycin</w:t>
      </w:r>
      <w:proofErr w:type="spellEnd"/>
    </w:p>
    <w:p w14:paraId="060ACBD6" w14:textId="77777777" w:rsidR="00B82831" w:rsidRPr="00B82831" w:rsidRDefault="00B82831" w:rsidP="00B82831">
      <w:pPr>
        <w:tabs>
          <w:tab w:val="left" w:pos="851"/>
        </w:tabs>
        <w:ind w:left="851"/>
        <w:rPr>
          <w:sz w:val="24"/>
          <w:szCs w:val="24"/>
        </w:rPr>
      </w:pPr>
      <w:r w:rsidRPr="00B82831">
        <w:rPr>
          <w:sz w:val="24"/>
          <w:szCs w:val="24"/>
        </w:rPr>
        <w:t xml:space="preserve">Studier udført med forskellige dyrearter har vist, at </w:t>
      </w:r>
      <w:proofErr w:type="spellStart"/>
      <w:r w:rsidRPr="00B82831">
        <w:rPr>
          <w:sz w:val="24"/>
          <w:szCs w:val="24"/>
        </w:rPr>
        <w:t>spectinomycin</w:t>
      </w:r>
      <w:proofErr w:type="spellEnd"/>
      <w:r w:rsidRPr="00B82831">
        <w:rPr>
          <w:sz w:val="24"/>
          <w:szCs w:val="24"/>
        </w:rPr>
        <w:t xml:space="preserve"> gennemgår en begrænset absorption fra tarmen (mindre end 4-7%) efter oral administration. </w:t>
      </w:r>
      <w:proofErr w:type="spellStart"/>
      <w:r w:rsidRPr="00B82831">
        <w:rPr>
          <w:sz w:val="24"/>
          <w:szCs w:val="24"/>
        </w:rPr>
        <w:t>Spectinomycin</w:t>
      </w:r>
      <w:proofErr w:type="spellEnd"/>
      <w:r w:rsidRPr="00B82831">
        <w:rPr>
          <w:sz w:val="24"/>
          <w:szCs w:val="24"/>
        </w:rPr>
        <w:t xml:space="preserve"> har en lav tendens til proteinbinding og har en ringe fedtopløselighed.  </w:t>
      </w:r>
    </w:p>
    <w:p w14:paraId="673A7275" w14:textId="77777777" w:rsidR="00B82831" w:rsidRPr="00B82831" w:rsidRDefault="00B82831" w:rsidP="00B82831">
      <w:pPr>
        <w:tabs>
          <w:tab w:val="left" w:pos="851"/>
        </w:tabs>
        <w:ind w:left="851"/>
        <w:rPr>
          <w:sz w:val="24"/>
          <w:szCs w:val="24"/>
        </w:rPr>
      </w:pPr>
    </w:p>
    <w:p w14:paraId="21C4E8B4" w14:textId="77777777" w:rsidR="008203A8" w:rsidRPr="00406EE7" w:rsidRDefault="008203A8" w:rsidP="008203A8">
      <w:pPr>
        <w:rPr>
          <w:b/>
          <w:sz w:val="24"/>
          <w:szCs w:val="24"/>
        </w:rPr>
      </w:pPr>
      <w:r w:rsidRPr="00406EE7">
        <w:rPr>
          <w:b/>
          <w:sz w:val="24"/>
          <w:szCs w:val="24"/>
        </w:rPr>
        <w:t>Milj</w:t>
      </w:r>
      <w:r>
        <w:rPr>
          <w:b/>
          <w:sz w:val="24"/>
          <w:szCs w:val="24"/>
        </w:rPr>
        <w:t>øoplysninger</w:t>
      </w:r>
    </w:p>
    <w:p w14:paraId="1BCC5487" w14:textId="77777777" w:rsidR="00B82831" w:rsidRPr="00B82831" w:rsidRDefault="00B82831" w:rsidP="00B82831">
      <w:pPr>
        <w:rPr>
          <w:sz w:val="24"/>
          <w:szCs w:val="24"/>
        </w:rPr>
      </w:pPr>
      <w:proofErr w:type="spellStart"/>
      <w:r w:rsidRPr="00B82831">
        <w:rPr>
          <w:sz w:val="24"/>
          <w:szCs w:val="24"/>
        </w:rPr>
        <w:t>Spectinomycin</w:t>
      </w:r>
      <w:proofErr w:type="spellEnd"/>
      <w:r w:rsidRPr="00B82831">
        <w:rPr>
          <w:sz w:val="24"/>
          <w:szCs w:val="24"/>
        </w:rPr>
        <w:t xml:space="preserve"> er klassificeret som værende svært nedbrydeligt i miljøet.</w:t>
      </w:r>
    </w:p>
    <w:p w14:paraId="08D3864E" w14:textId="77777777" w:rsidR="00B82831" w:rsidRPr="00B82831" w:rsidRDefault="00B82831" w:rsidP="00B82831">
      <w:pPr>
        <w:ind w:left="851"/>
        <w:rPr>
          <w:sz w:val="24"/>
          <w:szCs w:val="24"/>
        </w:rPr>
      </w:pPr>
    </w:p>
    <w:p w14:paraId="37624326" w14:textId="77777777" w:rsidR="008203A8" w:rsidRPr="00406EE7" w:rsidRDefault="008203A8" w:rsidP="008203A8">
      <w:pPr>
        <w:tabs>
          <w:tab w:val="left" w:pos="851"/>
        </w:tabs>
        <w:ind w:left="851"/>
        <w:rPr>
          <w:sz w:val="24"/>
          <w:szCs w:val="24"/>
        </w:rPr>
      </w:pPr>
    </w:p>
    <w:p w14:paraId="4FB6D049"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3361654D" w14:textId="77777777" w:rsidR="008203A8" w:rsidRPr="00406EE7" w:rsidRDefault="008203A8" w:rsidP="008203A8">
      <w:pPr>
        <w:tabs>
          <w:tab w:val="left" w:pos="851"/>
        </w:tabs>
        <w:ind w:left="851"/>
        <w:rPr>
          <w:sz w:val="24"/>
          <w:szCs w:val="24"/>
        </w:rPr>
      </w:pPr>
    </w:p>
    <w:p w14:paraId="3A77FA36"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4F59DA4C" w14:textId="77777777" w:rsidR="00113E03" w:rsidRPr="00113E03" w:rsidRDefault="00113E03" w:rsidP="00113E03">
      <w:pPr>
        <w:tabs>
          <w:tab w:val="left" w:pos="851"/>
        </w:tabs>
        <w:ind w:left="851"/>
        <w:rPr>
          <w:sz w:val="24"/>
          <w:szCs w:val="24"/>
        </w:rPr>
      </w:pPr>
      <w:r w:rsidRPr="00113E03">
        <w:rPr>
          <w:sz w:val="24"/>
          <w:szCs w:val="24"/>
        </w:rPr>
        <w:t>Da der ikke foreligger undersøgelser vedrørende eventuelle uforligeligheder, bør dette veterinærlægemiddel ikke blandes med andre veterinærlægemidler.</w:t>
      </w:r>
    </w:p>
    <w:p w14:paraId="11059D01" w14:textId="77777777" w:rsidR="008203A8" w:rsidRPr="00406EE7" w:rsidRDefault="008203A8" w:rsidP="008203A8">
      <w:pPr>
        <w:tabs>
          <w:tab w:val="left" w:pos="851"/>
        </w:tabs>
        <w:ind w:left="851"/>
        <w:rPr>
          <w:sz w:val="24"/>
          <w:szCs w:val="24"/>
        </w:rPr>
      </w:pPr>
    </w:p>
    <w:p w14:paraId="1F64EBAF"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25FA40F4" w14:textId="77777777" w:rsidR="00113E03" w:rsidRPr="00113E03" w:rsidRDefault="00113E03" w:rsidP="00113E03">
      <w:pPr>
        <w:tabs>
          <w:tab w:val="left" w:pos="851"/>
        </w:tabs>
        <w:ind w:left="851"/>
        <w:rPr>
          <w:sz w:val="24"/>
          <w:szCs w:val="24"/>
        </w:rPr>
      </w:pPr>
      <w:r w:rsidRPr="00113E03">
        <w:rPr>
          <w:sz w:val="24"/>
          <w:szCs w:val="24"/>
        </w:rPr>
        <w:t>Opbevaringstid for veterinærlægemidlet i salgspakning: 2 år.</w:t>
      </w:r>
    </w:p>
    <w:p w14:paraId="0C9AA8E9" w14:textId="77777777" w:rsidR="00113E03" w:rsidRPr="00113E03" w:rsidRDefault="00113E03" w:rsidP="00113E03">
      <w:pPr>
        <w:tabs>
          <w:tab w:val="left" w:pos="851"/>
        </w:tabs>
        <w:ind w:left="851"/>
        <w:rPr>
          <w:sz w:val="24"/>
          <w:szCs w:val="24"/>
        </w:rPr>
      </w:pPr>
      <w:r w:rsidRPr="00113E03">
        <w:rPr>
          <w:sz w:val="24"/>
          <w:szCs w:val="24"/>
        </w:rPr>
        <w:t>Opbevaringstid efter første åbning af den indre emballage: 6 måneder.</w:t>
      </w:r>
    </w:p>
    <w:p w14:paraId="244EA513" w14:textId="77777777" w:rsidR="00113E03" w:rsidRPr="00113E03" w:rsidRDefault="00113E03" w:rsidP="00113E03">
      <w:pPr>
        <w:tabs>
          <w:tab w:val="left" w:pos="851"/>
        </w:tabs>
        <w:ind w:left="851"/>
        <w:rPr>
          <w:sz w:val="24"/>
          <w:szCs w:val="24"/>
        </w:rPr>
      </w:pPr>
      <w:r w:rsidRPr="00113E03">
        <w:rPr>
          <w:sz w:val="24"/>
          <w:szCs w:val="24"/>
        </w:rPr>
        <w:t>Opbevaringstid efter fortynding ifølge anvisning: 24 timer.</w:t>
      </w:r>
    </w:p>
    <w:p w14:paraId="781F86BE" w14:textId="77777777" w:rsidR="00113E03" w:rsidRPr="00113E03" w:rsidRDefault="00113E03" w:rsidP="00113E03">
      <w:pPr>
        <w:tabs>
          <w:tab w:val="left" w:pos="851"/>
        </w:tabs>
        <w:ind w:left="851"/>
        <w:rPr>
          <w:sz w:val="24"/>
          <w:szCs w:val="24"/>
        </w:rPr>
      </w:pPr>
      <w:r w:rsidRPr="00113E03">
        <w:rPr>
          <w:sz w:val="24"/>
          <w:szCs w:val="24"/>
        </w:rPr>
        <w:t>Medicineret drikkevand bør opfriskes eller udskiftes efter 24 timer.</w:t>
      </w:r>
    </w:p>
    <w:p w14:paraId="3D6131C8" w14:textId="77777777" w:rsidR="008203A8" w:rsidRPr="00406EE7" w:rsidRDefault="008203A8" w:rsidP="008203A8">
      <w:pPr>
        <w:tabs>
          <w:tab w:val="left" w:pos="851"/>
        </w:tabs>
        <w:ind w:left="851"/>
        <w:rPr>
          <w:sz w:val="24"/>
          <w:szCs w:val="24"/>
        </w:rPr>
      </w:pPr>
    </w:p>
    <w:p w14:paraId="54BF99CD"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21019A32" w14:textId="77777777" w:rsidR="00113E03" w:rsidRPr="00113E03" w:rsidRDefault="00113E03" w:rsidP="00113E03">
      <w:pPr>
        <w:tabs>
          <w:tab w:val="left" w:pos="851"/>
        </w:tabs>
        <w:ind w:left="851"/>
        <w:rPr>
          <w:sz w:val="24"/>
          <w:szCs w:val="24"/>
        </w:rPr>
      </w:pPr>
      <w:r w:rsidRPr="00113E03">
        <w:rPr>
          <w:sz w:val="24"/>
          <w:szCs w:val="24"/>
        </w:rPr>
        <w:t>Opbevar posen tæt tillukket.</w:t>
      </w:r>
    </w:p>
    <w:p w14:paraId="5585291C" w14:textId="77777777" w:rsidR="00113E03" w:rsidRPr="00113E03" w:rsidRDefault="00113E03" w:rsidP="00113E03">
      <w:pPr>
        <w:tabs>
          <w:tab w:val="left" w:pos="851"/>
        </w:tabs>
        <w:ind w:left="851"/>
        <w:rPr>
          <w:sz w:val="24"/>
          <w:szCs w:val="24"/>
        </w:rPr>
      </w:pPr>
      <w:r w:rsidRPr="00113E03">
        <w:rPr>
          <w:sz w:val="24"/>
          <w:szCs w:val="24"/>
        </w:rPr>
        <w:lastRenderedPageBreak/>
        <w:t>Der er ingen særlige krav vedrørende opbevaringstemperaturer for dette veterinærlægemiddel.</w:t>
      </w:r>
    </w:p>
    <w:p w14:paraId="16E31AE7" w14:textId="77777777" w:rsidR="008203A8" w:rsidRPr="00406EE7" w:rsidRDefault="008203A8" w:rsidP="008203A8">
      <w:pPr>
        <w:tabs>
          <w:tab w:val="left" w:pos="851"/>
        </w:tabs>
        <w:ind w:left="851"/>
        <w:rPr>
          <w:sz w:val="24"/>
          <w:szCs w:val="24"/>
        </w:rPr>
      </w:pPr>
    </w:p>
    <w:p w14:paraId="218BC1AC"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6E03D1F6" w14:textId="1AC59936" w:rsidR="00A332DC" w:rsidRPr="00A332DC" w:rsidRDefault="00A332DC" w:rsidP="00A332DC">
      <w:pPr>
        <w:tabs>
          <w:tab w:val="left" w:pos="851"/>
        </w:tabs>
        <w:ind w:left="851"/>
        <w:rPr>
          <w:sz w:val="24"/>
          <w:szCs w:val="24"/>
        </w:rPr>
      </w:pPr>
      <w:r w:rsidRPr="00A332DC">
        <w:rPr>
          <w:sz w:val="24"/>
          <w:szCs w:val="24"/>
        </w:rPr>
        <w:t xml:space="preserve">150 g termoforseglede breve af </w:t>
      </w:r>
      <w:proofErr w:type="spellStart"/>
      <w:r w:rsidR="002E7CE1">
        <w:rPr>
          <w:sz w:val="24"/>
          <w:szCs w:val="24"/>
        </w:rPr>
        <w:t>polyethylen</w:t>
      </w:r>
      <w:proofErr w:type="spellEnd"/>
      <w:r w:rsidR="002E7CE1">
        <w:rPr>
          <w:sz w:val="24"/>
          <w:szCs w:val="24"/>
        </w:rPr>
        <w:t>/</w:t>
      </w:r>
      <w:proofErr w:type="spellStart"/>
      <w:r w:rsidR="002E7CE1">
        <w:rPr>
          <w:sz w:val="24"/>
          <w:szCs w:val="24"/>
        </w:rPr>
        <w:t>aluminum</w:t>
      </w:r>
      <w:proofErr w:type="spellEnd"/>
      <w:r w:rsidR="002E7CE1">
        <w:rPr>
          <w:sz w:val="24"/>
          <w:szCs w:val="24"/>
        </w:rPr>
        <w:t>/polyester.</w:t>
      </w:r>
    </w:p>
    <w:p w14:paraId="239AAD80" w14:textId="0BA724AC" w:rsidR="00A332DC" w:rsidRPr="00A332DC" w:rsidRDefault="00A332DC" w:rsidP="00A332DC">
      <w:pPr>
        <w:tabs>
          <w:tab w:val="left" w:pos="851"/>
        </w:tabs>
        <w:ind w:left="851"/>
        <w:rPr>
          <w:sz w:val="24"/>
          <w:szCs w:val="24"/>
        </w:rPr>
      </w:pPr>
      <w:r w:rsidRPr="00A332DC">
        <w:rPr>
          <w:sz w:val="24"/>
          <w:szCs w:val="24"/>
        </w:rPr>
        <w:t xml:space="preserve">1,5 kg termoforseglede poser af </w:t>
      </w:r>
      <w:proofErr w:type="spellStart"/>
      <w:r w:rsidRPr="00A332DC">
        <w:rPr>
          <w:sz w:val="24"/>
          <w:szCs w:val="24"/>
        </w:rPr>
        <w:t>polyethylen</w:t>
      </w:r>
      <w:proofErr w:type="spellEnd"/>
      <w:r w:rsidRPr="00A332DC">
        <w:rPr>
          <w:sz w:val="24"/>
          <w:szCs w:val="24"/>
        </w:rPr>
        <w:t>/</w:t>
      </w:r>
      <w:proofErr w:type="spellStart"/>
      <w:r w:rsidRPr="00A332DC">
        <w:rPr>
          <w:sz w:val="24"/>
          <w:szCs w:val="24"/>
        </w:rPr>
        <w:t>aluminum</w:t>
      </w:r>
      <w:proofErr w:type="spellEnd"/>
      <w:r w:rsidRPr="00A332DC">
        <w:rPr>
          <w:sz w:val="24"/>
          <w:szCs w:val="24"/>
        </w:rPr>
        <w:t>/polyester</w:t>
      </w:r>
      <w:r w:rsidR="00CE75C6">
        <w:rPr>
          <w:sz w:val="24"/>
          <w:szCs w:val="24"/>
        </w:rPr>
        <w:t>.</w:t>
      </w:r>
    </w:p>
    <w:p w14:paraId="7FFEC6F6" w14:textId="77777777" w:rsidR="00A332DC" w:rsidRPr="00A332DC" w:rsidRDefault="00A332DC" w:rsidP="00A332DC">
      <w:pPr>
        <w:tabs>
          <w:tab w:val="left" w:pos="851"/>
        </w:tabs>
        <w:ind w:left="851"/>
        <w:rPr>
          <w:sz w:val="24"/>
          <w:szCs w:val="24"/>
        </w:rPr>
      </w:pPr>
    </w:p>
    <w:p w14:paraId="6C23C5CC" w14:textId="77777777" w:rsidR="00A332DC" w:rsidRPr="00A332DC" w:rsidRDefault="00A332DC" w:rsidP="00A332DC">
      <w:pPr>
        <w:tabs>
          <w:tab w:val="left" w:pos="851"/>
        </w:tabs>
        <w:ind w:left="851"/>
        <w:rPr>
          <w:sz w:val="24"/>
          <w:szCs w:val="24"/>
        </w:rPr>
      </w:pPr>
      <w:r w:rsidRPr="00A332DC">
        <w:rPr>
          <w:sz w:val="24"/>
          <w:szCs w:val="24"/>
        </w:rPr>
        <w:t>Ikke alle pakningsstørrelser er nødvendigvis markedsført.</w:t>
      </w:r>
    </w:p>
    <w:p w14:paraId="34DA04B1" w14:textId="77777777" w:rsidR="008203A8" w:rsidRPr="00406EE7" w:rsidRDefault="008203A8" w:rsidP="008203A8">
      <w:pPr>
        <w:tabs>
          <w:tab w:val="left" w:pos="851"/>
        </w:tabs>
        <w:ind w:left="851"/>
        <w:rPr>
          <w:sz w:val="24"/>
          <w:szCs w:val="24"/>
        </w:rPr>
      </w:pPr>
    </w:p>
    <w:p w14:paraId="2AF2BFE9"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661F625B" w14:textId="77777777" w:rsidR="00A332DC" w:rsidRPr="00A332DC" w:rsidRDefault="00A332DC" w:rsidP="00A332DC">
      <w:pPr>
        <w:tabs>
          <w:tab w:val="left" w:pos="851"/>
        </w:tabs>
        <w:ind w:left="851"/>
        <w:rPr>
          <w:sz w:val="24"/>
          <w:szCs w:val="24"/>
        </w:rPr>
      </w:pPr>
      <w:r w:rsidRPr="00A332DC">
        <w:rPr>
          <w:sz w:val="24"/>
          <w:szCs w:val="24"/>
        </w:rPr>
        <w:t>Lægemidler må ikke bortskaffes sammen med spildevand eller husholdningsaffald.</w:t>
      </w:r>
    </w:p>
    <w:p w14:paraId="5D0D2A27" w14:textId="77777777" w:rsidR="00A332DC" w:rsidRPr="00A332DC" w:rsidRDefault="00A332DC" w:rsidP="00A332DC">
      <w:pPr>
        <w:tabs>
          <w:tab w:val="left" w:pos="851"/>
        </w:tabs>
        <w:ind w:left="851"/>
        <w:rPr>
          <w:sz w:val="24"/>
          <w:szCs w:val="24"/>
        </w:rPr>
      </w:pPr>
    </w:p>
    <w:p w14:paraId="5D1705FD" w14:textId="77777777" w:rsidR="00A332DC" w:rsidRPr="00A332DC" w:rsidRDefault="00A332DC" w:rsidP="00A332DC">
      <w:pPr>
        <w:tabs>
          <w:tab w:val="left" w:pos="851"/>
        </w:tabs>
        <w:ind w:left="851"/>
        <w:rPr>
          <w:i/>
          <w:sz w:val="24"/>
          <w:szCs w:val="24"/>
        </w:rPr>
      </w:pPr>
      <w:r w:rsidRPr="00A332DC">
        <w:rPr>
          <w:sz w:val="24"/>
          <w:szCs w:val="24"/>
        </w:rPr>
        <w:t xml:space="preserve">Dette veterinærlægemiddel må ikke udledes i vandløb, da </w:t>
      </w:r>
      <w:proofErr w:type="spellStart"/>
      <w:r w:rsidRPr="00A332DC">
        <w:rPr>
          <w:sz w:val="24"/>
          <w:szCs w:val="24"/>
        </w:rPr>
        <w:t>lincomycin</w:t>
      </w:r>
      <w:proofErr w:type="spellEnd"/>
      <w:r w:rsidRPr="00A332DC">
        <w:rPr>
          <w:sz w:val="24"/>
          <w:szCs w:val="24"/>
        </w:rPr>
        <w:t xml:space="preserve"> og </w:t>
      </w:r>
      <w:proofErr w:type="spellStart"/>
      <w:r w:rsidRPr="00A332DC">
        <w:rPr>
          <w:sz w:val="24"/>
          <w:szCs w:val="24"/>
        </w:rPr>
        <w:t>spectinomycin</w:t>
      </w:r>
      <w:proofErr w:type="spellEnd"/>
      <w:r w:rsidRPr="00A332DC">
        <w:rPr>
          <w:sz w:val="24"/>
          <w:szCs w:val="24"/>
        </w:rPr>
        <w:t xml:space="preserve"> kan være farligt for fisk og andre vandorganismer.</w:t>
      </w:r>
    </w:p>
    <w:p w14:paraId="574DA35C" w14:textId="77777777" w:rsidR="00A332DC" w:rsidRPr="00A332DC" w:rsidRDefault="00A332DC" w:rsidP="00A332DC">
      <w:pPr>
        <w:tabs>
          <w:tab w:val="left" w:pos="851"/>
        </w:tabs>
        <w:ind w:left="851"/>
        <w:rPr>
          <w:sz w:val="24"/>
          <w:szCs w:val="24"/>
        </w:rPr>
      </w:pPr>
    </w:p>
    <w:p w14:paraId="5880E234" w14:textId="77777777" w:rsidR="00A332DC" w:rsidRPr="00A332DC" w:rsidRDefault="00A332DC" w:rsidP="00A332DC">
      <w:pPr>
        <w:tabs>
          <w:tab w:val="left" w:pos="851"/>
        </w:tabs>
        <w:ind w:left="851"/>
        <w:rPr>
          <w:sz w:val="24"/>
          <w:szCs w:val="24"/>
        </w:rPr>
      </w:pPr>
      <w:r w:rsidRPr="00A332DC">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71D6E98E" w14:textId="77777777" w:rsidR="008203A8" w:rsidRPr="00070728" w:rsidRDefault="008203A8" w:rsidP="008203A8">
      <w:pPr>
        <w:tabs>
          <w:tab w:val="left" w:pos="851"/>
        </w:tabs>
        <w:ind w:left="851"/>
        <w:rPr>
          <w:sz w:val="24"/>
          <w:szCs w:val="24"/>
        </w:rPr>
      </w:pPr>
    </w:p>
    <w:p w14:paraId="5CCAD676"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6DF1CE33" w14:textId="77777777" w:rsidR="00A332DC" w:rsidRPr="00A332DC" w:rsidRDefault="00A332DC" w:rsidP="00A332DC">
      <w:pPr>
        <w:tabs>
          <w:tab w:val="left" w:pos="851"/>
        </w:tabs>
        <w:ind w:left="851"/>
        <w:rPr>
          <w:sz w:val="24"/>
          <w:szCs w:val="24"/>
        </w:rPr>
      </w:pPr>
      <w:bookmarkStart w:id="13" w:name="Modtager"/>
      <w:bookmarkEnd w:id="13"/>
      <w:proofErr w:type="spellStart"/>
      <w:r w:rsidRPr="00A332DC">
        <w:rPr>
          <w:sz w:val="24"/>
          <w:szCs w:val="24"/>
        </w:rPr>
        <w:t>Huvepharma</w:t>
      </w:r>
      <w:proofErr w:type="spellEnd"/>
      <w:r w:rsidRPr="00A332DC">
        <w:rPr>
          <w:sz w:val="24"/>
          <w:szCs w:val="24"/>
        </w:rPr>
        <w:t xml:space="preserve"> NV</w:t>
      </w:r>
    </w:p>
    <w:p w14:paraId="7080733C" w14:textId="77777777" w:rsidR="00A332DC" w:rsidRPr="00A332DC" w:rsidRDefault="00A332DC" w:rsidP="00A332DC">
      <w:pPr>
        <w:tabs>
          <w:tab w:val="left" w:pos="851"/>
        </w:tabs>
        <w:ind w:left="851"/>
        <w:rPr>
          <w:sz w:val="24"/>
          <w:szCs w:val="24"/>
        </w:rPr>
      </w:pPr>
      <w:proofErr w:type="spellStart"/>
      <w:r w:rsidRPr="00A332DC">
        <w:rPr>
          <w:sz w:val="24"/>
          <w:szCs w:val="24"/>
        </w:rPr>
        <w:t>Uitbreidingstraat</w:t>
      </w:r>
      <w:proofErr w:type="spellEnd"/>
      <w:r w:rsidRPr="00A332DC">
        <w:rPr>
          <w:sz w:val="24"/>
          <w:szCs w:val="24"/>
        </w:rPr>
        <w:t xml:space="preserve"> 80</w:t>
      </w:r>
    </w:p>
    <w:p w14:paraId="0AD1B69E" w14:textId="77777777" w:rsidR="00A332DC" w:rsidRPr="00A332DC" w:rsidRDefault="00A332DC" w:rsidP="00A332DC">
      <w:pPr>
        <w:tabs>
          <w:tab w:val="left" w:pos="851"/>
        </w:tabs>
        <w:ind w:left="851"/>
        <w:rPr>
          <w:sz w:val="24"/>
          <w:szCs w:val="24"/>
        </w:rPr>
      </w:pPr>
      <w:r w:rsidRPr="00A332DC">
        <w:rPr>
          <w:sz w:val="24"/>
          <w:szCs w:val="24"/>
        </w:rPr>
        <w:t>2600 Antwerpen</w:t>
      </w:r>
    </w:p>
    <w:p w14:paraId="442ACE5B" w14:textId="458EC8B5" w:rsidR="008203A8" w:rsidRDefault="00A332DC" w:rsidP="008203A8">
      <w:pPr>
        <w:tabs>
          <w:tab w:val="left" w:pos="851"/>
        </w:tabs>
        <w:ind w:left="851"/>
        <w:rPr>
          <w:sz w:val="24"/>
          <w:szCs w:val="24"/>
        </w:rPr>
      </w:pPr>
      <w:r w:rsidRPr="00A332DC">
        <w:rPr>
          <w:sz w:val="24"/>
          <w:szCs w:val="24"/>
        </w:rPr>
        <w:t>Belgi</w:t>
      </w:r>
      <w:r w:rsidR="00C03DC3">
        <w:rPr>
          <w:sz w:val="24"/>
          <w:szCs w:val="24"/>
        </w:rPr>
        <w:t>en</w:t>
      </w:r>
    </w:p>
    <w:p w14:paraId="0ECEBBF6" w14:textId="11B69130" w:rsidR="008203A8" w:rsidRDefault="008203A8" w:rsidP="008203A8">
      <w:pPr>
        <w:tabs>
          <w:tab w:val="left" w:pos="851"/>
        </w:tabs>
        <w:ind w:left="851"/>
        <w:rPr>
          <w:b/>
          <w:sz w:val="24"/>
          <w:szCs w:val="24"/>
        </w:rPr>
      </w:pPr>
    </w:p>
    <w:p w14:paraId="2C0D76A1"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1B8CC30D" w14:textId="0F4D68F9" w:rsidR="008203A8" w:rsidRPr="00406EE7" w:rsidRDefault="00C03DC3" w:rsidP="008203A8">
      <w:pPr>
        <w:tabs>
          <w:tab w:val="left" w:pos="851"/>
        </w:tabs>
        <w:ind w:left="851"/>
        <w:rPr>
          <w:sz w:val="24"/>
          <w:szCs w:val="24"/>
        </w:rPr>
      </w:pPr>
      <w:r>
        <w:rPr>
          <w:sz w:val="24"/>
          <w:szCs w:val="24"/>
        </w:rPr>
        <w:t>67188</w:t>
      </w:r>
    </w:p>
    <w:p w14:paraId="022384EC" w14:textId="77777777" w:rsidR="008203A8" w:rsidRPr="00406EE7" w:rsidRDefault="008203A8" w:rsidP="008203A8">
      <w:pPr>
        <w:tabs>
          <w:tab w:val="left" w:pos="851"/>
        </w:tabs>
        <w:ind w:left="851"/>
        <w:rPr>
          <w:sz w:val="24"/>
          <w:szCs w:val="24"/>
        </w:rPr>
      </w:pPr>
    </w:p>
    <w:p w14:paraId="27AEF1E1"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7D821BA7" w14:textId="014DA7EB" w:rsidR="008203A8" w:rsidRPr="00406EE7" w:rsidRDefault="007A3F96" w:rsidP="008203A8">
      <w:pPr>
        <w:tabs>
          <w:tab w:val="left" w:pos="851"/>
        </w:tabs>
        <w:ind w:left="851"/>
        <w:rPr>
          <w:sz w:val="24"/>
          <w:szCs w:val="24"/>
        </w:rPr>
      </w:pPr>
      <w:r>
        <w:rPr>
          <w:sz w:val="24"/>
          <w:szCs w:val="24"/>
        </w:rPr>
        <w:t>1. september 2023</w:t>
      </w:r>
    </w:p>
    <w:p w14:paraId="036BE17D" w14:textId="77777777" w:rsidR="008203A8" w:rsidRPr="00406EE7" w:rsidRDefault="008203A8" w:rsidP="008203A8">
      <w:pPr>
        <w:tabs>
          <w:tab w:val="left" w:pos="851"/>
        </w:tabs>
        <w:ind w:left="851"/>
        <w:rPr>
          <w:sz w:val="24"/>
          <w:szCs w:val="24"/>
        </w:rPr>
      </w:pPr>
    </w:p>
    <w:p w14:paraId="5CB629C9"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536DF8C2" w14:textId="1D2F3E88" w:rsidR="008203A8" w:rsidRPr="00406EE7" w:rsidRDefault="002E7CE1" w:rsidP="008203A8">
      <w:pPr>
        <w:tabs>
          <w:tab w:val="left" w:pos="851"/>
        </w:tabs>
        <w:ind w:left="851"/>
        <w:rPr>
          <w:sz w:val="24"/>
          <w:szCs w:val="24"/>
        </w:rPr>
      </w:pPr>
      <w:r>
        <w:rPr>
          <w:sz w:val="24"/>
          <w:szCs w:val="24"/>
        </w:rPr>
        <w:t>2</w:t>
      </w:r>
      <w:r w:rsidR="005A3B7B">
        <w:rPr>
          <w:sz w:val="24"/>
          <w:szCs w:val="24"/>
        </w:rPr>
        <w:t>3</w:t>
      </w:r>
      <w:r>
        <w:rPr>
          <w:sz w:val="24"/>
          <w:szCs w:val="24"/>
        </w:rPr>
        <w:t>. maj 2024</w:t>
      </w:r>
    </w:p>
    <w:p w14:paraId="3CED042B" w14:textId="77777777" w:rsidR="008203A8" w:rsidRPr="00406EE7" w:rsidRDefault="008203A8" w:rsidP="008203A8">
      <w:pPr>
        <w:tabs>
          <w:tab w:val="left" w:pos="851"/>
        </w:tabs>
        <w:ind w:left="851"/>
        <w:rPr>
          <w:sz w:val="24"/>
          <w:szCs w:val="24"/>
        </w:rPr>
      </w:pPr>
    </w:p>
    <w:p w14:paraId="6BC5A95B"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1E2D770B" w14:textId="77777777" w:rsidR="00A332DC" w:rsidRPr="00A332DC" w:rsidRDefault="00A332DC" w:rsidP="00A332DC">
      <w:pPr>
        <w:ind w:left="851"/>
        <w:rPr>
          <w:sz w:val="24"/>
          <w:szCs w:val="24"/>
          <w:lang w:eastAsia="da-DK"/>
        </w:rPr>
      </w:pPr>
      <w:r w:rsidRPr="00A332DC">
        <w:rPr>
          <w:sz w:val="24"/>
          <w:szCs w:val="24"/>
          <w:lang w:eastAsia="da-DK"/>
        </w:rPr>
        <w:t>BP</w:t>
      </w:r>
    </w:p>
    <w:p w14:paraId="0657F8DB" w14:textId="26369D53" w:rsidR="0003527F" w:rsidRPr="00CE75C6" w:rsidRDefault="00A332DC" w:rsidP="00CE75C6">
      <w:pPr>
        <w:ind w:left="851"/>
        <w:rPr>
          <w:sz w:val="24"/>
          <w:szCs w:val="24"/>
          <w:lang w:eastAsia="da-DK"/>
        </w:rPr>
      </w:pPr>
      <w:bookmarkStart w:id="14" w:name="_Hlk73467306"/>
      <w:r w:rsidRPr="00A332DC">
        <w:rPr>
          <w:sz w:val="24"/>
          <w:szCs w:val="24"/>
          <w:lang w:eastAsia="da-DK"/>
        </w:rPr>
        <w:t>Der findes detaljerede oplysninger om dette veterinærlægemiddel i EU-lægemiddeldatabasen.</w:t>
      </w:r>
      <w:bookmarkEnd w:id="14"/>
    </w:p>
    <w:sectPr w:rsidR="0003527F" w:rsidRPr="00CE75C6"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64FB4" w14:textId="77777777" w:rsidR="00C21C88" w:rsidRDefault="00C21C88">
      <w:r>
        <w:separator/>
      </w:r>
    </w:p>
  </w:endnote>
  <w:endnote w:type="continuationSeparator" w:id="0">
    <w:p w14:paraId="70B088B5" w14:textId="77777777" w:rsidR="00C21C88" w:rsidRDefault="00C2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7771" w14:textId="77777777" w:rsidR="004A62CC" w:rsidRDefault="004A62CC">
    <w:pPr>
      <w:pStyle w:val="Sidefod"/>
      <w:pBdr>
        <w:bottom w:val="single" w:sz="6" w:space="1" w:color="auto"/>
      </w:pBdr>
      <w:tabs>
        <w:tab w:val="clear" w:pos="4819"/>
        <w:tab w:val="left" w:pos="8647"/>
      </w:tabs>
      <w:rPr>
        <w:i/>
        <w:snapToGrid w:val="0"/>
        <w:sz w:val="18"/>
      </w:rPr>
    </w:pPr>
  </w:p>
  <w:p w14:paraId="487612F3" w14:textId="77777777" w:rsidR="004A62CC" w:rsidRDefault="004A62CC">
    <w:pPr>
      <w:pStyle w:val="Sidefod"/>
      <w:tabs>
        <w:tab w:val="clear" w:pos="4819"/>
        <w:tab w:val="left" w:pos="8647"/>
      </w:tabs>
      <w:rPr>
        <w:i/>
        <w:snapToGrid w:val="0"/>
        <w:sz w:val="18"/>
      </w:rPr>
    </w:pPr>
  </w:p>
  <w:p w14:paraId="74C1D981" w14:textId="189F432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61B90">
      <w:rPr>
        <w:i/>
        <w:noProof/>
        <w:snapToGrid w:val="0"/>
        <w:sz w:val="18"/>
      </w:rPr>
      <w:t>Lincoral-s, pulver til anvendelse i drikkevand 222+444,7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85B35" w14:textId="77777777" w:rsidR="004A62CC" w:rsidRDefault="004A62CC">
    <w:pPr>
      <w:pStyle w:val="Sidefod"/>
      <w:pBdr>
        <w:bottom w:val="single" w:sz="6" w:space="1" w:color="auto"/>
      </w:pBdr>
      <w:tabs>
        <w:tab w:val="clear" w:pos="4819"/>
        <w:tab w:val="left" w:pos="8647"/>
      </w:tabs>
      <w:rPr>
        <w:i/>
        <w:snapToGrid w:val="0"/>
        <w:sz w:val="18"/>
      </w:rPr>
    </w:pPr>
  </w:p>
  <w:p w14:paraId="01DFE8B5" w14:textId="77777777" w:rsidR="004A62CC" w:rsidRDefault="004A62CC">
    <w:pPr>
      <w:pStyle w:val="Sidefod"/>
      <w:tabs>
        <w:tab w:val="clear" w:pos="4819"/>
        <w:tab w:val="left" w:pos="8647"/>
      </w:tabs>
      <w:rPr>
        <w:i/>
        <w:snapToGrid w:val="0"/>
        <w:sz w:val="18"/>
      </w:rPr>
    </w:pPr>
  </w:p>
  <w:p w14:paraId="05EF232D" w14:textId="150A080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61B90">
      <w:rPr>
        <w:i/>
        <w:noProof/>
        <w:snapToGrid w:val="0"/>
        <w:sz w:val="18"/>
      </w:rPr>
      <w:t>Lincoral-s, pulver til anvendelse i drikkevand 222+444,7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49E77" w14:textId="77777777" w:rsidR="00C21C88" w:rsidRDefault="00C21C88">
      <w:r>
        <w:separator/>
      </w:r>
    </w:p>
  </w:footnote>
  <w:footnote w:type="continuationSeparator" w:id="0">
    <w:p w14:paraId="132D7E5C" w14:textId="77777777" w:rsidR="00C21C88" w:rsidRDefault="00C21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42F5"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C67F5"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88"/>
    <w:rsid w:val="000241E8"/>
    <w:rsid w:val="0003527F"/>
    <w:rsid w:val="0004390D"/>
    <w:rsid w:val="0005355A"/>
    <w:rsid w:val="0005604A"/>
    <w:rsid w:val="00065C7D"/>
    <w:rsid w:val="00092AFF"/>
    <w:rsid w:val="000B102C"/>
    <w:rsid w:val="000C6CD4"/>
    <w:rsid w:val="000E3017"/>
    <w:rsid w:val="00113E03"/>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E7CE1"/>
    <w:rsid w:val="002F3591"/>
    <w:rsid w:val="00322BDE"/>
    <w:rsid w:val="00340679"/>
    <w:rsid w:val="00371CA6"/>
    <w:rsid w:val="003E4B6F"/>
    <w:rsid w:val="00406EE7"/>
    <w:rsid w:val="00407013"/>
    <w:rsid w:val="00412537"/>
    <w:rsid w:val="00415D7C"/>
    <w:rsid w:val="00417225"/>
    <w:rsid w:val="00451FEF"/>
    <w:rsid w:val="00493D18"/>
    <w:rsid w:val="004A62CC"/>
    <w:rsid w:val="004B6822"/>
    <w:rsid w:val="004C733C"/>
    <w:rsid w:val="00514C36"/>
    <w:rsid w:val="00516253"/>
    <w:rsid w:val="00545D30"/>
    <w:rsid w:val="0055508C"/>
    <w:rsid w:val="00565A74"/>
    <w:rsid w:val="005A3B7B"/>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46EBB"/>
    <w:rsid w:val="00750478"/>
    <w:rsid w:val="00751513"/>
    <w:rsid w:val="007564C7"/>
    <w:rsid w:val="00776C2C"/>
    <w:rsid w:val="00781329"/>
    <w:rsid w:val="007A3F96"/>
    <w:rsid w:val="007A684C"/>
    <w:rsid w:val="007C688A"/>
    <w:rsid w:val="007E2A00"/>
    <w:rsid w:val="008010F2"/>
    <w:rsid w:val="00805902"/>
    <w:rsid w:val="00813E75"/>
    <w:rsid w:val="0081533D"/>
    <w:rsid w:val="0081727F"/>
    <w:rsid w:val="008203A8"/>
    <w:rsid w:val="008509BB"/>
    <w:rsid w:val="00851D7F"/>
    <w:rsid w:val="00861B90"/>
    <w:rsid w:val="00872A3D"/>
    <w:rsid w:val="008803C5"/>
    <w:rsid w:val="008E4866"/>
    <w:rsid w:val="008F049D"/>
    <w:rsid w:val="009202AE"/>
    <w:rsid w:val="00942FB8"/>
    <w:rsid w:val="00960F5F"/>
    <w:rsid w:val="00967486"/>
    <w:rsid w:val="009954DF"/>
    <w:rsid w:val="009A7A00"/>
    <w:rsid w:val="009D66C6"/>
    <w:rsid w:val="009E300C"/>
    <w:rsid w:val="009E5184"/>
    <w:rsid w:val="009F1F5E"/>
    <w:rsid w:val="00A31E52"/>
    <w:rsid w:val="00A332DC"/>
    <w:rsid w:val="00A715AB"/>
    <w:rsid w:val="00A74A8A"/>
    <w:rsid w:val="00A85606"/>
    <w:rsid w:val="00A86C63"/>
    <w:rsid w:val="00A957A6"/>
    <w:rsid w:val="00A96525"/>
    <w:rsid w:val="00AA0D25"/>
    <w:rsid w:val="00AC012D"/>
    <w:rsid w:val="00AD4D77"/>
    <w:rsid w:val="00AE29E5"/>
    <w:rsid w:val="00AE5757"/>
    <w:rsid w:val="00B25EB8"/>
    <w:rsid w:val="00B764E3"/>
    <w:rsid w:val="00B82831"/>
    <w:rsid w:val="00B85456"/>
    <w:rsid w:val="00B87267"/>
    <w:rsid w:val="00B93A25"/>
    <w:rsid w:val="00BC634B"/>
    <w:rsid w:val="00BF2AE0"/>
    <w:rsid w:val="00C00AFB"/>
    <w:rsid w:val="00C03DC3"/>
    <w:rsid w:val="00C21C88"/>
    <w:rsid w:val="00C41394"/>
    <w:rsid w:val="00C479BF"/>
    <w:rsid w:val="00C6511E"/>
    <w:rsid w:val="00C66C59"/>
    <w:rsid w:val="00C838AB"/>
    <w:rsid w:val="00C83AA2"/>
    <w:rsid w:val="00CE3A44"/>
    <w:rsid w:val="00CE3F86"/>
    <w:rsid w:val="00CE75C6"/>
    <w:rsid w:val="00CF75B4"/>
    <w:rsid w:val="00D10EE1"/>
    <w:rsid w:val="00D14DBC"/>
    <w:rsid w:val="00D267A3"/>
    <w:rsid w:val="00D62C39"/>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062FA"/>
    <w:rsid w:val="00F21EB5"/>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B5B3F"/>
  <w15:chartTrackingRefBased/>
  <w15:docId w15:val="{59256DD2-E124-4DC7-B91F-37DC82F7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table" w:styleId="Tabel-Gitter">
    <w:name w:val="Table Grid"/>
    <w:basedOn w:val="Tabel-Normal"/>
    <w:uiPriority w:val="39"/>
    <w:rsid w:val="0055508C"/>
    <w:rPr>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2912788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1843285">
      <w:bodyDiv w:val="1"/>
      <w:marLeft w:val="0"/>
      <w:marRight w:val="0"/>
      <w:marTop w:val="0"/>
      <w:marBottom w:val="0"/>
      <w:divBdr>
        <w:top w:val="none" w:sz="0" w:space="0" w:color="auto"/>
        <w:left w:val="none" w:sz="0" w:space="0" w:color="auto"/>
        <w:bottom w:val="none" w:sz="0" w:space="0" w:color="auto"/>
        <w:right w:val="none" w:sz="0" w:space="0" w:color="auto"/>
      </w:divBdr>
    </w:div>
    <w:div w:id="231041882">
      <w:bodyDiv w:val="1"/>
      <w:marLeft w:val="0"/>
      <w:marRight w:val="0"/>
      <w:marTop w:val="0"/>
      <w:marBottom w:val="0"/>
      <w:divBdr>
        <w:top w:val="none" w:sz="0" w:space="0" w:color="auto"/>
        <w:left w:val="none" w:sz="0" w:space="0" w:color="auto"/>
        <w:bottom w:val="none" w:sz="0" w:space="0" w:color="auto"/>
        <w:right w:val="none" w:sz="0" w:space="0" w:color="auto"/>
      </w:divBdr>
    </w:div>
    <w:div w:id="258607266">
      <w:bodyDiv w:val="1"/>
      <w:marLeft w:val="0"/>
      <w:marRight w:val="0"/>
      <w:marTop w:val="0"/>
      <w:marBottom w:val="0"/>
      <w:divBdr>
        <w:top w:val="none" w:sz="0" w:space="0" w:color="auto"/>
        <w:left w:val="none" w:sz="0" w:space="0" w:color="auto"/>
        <w:bottom w:val="none" w:sz="0" w:space="0" w:color="auto"/>
        <w:right w:val="none" w:sz="0" w:space="0" w:color="auto"/>
      </w:divBdr>
    </w:div>
    <w:div w:id="427773213">
      <w:bodyDiv w:val="1"/>
      <w:marLeft w:val="0"/>
      <w:marRight w:val="0"/>
      <w:marTop w:val="0"/>
      <w:marBottom w:val="0"/>
      <w:divBdr>
        <w:top w:val="none" w:sz="0" w:space="0" w:color="auto"/>
        <w:left w:val="none" w:sz="0" w:space="0" w:color="auto"/>
        <w:bottom w:val="none" w:sz="0" w:space="0" w:color="auto"/>
        <w:right w:val="none" w:sz="0" w:space="0" w:color="auto"/>
      </w:divBdr>
    </w:div>
    <w:div w:id="431584524">
      <w:bodyDiv w:val="1"/>
      <w:marLeft w:val="0"/>
      <w:marRight w:val="0"/>
      <w:marTop w:val="0"/>
      <w:marBottom w:val="0"/>
      <w:divBdr>
        <w:top w:val="none" w:sz="0" w:space="0" w:color="auto"/>
        <w:left w:val="none" w:sz="0" w:space="0" w:color="auto"/>
        <w:bottom w:val="none" w:sz="0" w:space="0" w:color="auto"/>
        <w:right w:val="none" w:sz="0" w:space="0" w:color="auto"/>
      </w:divBdr>
    </w:div>
    <w:div w:id="433671232">
      <w:bodyDiv w:val="1"/>
      <w:marLeft w:val="0"/>
      <w:marRight w:val="0"/>
      <w:marTop w:val="0"/>
      <w:marBottom w:val="0"/>
      <w:divBdr>
        <w:top w:val="none" w:sz="0" w:space="0" w:color="auto"/>
        <w:left w:val="none" w:sz="0" w:space="0" w:color="auto"/>
        <w:bottom w:val="none" w:sz="0" w:space="0" w:color="auto"/>
        <w:right w:val="none" w:sz="0" w:space="0" w:color="auto"/>
      </w:divBdr>
    </w:div>
    <w:div w:id="44527343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44026943">
      <w:bodyDiv w:val="1"/>
      <w:marLeft w:val="0"/>
      <w:marRight w:val="0"/>
      <w:marTop w:val="0"/>
      <w:marBottom w:val="0"/>
      <w:divBdr>
        <w:top w:val="none" w:sz="0" w:space="0" w:color="auto"/>
        <w:left w:val="none" w:sz="0" w:space="0" w:color="auto"/>
        <w:bottom w:val="none" w:sz="0" w:space="0" w:color="auto"/>
        <w:right w:val="none" w:sz="0" w:space="0" w:color="auto"/>
      </w:divBdr>
    </w:div>
    <w:div w:id="565991238">
      <w:bodyDiv w:val="1"/>
      <w:marLeft w:val="0"/>
      <w:marRight w:val="0"/>
      <w:marTop w:val="0"/>
      <w:marBottom w:val="0"/>
      <w:divBdr>
        <w:top w:val="none" w:sz="0" w:space="0" w:color="auto"/>
        <w:left w:val="none" w:sz="0" w:space="0" w:color="auto"/>
        <w:bottom w:val="none" w:sz="0" w:space="0" w:color="auto"/>
        <w:right w:val="none" w:sz="0" w:space="0" w:color="auto"/>
      </w:divBdr>
    </w:div>
    <w:div w:id="567038642">
      <w:bodyDiv w:val="1"/>
      <w:marLeft w:val="0"/>
      <w:marRight w:val="0"/>
      <w:marTop w:val="0"/>
      <w:marBottom w:val="0"/>
      <w:divBdr>
        <w:top w:val="none" w:sz="0" w:space="0" w:color="auto"/>
        <w:left w:val="none" w:sz="0" w:space="0" w:color="auto"/>
        <w:bottom w:val="none" w:sz="0" w:space="0" w:color="auto"/>
        <w:right w:val="none" w:sz="0" w:space="0" w:color="auto"/>
      </w:divBdr>
    </w:div>
    <w:div w:id="576785370">
      <w:bodyDiv w:val="1"/>
      <w:marLeft w:val="0"/>
      <w:marRight w:val="0"/>
      <w:marTop w:val="0"/>
      <w:marBottom w:val="0"/>
      <w:divBdr>
        <w:top w:val="none" w:sz="0" w:space="0" w:color="auto"/>
        <w:left w:val="none" w:sz="0" w:space="0" w:color="auto"/>
        <w:bottom w:val="none" w:sz="0" w:space="0" w:color="auto"/>
        <w:right w:val="none" w:sz="0" w:space="0" w:color="auto"/>
      </w:divBdr>
    </w:div>
    <w:div w:id="611981087">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66443187">
      <w:bodyDiv w:val="1"/>
      <w:marLeft w:val="0"/>
      <w:marRight w:val="0"/>
      <w:marTop w:val="0"/>
      <w:marBottom w:val="0"/>
      <w:divBdr>
        <w:top w:val="none" w:sz="0" w:space="0" w:color="auto"/>
        <w:left w:val="none" w:sz="0" w:space="0" w:color="auto"/>
        <w:bottom w:val="none" w:sz="0" w:space="0" w:color="auto"/>
        <w:right w:val="none" w:sz="0" w:space="0" w:color="auto"/>
      </w:divBdr>
    </w:div>
    <w:div w:id="680356675">
      <w:bodyDiv w:val="1"/>
      <w:marLeft w:val="0"/>
      <w:marRight w:val="0"/>
      <w:marTop w:val="0"/>
      <w:marBottom w:val="0"/>
      <w:divBdr>
        <w:top w:val="none" w:sz="0" w:space="0" w:color="auto"/>
        <w:left w:val="none" w:sz="0" w:space="0" w:color="auto"/>
        <w:bottom w:val="none" w:sz="0" w:space="0" w:color="auto"/>
        <w:right w:val="none" w:sz="0" w:space="0" w:color="auto"/>
      </w:divBdr>
    </w:div>
    <w:div w:id="696203034">
      <w:bodyDiv w:val="1"/>
      <w:marLeft w:val="0"/>
      <w:marRight w:val="0"/>
      <w:marTop w:val="0"/>
      <w:marBottom w:val="0"/>
      <w:divBdr>
        <w:top w:val="none" w:sz="0" w:space="0" w:color="auto"/>
        <w:left w:val="none" w:sz="0" w:space="0" w:color="auto"/>
        <w:bottom w:val="none" w:sz="0" w:space="0" w:color="auto"/>
        <w:right w:val="none" w:sz="0" w:space="0" w:color="auto"/>
      </w:divBdr>
    </w:div>
    <w:div w:id="737095234">
      <w:bodyDiv w:val="1"/>
      <w:marLeft w:val="0"/>
      <w:marRight w:val="0"/>
      <w:marTop w:val="0"/>
      <w:marBottom w:val="0"/>
      <w:divBdr>
        <w:top w:val="none" w:sz="0" w:space="0" w:color="auto"/>
        <w:left w:val="none" w:sz="0" w:space="0" w:color="auto"/>
        <w:bottom w:val="none" w:sz="0" w:space="0" w:color="auto"/>
        <w:right w:val="none" w:sz="0" w:space="0" w:color="auto"/>
      </w:divBdr>
    </w:div>
    <w:div w:id="787940993">
      <w:bodyDiv w:val="1"/>
      <w:marLeft w:val="0"/>
      <w:marRight w:val="0"/>
      <w:marTop w:val="0"/>
      <w:marBottom w:val="0"/>
      <w:divBdr>
        <w:top w:val="none" w:sz="0" w:space="0" w:color="auto"/>
        <w:left w:val="none" w:sz="0" w:space="0" w:color="auto"/>
        <w:bottom w:val="none" w:sz="0" w:space="0" w:color="auto"/>
        <w:right w:val="none" w:sz="0" w:space="0" w:color="auto"/>
      </w:divBdr>
    </w:div>
    <w:div w:id="815798447">
      <w:bodyDiv w:val="1"/>
      <w:marLeft w:val="0"/>
      <w:marRight w:val="0"/>
      <w:marTop w:val="0"/>
      <w:marBottom w:val="0"/>
      <w:divBdr>
        <w:top w:val="none" w:sz="0" w:space="0" w:color="auto"/>
        <w:left w:val="none" w:sz="0" w:space="0" w:color="auto"/>
        <w:bottom w:val="none" w:sz="0" w:space="0" w:color="auto"/>
        <w:right w:val="none" w:sz="0" w:space="0" w:color="auto"/>
      </w:divBdr>
    </w:div>
    <w:div w:id="837385337">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65433925">
      <w:bodyDiv w:val="1"/>
      <w:marLeft w:val="0"/>
      <w:marRight w:val="0"/>
      <w:marTop w:val="0"/>
      <w:marBottom w:val="0"/>
      <w:divBdr>
        <w:top w:val="none" w:sz="0" w:space="0" w:color="auto"/>
        <w:left w:val="none" w:sz="0" w:space="0" w:color="auto"/>
        <w:bottom w:val="none" w:sz="0" w:space="0" w:color="auto"/>
        <w:right w:val="none" w:sz="0" w:space="0" w:color="auto"/>
      </w:divBdr>
    </w:div>
    <w:div w:id="985207270">
      <w:bodyDiv w:val="1"/>
      <w:marLeft w:val="0"/>
      <w:marRight w:val="0"/>
      <w:marTop w:val="0"/>
      <w:marBottom w:val="0"/>
      <w:divBdr>
        <w:top w:val="none" w:sz="0" w:space="0" w:color="auto"/>
        <w:left w:val="none" w:sz="0" w:space="0" w:color="auto"/>
        <w:bottom w:val="none" w:sz="0" w:space="0" w:color="auto"/>
        <w:right w:val="none" w:sz="0" w:space="0" w:color="auto"/>
      </w:divBdr>
    </w:div>
    <w:div w:id="1002582369">
      <w:bodyDiv w:val="1"/>
      <w:marLeft w:val="0"/>
      <w:marRight w:val="0"/>
      <w:marTop w:val="0"/>
      <w:marBottom w:val="0"/>
      <w:divBdr>
        <w:top w:val="none" w:sz="0" w:space="0" w:color="auto"/>
        <w:left w:val="none" w:sz="0" w:space="0" w:color="auto"/>
        <w:bottom w:val="none" w:sz="0" w:space="0" w:color="auto"/>
        <w:right w:val="none" w:sz="0" w:space="0" w:color="auto"/>
      </w:divBdr>
    </w:div>
    <w:div w:id="1036202165">
      <w:bodyDiv w:val="1"/>
      <w:marLeft w:val="0"/>
      <w:marRight w:val="0"/>
      <w:marTop w:val="0"/>
      <w:marBottom w:val="0"/>
      <w:divBdr>
        <w:top w:val="none" w:sz="0" w:space="0" w:color="auto"/>
        <w:left w:val="none" w:sz="0" w:space="0" w:color="auto"/>
        <w:bottom w:val="none" w:sz="0" w:space="0" w:color="auto"/>
        <w:right w:val="none" w:sz="0" w:space="0" w:color="auto"/>
      </w:divBdr>
    </w:div>
    <w:div w:id="1066296914">
      <w:bodyDiv w:val="1"/>
      <w:marLeft w:val="0"/>
      <w:marRight w:val="0"/>
      <w:marTop w:val="0"/>
      <w:marBottom w:val="0"/>
      <w:divBdr>
        <w:top w:val="none" w:sz="0" w:space="0" w:color="auto"/>
        <w:left w:val="none" w:sz="0" w:space="0" w:color="auto"/>
        <w:bottom w:val="none" w:sz="0" w:space="0" w:color="auto"/>
        <w:right w:val="none" w:sz="0" w:space="0" w:color="auto"/>
      </w:divBdr>
    </w:div>
    <w:div w:id="1124159960">
      <w:bodyDiv w:val="1"/>
      <w:marLeft w:val="0"/>
      <w:marRight w:val="0"/>
      <w:marTop w:val="0"/>
      <w:marBottom w:val="0"/>
      <w:divBdr>
        <w:top w:val="none" w:sz="0" w:space="0" w:color="auto"/>
        <w:left w:val="none" w:sz="0" w:space="0" w:color="auto"/>
        <w:bottom w:val="none" w:sz="0" w:space="0" w:color="auto"/>
        <w:right w:val="none" w:sz="0" w:space="0" w:color="auto"/>
      </w:divBdr>
    </w:div>
    <w:div w:id="1127429741">
      <w:bodyDiv w:val="1"/>
      <w:marLeft w:val="0"/>
      <w:marRight w:val="0"/>
      <w:marTop w:val="0"/>
      <w:marBottom w:val="0"/>
      <w:divBdr>
        <w:top w:val="none" w:sz="0" w:space="0" w:color="auto"/>
        <w:left w:val="none" w:sz="0" w:space="0" w:color="auto"/>
        <w:bottom w:val="none" w:sz="0" w:space="0" w:color="auto"/>
        <w:right w:val="none" w:sz="0" w:space="0" w:color="auto"/>
      </w:divBdr>
    </w:div>
    <w:div w:id="1142120453">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32036877">
      <w:bodyDiv w:val="1"/>
      <w:marLeft w:val="0"/>
      <w:marRight w:val="0"/>
      <w:marTop w:val="0"/>
      <w:marBottom w:val="0"/>
      <w:divBdr>
        <w:top w:val="none" w:sz="0" w:space="0" w:color="auto"/>
        <w:left w:val="none" w:sz="0" w:space="0" w:color="auto"/>
        <w:bottom w:val="none" w:sz="0" w:space="0" w:color="auto"/>
        <w:right w:val="none" w:sz="0" w:space="0" w:color="auto"/>
      </w:divBdr>
    </w:div>
    <w:div w:id="1237714054">
      <w:bodyDiv w:val="1"/>
      <w:marLeft w:val="0"/>
      <w:marRight w:val="0"/>
      <w:marTop w:val="0"/>
      <w:marBottom w:val="0"/>
      <w:divBdr>
        <w:top w:val="none" w:sz="0" w:space="0" w:color="auto"/>
        <w:left w:val="none" w:sz="0" w:space="0" w:color="auto"/>
        <w:bottom w:val="none" w:sz="0" w:space="0" w:color="auto"/>
        <w:right w:val="none" w:sz="0" w:space="0" w:color="auto"/>
      </w:divBdr>
    </w:div>
    <w:div w:id="1263875837">
      <w:bodyDiv w:val="1"/>
      <w:marLeft w:val="0"/>
      <w:marRight w:val="0"/>
      <w:marTop w:val="0"/>
      <w:marBottom w:val="0"/>
      <w:divBdr>
        <w:top w:val="none" w:sz="0" w:space="0" w:color="auto"/>
        <w:left w:val="none" w:sz="0" w:space="0" w:color="auto"/>
        <w:bottom w:val="none" w:sz="0" w:space="0" w:color="auto"/>
        <w:right w:val="none" w:sz="0" w:space="0" w:color="auto"/>
      </w:divBdr>
    </w:div>
    <w:div w:id="1271350820">
      <w:bodyDiv w:val="1"/>
      <w:marLeft w:val="0"/>
      <w:marRight w:val="0"/>
      <w:marTop w:val="0"/>
      <w:marBottom w:val="0"/>
      <w:divBdr>
        <w:top w:val="none" w:sz="0" w:space="0" w:color="auto"/>
        <w:left w:val="none" w:sz="0" w:space="0" w:color="auto"/>
        <w:bottom w:val="none" w:sz="0" w:space="0" w:color="auto"/>
        <w:right w:val="none" w:sz="0" w:space="0" w:color="auto"/>
      </w:divBdr>
    </w:div>
    <w:div w:id="1271669994">
      <w:bodyDiv w:val="1"/>
      <w:marLeft w:val="0"/>
      <w:marRight w:val="0"/>
      <w:marTop w:val="0"/>
      <w:marBottom w:val="0"/>
      <w:divBdr>
        <w:top w:val="none" w:sz="0" w:space="0" w:color="auto"/>
        <w:left w:val="none" w:sz="0" w:space="0" w:color="auto"/>
        <w:bottom w:val="none" w:sz="0" w:space="0" w:color="auto"/>
        <w:right w:val="none" w:sz="0" w:space="0" w:color="auto"/>
      </w:divBdr>
    </w:div>
    <w:div w:id="1383480556">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63961389">
      <w:bodyDiv w:val="1"/>
      <w:marLeft w:val="0"/>
      <w:marRight w:val="0"/>
      <w:marTop w:val="0"/>
      <w:marBottom w:val="0"/>
      <w:divBdr>
        <w:top w:val="none" w:sz="0" w:space="0" w:color="auto"/>
        <w:left w:val="none" w:sz="0" w:space="0" w:color="auto"/>
        <w:bottom w:val="none" w:sz="0" w:space="0" w:color="auto"/>
        <w:right w:val="none" w:sz="0" w:space="0" w:color="auto"/>
      </w:divBdr>
    </w:div>
    <w:div w:id="1464614390">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86773320">
      <w:bodyDiv w:val="1"/>
      <w:marLeft w:val="0"/>
      <w:marRight w:val="0"/>
      <w:marTop w:val="0"/>
      <w:marBottom w:val="0"/>
      <w:divBdr>
        <w:top w:val="none" w:sz="0" w:space="0" w:color="auto"/>
        <w:left w:val="none" w:sz="0" w:space="0" w:color="auto"/>
        <w:bottom w:val="none" w:sz="0" w:space="0" w:color="auto"/>
        <w:right w:val="none" w:sz="0" w:space="0" w:color="auto"/>
      </w:divBdr>
    </w:div>
    <w:div w:id="1497460399">
      <w:bodyDiv w:val="1"/>
      <w:marLeft w:val="0"/>
      <w:marRight w:val="0"/>
      <w:marTop w:val="0"/>
      <w:marBottom w:val="0"/>
      <w:divBdr>
        <w:top w:val="none" w:sz="0" w:space="0" w:color="auto"/>
        <w:left w:val="none" w:sz="0" w:space="0" w:color="auto"/>
        <w:bottom w:val="none" w:sz="0" w:space="0" w:color="auto"/>
        <w:right w:val="none" w:sz="0" w:space="0" w:color="auto"/>
      </w:divBdr>
    </w:div>
    <w:div w:id="1538350139">
      <w:bodyDiv w:val="1"/>
      <w:marLeft w:val="0"/>
      <w:marRight w:val="0"/>
      <w:marTop w:val="0"/>
      <w:marBottom w:val="0"/>
      <w:divBdr>
        <w:top w:val="none" w:sz="0" w:space="0" w:color="auto"/>
        <w:left w:val="none" w:sz="0" w:space="0" w:color="auto"/>
        <w:bottom w:val="none" w:sz="0" w:space="0" w:color="auto"/>
        <w:right w:val="none" w:sz="0" w:space="0" w:color="auto"/>
      </w:divBdr>
    </w:div>
    <w:div w:id="1558281429">
      <w:bodyDiv w:val="1"/>
      <w:marLeft w:val="0"/>
      <w:marRight w:val="0"/>
      <w:marTop w:val="0"/>
      <w:marBottom w:val="0"/>
      <w:divBdr>
        <w:top w:val="none" w:sz="0" w:space="0" w:color="auto"/>
        <w:left w:val="none" w:sz="0" w:space="0" w:color="auto"/>
        <w:bottom w:val="none" w:sz="0" w:space="0" w:color="auto"/>
        <w:right w:val="none" w:sz="0" w:space="0" w:color="auto"/>
      </w:divBdr>
    </w:div>
    <w:div w:id="1613201289">
      <w:bodyDiv w:val="1"/>
      <w:marLeft w:val="0"/>
      <w:marRight w:val="0"/>
      <w:marTop w:val="0"/>
      <w:marBottom w:val="0"/>
      <w:divBdr>
        <w:top w:val="none" w:sz="0" w:space="0" w:color="auto"/>
        <w:left w:val="none" w:sz="0" w:space="0" w:color="auto"/>
        <w:bottom w:val="none" w:sz="0" w:space="0" w:color="auto"/>
        <w:right w:val="none" w:sz="0" w:space="0" w:color="auto"/>
      </w:divBdr>
    </w:div>
    <w:div w:id="1669745168">
      <w:bodyDiv w:val="1"/>
      <w:marLeft w:val="0"/>
      <w:marRight w:val="0"/>
      <w:marTop w:val="0"/>
      <w:marBottom w:val="0"/>
      <w:divBdr>
        <w:top w:val="none" w:sz="0" w:space="0" w:color="auto"/>
        <w:left w:val="none" w:sz="0" w:space="0" w:color="auto"/>
        <w:bottom w:val="none" w:sz="0" w:space="0" w:color="auto"/>
        <w:right w:val="none" w:sz="0" w:space="0" w:color="auto"/>
      </w:divBdr>
    </w:div>
    <w:div w:id="1681665245">
      <w:bodyDiv w:val="1"/>
      <w:marLeft w:val="0"/>
      <w:marRight w:val="0"/>
      <w:marTop w:val="0"/>
      <w:marBottom w:val="0"/>
      <w:divBdr>
        <w:top w:val="none" w:sz="0" w:space="0" w:color="auto"/>
        <w:left w:val="none" w:sz="0" w:space="0" w:color="auto"/>
        <w:bottom w:val="none" w:sz="0" w:space="0" w:color="auto"/>
        <w:right w:val="none" w:sz="0" w:space="0" w:color="auto"/>
      </w:divBdr>
    </w:div>
    <w:div w:id="1753046145">
      <w:bodyDiv w:val="1"/>
      <w:marLeft w:val="0"/>
      <w:marRight w:val="0"/>
      <w:marTop w:val="0"/>
      <w:marBottom w:val="0"/>
      <w:divBdr>
        <w:top w:val="none" w:sz="0" w:space="0" w:color="auto"/>
        <w:left w:val="none" w:sz="0" w:space="0" w:color="auto"/>
        <w:bottom w:val="none" w:sz="0" w:space="0" w:color="auto"/>
        <w:right w:val="none" w:sz="0" w:space="0" w:color="auto"/>
      </w:divBdr>
    </w:div>
    <w:div w:id="1760176451">
      <w:bodyDiv w:val="1"/>
      <w:marLeft w:val="0"/>
      <w:marRight w:val="0"/>
      <w:marTop w:val="0"/>
      <w:marBottom w:val="0"/>
      <w:divBdr>
        <w:top w:val="none" w:sz="0" w:space="0" w:color="auto"/>
        <w:left w:val="none" w:sz="0" w:space="0" w:color="auto"/>
        <w:bottom w:val="none" w:sz="0" w:space="0" w:color="auto"/>
        <w:right w:val="none" w:sz="0" w:space="0" w:color="auto"/>
      </w:divBdr>
    </w:div>
    <w:div w:id="1774393831">
      <w:bodyDiv w:val="1"/>
      <w:marLeft w:val="0"/>
      <w:marRight w:val="0"/>
      <w:marTop w:val="0"/>
      <w:marBottom w:val="0"/>
      <w:divBdr>
        <w:top w:val="none" w:sz="0" w:space="0" w:color="auto"/>
        <w:left w:val="none" w:sz="0" w:space="0" w:color="auto"/>
        <w:bottom w:val="none" w:sz="0" w:space="0" w:color="auto"/>
        <w:right w:val="none" w:sz="0" w:space="0" w:color="auto"/>
      </w:divBdr>
    </w:div>
    <w:div w:id="1801264249">
      <w:bodyDiv w:val="1"/>
      <w:marLeft w:val="0"/>
      <w:marRight w:val="0"/>
      <w:marTop w:val="0"/>
      <w:marBottom w:val="0"/>
      <w:divBdr>
        <w:top w:val="none" w:sz="0" w:space="0" w:color="auto"/>
        <w:left w:val="none" w:sz="0" w:space="0" w:color="auto"/>
        <w:bottom w:val="none" w:sz="0" w:space="0" w:color="auto"/>
        <w:right w:val="none" w:sz="0" w:space="0" w:color="auto"/>
      </w:divBdr>
    </w:div>
    <w:div w:id="1887252477">
      <w:bodyDiv w:val="1"/>
      <w:marLeft w:val="0"/>
      <w:marRight w:val="0"/>
      <w:marTop w:val="0"/>
      <w:marBottom w:val="0"/>
      <w:divBdr>
        <w:top w:val="none" w:sz="0" w:space="0" w:color="auto"/>
        <w:left w:val="none" w:sz="0" w:space="0" w:color="auto"/>
        <w:bottom w:val="none" w:sz="0" w:space="0" w:color="auto"/>
        <w:right w:val="none" w:sz="0" w:space="0" w:color="auto"/>
      </w:divBdr>
    </w:div>
    <w:div w:id="1903058156">
      <w:bodyDiv w:val="1"/>
      <w:marLeft w:val="0"/>
      <w:marRight w:val="0"/>
      <w:marTop w:val="0"/>
      <w:marBottom w:val="0"/>
      <w:divBdr>
        <w:top w:val="none" w:sz="0" w:space="0" w:color="auto"/>
        <w:left w:val="none" w:sz="0" w:space="0" w:color="auto"/>
        <w:bottom w:val="none" w:sz="0" w:space="0" w:color="auto"/>
        <w:right w:val="none" w:sz="0" w:space="0" w:color="auto"/>
      </w:divBdr>
    </w:div>
    <w:div w:id="2077820366">
      <w:bodyDiv w:val="1"/>
      <w:marLeft w:val="0"/>
      <w:marRight w:val="0"/>
      <w:marTop w:val="0"/>
      <w:marBottom w:val="0"/>
      <w:divBdr>
        <w:top w:val="none" w:sz="0" w:space="0" w:color="auto"/>
        <w:left w:val="none" w:sz="0" w:space="0" w:color="auto"/>
        <w:bottom w:val="none" w:sz="0" w:space="0" w:color="auto"/>
        <w:right w:val="none" w:sz="0" w:space="0" w:color="auto"/>
      </w:divBdr>
    </w:div>
    <w:div w:id="208976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2</TotalTime>
  <Pages>8</Pages>
  <Words>2251</Words>
  <Characters>15318</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2024042559 SPC punkt 5.4</dc:description>
  <cp:lastModifiedBy>Nanna Helene Lillelund</cp:lastModifiedBy>
  <cp:revision>4</cp:revision>
  <cp:lastPrinted>2022-05-18T14:03:00Z</cp:lastPrinted>
  <dcterms:created xsi:type="dcterms:W3CDTF">2024-05-23T09:14:00Z</dcterms:created>
  <dcterms:modified xsi:type="dcterms:W3CDTF">2024-05-23T09:17:00Z</dcterms:modified>
</cp:coreProperties>
</file>