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30ED3" w14:textId="77777777" w:rsidR="005B0036" w:rsidRPr="008F49E1" w:rsidRDefault="005B0036" w:rsidP="005B0036">
      <w:pPr>
        <w:rPr>
          <w:sz w:val="24"/>
          <w:szCs w:val="24"/>
        </w:rPr>
      </w:pPr>
      <w:bookmarkStart w:id="0" w:name="_GoBack"/>
      <w:bookmarkEnd w:id="0"/>
      <w:r w:rsidRPr="005B0036">
        <w:rPr>
          <w:noProof/>
          <w:sz w:val="24"/>
          <w:szCs w:val="24"/>
          <w:lang w:eastAsia="da-DK"/>
        </w:rPr>
        <w:drawing>
          <wp:inline distT="0" distB="0" distL="0" distR="0" wp14:anchorId="31CD62FF" wp14:editId="2F5B8F4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CB30922" w14:textId="77777777" w:rsidR="00C479BF" w:rsidRPr="00C20AF7" w:rsidRDefault="00C479BF" w:rsidP="005B0036">
      <w:pPr>
        <w:rPr>
          <w:sz w:val="24"/>
          <w:szCs w:val="24"/>
        </w:rPr>
      </w:pPr>
    </w:p>
    <w:p w14:paraId="6B721CAA" w14:textId="5E4BFE5D" w:rsidR="005B0036" w:rsidRPr="00406EE7" w:rsidRDefault="005B0036" w:rsidP="005B0036">
      <w:pPr>
        <w:tabs>
          <w:tab w:val="right" w:pos="9356"/>
        </w:tabs>
        <w:rPr>
          <w:b/>
          <w:sz w:val="24"/>
          <w:szCs w:val="24"/>
        </w:rPr>
      </w:pPr>
      <w:r>
        <w:rPr>
          <w:b/>
          <w:sz w:val="24"/>
          <w:szCs w:val="24"/>
        </w:rPr>
        <w:tab/>
      </w:r>
      <w:r w:rsidR="005B7553">
        <w:rPr>
          <w:b/>
          <w:sz w:val="24"/>
          <w:szCs w:val="24"/>
        </w:rPr>
        <w:t>23. juni 2020</w:t>
      </w:r>
    </w:p>
    <w:p w14:paraId="13C29242" w14:textId="77777777" w:rsidR="005B0036" w:rsidRPr="00406EE7" w:rsidRDefault="005B0036" w:rsidP="005B0036">
      <w:pPr>
        <w:rPr>
          <w:sz w:val="24"/>
          <w:szCs w:val="24"/>
        </w:rPr>
      </w:pPr>
    </w:p>
    <w:p w14:paraId="2A71A20E" w14:textId="64FE27DA" w:rsidR="005B0036" w:rsidRDefault="005B0036" w:rsidP="005B0036">
      <w:pPr>
        <w:rPr>
          <w:sz w:val="24"/>
          <w:szCs w:val="24"/>
        </w:rPr>
      </w:pPr>
    </w:p>
    <w:p w14:paraId="054BD235" w14:textId="77777777" w:rsidR="00A71D74" w:rsidRPr="00406EE7" w:rsidRDefault="00A71D74" w:rsidP="005B0036">
      <w:pPr>
        <w:rPr>
          <w:sz w:val="24"/>
          <w:szCs w:val="24"/>
        </w:rPr>
      </w:pPr>
    </w:p>
    <w:p w14:paraId="0D86847E" w14:textId="77777777" w:rsidR="005B0036" w:rsidRPr="00406EE7" w:rsidRDefault="005B0036" w:rsidP="005B0036">
      <w:pPr>
        <w:tabs>
          <w:tab w:val="left" w:pos="8222"/>
        </w:tabs>
        <w:jc w:val="center"/>
        <w:rPr>
          <w:b/>
          <w:sz w:val="24"/>
          <w:szCs w:val="24"/>
        </w:rPr>
      </w:pPr>
      <w:r w:rsidRPr="00406EE7">
        <w:rPr>
          <w:b/>
          <w:sz w:val="24"/>
          <w:szCs w:val="24"/>
        </w:rPr>
        <w:t>PRODUKTRESUMÉ</w:t>
      </w:r>
    </w:p>
    <w:p w14:paraId="7C958559" w14:textId="77777777" w:rsidR="005B0036" w:rsidRPr="00406EE7" w:rsidRDefault="005B0036" w:rsidP="005B0036">
      <w:pPr>
        <w:tabs>
          <w:tab w:val="left" w:pos="8222"/>
        </w:tabs>
        <w:jc w:val="center"/>
        <w:rPr>
          <w:b/>
          <w:sz w:val="24"/>
          <w:szCs w:val="24"/>
        </w:rPr>
      </w:pPr>
    </w:p>
    <w:p w14:paraId="0F29B4A6" w14:textId="77777777" w:rsidR="005B0036" w:rsidRPr="00406EE7" w:rsidRDefault="005B0036" w:rsidP="005B0036">
      <w:pPr>
        <w:tabs>
          <w:tab w:val="left" w:pos="8222"/>
        </w:tabs>
        <w:jc w:val="center"/>
        <w:rPr>
          <w:b/>
          <w:sz w:val="24"/>
          <w:szCs w:val="24"/>
        </w:rPr>
      </w:pPr>
      <w:r w:rsidRPr="00406EE7">
        <w:rPr>
          <w:b/>
          <w:sz w:val="24"/>
          <w:szCs w:val="24"/>
        </w:rPr>
        <w:t>for</w:t>
      </w:r>
    </w:p>
    <w:p w14:paraId="4E040DF5" w14:textId="77777777" w:rsidR="005B0036" w:rsidRPr="00406EE7" w:rsidRDefault="005B0036" w:rsidP="005B0036">
      <w:pPr>
        <w:tabs>
          <w:tab w:val="left" w:pos="8222"/>
        </w:tabs>
        <w:jc w:val="center"/>
        <w:rPr>
          <w:b/>
          <w:sz w:val="24"/>
          <w:szCs w:val="24"/>
        </w:rPr>
      </w:pPr>
    </w:p>
    <w:p w14:paraId="0C985F0D" w14:textId="1CE95C3B" w:rsidR="005B0036" w:rsidRPr="00565A74" w:rsidRDefault="00FC3DBD" w:rsidP="005B0036">
      <w:pPr>
        <w:tabs>
          <w:tab w:val="left" w:pos="8222"/>
        </w:tabs>
        <w:jc w:val="center"/>
        <w:rPr>
          <w:b/>
          <w:sz w:val="24"/>
          <w:szCs w:val="24"/>
        </w:rPr>
      </w:pPr>
      <w:proofErr w:type="spellStart"/>
      <w:r>
        <w:rPr>
          <w:b/>
          <w:sz w:val="24"/>
          <w:szCs w:val="24"/>
        </w:rPr>
        <w:t>Lismay</w:t>
      </w:r>
      <w:proofErr w:type="spellEnd"/>
      <w:r>
        <w:rPr>
          <w:b/>
          <w:sz w:val="24"/>
          <w:szCs w:val="24"/>
        </w:rPr>
        <w:t>, pulver til anvendelse i drikkevand</w:t>
      </w:r>
    </w:p>
    <w:p w14:paraId="4C83308A" w14:textId="77777777" w:rsidR="005B0036" w:rsidRPr="00A71D74" w:rsidRDefault="005B0036" w:rsidP="005B0036">
      <w:pPr>
        <w:tabs>
          <w:tab w:val="left" w:pos="8222"/>
        </w:tabs>
        <w:jc w:val="both"/>
        <w:rPr>
          <w:sz w:val="24"/>
          <w:szCs w:val="24"/>
        </w:rPr>
      </w:pPr>
    </w:p>
    <w:p w14:paraId="5FEA0E86" w14:textId="77777777" w:rsidR="005B0036" w:rsidRPr="00A71D74" w:rsidRDefault="005B0036" w:rsidP="005B0036">
      <w:pPr>
        <w:tabs>
          <w:tab w:val="left" w:pos="8222"/>
        </w:tabs>
        <w:jc w:val="both"/>
        <w:rPr>
          <w:sz w:val="24"/>
          <w:szCs w:val="24"/>
        </w:rPr>
      </w:pPr>
    </w:p>
    <w:p w14:paraId="313C1634" w14:textId="77777777" w:rsidR="005B0036" w:rsidRPr="00A71D74" w:rsidRDefault="005B0036" w:rsidP="005B0036">
      <w:pPr>
        <w:tabs>
          <w:tab w:val="left" w:pos="8222"/>
        </w:tabs>
        <w:ind w:left="851" w:hanging="851"/>
        <w:rPr>
          <w:b/>
          <w:sz w:val="24"/>
          <w:szCs w:val="24"/>
        </w:rPr>
      </w:pPr>
      <w:r w:rsidRPr="00A71D74">
        <w:rPr>
          <w:b/>
          <w:sz w:val="24"/>
          <w:szCs w:val="24"/>
        </w:rPr>
        <w:t>0.</w:t>
      </w:r>
      <w:r w:rsidRPr="00A71D74">
        <w:rPr>
          <w:b/>
          <w:sz w:val="24"/>
          <w:szCs w:val="24"/>
        </w:rPr>
        <w:tab/>
        <w:t>D.SP.NR.</w:t>
      </w:r>
    </w:p>
    <w:p w14:paraId="692C9577" w14:textId="1198AC69" w:rsidR="005B0036" w:rsidRPr="00A71D74" w:rsidRDefault="00FC3DBD" w:rsidP="005B0036">
      <w:pPr>
        <w:tabs>
          <w:tab w:val="left" w:pos="8222"/>
        </w:tabs>
        <w:ind w:left="851"/>
        <w:rPr>
          <w:sz w:val="24"/>
          <w:szCs w:val="24"/>
        </w:rPr>
      </w:pPr>
      <w:r w:rsidRPr="00A71D74">
        <w:rPr>
          <w:sz w:val="24"/>
          <w:szCs w:val="24"/>
        </w:rPr>
        <w:t>31724</w:t>
      </w:r>
    </w:p>
    <w:p w14:paraId="6E6EE87E" w14:textId="77777777" w:rsidR="005B0036" w:rsidRPr="00A71D74" w:rsidRDefault="005B0036" w:rsidP="005B0036">
      <w:pPr>
        <w:tabs>
          <w:tab w:val="left" w:pos="8222"/>
        </w:tabs>
        <w:ind w:left="851"/>
        <w:rPr>
          <w:sz w:val="24"/>
          <w:szCs w:val="24"/>
        </w:rPr>
      </w:pPr>
    </w:p>
    <w:p w14:paraId="2FDA2A0D" w14:textId="77777777" w:rsidR="005B0036" w:rsidRPr="00A71D74" w:rsidRDefault="005B0036" w:rsidP="005B0036">
      <w:pPr>
        <w:tabs>
          <w:tab w:val="left" w:pos="8222"/>
        </w:tabs>
        <w:ind w:left="851" w:hanging="851"/>
        <w:rPr>
          <w:b/>
          <w:sz w:val="24"/>
          <w:szCs w:val="24"/>
        </w:rPr>
      </w:pPr>
      <w:r w:rsidRPr="00A71D74">
        <w:rPr>
          <w:b/>
          <w:sz w:val="24"/>
          <w:szCs w:val="24"/>
        </w:rPr>
        <w:t>1.</w:t>
      </w:r>
      <w:r w:rsidRPr="00A71D74">
        <w:rPr>
          <w:b/>
          <w:sz w:val="24"/>
          <w:szCs w:val="24"/>
        </w:rPr>
        <w:tab/>
        <w:t>VETERINÆRLÆGEMIDLETS NAVN</w:t>
      </w:r>
    </w:p>
    <w:p w14:paraId="5F8C0D5C" w14:textId="72555CC0" w:rsidR="005B0036" w:rsidRPr="00A71D74" w:rsidRDefault="00FC3DBD" w:rsidP="005B0036">
      <w:pPr>
        <w:tabs>
          <w:tab w:val="left" w:pos="8222"/>
        </w:tabs>
        <w:ind w:left="851"/>
        <w:rPr>
          <w:sz w:val="24"/>
          <w:szCs w:val="24"/>
        </w:rPr>
      </w:pPr>
      <w:proofErr w:type="spellStart"/>
      <w:r w:rsidRPr="00A71D74">
        <w:rPr>
          <w:sz w:val="24"/>
          <w:szCs w:val="24"/>
        </w:rPr>
        <w:t>Lismay</w:t>
      </w:r>
      <w:proofErr w:type="spellEnd"/>
    </w:p>
    <w:p w14:paraId="1AE97E0E" w14:textId="77777777" w:rsidR="005B0036" w:rsidRPr="00A71D74" w:rsidRDefault="005B0036" w:rsidP="005B0036">
      <w:pPr>
        <w:tabs>
          <w:tab w:val="left" w:pos="8222"/>
        </w:tabs>
        <w:ind w:left="851"/>
        <w:rPr>
          <w:sz w:val="24"/>
          <w:szCs w:val="24"/>
        </w:rPr>
      </w:pPr>
    </w:p>
    <w:p w14:paraId="0A95ADB0" w14:textId="77777777" w:rsidR="005B0036" w:rsidRPr="00A71D74" w:rsidRDefault="005B0036" w:rsidP="005B0036">
      <w:pPr>
        <w:tabs>
          <w:tab w:val="left" w:pos="8222"/>
        </w:tabs>
        <w:ind w:left="851" w:hanging="851"/>
        <w:rPr>
          <w:b/>
          <w:sz w:val="24"/>
          <w:szCs w:val="24"/>
        </w:rPr>
      </w:pPr>
      <w:r w:rsidRPr="00A71D74">
        <w:rPr>
          <w:b/>
          <w:sz w:val="24"/>
          <w:szCs w:val="24"/>
        </w:rPr>
        <w:t>2.</w:t>
      </w:r>
      <w:r w:rsidRPr="00A71D74">
        <w:rPr>
          <w:b/>
          <w:sz w:val="24"/>
          <w:szCs w:val="24"/>
        </w:rPr>
        <w:tab/>
        <w:t>KVALITATIV OG KVANTITATIV SAMMENSÆTNING</w:t>
      </w:r>
    </w:p>
    <w:p w14:paraId="234F75AA" w14:textId="77777777" w:rsidR="006B7770" w:rsidRPr="00A71D74" w:rsidRDefault="006B7770" w:rsidP="00F23170">
      <w:pPr>
        <w:ind w:left="851"/>
        <w:rPr>
          <w:sz w:val="24"/>
          <w:szCs w:val="24"/>
        </w:rPr>
      </w:pPr>
      <w:r w:rsidRPr="00A71D74">
        <w:rPr>
          <w:sz w:val="24"/>
          <w:szCs w:val="24"/>
        </w:rPr>
        <w:t>Hvert gram indeholder:</w:t>
      </w:r>
    </w:p>
    <w:p w14:paraId="3A61B37B" w14:textId="77777777" w:rsidR="006B7770" w:rsidRPr="00A71D74" w:rsidRDefault="006B7770" w:rsidP="00F23170">
      <w:pPr>
        <w:ind w:left="851"/>
        <w:rPr>
          <w:b/>
          <w:sz w:val="24"/>
          <w:szCs w:val="24"/>
        </w:rPr>
      </w:pPr>
      <w:r w:rsidRPr="00A71D74">
        <w:rPr>
          <w:b/>
          <w:sz w:val="24"/>
          <w:szCs w:val="24"/>
        </w:rPr>
        <w:t>Aktive stoffer:</w:t>
      </w:r>
    </w:p>
    <w:p w14:paraId="512F3C6A" w14:textId="3845B50A" w:rsidR="006B7770" w:rsidRPr="00A71D74" w:rsidRDefault="006B7770" w:rsidP="00A643AF">
      <w:pPr>
        <w:tabs>
          <w:tab w:val="right" w:pos="8080"/>
        </w:tabs>
        <w:ind w:left="851"/>
        <w:rPr>
          <w:sz w:val="24"/>
          <w:szCs w:val="24"/>
        </w:rPr>
      </w:pPr>
      <w:proofErr w:type="spellStart"/>
      <w:r w:rsidRPr="00A71D74">
        <w:rPr>
          <w:sz w:val="24"/>
          <w:szCs w:val="24"/>
        </w:rPr>
        <w:t>Spectinomycin</w:t>
      </w:r>
      <w:proofErr w:type="spellEnd"/>
      <w:r w:rsidRPr="00A71D74">
        <w:rPr>
          <w:sz w:val="24"/>
          <w:szCs w:val="24"/>
        </w:rPr>
        <w:t xml:space="preserve"> (som </w:t>
      </w:r>
      <w:proofErr w:type="spellStart"/>
      <w:r w:rsidRPr="00A71D74">
        <w:rPr>
          <w:sz w:val="24"/>
          <w:szCs w:val="24"/>
        </w:rPr>
        <w:t>spectinomycinsulfatetrahydrat</w:t>
      </w:r>
      <w:proofErr w:type="spellEnd"/>
      <w:r w:rsidRPr="00A71D74">
        <w:rPr>
          <w:sz w:val="24"/>
          <w:szCs w:val="24"/>
        </w:rPr>
        <w:t xml:space="preserve">) </w:t>
      </w:r>
      <w:r w:rsidR="00A30BB4">
        <w:rPr>
          <w:sz w:val="24"/>
          <w:szCs w:val="24"/>
        </w:rPr>
        <w:tab/>
      </w:r>
      <w:r w:rsidRPr="00A71D74">
        <w:rPr>
          <w:sz w:val="24"/>
          <w:szCs w:val="24"/>
        </w:rPr>
        <w:t>444,7 mg</w:t>
      </w:r>
    </w:p>
    <w:p w14:paraId="1C2D9A55" w14:textId="6AF8E0FA" w:rsidR="006B7770" w:rsidRPr="00A71D74" w:rsidRDefault="006B7770" w:rsidP="00A643AF">
      <w:pPr>
        <w:tabs>
          <w:tab w:val="right" w:pos="8080"/>
        </w:tabs>
        <w:ind w:left="851"/>
        <w:rPr>
          <w:sz w:val="24"/>
          <w:szCs w:val="24"/>
        </w:rPr>
      </w:pPr>
      <w:proofErr w:type="spellStart"/>
      <w:r w:rsidRPr="00A71D74">
        <w:rPr>
          <w:sz w:val="24"/>
          <w:szCs w:val="24"/>
        </w:rPr>
        <w:t>Lincomycin</w:t>
      </w:r>
      <w:proofErr w:type="spellEnd"/>
      <w:r w:rsidRPr="00A71D74">
        <w:rPr>
          <w:sz w:val="24"/>
          <w:szCs w:val="24"/>
        </w:rPr>
        <w:t xml:space="preserve"> (som </w:t>
      </w:r>
      <w:proofErr w:type="spellStart"/>
      <w:r w:rsidRPr="00A71D74">
        <w:rPr>
          <w:sz w:val="24"/>
          <w:szCs w:val="24"/>
        </w:rPr>
        <w:t>lincomycinhydrochlorid</w:t>
      </w:r>
      <w:proofErr w:type="spellEnd"/>
      <w:r w:rsidRPr="00A71D74">
        <w:rPr>
          <w:sz w:val="24"/>
          <w:szCs w:val="24"/>
        </w:rPr>
        <w:t xml:space="preserve">) </w:t>
      </w:r>
      <w:r w:rsidR="00A30BB4">
        <w:rPr>
          <w:sz w:val="24"/>
          <w:szCs w:val="24"/>
        </w:rPr>
        <w:tab/>
      </w:r>
      <w:r w:rsidRPr="00A71D74">
        <w:rPr>
          <w:sz w:val="24"/>
          <w:szCs w:val="24"/>
        </w:rPr>
        <w:t>222,0 mg</w:t>
      </w:r>
    </w:p>
    <w:p w14:paraId="1C8670F8" w14:textId="77777777" w:rsidR="006B7770" w:rsidRPr="00A71D74" w:rsidRDefault="006B7770" w:rsidP="00A643AF">
      <w:pPr>
        <w:tabs>
          <w:tab w:val="right" w:pos="8080"/>
        </w:tabs>
        <w:ind w:left="851"/>
        <w:rPr>
          <w:sz w:val="24"/>
          <w:szCs w:val="24"/>
        </w:rPr>
      </w:pPr>
    </w:p>
    <w:p w14:paraId="6CA89582" w14:textId="77777777" w:rsidR="006B7770" w:rsidRPr="00A71D74" w:rsidRDefault="006B7770" w:rsidP="00A643AF">
      <w:pPr>
        <w:tabs>
          <w:tab w:val="right" w:pos="8080"/>
        </w:tabs>
        <w:ind w:left="851"/>
        <w:rPr>
          <w:b/>
          <w:sz w:val="24"/>
          <w:szCs w:val="24"/>
        </w:rPr>
      </w:pPr>
      <w:r w:rsidRPr="00A71D74">
        <w:rPr>
          <w:b/>
          <w:sz w:val="24"/>
          <w:szCs w:val="24"/>
        </w:rPr>
        <w:t>Hjælpestoffer:</w:t>
      </w:r>
    </w:p>
    <w:p w14:paraId="1A7C9E01" w14:textId="7ED02193" w:rsidR="006B7770" w:rsidRPr="00A71D74" w:rsidRDefault="006B7770" w:rsidP="00A643AF">
      <w:pPr>
        <w:tabs>
          <w:tab w:val="right" w:pos="8080"/>
        </w:tabs>
        <w:ind w:left="851"/>
        <w:rPr>
          <w:sz w:val="24"/>
          <w:szCs w:val="24"/>
        </w:rPr>
      </w:pPr>
      <w:r w:rsidRPr="00A71D74">
        <w:rPr>
          <w:sz w:val="24"/>
          <w:szCs w:val="24"/>
        </w:rPr>
        <w:t xml:space="preserve">Natriumbenzoat (E-211) </w:t>
      </w:r>
      <w:r w:rsidR="00A643AF">
        <w:rPr>
          <w:sz w:val="24"/>
          <w:szCs w:val="24"/>
        </w:rPr>
        <w:tab/>
      </w:r>
      <w:r w:rsidRPr="00A71D74">
        <w:rPr>
          <w:sz w:val="24"/>
          <w:szCs w:val="24"/>
        </w:rPr>
        <w:t>10,67 mg</w:t>
      </w:r>
    </w:p>
    <w:p w14:paraId="39C656EB" w14:textId="77777777" w:rsidR="006B7770" w:rsidRPr="00A71D74" w:rsidRDefault="006B7770" w:rsidP="00F23170">
      <w:pPr>
        <w:ind w:left="851"/>
        <w:rPr>
          <w:sz w:val="24"/>
          <w:szCs w:val="24"/>
        </w:rPr>
      </w:pPr>
    </w:p>
    <w:p w14:paraId="090144F3" w14:textId="77777777" w:rsidR="006B7770" w:rsidRPr="00A71D74" w:rsidRDefault="006B7770" w:rsidP="00F23170">
      <w:pPr>
        <w:ind w:left="851"/>
        <w:rPr>
          <w:sz w:val="24"/>
          <w:szCs w:val="24"/>
        </w:rPr>
      </w:pPr>
      <w:r w:rsidRPr="00A71D74">
        <w:rPr>
          <w:sz w:val="24"/>
          <w:szCs w:val="24"/>
        </w:rPr>
        <w:t>Alle hjælpestoffer er anført under pkt. 6.1.</w:t>
      </w:r>
    </w:p>
    <w:p w14:paraId="2B7AAC5C" w14:textId="77777777" w:rsidR="005B0036" w:rsidRPr="00A71D74" w:rsidRDefault="005B0036" w:rsidP="005B0036">
      <w:pPr>
        <w:tabs>
          <w:tab w:val="left" w:pos="8222"/>
        </w:tabs>
        <w:ind w:left="851"/>
        <w:rPr>
          <w:sz w:val="24"/>
          <w:szCs w:val="24"/>
        </w:rPr>
      </w:pPr>
    </w:p>
    <w:p w14:paraId="1C3301D1" w14:textId="77777777" w:rsidR="005B0036" w:rsidRPr="00A71D74" w:rsidRDefault="005B0036" w:rsidP="005B0036">
      <w:pPr>
        <w:tabs>
          <w:tab w:val="left" w:pos="8222"/>
        </w:tabs>
        <w:ind w:left="851" w:hanging="851"/>
        <w:rPr>
          <w:b/>
          <w:sz w:val="24"/>
          <w:szCs w:val="24"/>
        </w:rPr>
      </w:pPr>
      <w:r w:rsidRPr="00A71D74">
        <w:rPr>
          <w:b/>
          <w:sz w:val="24"/>
          <w:szCs w:val="24"/>
        </w:rPr>
        <w:t>3.</w:t>
      </w:r>
      <w:r w:rsidRPr="00A71D74">
        <w:rPr>
          <w:b/>
          <w:sz w:val="24"/>
          <w:szCs w:val="24"/>
        </w:rPr>
        <w:tab/>
        <w:t>LÆGEMIDDELFORM</w:t>
      </w:r>
    </w:p>
    <w:p w14:paraId="7A83175C" w14:textId="0261A327" w:rsidR="00524F77" w:rsidRPr="00A71D74" w:rsidRDefault="00524F77" w:rsidP="00F23170">
      <w:pPr>
        <w:ind w:left="851"/>
        <w:rPr>
          <w:sz w:val="24"/>
          <w:szCs w:val="24"/>
        </w:rPr>
      </w:pPr>
      <w:r w:rsidRPr="00A71D74">
        <w:rPr>
          <w:sz w:val="24"/>
          <w:szCs w:val="24"/>
        </w:rPr>
        <w:t>Pulver til anvendelse i drikkevand</w:t>
      </w:r>
    </w:p>
    <w:p w14:paraId="12241A83" w14:textId="77777777" w:rsidR="00524F77" w:rsidRPr="00A71D74" w:rsidRDefault="00524F77" w:rsidP="00F23170">
      <w:pPr>
        <w:ind w:left="851"/>
        <w:rPr>
          <w:sz w:val="24"/>
          <w:szCs w:val="24"/>
        </w:rPr>
      </w:pPr>
      <w:r w:rsidRPr="00A71D74">
        <w:rPr>
          <w:sz w:val="24"/>
          <w:szCs w:val="24"/>
        </w:rPr>
        <w:t>Hvidligt pulver</w:t>
      </w:r>
    </w:p>
    <w:p w14:paraId="0FF10074" w14:textId="77777777" w:rsidR="005B0036" w:rsidRPr="00A71D74" w:rsidRDefault="005B0036" w:rsidP="005B0036">
      <w:pPr>
        <w:tabs>
          <w:tab w:val="left" w:pos="851"/>
          <w:tab w:val="left" w:pos="8222"/>
        </w:tabs>
        <w:ind w:left="851"/>
        <w:rPr>
          <w:sz w:val="24"/>
          <w:szCs w:val="24"/>
        </w:rPr>
      </w:pPr>
    </w:p>
    <w:p w14:paraId="2BAB1039" w14:textId="77777777" w:rsidR="005B0036" w:rsidRPr="00A71D74" w:rsidRDefault="005B0036" w:rsidP="005B0036">
      <w:pPr>
        <w:tabs>
          <w:tab w:val="left" w:pos="851"/>
          <w:tab w:val="left" w:pos="8222"/>
        </w:tabs>
        <w:ind w:left="851"/>
        <w:rPr>
          <w:sz w:val="24"/>
          <w:szCs w:val="24"/>
        </w:rPr>
      </w:pPr>
    </w:p>
    <w:p w14:paraId="5C9A2961" w14:textId="77777777" w:rsidR="005B0036" w:rsidRPr="00A71D74" w:rsidRDefault="005B0036" w:rsidP="005B0036">
      <w:pPr>
        <w:tabs>
          <w:tab w:val="left" w:pos="8222"/>
        </w:tabs>
        <w:ind w:left="851" w:hanging="851"/>
        <w:rPr>
          <w:b/>
          <w:sz w:val="24"/>
          <w:szCs w:val="24"/>
        </w:rPr>
      </w:pPr>
      <w:r w:rsidRPr="00A71D74">
        <w:rPr>
          <w:b/>
          <w:sz w:val="24"/>
          <w:szCs w:val="24"/>
        </w:rPr>
        <w:t>4.</w:t>
      </w:r>
      <w:r w:rsidRPr="00A71D74">
        <w:rPr>
          <w:b/>
          <w:sz w:val="24"/>
          <w:szCs w:val="24"/>
        </w:rPr>
        <w:tab/>
        <w:t>KLINISKE OPLYSNINGER</w:t>
      </w:r>
    </w:p>
    <w:p w14:paraId="213263CE" w14:textId="77777777" w:rsidR="005B0036" w:rsidRPr="00A71D74" w:rsidRDefault="005B0036" w:rsidP="005B0036">
      <w:pPr>
        <w:tabs>
          <w:tab w:val="left" w:pos="851"/>
          <w:tab w:val="left" w:pos="8222"/>
        </w:tabs>
        <w:ind w:left="851"/>
        <w:rPr>
          <w:sz w:val="24"/>
          <w:szCs w:val="24"/>
        </w:rPr>
      </w:pPr>
    </w:p>
    <w:p w14:paraId="252B8917" w14:textId="77777777" w:rsidR="005B0036" w:rsidRPr="00A71D74" w:rsidRDefault="005B0036" w:rsidP="005B0036">
      <w:pPr>
        <w:tabs>
          <w:tab w:val="left" w:pos="8222"/>
        </w:tabs>
        <w:ind w:left="851" w:hanging="851"/>
        <w:rPr>
          <w:b/>
          <w:sz w:val="24"/>
          <w:szCs w:val="24"/>
          <w:u w:val="single"/>
        </w:rPr>
      </w:pPr>
      <w:r w:rsidRPr="00A71D74">
        <w:rPr>
          <w:b/>
          <w:sz w:val="24"/>
          <w:szCs w:val="24"/>
        </w:rPr>
        <w:t>4.1</w:t>
      </w:r>
      <w:r w:rsidRPr="00A71D74">
        <w:rPr>
          <w:b/>
          <w:sz w:val="24"/>
          <w:szCs w:val="24"/>
        </w:rPr>
        <w:tab/>
        <w:t>Dyrearter</w:t>
      </w:r>
    </w:p>
    <w:p w14:paraId="184F9E6C" w14:textId="77777777" w:rsidR="00524F77" w:rsidRPr="00A71D74" w:rsidRDefault="00524F77" w:rsidP="00F23170">
      <w:pPr>
        <w:ind w:left="851"/>
        <w:rPr>
          <w:sz w:val="24"/>
          <w:szCs w:val="24"/>
        </w:rPr>
      </w:pPr>
      <w:r w:rsidRPr="00A71D74">
        <w:rPr>
          <w:sz w:val="24"/>
          <w:szCs w:val="24"/>
        </w:rPr>
        <w:t>Svin</w:t>
      </w:r>
    </w:p>
    <w:p w14:paraId="61402F03" w14:textId="77777777" w:rsidR="005B0036" w:rsidRPr="00A71D74" w:rsidRDefault="005B0036" w:rsidP="005B0036">
      <w:pPr>
        <w:tabs>
          <w:tab w:val="left" w:pos="8222"/>
        </w:tabs>
        <w:ind w:left="851"/>
        <w:rPr>
          <w:sz w:val="24"/>
          <w:szCs w:val="24"/>
        </w:rPr>
      </w:pPr>
    </w:p>
    <w:p w14:paraId="7658798D" w14:textId="77777777" w:rsidR="005B0036" w:rsidRPr="00A71D74" w:rsidRDefault="005B0036" w:rsidP="005B0036">
      <w:pPr>
        <w:pStyle w:val="Sidehoved"/>
        <w:tabs>
          <w:tab w:val="clear" w:pos="4819"/>
          <w:tab w:val="left" w:pos="8222"/>
        </w:tabs>
        <w:ind w:left="851" w:hanging="851"/>
        <w:rPr>
          <w:b/>
          <w:szCs w:val="24"/>
        </w:rPr>
      </w:pPr>
      <w:r w:rsidRPr="00A71D74">
        <w:rPr>
          <w:b/>
          <w:szCs w:val="24"/>
        </w:rPr>
        <w:t>4.2</w:t>
      </w:r>
      <w:r w:rsidRPr="00A71D74">
        <w:rPr>
          <w:b/>
          <w:szCs w:val="24"/>
        </w:rPr>
        <w:tab/>
        <w:t>Terapeutiske indikationer</w:t>
      </w:r>
    </w:p>
    <w:p w14:paraId="4F23137A" w14:textId="77777777" w:rsidR="00524F77" w:rsidRPr="00A71D74" w:rsidRDefault="00524F77" w:rsidP="00F23170">
      <w:pPr>
        <w:ind w:left="851"/>
        <w:rPr>
          <w:sz w:val="24"/>
          <w:szCs w:val="24"/>
        </w:rPr>
      </w:pPr>
      <w:r w:rsidRPr="00A71D74">
        <w:rPr>
          <w:sz w:val="24"/>
          <w:szCs w:val="24"/>
        </w:rPr>
        <w:t xml:space="preserve">Til behandling og </w:t>
      </w:r>
      <w:proofErr w:type="spellStart"/>
      <w:r w:rsidRPr="00A71D74">
        <w:rPr>
          <w:sz w:val="24"/>
          <w:szCs w:val="24"/>
        </w:rPr>
        <w:t>metafylakse</w:t>
      </w:r>
      <w:proofErr w:type="spellEnd"/>
      <w:r w:rsidRPr="00A71D74">
        <w:rPr>
          <w:sz w:val="24"/>
          <w:szCs w:val="24"/>
        </w:rPr>
        <w:t xml:space="preserve"> af </w:t>
      </w:r>
      <w:proofErr w:type="spellStart"/>
      <w:r w:rsidRPr="00A71D74">
        <w:rPr>
          <w:sz w:val="24"/>
          <w:szCs w:val="24"/>
        </w:rPr>
        <w:t>porcin</w:t>
      </w:r>
      <w:proofErr w:type="spellEnd"/>
      <w:r w:rsidRPr="00A71D74">
        <w:rPr>
          <w:sz w:val="24"/>
          <w:szCs w:val="24"/>
        </w:rPr>
        <w:t xml:space="preserve"> </w:t>
      </w:r>
      <w:proofErr w:type="spellStart"/>
      <w:r w:rsidRPr="00A71D74">
        <w:rPr>
          <w:sz w:val="24"/>
          <w:szCs w:val="24"/>
        </w:rPr>
        <w:t>proliferativ</w:t>
      </w:r>
      <w:proofErr w:type="spellEnd"/>
      <w:r w:rsidRPr="00A71D74">
        <w:rPr>
          <w:sz w:val="24"/>
          <w:szCs w:val="24"/>
        </w:rPr>
        <w:t xml:space="preserve"> </w:t>
      </w:r>
      <w:proofErr w:type="spellStart"/>
      <w:r w:rsidRPr="00A71D74">
        <w:rPr>
          <w:sz w:val="24"/>
          <w:szCs w:val="24"/>
        </w:rPr>
        <w:t>enteropati</w:t>
      </w:r>
      <w:proofErr w:type="spellEnd"/>
      <w:r w:rsidRPr="00A71D74">
        <w:rPr>
          <w:sz w:val="24"/>
          <w:szCs w:val="24"/>
        </w:rPr>
        <w:t xml:space="preserve"> (</w:t>
      </w:r>
      <w:proofErr w:type="spellStart"/>
      <w:r w:rsidRPr="00A71D74">
        <w:rPr>
          <w:sz w:val="24"/>
          <w:szCs w:val="24"/>
        </w:rPr>
        <w:t>ileitis</w:t>
      </w:r>
      <w:proofErr w:type="spellEnd"/>
      <w:r w:rsidRPr="00A71D74">
        <w:rPr>
          <w:sz w:val="24"/>
          <w:szCs w:val="24"/>
        </w:rPr>
        <w:t xml:space="preserve">) forårsaget af </w:t>
      </w:r>
      <w:proofErr w:type="spellStart"/>
      <w:r w:rsidRPr="00A71D74">
        <w:rPr>
          <w:i/>
          <w:sz w:val="24"/>
          <w:szCs w:val="24"/>
        </w:rPr>
        <w:t>Lawsonia</w:t>
      </w:r>
      <w:proofErr w:type="spellEnd"/>
      <w:r w:rsidRPr="00A71D74">
        <w:rPr>
          <w:i/>
          <w:sz w:val="24"/>
          <w:szCs w:val="24"/>
        </w:rPr>
        <w:t xml:space="preserve"> </w:t>
      </w:r>
      <w:proofErr w:type="spellStart"/>
      <w:r w:rsidRPr="00A71D74">
        <w:rPr>
          <w:i/>
          <w:sz w:val="24"/>
          <w:szCs w:val="24"/>
        </w:rPr>
        <w:t>intracellularis</w:t>
      </w:r>
      <w:proofErr w:type="spellEnd"/>
      <w:r w:rsidRPr="00A71D74">
        <w:rPr>
          <w:sz w:val="24"/>
          <w:szCs w:val="24"/>
        </w:rPr>
        <w:t xml:space="preserve"> og tilknyttede </w:t>
      </w:r>
      <w:proofErr w:type="spellStart"/>
      <w:r w:rsidRPr="00A71D74">
        <w:rPr>
          <w:sz w:val="24"/>
          <w:szCs w:val="24"/>
        </w:rPr>
        <w:t>enteropatogener</w:t>
      </w:r>
      <w:proofErr w:type="spellEnd"/>
      <w:r w:rsidRPr="00A71D74">
        <w:rPr>
          <w:sz w:val="24"/>
          <w:szCs w:val="24"/>
        </w:rPr>
        <w:t xml:space="preserve"> (</w:t>
      </w:r>
      <w:r w:rsidRPr="00A71D74">
        <w:rPr>
          <w:i/>
          <w:sz w:val="24"/>
          <w:szCs w:val="24"/>
        </w:rPr>
        <w:t>Escherichia coli</w:t>
      </w:r>
      <w:r w:rsidRPr="00A71D74">
        <w:rPr>
          <w:sz w:val="24"/>
          <w:szCs w:val="24"/>
        </w:rPr>
        <w:t xml:space="preserve">), som er følsomme for </w:t>
      </w:r>
      <w:proofErr w:type="spellStart"/>
      <w:r w:rsidRPr="00A71D74">
        <w:rPr>
          <w:sz w:val="24"/>
          <w:szCs w:val="24"/>
        </w:rPr>
        <w:t>lincomycin</w:t>
      </w:r>
      <w:proofErr w:type="spellEnd"/>
      <w:r w:rsidRPr="00A71D74">
        <w:rPr>
          <w:sz w:val="24"/>
          <w:szCs w:val="24"/>
        </w:rPr>
        <w:t xml:space="preserve"> og </w:t>
      </w:r>
      <w:proofErr w:type="spellStart"/>
      <w:r w:rsidRPr="00A71D74">
        <w:rPr>
          <w:sz w:val="24"/>
          <w:szCs w:val="24"/>
        </w:rPr>
        <w:t>spectinomycin</w:t>
      </w:r>
      <w:proofErr w:type="spellEnd"/>
      <w:r w:rsidRPr="00A71D74">
        <w:rPr>
          <w:sz w:val="24"/>
          <w:szCs w:val="24"/>
        </w:rPr>
        <w:t>.</w:t>
      </w:r>
    </w:p>
    <w:p w14:paraId="0FAF1A65" w14:textId="77777777" w:rsidR="00524F77" w:rsidRPr="00A71D74" w:rsidRDefault="00524F77" w:rsidP="00F23170">
      <w:pPr>
        <w:ind w:left="851"/>
        <w:rPr>
          <w:sz w:val="24"/>
          <w:szCs w:val="24"/>
        </w:rPr>
      </w:pPr>
      <w:r w:rsidRPr="00A71D74">
        <w:rPr>
          <w:sz w:val="24"/>
          <w:szCs w:val="24"/>
        </w:rPr>
        <w:t>Tilstedeværelse af sygdommen i flokken skal være fastslået, før produktet anvendes.</w:t>
      </w:r>
    </w:p>
    <w:p w14:paraId="0AAE0B5A" w14:textId="33850FF4" w:rsidR="003060A7" w:rsidRDefault="003060A7">
      <w:pPr>
        <w:rPr>
          <w:sz w:val="24"/>
          <w:szCs w:val="24"/>
          <w:lang w:eastAsia="da-DK"/>
        </w:rPr>
      </w:pPr>
      <w:r>
        <w:rPr>
          <w:szCs w:val="24"/>
        </w:rPr>
        <w:br w:type="page"/>
      </w:r>
    </w:p>
    <w:p w14:paraId="12C1CA87" w14:textId="77777777" w:rsidR="005B0036" w:rsidRPr="00A71D74" w:rsidRDefault="005B0036" w:rsidP="005B0036">
      <w:pPr>
        <w:pStyle w:val="Sidehoved"/>
        <w:tabs>
          <w:tab w:val="clear" w:pos="4819"/>
          <w:tab w:val="left" w:pos="8222"/>
        </w:tabs>
        <w:ind w:left="851"/>
        <w:rPr>
          <w:szCs w:val="24"/>
        </w:rPr>
      </w:pPr>
    </w:p>
    <w:p w14:paraId="51F63098" w14:textId="77777777" w:rsidR="005B0036" w:rsidRPr="00A71D74" w:rsidRDefault="005B0036" w:rsidP="005B0036">
      <w:pPr>
        <w:pStyle w:val="Sidehoved"/>
        <w:tabs>
          <w:tab w:val="clear" w:pos="4819"/>
          <w:tab w:val="left" w:pos="851"/>
          <w:tab w:val="left" w:pos="8222"/>
        </w:tabs>
        <w:rPr>
          <w:b/>
          <w:szCs w:val="24"/>
        </w:rPr>
      </w:pPr>
      <w:r w:rsidRPr="00A71D74">
        <w:rPr>
          <w:b/>
          <w:szCs w:val="24"/>
        </w:rPr>
        <w:t>4.3</w:t>
      </w:r>
      <w:r w:rsidRPr="00A71D74">
        <w:rPr>
          <w:b/>
          <w:szCs w:val="24"/>
        </w:rPr>
        <w:tab/>
        <w:t>Kontraindikationer</w:t>
      </w:r>
    </w:p>
    <w:p w14:paraId="4526C2D9" w14:textId="77777777" w:rsidR="00524F77" w:rsidRPr="00A71D74" w:rsidRDefault="00524F77" w:rsidP="00F23170">
      <w:pPr>
        <w:ind w:left="851"/>
        <w:rPr>
          <w:sz w:val="24"/>
          <w:szCs w:val="24"/>
        </w:rPr>
      </w:pPr>
      <w:r w:rsidRPr="00A71D74">
        <w:rPr>
          <w:sz w:val="24"/>
          <w:szCs w:val="24"/>
        </w:rPr>
        <w:t>Bør ikke anvendes i tilfælde af overfølsomhed over for de aktive stoffer eller over for et eller flere af hjælpestofferne.</w:t>
      </w:r>
    </w:p>
    <w:p w14:paraId="7B0DD0A7" w14:textId="77777777" w:rsidR="00524F77" w:rsidRPr="00A71D74" w:rsidRDefault="00524F77" w:rsidP="00F23170">
      <w:pPr>
        <w:ind w:left="851"/>
        <w:rPr>
          <w:sz w:val="24"/>
          <w:szCs w:val="24"/>
        </w:rPr>
      </w:pPr>
      <w:r w:rsidRPr="00A71D74">
        <w:rPr>
          <w:sz w:val="24"/>
          <w:szCs w:val="24"/>
        </w:rPr>
        <w:t xml:space="preserve">Bør ikke anvendes i tilfælde af </w:t>
      </w:r>
      <w:proofErr w:type="spellStart"/>
      <w:r w:rsidRPr="00A71D74">
        <w:rPr>
          <w:sz w:val="24"/>
          <w:szCs w:val="24"/>
        </w:rPr>
        <w:t>hepatisk</w:t>
      </w:r>
      <w:proofErr w:type="spellEnd"/>
      <w:r w:rsidRPr="00A71D74">
        <w:rPr>
          <w:sz w:val="24"/>
          <w:szCs w:val="24"/>
        </w:rPr>
        <w:t xml:space="preserve"> dysfunktion.</w:t>
      </w:r>
    </w:p>
    <w:p w14:paraId="5C0A7DFE" w14:textId="77777777" w:rsidR="00524F77" w:rsidRPr="00A71D74" w:rsidRDefault="00524F77" w:rsidP="00F23170">
      <w:pPr>
        <w:ind w:left="851"/>
        <w:rPr>
          <w:sz w:val="24"/>
          <w:szCs w:val="24"/>
        </w:rPr>
      </w:pPr>
      <w:r w:rsidRPr="00A71D74">
        <w:rPr>
          <w:sz w:val="24"/>
          <w:szCs w:val="24"/>
        </w:rPr>
        <w:t xml:space="preserve">Lad ikke kaniner, gnavere (f.eks. chinchillaer, hamstere, marsvin), heste eller drøvtyggere få adgang til drikkevand eller foder, der indeholder </w:t>
      </w:r>
      <w:proofErr w:type="spellStart"/>
      <w:r w:rsidRPr="00A71D74">
        <w:rPr>
          <w:sz w:val="24"/>
          <w:szCs w:val="24"/>
        </w:rPr>
        <w:t>lincomycin</w:t>
      </w:r>
      <w:proofErr w:type="spellEnd"/>
      <w:r w:rsidRPr="00A71D74">
        <w:rPr>
          <w:sz w:val="24"/>
          <w:szCs w:val="24"/>
        </w:rPr>
        <w:t xml:space="preserve">. Hvis disse dyrearter indtager dette, kan det forårsage alvorlige </w:t>
      </w:r>
      <w:proofErr w:type="spellStart"/>
      <w:r w:rsidRPr="00A71D74">
        <w:rPr>
          <w:sz w:val="24"/>
          <w:szCs w:val="24"/>
        </w:rPr>
        <w:t>gastrointestinale</w:t>
      </w:r>
      <w:proofErr w:type="spellEnd"/>
      <w:r w:rsidRPr="00A71D74">
        <w:rPr>
          <w:sz w:val="24"/>
          <w:szCs w:val="24"/>
        </w:rPr>
        <w:t xml:space="preserve"> bivirkninger.</w:t>
      </w:r>
    </w:p>
    <w:p w14:paraId="2E00EE58" w14:textId="77777777" w:rsidR="005B0036" w:rsidRPr="00A71D74" w:rsidRDefault="005B0036" w:rsidP="005B0036">
      <w:pPr>
        <w:pStyle w:val="Sidehoved"/>
        <w:tabs>
          <w:tab w:val="clear" w:pos="4819"/>
          <w:tab w:val="left" w:pos="8222"/>
        </w:tabs>
        <w:ind w:left="851"/>
        <w:rPr>
          <w:szCs w:val="24"/>
        </w:rPr>
      </w:pPr>
    </w:p>
    <w:p w14:paraId="74C47B4F" w14:textId="77777777" w:rsidR="005B0036" w:rsidRPr="00A71D74" w:rsidRDefault="005B0036" w:rsidP="005B0036">
      <w:pPr>
        <w:tabs>
          <w:tab w:val="left" w:pos="851"/>
          <w:tab w:val="left" w:pos="8222"/>
        </w:tabs>
        <w:rPr>
          <w:b/>
          <w:sz w:val="24"/>
          <w:szCs w:val="24"/>
        </w:rPr>
      </w:pPr>
      <w:r w:rsidRPr="00A71D74">
        <w:rPr>
          <w:b/>
          <w:sz w:val="24"/>
          <w:szCs w:val="24"/>
        </w:rPr>
        <w:t>4.4</w:t>
      </w:r>
      <w:r w:rsidRPr="00A71D74">
        <w:rPr>
          <w:b/>
          <w:sz w:val="24"/>
          <w:szCs w:val="24"/>
        </w:rPr>
        <w:tab/>
        <w:t>Særlige advarsler</w:t>
      </w:r>
    </w:p>
    <w:p w14:paraId="671C76B7" w14:textId="77777777" w:rsidR="00524F77" w:rsidRPr="00A71D74" w:rsidRDefault="00524F77" w:rsidP="00F23170">
      <w:pPr>
        <w:ind w:left="851"/>
        <w:rPr>
          <w:sz w:val="24"/>
          <w:szCs w:val="24"/>
        </w:rPr>
      </w:pPr>
      <w:r w:rsidRPr="00A71D74">
        <w:rPr>
          <w:sz w:val="24"/>
          <w:szCs w:val="24"/>
        </w:rPr>
        <w:t xml:space="preserve">Blandt </w:t>
      </w:r>
      <w:r w:rsidRPr="00A71D74">
        <w:rPr>
          <w:i/>
          <w:sz w:val="24"/>
          <w:szCs w:val="24"/>
        </w:rPr>
        <w:t>E. coli</w:t>
      </w:r>
      <w:r w:rsidRPr="00A71D74">
        <w:rPr>
          <w:sz w:val="24"/>
          <w:szCs w:val="24"/>
        </w:rPr>
        <w:t xml:space="preserve"> udviser en væsentlig del af stammerne høje værdier af MIC (mindste hæmmende koncentration) over for kombinationen </w:t>
      </w:r>
      <w:proofErr w:type="spellStart"/>
      <w:r w:rsidRPr="00A71D74">
        <w:rPr>
          <w:sz w:val="24"/>
          <w:szCs w:val="24"/>
        </w:rPr>
        <w:t>lincomycin-spectinomycin</w:t>
      </w:r>
      <w:proofErr w:type="spellEnd"/>
      <w:r w:rsidRPr="00A71D74">
        <w:rPr>
          <w:sz w:val="24"/>
          <w:szCs w:val="24"/>
        </w:rPr>
        <w:t xml:space="preserve"> og kan være klinisk resistente, skønt der ikke er fastlagt et afskæringspunkt.</w:t>
      </w:r>
    </w:p>
    <w:p w14:paraId="4A03369A" w14:textId="77777777" w:rsidR="00524F77" w:rsidRPr="00A71D74" w:rsidRDefault="00524F77" w:rsidP="00F23170">
      <w:pPr>
        <w:tabs>
          <w:tab w:val="left" w:pos="1304"/>
        </w:tabs>
        <w:ind w:left="851"/>
        <w:rPr>
          <w:sz w:val="24"/>
          <w:szCs w:val="24"/>
        </w:rPr>
      </w:pPr>
      <w:r w:rsidRPr="00A71D74">
        <w:rPr>
          <w:sz w:val="24"/>
          <w:szCs w:val="24"/>
        </w:rPr>
        <w:t xml:space="preserve">Tekniske begrænsninger vanskeliggør </w:t>
      </w:r>
      <w:r w:rsidRPr="00A71D74">
        <w:rPr>
          <w:i/>
          <w:sz w:val="24"/>
          <w:szCs w:val="24"/>
        </w:rPr>
        <w:t xml:space="preserve">in </w:t>
      </w:r>
      <w:proofErr w:type="spellStart"/>
      <w:r w:rsidRPr="00A71D74">
        <w:rPr>
          <w:i/>
          <w:sz w:val="24"/>
          <w:szCs w:val="24"/>
        </w:rPr>
        <w:t>vitro</w:t>
      </w:r>
      <w:proofErr w:type="spellEnd"/>
      <w:r w:rsidRPr="00A71D74">
        <w:rPr>
          <w:sz w:val="24"/>
          <w:szCs w:val="24"/>
        </w:rPr>
        <w:t xml:space="preserve">-følsomhedsbestemmelse af </w:t>
      </w:r>
      <w:r w:rsidRPr="00A71D74">
        <w:rPr>
          <w:i/>
          <w:sz w:val="24"/>
          <w:szCs w:val="24"/>
        </w:rPr>
        <w:t xml:space="preserve">L. </w:t>
      </w:r>
      <w:proofErr w:type="spellStart"/>
      <w:r w:rsidRPr="00A71D74">
        <w:rPr>
          <w:i/>
          <w:sz w:val="24"/>
          <w:szCs w:val="24"/>
        </w:rPr>
        <w:t>intracellularis</w:t>
      </w:r>
      <w:proofErr w:type="spellEnd"/>
      <w:r w:rsidRPr="00A71D74">
        <w:rPr>
          <w:sz w:val="24"/>
          <w:szCs w:val="24"/>
        </w:rPr>
        <w:t xml:space="preserve">, og der savnes data om status af </w:t>
      </w:r>
      <w:proofErr w:type="spellStart"/>
      <w:r w:rsidRPr="00A71D74">
        <w:rPr>
          <w:sz w:val="24"/>
          <w:szCs w:val="24"/>
        </w:rPr>
        <w:t>lincomycin</w:t>
      </w:r>
      <w:proofErr w:type="spellEnd"/>
      <w:r w:rsidRPr="00A71D74">
        <w:rPr>
          <w:sz w:val="24"/>
          <w:szCs w:val="24"/>
        </w:rPr>
        <w:t>-</w:t>
      </w:r>
      <w:proofErr w:type="spellStart"/>
      <w:r w:rsidRPr="00A71D74">
        <w:rPr>
          <w:sz w:val="24"/>
          <w:szCs w:val="24"/>
        </w:rPr>
        <w:t>spectinomycin</w:t>
      </w:r>
      <w:proofErr w:type="spellEnd"/>
      <w:r w:rsidRPr="00A71D74">
        <w:rPr>
          <w:sz w:val="24"/>
          <w:szCs w:val="24"/>
        </w:rPr>
        <w:t>-resistens hos denne art.</w:t>
      </w:r>
    </w:p>
    <w:p w14:paraId="2468E81D" w14:textId="77777777" w:rsidR="005B0036" w:rsidRPr="00A71D74" w:rsidRDefault="005B0036" w:rsidP="005B0036">
      <w:pPr>
        <w:pStyle w:val="Sidehoved"/>
        <w:tabs>
          <w:tab w:val="clear" w:pos="4819"/>
          <w:tab w:val="left" w:pos="8222"/>
        </w:tabs>
        <w:ind w:left="851"/>
        <w:rPr>
          <w:szCs w:val="24"/>
        </w:rPr>
      </w:pPr>
    </w:p>
    <w:p w14:paraId="679D6637" w14:textId="77777777" w:rsidR="005B0036" w:rsidRPr="00A71D74" w:rsidRDefault="005B0036" w:rsidP="005B0036">
      <w:pPr>
        <w:tabs>
          <w:tab w:val="left" w:pos="851"/>
          <w:tab w:val="left" w:pos="8222"/>
        </w:tabs>
        <w:rPr>
          <w:b/>
          <w:sz w:val="24"/>
          <w:szCs w:val="24"/>
        </w:rPr>
      </w:pPr>
      <w:r w:rsidRPr="00A71D74">
        <w:rPr>
          <w:b/>
          <w:sz w:val="24"/>
          <w:szCs w:val="24"/>
        </w:rPr>
        <w:t>4.5</w:t>
      </w:r>
      <w:r w:rsidRPr="00A71D74">
        <w:rPr>
          <w:b/>
          <w:sz w:val="24"/>
          <w:szCs w:val="24"/>
        </w:rPr>
        <w:tab/>
        <w:t>Særlige forsigtighedsregler vedrørende brugen</w:t>
      </w:r>
    </w:p>
    <w:p w14:paraId="1C674957" w14:textId="77777777" w:rsidR="005B0036" w:rsidRPr="00A71D74" w:rsidRDefault="005B0036" w:rsidP="005B0036">
      <w:pPr>
        <w:tabs>
          <w:tab w:val="left" w:pos="851"/>
          <w:tab w:val="left" w:pos="8222"/>
        </w:tabs>
        <w:ind w:left="851"/>
        <w:rPr>
          <w:sz w:val="24"/>
          <w:szCs w:val="24"/>
        </w:rPr>
      </w:pPr>
    </w:p>
    <w:p w14:paraId="41753DA9" w14:textId="77777777" w:rsidR="005B0036" w:rsidRPr="00A71D74" w:rsidRDefault="005B0036" w:rsidP="005B0036">
      <w:pPr>
        <w:tabs>
          <w:tab w:val="left" w:pos="851"/>
          <w:tab w:val="left" w:pos="8222"/>
        </w:tabs>
        <w:ind w:left="851"/>
        <w:rPr>
          <w:b/>
          <w:sz w:val="24"/>
          <w:szCs w:val="24"/>
        </w:rPr>
      </w:pPr>
      <w:r w:rsidRPr="00A71D74">
        <w:rPr>
          <w:b/>
          <w:sz w:val="24"/>
          <w:szCs w:val="24"/>
        </w:rPr>
        <w:t>Særlige forsigtighedsregler for dyret</w:t>
      </w:r>
    </w:p>
    <w:p w14:paraId="0DA86EF6" w14:textId="77777777" w:rsidR="00524F77" w:rsidRPr="00A71D74" w:rsidRDefault="00524F77" w:rsidP="00F23170">
      <w:pPr>
        <w:ind w:left="851"/>
        <w:rPr>
          <w:sz w:val="24"/>
          <w:szCs w:val="24"/>
        </w:rPr>
      </w:pPr>
      <w:r w:rsidRPr="00A71D74">
        <w:rPr>
          <w:sz w:val="24"/>
          <w:szCs w:val="24"/>
        </w:rPr>
        <w:t>Det er fornuftig klinisk praksis at basere behandlingen på undersøgelser af følsomheden af bakterier, der er isoleret fra dyret. Hvis det ikke er muligt, skal behandlingen baseres på lokal (regional, bedriftsplan) epidemiologisk information om målbakteriers følsomhed. Anvendelse af veterinærlægemidlet, der afviger fra instruktionerne i produktresuméet, kan øge risikoen for udvikling og selektering af resistente bakterier og reducere den effektive virkning af behandling med makrolider på grund af risikoen for krydsresistens.</w:t>
      </w:r>
    </w:p>
    <w:p w14:paraId="11B57BE8" w14:textId="77777777" w:rsidR="00524F77" w:rsidRPr="00A71D74" w:rsidRDefault="00524F77" w:rsidP="00F23170">
      <w:pPr>
        <w:ind w:left="851"/>
        <w:rPr>
          <w:sz w:val="24"/>
          <w:szCs w:val="24"/>
        </w:rPr>
      </w:pPr>
    </w:p>
    <w:p w14:paraId="7A5F3105" w14:textId="77777777" w:rsidR="00524F77" w:rsidRPr="00A71D74" w:rsidRDefault="00524F77" w:rsidP="00F23170">
      <w:pPr>
        <w:ind w:left="851"/>
        <w:rPr>
          <w:sz w:val="24"/>
          <w:szCs w:val="24"/>
        </w:rPr>
      </w:pPr>
      <w:r w:rsidRPr="00A71D74">
        <w:rPr>
          <w:sz w:val="24"/>
          <w:szCs w:val="24"/>
        </w:rPr>
        <w:t xml:space="preserve">Oral anvendelse af formuleringer indeholdende </w:t>
      </w:r>
      <w:proofErr w:type="spellStart"/>
      <w:r w:rsidRPr="00A71D74">
        <w:rPr>
          <w:sz w:val="24"/>
          <w:szCs w:val="24"/>
        </w:rPr>
        <w:t>lincomycin</w:t>
      </w:r>
      <w:proofErr w:type="spellEnd"/>
      <w:r w:rsidRPr="00A71D74">
        <w:rPr>
          <w:sz w:val="24"/>
          <w:szCs w:val="24"/>
        </w:rPr>
        <w:t xml:space="preserve"> er kun indiceret til svin. Lad ikke andre dyrearter få adgang til det medicinerede vand. </w:t>
      </w:r>
      <w:proofErr w:type="spellStart"/>
      <w:r w:rsidRPr="00A71D74">
        <w:rPr>
          <w:sz w:val="24"/>
          <w:szCs w:val="24"/>
        </w:rPr>
        <w:t>Lincomycin</w:t>
      </w:r>
      <w:proofErr w:type="spellEnd"/>
      <w:r w:rsidRPr="00A71D74">
        <w:rPr>
          <w:sz w:val="24"/>
          <w:szCs w:val="24"/>
        </w:rPr>
        <w:t xml:space="preserve"> kan forårsage alvorlige </w:t>
      </w:r>
      <w:proofErr w:type="spellStart"/>
      <w:r w:rsidRPr="00A71D74">
        <w:rPr>
          <w:sz w:val="24"/>
          <w:szCs w:val="24"/>
        </w:rPr>
        <w:t>gastrointestinale</w:t>
      </w:r>
      <w:proofErr w:type="spellEnd"/>
      <w:r w:rsidRPr="00A71D74">
        <w:rPr>
          <w:sz w:val="24"/>
          <w:szCs w:val="24"/>
        </w:rPr>
        <w:t xml:space="preserve"> bivirkninger.</w:t>
      </w:r>
    </w:p>
    <w:p w14:paraId="30E8806F" w14:textId="77777777" w:rsidR="00524F77" w:rsidRPr="00A71D74" w:rsidRDefault="00524F77" w:rsidP="00F23170">
      <w:pPr>
        <w:ind w:left="851"/>
        <w:rPr>
          <w:sz w:val="24"/>
          <w:szCs w:val="24"/>
        </w:rPr>
      </w:pPr>
    </w:p>
    <w:p w14:paraId="6293E04A" w14:textId="77777777" w:rsidR="00524F77" w:rsidRPr="00A71D74" w:rsidRDefault="00524F77" w:rsidP="00F23170">
      <w:pPr>
        <w:ind w:left="851"/>
        <w:rPr>
          <w:sz w:val="24"/>
          <w:szCs w:val="24"/>
        </w:rPr>
      </w:pPr>
      <w:r w:rsidRPr="00A71D74">
        <w:rPr>
          <w:sz w:val="24"/>
          <w:szCs w:val="24"/>
        </w:rPr>
        <w:t>Gentagen eller langvarig anvendelse skal undgås ved optimering af bedriftspraksis og desinfektionspraksis.</w:t>
      </w:r>
    </w:p>
    <w:p w14:paraId="5E10590A" w14:textId="77777777" w:rsidR="00524F77" w:rsidRPr="00A71D74" w:rsidRDefault="00524F77" w:rsidP="00F23170">
      <w:pPr>
        <w:ind w:left="851"/>
        <w:rPr>
          <w:sz w:val="24"/>
          <w:szCs w:val="24"/>
        </w:rPr>
      </w:pPr>
    </w:p>
    <w:p w14:paraId="3434AC86" w14:textId="77777777" w:rsidR="00524F77" w:rsidRPr="00A71D74" w:rsidRDefault="00524F77" w:rsidP="00F23170">
      <w:pPr>
        <w:ind w:left="851"/>
        <w:rPr>
          <w:sz w:val="24"/>
          <w:szCs w:val="24"/>
        </w:rPr>
      </w:pPr>
      <w:r w:rsidRPr="00A71D74">
        <w:rPr>
          <w:sz w:val="24"/>
          <w:szCs w:val="24"/>
        </w:rPr>
        <w:t>Hvis der ikke ses bedring efter 5 dage, skal diagnosen revurderes.</w:t>
      </w:r>
    </w:p>
    <w:p w14:paraId="63CB6CFD" w14:textId="77777777" w:rsidR="00524F77" w:rsidRPr="00A71D74" w:rsidRDefault="00524F77" w:rsidP="00F23170">
      <w:pPr>
        <w:ind w:left="851"/>
        <w:rPr>
          <w:sz w:val="24"/>
          <w:szCs w:val="24"/>
        </w:rPr>
      </w:pPr>
    </w:p>
    <w:p w14:paraId="0E211DB9" w14:textId="77777777" w:rsidR="00524F77" w:rsidRPr="00A71D74" w:rsidRDefault="00524F77" w:rsidP="00F23170">
      <w:pPr>
        <w:ind w:left="851"/>
        <w:rPr>
          <w:sz w:val="24"/>
          <w:szCs w:val="24"/>
        </w:rPr>
      </w:pPr>
      <w:r w:rsidRPr="00A71D74">
        <w:rPr>
          <w:sz w:val="24"/>
          <w:szCs w:val="24"/>
        </w:rPr>
        <w:t>Syge dyr har nedsat ædelyst og ændret drikkemønster og meget syge dyr kan derfor have behov for parenteral behandling.</w:t>
      </w:r>
    </w:p>
    <w:p w14:paraId="277E06B1" w14:textId="77777777" w:rsidR="00524F77" w:rsidRPr="00A71D74" w:rsidRDefault="00524F77" w:rsidP="00F23170">
      <w:pPr>
        <w:ind w:left="851"/>
        <w:rPr>
          <w:sz w:val="24"/>
          <w:szCs w:val="24"/>
        </w:rPr>
      </w:pPr>
    </w:p>
    <w:p w14:paraId="28D38EE4" w14:textId="77777777" w:rsidR="00524F77" w:rsidRPr="00A71D74" w:rsidRDefault="00524F77" w:rsidP="00F23170">
      <w:pPr>
        <w:ind w:left="851"/>
        <w:rPr>
          <w:sz w:val="24"/>
          <w:szCs w:val="24"/>
        </w:rPr>
      </w:pPr>
      <w:r w:rsidRPr="00A71D74">
        <w:rPr>
          <w:sz w:val="24"/>
          <w:szCs w:val="24"/>
        </w:rPr>
        <w:t>Dette pulver er kun til anvendelse i drikkevand og skal opløses før anvendelse.</w:t>
      </w:r>
    </w:p>
    <w:p w14:paraId="191F88D1" w14:textId="77777777" w:rsidR="005B0036" w:rsidRPr="00A71D74" w:rsidRDefault="005B0036" w:rsidP="005B0036">
      <w:pPr>
        <w:tabs>
          <w:tab w:val="left" w:pos="851"/>
          <w:tab w:val="left" w:pos="8222"/>
        </w:tabs>
        <w:ind w:left="851"/>
        <w:rPr>
          <w:sz w:val="24"/>
          <w:szCs w:val="24"/>
        </w:rPr>
      </w:pPr>
    </w:p>
    <w:p w14:paraId="69D0720B" w14:textId="77777777" w:rsidR="005B0036" w:rsidRPr="00A71D74" w:rsidRDefault="005B0036" w:rsidP="005B0036">
      <w:pPr>
        <w:tabs>
          <w:tab w:val="left" w:pos="851"/>
          <w:tab w:val="left" w:pos="8222"/>
        </w:tabs>
        <w:ind w:left="851"/>
        <w:rPr>
          <w:b/>
          <w:sz w:val="24"/>
          <w:szCs w:val="24"/>
        </w:rPr>
      </w:pPr>
      <w:r w:rsidRPr="00A71D74">
        <w:rPr>
          <w:b/>
          <w:sz w:val="24"/>
          <w:szCs w:val="24"/>
        </w:rPr>
        <w:t>Særlige forsigtighedsregler for personer, der administrerer lægemidlet</w:t>
      </w:r>
    </w:p>
    <w:p w14:paraId="2E6877BA" w14:textId="77777777" w:rsidR="00524F77" w:rsidRPr="00A71D74" w:rsidRDefault="00524F77" w:rsidP="00F23170">
      <w:pPr>
        <w:ind w:left="851"/>
        <w:rPr>
          <w:sz w:val="24"/>
          <w:szCs w:val="24"/>
        </w:rPr>
      </w:pPr>
      <w:r w:rsidRPr="00A71D74">
        <w:rPr>
          <w:sz w:val="24"/>
          <w:szCs w:val="24"/>
        </w:rPr>
        <w:t xml:space="preserve">Ved overfølsomhed over for </w:t>
      </w:r>
      <w:proofErr w:type="spellStart"/>
      <w:r w:rsidRPr="00A71D74">
        <w:rPr>
          <w:sz w:val="24"/>
          <w:szCs w:val="24"/>
        </w:rPr>
        <w:t>lincomycin</w:t>
      </w:r>
      <w:proofErr w:type="spellEnd"/>
      <w:r w:rsidRPr="00A71D74">
        <w:rPr>
          <w:sz w:val="24"/>
          <w:szCs w:val="24"/>
        </w:rPr>
        <w:t xml:space="preserve">, </w:t>
      </w:r>
      <w:proofErr w:type="spellStart"/>
      <w:r w:rsidRPr="00A71D74">
        <w:rPr>
          <w:sz w:val="24"/>
          <w:szCs w:val="24"/>
        </w:rPr>
        <w:t>spectinomycin</w:t>
      </w:r>
      <w:proofErr w:type="spellEnd"/>
      <w:r w:rsidRPr="00A71D74">
        <w:rPr>
          <w:sz w:val="24"/>
          <w:szCs w:val="24"/>
        </w:rPr>
        <w:t xml:space="preserve"> eller sojafodermel, bør kontakt med lægemidlet undgås.</w:t>
      </w:r>
    </w:p>
    <w:p w14:paraId="78C5F3A8" w14:textId="77777777" w:rsidR="00524F77" w:rsidRPr="00A71D74" w:rsidRDefault="00524F77" w:rsidP="00F23170">
      <w:pPr>
        <w:ind w:left="851"/>
        <w:rPr>
          <w:sz w:val="24"/>
          <w:szCs w:val="24"/>
        </w:rPr>
      </w:pPr>
      <w:r w:rsidRPr="00A71D74">
        <w:rPr>
          <w:sz w:val="24"/>
          <w:szCs w:val="24"/>
        </w:rPr>
        <w:t>Der skal udvises forsigtighed, så støv ikke hvirvles op og inhaleres. Kontakt med hud og øjne skal undgås.</w:t>
      </w:r>
    </w:p>
    <w:p w14:paraId="5D21731C" w14:textId="77777777" w:rsidR="00524F77" w:rsidRPr="00A71D74" w:rsidRDefault="00524F77" w:rsidP="00F23170">
      <w:pPr>
        <w:ind w:left="851"/>
        <w:rPr>
          <w:sz w:val="24"/>
          <w:szCs w:val="24"/>
        </w:rPr>
      </w:pPr>
      <w:r w:rsidRPr="00A71D74">
        <w:rPr>
          <w:sz w:val="24"/>
          <w:szCs w:val="24"/>
        </w:rPr>
        <w:t>Personligt beskyttelsesudstyr i form af godkendte støvmasker (enten en engangsstøvmaske, der er i overensstemmelse med den europæiske standard EN 149 eller et genbrugeligt åndedrætsværn, der er i overensstemmelse med den europæiske standard EN 140 med et filter, der er i overensstemmelse med EN 143), handsker og sikkerhedsbriller bør anvendes ved håndtering og blanding af lægemidlet.</w:t>
      </w:r>
    </w:p>
    <w:p w14:paraId="6749D568" w14:textId="77777777" w:rsidR="00524F77" w:rsidRPr="00A71D74" w:rsidRDefault="00524F77" w:rsidP="00F23170">
      <w:pPr>
        <w:ind w:left="851"/>
        <w:rPr>
          <w:sz w:val="24"/>
          <w:szCs w:val="24"/>
        </w:rPr>
      </w:pPr>
      <w:r w:rsidRPr="00A71D74">
        <w:rPr>
          <w:sz w:val="24"/>
          <w:szCs w:val="24"/>
        </w:rPr>
        <w:lastRenderedPageBreak/>
        <w:t>Vask hænder og eksponeret hud med sæbe og vand straks efter anvendelse.</w:t>
      </w:r>
    </w:p>
    <w:p w14:paraId="168CE7A0" w14:textId="77777777" w:rsidR="00524F77" w:rsidRPr="00A71D74" w:rsidRDefault="00524F77" w:rsidP="00F23170">
      <w:pPr>
        <w:ind w:left="851"/>
        <w:rPr>
          <w:sz w:val="24"/>
          <w:szCs w:val="24"/>
        </w:rPr>
      </w:pPr>
      <w:r w:rsidRPr="00A71D74">
        <w:rPr>
          <w:sz w:val="24"/>
          <w:szCs w:val="24"/>
        </w:rPr>
        <w:t>Hvis der forekommer symptomer såsom hududslæt eller vedvarende øjenirritation efter eksponering, skal der straks søges lægehjælp, og indlægssedlen eller etiketten bør vises til lægen.</w:t>
      </w:r>
    </w:p>
    <w:p w14:paraId="232622F8" w14:textId="77777777" w:rsidR="005B0036" w:rsidRPr="00A71D74" w:rsidRDefault="005B0036" w:rsidP="005B0036">
      <w:pPr>
        <w:tabs>
          <w:tab w:val="left" w:pos="851"/>
          <w:tab w:val="left" w:pos="8222"/>
        </w:tabs>
        <w:ind w:left="851"/>
        <w:rPr>
          <w:sz w:val="24"/>
          <w:szCs w:val="24"/>
        </w:rPr>
      </w:pPr>
    </w:p>
    <w:p w14:paraId="09184343" w14:textId="77777777" w:rsidR="005B0036" w:rsidRPr="00A71D74" w:rsidRDefault="005B0036" w:rsidP="005B0036">
      <w:pPr>
        <w:tabs>
          <w:tab w:val="left" w:pos="851"/>
          <w:tab w:val="left" w:pos="8222"/>
        </w:tabs>
        <w:ind w:left="851"/>
        <w:rPr>
          <w:b/>
          <w:sz w:val="24"/>
          <w:szCs w:val="24"/>
        </w:rPr>
      </w:pPr>
      <w:r w:rsidRPr="00A71D74">
        <w:rPr>
          <w:b/>
          <w:sz w:val="24"/>
          <w:szCs w:val="24"/>
        </w:rPr>
        <w:t>Andre forsigtighedsregler</w:t>
      </w:r>
    </w:p>
    <w:p w14:paraId="02D9198A" w14:textId="007BB927" w:rsidR="005B0036" w:rsidRPr="00A71D74" w:rsidRDefault="00524F77" w:rsidP="005B0036">
      <w:pPr>
        <w:tabs>
          <w:tab w:val="left" w:pos="851"/>
          <w:tab w:val="left" w:pos="8222"/>
        </w:tabs>
        <w:ind w:left="851"/>
        <w:rPr>
          <w:sz w:val="24"/>
          <w:szCs w:val="24"/>
        </w:rPr>
      </w:pPr>
      <w:r w:rsidRPr="00A71D74">
        <w:rPr>
          <w:sz w:val="24"/>
          <w:szCs w:val="24"/>
        </w:rPr>
        <w:t>-</w:t>
      </w:r>
    </w:p>
    <w:p w14:paraId="5DB57F73" w14:textId="77777777" w:rsidR="005B0036" w:rsidRPr="00A71D74" w:rsidRDefault="005B0036" w:rsidP="005B0036">
      <w:pPr>
        <w:tabs>
          <w:tab w:val="left" w:pos="851"/>
          <w:tab w:val="left" w:pos="8222"/>
        </w:tabs>
        <w:ind w:left="851"/>
        <w:rPr>
          <w:sz w:val="24"/>
          <w:szCs w:val="24"/>
        </w:rPr>
      </w:pPr>
    </w:p>
    <w:p w14:paraId="16E74117" w14:textId="77777777" w:rsidR="005B0036" w:rsidRPr="00A71D74" w:rsidRDefault="005B0036" w:rsidP="005B0036">
      <w:pPr>
        <w:tabs>
          <w:tab w:val="left" w:pos="851"/>
          <w:tab w:val="left" w:pos="8222"/>
        </w:tabs>
        <w:rPr>
          <w:b/>
          <w:sz w:val="24"/>
          <w:szCs w:val="24"/>
        </w:rPr>
      </w:pPr>
      <w:r w:rsidRPr="00A71D74">
        <w:rPr>
          <w:b/>
          <w:sz w:val="24"/>
          <w:szCs w:val="24"/>
        </w:rPr>
        <w:t>4.6</w:t>
      </w:r>
      <w:r w:rsidRPr="00A71D74">
        <w:rPr>
          <w:b/>
          <w:sz w:val="24"/>
          <w:szCs w:val="24"/>
        </w:rPr>
        <w:tab/>
        <w:t>Bivirkninger</w:t>
      </w:r>
    </w:p>
    <w:p w14:paraId="06685FBE" w14:textId="77777777" w:rsidR="00524F77" w:rsidRPr="00A71D74" w:rsidRDefault="00524F77" w:rsidP="00F23170">
      <w:pPr>
        <w:ind w:left="851"/>
        <w:rPr>
          <w:sz w:val="24"/>
          <w:szCs w:val="24"/>
        </w:rPr>
      </w:pPr>
      <w:r w:rsidRPr="00A71D74">
        <w:rPr>
          <w:sz w:val="24"/>
          <w:szCs w:val="24"/>
        </w:rPr>
        <w:t>Der har været tilfælde med diarré eller blød fæces og/eller inflammation i det perianale område hos raske svin i starten af behandlingen. Symptomerne forsvandt inden for 5 til 8 dage uden afbrydelse af behandlingen.</w:t>
      </w:r>
    </w:p>
    <w:p w14:paraId="6D2DA84E" w14:textId="77777777" w:rsidR="00524F77" w:rsidRPr="00A71D74" w:rsidRDefault="00524F77" w:rsidP="00F23170">
      <w:pPr>
        <w:tabs>
          <w:tab w:val="left" w:pos="1304"/>
        </w:tabs>
        <w:ind w:left="851"/>
        <w:rPr>
          <w:sz w:val="24"/>
          <w:szCs w:val="24"/>
        </w:rPr>
      </w:pPr>
      <w:r w:rsidRPr="00A71D74">
        <w:rPr>
          <w:sz w:val="24"/>
          <w:szCs w:val="24"/>
        </w:rPr>
        <w:t>Der blev også observeret sjældne tilfælde med irritabilitet/ophidselse, hududslæt/</w:t>
      </w:r>
      <w:proofErr w:type="spellStart"/>
      <w:r w:rsidRPr="00A71D74">
        <w:rPr>
          <w:sz w:val="24"/>
          <w:szCs w:val="24"/>
        </w:rPr>
        <w:t>pruritus</w:t>
      </w:r>
      <w:proofErr w:type="spellEnd"/>
      <w:r w:rsidRPr="00A71D74">
        <w:rPr>
          <w:sz w:val="24"/>
          <w:szCs w:val="24"/>
        </w:rPr>
        <w:t>.</w:t>
      </w:r>
    </w:p>
    <w:p w14:paraId="0B9E9F97" w14:textId="77777777" w:rsidR="00524F77" w:rsidRPr="00A71D74" w:rsidRDefault="00524F77" w:rsidP="00F23170">
      <w:pPr>
        <w:tabs>
          <w:tab w:val="left" w:pos="1304"/>
        </w:tabs>
        <w:ind w:left="851"/>
        <w:rPr>
          <w:sz w:val="24"/>
          <w:szCs w:val="24"/>
        </w:rPr>
      </w:pPr>
      <w:r w:rsidRPr="00A71D74">
        <w:rPr>
          <w:sz w:val="24"/>
          <w:szCs w:val="24"/>
        </w:rPr>
        <w:t xml:space="preserve">Allergiske reaktioner/overfølsomhedsreaktioner er sjældne, men kan forekomme og kræver </w:t>
      </w:r>
      <w:proofErr w:type="spellStart"/>
      <w:r w:rsidRPr="00A71D74">
        <w:rPr>
          <w:sz w:val="24"/>
          <w:szCs w:val="24"/>
        </w:rPr>
        <w:t>seponering</w:t>
      </w:r>
      <w:proofErr w:type="spellEnd"/>
      <w:r w:rsidRPr="00A71D74">
        <w:rPr>
          <w:sz w:val="24"/>
          <w:szCs w:val="24"/>
        </w:rPr>
        <w:t xml:space="preserve"> af behandling med veterinærlægemidlet. Der skal implementeres symptomatisk behandling.</w:t>
      </w:r>
    </w:p>
    <w:p w14:paraId="5F5D2305" w14:textId="77777777" w:rsidR="00524F77" w:rsidRPr="00A71D74" w:rsidRDefault="00524F77" w:rsidP="00F23170">
      <w:pPr>
        <w:tabs>
          <w:tab w:val="left" w:pos="1304"/>
        </w:tabs>
        <w:ind w:left="851"/>
        <w:rPr>
          <w:sz w:val="24"/>
          <w:szCs w:val="24"/>
        </w:rPr>
      </w:pPr>
    </w:p>
    <w:p w14:paraId="13155561" w14:textId="77777777" w:rsidR="00524F77" w:rsidRPr="00A71D74" w:rsidRDefault="00524F77" w:rsidP="00F23170">
      <w:pPr>
        <w:tabs>
          <w:tab w:val="left" w:pos="1304"/>
        </w:tabs>
        <w:ind w:left="851"/>
        <w:rPr>
          <w:sz w:val="24"/>
          <w:szCs w:val="24"/>
        </w:rPr>
      </w:pPr>
      <w:r w:rsidRPr="00A71D74">
        <w:rPr>
          <w:sz w:val="24"/>
          <w:szCs w:val="24"/>
        </w:rPr>
        <w:t>Hyppigheden af bivirkninger er defineret som:</w:t>
      </w:r>
    </w:p>
    <w:p w14:paraId="3479268E" w14:textId="22681D33" w:rsidR="00524F77" w:rsidRPr="00A71D74" w:rsidRDefault="00524F77" w:rsidP="002E5512">
      <w:pPr>
        <w:pStyle w:val="Listeafsnit"/>
        <w:numPr>
          <w:ilvl w:val="0"/>
          <w:numId w:val="6"/>
        </w:numPr>
        <w:ind w:left="1134" w:hanging="283"/>
        <w:rPr>
          <w:sz w:val="24"/>
          <w:szCs w:val="24"/>
        </w:rPr>
      </w:pPr>
      <w:r w:rsidRPr="00A71D74">
        <w:rPr>
          <w:sz w:val="24"/>
          <w:szCs w:val="24"/>
        </w:rPr>
        <w:t>Meget almindelig (flere end 1 ud af 10 behandlede dyr, der viser bivirkninger i løbet af en behandling)</w:t>
      </w:r>
    </w:p>
    <w:p w14:paraId="26C8F7E5" w14:textId="39DE3572" w:rsidR="00524F77" w:rsidRPr="00A71D74" w:rsidRDefault="00524F77" w:rsidP="002E5512">
      <w:pPr>
        <w:pStyle w:val="Listeafsnit"/>
        <w:numPr>
          <w:ilvl w:val="0"/>
          <w:numId w:val="6"/>
        </w:numPr>
        <w:ind w:left="1134" w:hanging="283"/>
        <w:rPr>
          <w:sz w:val="24"/>
          <w:szCs w:val="24"/>
        </w:rPr>
      </w:pPr>
      <w:r w:rsidRPr="00A71D74">
        <w:rPr>
          <w:sz w:val="24"/>
          <w:szCs w:val="24"/>
        </w:rPr>
        <w:t>Almindelige (flere end 1, men færre end 10 dyr af 100 behandlede dyr)</w:t>
      </w:r>
    </w:p>
    <w:p w14:paraId="06DACBA9" w14:textId="2FF14CCD" w:rsidR="00524F77" w:rsidRPr="00A71D74" w:rsidRDefault="00524F77" w:rsidP="002E5512">
      <w:pPr>
        <w:pStyle w:val="Listeafsnit"/>
        <w:numPr>
          <w:ilvl w:val="0"/>
          <w:numId w:val="6"/>
        </w:numPr>
        <w:ind w:left="1134" w:hanging="283"/>
        <w:rPr>
          <w:sz w:val="24"/>
          <w:szCs w:val="24"/>
        </w:rPr>
      </w:pPr>
      <w:r w:rsidRPr="00A71D74">
        <w:rPr>
          <w:sz w:val="24"/>
          <w:szCs w:val="24"/>
        </w:rPr>
        <w:t>Ikke almindelige (flere end 1, men færre end 10 dyr af 1.000 behandlede dyr)</w:t>
      </w:r>
    </w:p>
    <w:p w14:paraId="12C3C01B" w14:textId="6CD90C67" w:rsidR="00524F77" w:rsidRPr="00A71D74" w:rsidRDefault="00524F77" w:rsidP="002E5512">
      <w:pPr>
        <w:pStyle w:val="Listeafsnit"/>
        <w:numPr>
          <w:ilvl w:val="0"/>
          <w:numId w:val="6"/>
        </w:numPr>
        <w:ind w:left="1134" w:hanging="283"/>
        <w:rPr>
          <w:sz w:val="24"/>
          <w:szCs w:val="24"/>
        </w:rPr>
      </w:pPr>
      <w:r w:rsidRPr="00A71D74">
        <w:rPr>
          <w:sz w:val="24"/>
          <w:szCs w:val="24"/>
        </w:rPr>
        <w:t>Sjældne (flere end 1, men færre end 10 dyr ud af 10.000 behandlede dyr)</w:t>
      </w:r>
    </w:p>
    <w:p w14:paraId="7AAD77A3" w14:textId="6D1543FB" w:rsidR="00524F77" w:rsidRPr="00A71D74" w:rsidRDefault="00524F77" w:rsidP="002E5512">
      <w:pPr>
        <w:pStyle w:val="Listeafsnit"/>
        <w:numPr>
          <w:ilvl w:val="0"/>
          <w:numId w:val="6"/>
        </w:numPr>
        <w:ind w:left="1134" w:hanging="283"/>
        <w:rPr>
          <w:sz w:val="24"/>
          <w:szCs w:val="24"/>
        </w:rPr>
      </w:pPr>
      <w:r w:rsidRPr="00A71D74">
        <w:rPr>
          <w:sz w:val="24"/>
          <w:szCs w:val="24"/>
        </w:rPr>
        <w:t>Meget sjælden (færre end 1 dyr ud af 10.000 behandlede dyr, herunder isolerede rapporter)</w:t>
      </w:r>
    </w:p>
    <w:p w14:paraId="0A95DCE0" w14:textId="77777777" w:rsidR="005B0036" w:rsidRPr="00A71D74" w:rsidRDefault="005B0036" w:rsidP="005B0036">
      <w:pPr>
        <w:tabs>
          <w:tab w:val="left" w:pos="851"/>
          <w:tab w:val="left" w:pos="8222"/>
        </w:tabs>
        <w:ind w:left="851"/>
        <w:rPr>
          <w:sz w:val="24"/>
          <w:szCs w:val="24"/>
        </w:rPr>
      </w:pPr>
    </w:p>
    <w:p w14:paraId="32472A09" w14:textId="77777777" w:rsidR="005B0036" w:rsidRPr="00A71D74" w:rsidRDefault="005B0036" w:rsidP="005B0036">
      <w:pPr>
        <w:tabs>
          <w:tab w:val="left" w:pos="851"/>
          <w:tab w:val="left" w:pos="8222"/>
        </w:tabs>
        <w:rPr>
          <w:b/>
          <w:sz w:val="24"/>
          <w:szCs w:val="24"/>
        </w:rPr>
      </w:pPr>
      <w:r w:rsidRPr="00A71D74">
        <w:rPr>
          <w:b/>
          <w:sz w:val="24"/>
          <w:szCs w:val="24"/>
        </w:rPr>
        <w:t>4.7</w:t>
      </w:r>
      <w:r w:rsidRPr="00A71D74">
        <w:rPr>
          <w:b/>
          <w:sz w:val="24"/>
          <w:szCs w:val="24"/>
        </w:rPr>
        <w:tab/>
        <w:t>Drægtighed, diegivning eller æglægning</w:t>
      </w:r>
    </w:p>
    <w:p w14:paraId="4C910113" w14:textId="77777777" w:rsidR="00524F77" w:rsidRPr="00A71D74" w:rsidRDefault="00524F77" w:rsidP="002E5512">
      <w:pPr>
        <w:ind w:left="851"/>
        <w:rPr>
          <w:sz w:val="24"/>
          <w:szCs w:val="24"/>
        </w:rPr>
      </w:pPr>
      <w:r w:rsidRPr="00A71D74">
        <w:rPr>
          <w:sz w:val="24"/>
          <w:szCs w:val="24"/>
        </w:rPr>
        <w:t>Lægemidlets sikkerhed under drægtighed og laktation er ikke fastlagt.</w:t>
      </w:r>
    </w:p>
    <w:p w14:paraId="71E31356" w14:textId="77777777" w:rsidR="00524F77" w:rsidRPr="00A71D74" w:rsidRDefault="00524F77" w:rsidP="002E5512">
      <w:pPr>
        <w:ind w:left="851"/>
        <w:rPr>
          <w:sz w:val="24"/>
          <w:szCs w:val="24"/>
        </w:rPr>
      </w:pPr>
      <w:r w:rsidRPr="00A71D74">
        <w:rPr>
          <w:sz w:val="24"/>
          <w:szCs w:val="24"/>
        </w:rPr>
        <w:t xml:space="preserve">Laboratorieundersøgelser af hunde og rotter har ikke afsløret reproduktionstoksicitet, </w:t>
      </w:r>
      <w:proofErr w:type="spellStart"/>
      <w:r w:rsidRPr="00A71D74">
        <w:rPr>
          <w:sz w:val="24"/>
          <w:szCs w:val="24"/>
        </w:rPr>
        <w:t>føtal</w:t>
      </w:r>
      <w:proofErr w:type="spellEnd"/>
      <w:r w:rsidRPr="00A71D74">
        <w:rPr>
          <w:sz w:val="24"/>
          <w:szCs w:val="24"/>
        </w:rPr>
        <w:t xml:space="preserve"> toksicitet eller </w:t>
      </w:r>
      <w:proofErr w:type="spellStart"/>
      <w:r w:rsidRPr="00A71D74">
        <w:rPr>
          <w:sz w:val="24"/>
          <w:szCs w:val="24"/>
        </w:rPr>
        <w:t>teratognene</w:t>
      </w:r>
      <w:proofErr w:type="spellEnd"/>
      <w:r w:rsidRPr="00A71D74">
        <w:rPr>
          <w:sz w:val="24"/>
          <w:szCs w:val="24"/>
        </w:rPr>
        <w:t xml:space="preserve"> virkninger med </w:t>
      </w:r>
      <w:proofErr w:type="spellStart"/>
      <w:r w:rsidRPr="00A71D74">
        <w:rPr>
          <w:sz w:val="24"/>
          <w:szCs w:val="24"/>
        </w:rPr>
        <w:t>lincomycin</w:t>
      </w:r>
      <w:proofErr w:type="spellEnd"/>
      <w:r w:rsidRPr="00A71D74">
        <w:rPr>
          <w:sz w:val="24"/>
          <w:szCs w:val="24"/>
        </w:rPr>
        <w:t xml:space="preserve"> eller </w:t>
      </w:r>
      <w:proofErr w:type="spellStart"/>
      <w:r w:rsidRPr="00A71D74">
        <w:rPr>
          <w:sz w:val="24"/>
          <w:szCs w:val="24"/>
        </w:rPr>
        <w:t>spectinomycin</w:t>
      </w:r>
      <w:proofErr w:type="spellEnd"/>
      <w:r w:rsidRPr="00A71D74">
        <w:rPr>
          <w:sz w:val="24"/>
          <w:szCs w:val="24"/>
        </w:rPr>
        <w:t xml:space="preserve">. </w:t>
      </w:r>
    </w:p>
    <w:p w14:paraId="2F69B77D" w14:textId="77777777" w:rsidR="00524F77" w:rsidRPr="00A71D74" w:rsidRDefault="00524F77" w:rsidP="002E5512">
      <w:pPr>
        <w:ind w:left="851"/>
        <w:rPr>
          <w:sz w:val="24"/>
          <w:szCs w:val="24"/>
        </w:rPr>
      </w:pPr>
      <w:proofErr w:type="spellStart"/>
      <w:r w:rsidRPr="00A71D74">
        <w:rPr>
          <w:sz w:val="24"/>
          <w:szCs w:val="24"/>
        </w:rPr>
        <w:t>Lincomycin</w:t>
      </w:r>
      <w:proofErr w:type="spellEnd"/>
      <w:r w:rsidRPr="00A71D74">
        <w:rPr>
          <w:sz w:val="24"/>
          <w:szCs w:val="24"/>
        </w:rPr>
        <w:t xml:space="preserve"> udskilles i mælk.</w:t>
      </w:r>
    </w:p>
    <w:p w14:paraId="05B109F6" w14:textId="77777777" w:rsidR="00524F77" w:rsidRPr="00A71D74" w:rsidRDefault="00524F77" w:rsidP="002E5512">
      <w:pPr>
        <w:ind w:left="851"/>
        <w:rPr>
          <w:sz w:val="24"/>
          <w:szCs w:val="24"/>
        </w:rPr>
      </w:pPr>
      <w:r w:rsidRPr="00A71D74">
        <w:rPr>
          <w:sz w:val="24"/>
          <w:szCs w:val="24"/>
        </w:rPr>
        <w:t xml:space="preserve">Må kun anvendes i overensstemmelse med den ansvarlige dyrlæges vurdering af </w:t>
      </w:r>
      <w:proofErr w:type="spellStart"/>
      <w:r w:rsidRPr="00A71D74">
        <w:rPr>
          <w:sz w:val="24"/>
          <w:szCs w:val="24"/>
        </w:rPr>
        <w:t>risk</w:t>
      </w:r>
      <w:proofErr w:type="spellEnd"/>
      <w:r w:rsidRPr="00A71D74">
        <w:rPr>
          <w:sz w:val="24"/>
          <w:szCs w:val="24"/>
        </w:rPr>
        <w:t>-benefit-forholdet.</w:t>
      </w:r>
    </w:p>
    <w:p w14:paraId="606935FC" w14:textId="77777777" w:rsidR="005B0036" w:rsidRPr="00A71D74" w:rsidRDefault="005B0036" w:rsidP="005B0036">
      <w:pPr>
        <w:tabs>
          <w:tab w:val="left" w:pos="851"/>
          <w:tab w:val="left" w:pos="8222"/>
        </w:tabs>
        <w:ind w:left="851"/>
        <w:rPr>
          <w:sz w:val="24"/>
          <w:szCs w:val="24"/>
        </w:rPr>
      </w:pPr>
    </w:p>
    <w:p w14:paraId="3F48FD8E" w14:textId="77777777" w:rsidR="005B0036" w:rsidRPr="00A71D74" w:rsidRDefault="005B0036" w:rsidP="005B0036">
      <w:pPr>
        <w:tabs>
          <w:tab w:val="left" w:pos="851"/>
          <w:tab w:val="left" w:pos="8222"/>
        </w:tabs>
        <w:rPr>
          <w:b/>
          <w:sz w:val="24"/>
          <w:szCs w:val="24"/>
        </w:rPr>
      </w:pPr>
      <w:r w:rsidRPr="00A71D74">
        <w:rPr>
          <w:b/>
          <w:sz w:val="24"/>
          <w:szCs w:val="24"/>
        </w:rPr>
        <w:t>4.8</w:t>
      </w:r>
      <w:r w:rsidRPr="00A71D74">
        <w:rPr>
          <w:b/>
          <w:sz w:val="24"/>
          <w:szCs w:val="24"/>
        </w:rPr>
        <w:tab/>
        <w:t>Interaktion med andre lægemidler og andre former for interaktion</w:t>
      </w:r>
    </w:p>
    <w:p w14:paraId="1F8704DD" w14:textId="77777777" w:rsidR="00524F77" w:rsidRPr="00A71D74" w:rsidRDefault="00524F77" w:rsidP="002E5512">
      <w:pPr>
        <w:ind w:left="851"/>
        <w:rPr>
          <w:sz w:val="24"/>
          <w:szCs w:val="24"/>
        </w:rPr>
      </w:pPr>
      <w:r w:rsidRPr="00A71D74">
        <w:rPr>
          <w:sz w:val="24"/>
          <w:szCs w:val="24"/>
        </w:rPr>
        <w:t>Generelt skal blanding med andre lægemidler undgås.</w:t>
      </w:r>
    </w:p>
    <w:p w14:paraId="19D266BB" w14:textId="77777777" w:rsidR="00524F77" w:rsidRPr="00A71D74" w:rsidRDefault="00524F77" w:rsidP="002E5512">
      <w:pPr>
        <w:ind w:left="851"/>
        <w:rPr>
          <w:sz w:val="24"/>
          <w:szCs w:val="24"/>
        </w:rPr>
      </w:pPr>
      <w:r w:rsidRPr="00A71D74">
        <w:rPr>
          <w:sz w:val="24"/>
          <w:szCs w:val="24"/>
        </w:rPr>
        <w:t xml:space="preserve">Kombinationen af lincosamider og makrolider er antagonistisk på grund af </w:t>
      </w:r>
      <w:proofErr w:type="spellStart"/>
      <w:r w:rsidRPr="00A71D74">
        <w:rPr>
          <w:sz w:val="24"/>
          <w:szCs w:val="24"/>
        </w:rPr>
        <w:t>kompetitiv</w:t>
      </w:r>
      <w:proofErr w:type="spellEnd"/>
      <w:r w:rsidRPr="00A71D74">
        <w:rPr>
          <w:sz w:val="24"/>
          <w:szCs w:val="24"/>
        </w:rPr>
        <w:t xml:space="preserve"> binding til deres virkningssted. Kombination med </w:t>
      </w:r>
      <w:proofErr w:type="spellStart"/>
      <w:r w:rsidRPr="00A71D74">
        <w:rPr>
          <w:sz w:val="24"/>
          <w:szCs w:val="24"/>
        </w:rPr>
        <w:t>anæstetika</w:t>
      </w:r>
      <w:proofErr w:type="spellEnd"/>
      <w:r w:rsidRPr="00A71D74">
        <w:rPr>
          <w:sz w:val="24"/>
          <w:szCs w:val="24"/>
        </w:rPr>
        <w:t xml:space="preserve"> kan føre til eventuel </w:t>
      </w:r>
      <w:proofErr w:type="spellStart"/>
      <w:r w:rsidRPr="00A71D74">
        <w:rPr>
          <w:sz w:val="24"/>
          <w:szCs w:val="24"/>
        </w:rPr>
        <w:t>neuromuskulær</w:t>
      </w:r>
      <w:proofErr w:type="spellEnd"/>
      <w:r w:rsidRPr="00A71D74">
        <w:rPr>
          <w:sz w:val="24"/>
          <w:szCs w:val="24"/>
        </w:rPr>
        <w:t xml:space="preserve"> blokade.</w:t>
      </w:r>
    </w:p>
    <w:p w14:paraId="37BBE29C" w14:textId="77777777" w:rsidR="00524F77" w:rsidRPr="00A71D74" w:rsidRDefault="00524F77" w:rsidP="002E5512">
      <w:pPr>
        <w:ind w:left="851"/>
        <w:rPr>
          <w:sz w:val="24"/>
          <w:szCs w:val="24"/>
          <w:highlight w:val="red"/>
        </w:rPr>
      </w:pPr>
      <w:r w:rsidRPr="00A71D74">
        <w:rPr>
          <w:sz w:val="24"/>
          <w:szCs w:val="24"/>
        </w:rPr>
        <w:t xml:space="preserve">Må ikke administreres sammen med kaolin eller </w:t>
      </w:r>
      <w:proofErr w:type="spellStart"/>
      <w:r w:rsidRPr="00A71D74">
        <w:rPr>
          <w:sz w:val="24"/>
          <w:szCs w:val="24"/>
        </w:rPr>
        <w:t>pectin</w:t>
      </w:r>
      <w:proofErr w:type="spellEnd"/>
      <w:r w:rsidRPr="00A71D74">
        <w:rPr>
          <w:sz w:val="24"/>
          <w:szCs w:val="24"/>
        </w:rPr>
        <w:t xml:space="preserve">, da disse kan nedsætte absorptionen af </w:t>
      </w:r>
      <w:proofErr w:type="spellStart"/>
      <w:r w:rsidRPr="00A71D74">
        <w:rPr>
          <w:sz w:val="24"/>
          <w:szCs w:val="24"/>
        </w:rPr>
        <w:t>lincomycin</w:t>
      </w:r>
      <w:proofErr w:type="spellEnd"/>
      <w:r w:rsidRPr="00A71D74">
        <w:rPr>
          <w:sz w:val="24"/>
          <w:szCs w:val="24"/>
        </w:rPr>
        <w:t>. Hvis samtidig administration er påkrævet, skal der gå to timer mellem indtagelserne.</w:t>
      </w:r>
    </w:p>
    <w:p w14:paraId="5F83521E" w14:textId="77777777" w:rsidR="005B0036" w:rsidRPr="00A71D74" w:rsidRDefault="005B0036" w:rsidP="005B0036">
      <w:pPr>
        <w:tabs>
          <w:tab w:val="left" w:pos="851"/>
          <w:tab w:val="left" w:pos="8222"/>
        </w:tabs>
        <w:ind w:left="851"/>
        <w:rPr>
          <w:sz w:val="24"/>
          <w:szCs w:val="24"/>
        </w:rPr>
      </w:pPr>
    </w:p>
    <w:p w14:paraId="4BF23FF6" w14:textId="77777777" w:rsidR="005B0036" w:rsidRPr="00A71D74" w:rsidRDefault="005B0036" w:rsidP="005B0036">
      <w:pPr>
        <w:tabs>
          <w:tab w:val="left" w:pos="851"/>
          <w:tab w:val="left" w:pos="8222"/>
        </w:tabs>
        <w:rPr>
          <w:b/>
          <w:sz w:val="24"/>
          <w:szCs w:val="24"/>
        </w:rPr>
      </w:pPr>
      <w:r w:rsidRPr="00A71D74">
        <w:rPr>
          <w:b/>
          <w:sz w:val="24"/>
          <w:szCs w:val="24"/>
        </w:rPr>
        <w:t>4.9</w:t>
      </w:r>
      <w:r w:rsidRPr="00A71D74">
        <w:rPr>
          <w:b/>
          <w:sz w:val="24"/>
          <w:szCs w:val="24"/>
        </w:rPr>
        <w:tab/>
        <w:t>Dosering og indgivelsesmåde</w:t>
      </w:r>
    </w:p>
    <w:p w14:paraId="13E46FB2" w14:textId="77777777" w:rsidR="00524F77" w:rsidRPr="00A71D74" w:rsidRDefault="00524F77" w:rsidP="002E5512">
      <w:pPr>
        <w:ind w:left="851"/>
        <w:rPr>
          <w:sz w:val="24"/>
          <w:szCs w:val="24"/>
        </w:rPr>
      </w:pPr>
      <w:r w:rsidRPr="00A71D74">
        <w:rPr>
          <w:sz w:val="24"/>
          <w:szCs w:val="24"/>
        </w:rPr>
        <w:t>Til anvendelse i drikkevand.</w:t>
      </w:r>
    </w:p>
    <w:p w14:paraId="3D9DAD39" w14:textId="77777777" w:rsidR="00524F77" w:rsidRPr="00A71D74" w:rsidRDefault="00524F77" w:rsidP="002E5512">
      <w:pPr>
        <w:ind w:left="851"/>
        <w:rPr>
          <w:sz w:val="24"/>
          <w:szCs w:val="24"/>
        </w:rPr>
      </w:pPr>
    </w:p>
    <w:p w14:paraId="650B27F7" w14:textId="77777777" w:rsidR="00524F77" w:rsidRPr="00A71D74" w:rsidRDefault="00524F77" w:rsidP="002E5512">
      <w:pPr>
        <w:ind w:left="851"/>
        <w:rPr>
          <w:sz w:val="24"/>
          <w:szCs w:val="24"/>
        </w:rPr>
      </w:pPr>
      <w:r w:rsidRPr="00A71D74">
        <w:rPr>
          <w:sz w:val="24"/>
          <w:szCs w:val="24"/>
        </w:rPr>
        <w:t xml:space="preserve">Anbefalet dosering: 3,33 mg </w:t>
      </w:r>
      <w:proofErr w:type="spellStart"/>
      <w:r w:rsidRPr="00A71D74">
        <w:rPr>
          <w:sz w:val="24"/>
          <w:szCs w:val="24"/>
        </w:rPr>
        <w:t>lincomycin</w:t>
      </w:r>
      <w:proofErr w:type="spellEnd"/>
      <w:r w:rsidRPr="00A71D74">
        <w:rPr>
          <w:sz w:val="24"/>
          <w:szCs w:val="24"/>
        </w:rPr>
        <w:t xml:space="preserve"> og 6,67 mg </w:t>
      </w:r>
      <w:proofErr w:type="spellStart"/>
      <w:r w:rsidRPr="00A71D74">
        <w:rPr>
          <w:sz w:val="24"/>
          <w:szCs w:val="24"/>
        </w:rPr>
        <w:t>spectinomycin</w:t>
      </w:r>
      <w:proofErr w:type="spellEnd"/>
      <w:r w:rsidRPr="00A71D74">
        <w:rPr>
          <w:sz w:val="24"/>
          <w:szCs w:val="24"/>
        </w:rPr>
        <w:t>/kg kropsvægt/dag i 7 dage. Det svarer til 15 mg pulver/kg legemsvægt/dag i 7 dage.</w:t>
      </w:r>
    </w:p>
    <w:p w14:paraId="78091AC6" w14:textId="77777777" w:rsidR="00524F77" w:rsidRPr="00A71D74" w:rsidRDefault="00524F77" w:rsidP="002E5512">
      <w:pPr>
        <w:ind w:left="851"/>
        <w:rPr>
          <w:sz w:val="24"/>
          <w:szCs w:val="24"/>
        </w:rPr>
      </w:pPr>
    </w:p>
    <w:p w14:paraId="10551B4A" w14:textId="77777777" w:rsidR="00524F77" w:rsidRPr="00A71D74" w:rsidRDefault="00524F77" w:rsidP="002E5512">
      <w:pPr>
        <w:ind w:left="851"/>
        <w:rPr>
          <w:sz w:val="24"/>
          <w:szCs w:val="24"/>
        </w:rPr>
      </w:pPr>
      <w:r w:rsidRPr="00A71D74">
        <w:rPr>
          <w:sz w:val="24"/>
          <w:szCs w:val="24"/>
        </w:rPr>
        <w:t>Behandlingen skal initieres, så snart de første kliniske tegn forekommer.</w:t>
      </w:r>
    </w:p>
    <w:p w14:paraId="2C049504" w14:textId="77777777" w:rsidR="00524F77" w:rsidRPr="00A71D74" w:rsidRDefault="00524F77" w:rsidP="002E5512">
      <w:pPr>
        <w:ind w:left="851"/>
        <w:rPr>
          <w:sz w:val="24"/>
          <w:szCs w:val="24"/>
        </w:rPr>
      </w:pPr>
    </w:p>
    <w:p w14:paraId="46D57798" w14:textId="77777777" w:rsidR="00524F77" w:rsidRPr="00A71D74" w:rsidRDefault="00524F77" w:rsidP="002E5512">
      <w:pPr>
        <w:ind w:left="851"/>
        <w:rPr>
          <w:sz w:val="24"/>
          <w:szCs w:val="24"/>
        </w:rPr>
      </w:pPr>
      <w:r w:rsidRPr="00A71D74">
        <w:rPr>
          <w:sz w:val="24"/>
          <w:szCs w:val="24"/>
        </w:rPr>
        <w:lastRenderedPageBreak/>
        <w:t>Ved tilberedning af drikkevand afhænger blandingsmængden af veterinærlægemidlet i drikkevandet af dyrenes vægt og deres faktiske, daglige indtagelse af vand.</w:t>
      </w:r>
    </w:p>
    <w:p w14:paraId="0659E474" w14:textId="77777777" w:rsidR="00524F77" w:rsidRPr="00A71D74" w:rsidRDefault="00524F77" w:rsidP="002E5512">
      <w:pPr>
        <w:ind w:left="851"/>
        <w:rPr>
          <w:sz w:val="24"/>
          <w:szCs w:val="24"/>
        </w:rPr>
      </w:pPr>
    </w:p>
    <w:p w14:paraId="419DEEA3" w14:textId="77777777" w:rsidR="00524F77" w:rsidRPr="00A71D74" w:rsidRDefault="00524F77" w:rsidP="002E5512">
      <w:pPr>
        <w:ind w:left="851"/>
        <w:rPr>
          <w:sz w:val="24"/>
          <w:szCs w:val="24"/>
        </w:rPr>
      </w:pPr>
      <w:r w:rsidRPr="00A71D74">
        <w:rPr>
          <w:sz w:val="24"/>
          <w:szCs w:val="24"/>
        </w:rPr>
        <w:t>For at sikre korrekt dosering bør besætningens gennemsnitlige kropsvægt og daglige indtagelse af vand fastlægges så præcist som muligt for at undgå underdosering.</w:t>
      </w:r>
    </w:p>
    <w:p w14:paraId="62D8BB67" w14:textId="77777777" w:rsidR="00524F77" w:rsidRPr="00A71D74" w:rsidRDefault="00524F77" w:rsidP="002E5512">
      <w:pPr>
        <w:ind w:left="851"/>
        <w:rPr>
          <w:sz w:val="24"/>
          <w:szCs w:val="24"/>
        </w:rPr>
      </w:pPr>
    </w:p>
    <w:p w14:paraId="2F9A569B" w14:textId="77777777" w:rsidR="00524F77" w:rsidRPr="00A71D74" w:rsidRDefault="00524F77" w:rsidP="002E5512">
      <w:pPr>
        <w:ind w:left="851"/>
        <w:rPr>
          <w:sz w:val="24"/>
          <w:szCs w:val="24"/>
        </w:rPr>
      </w:pPr>
      <w:r w:rsidRPr="00A71D74">
        <w:rPr>
          <w:sz w:val="24"/>
          <w:szCs w:val="24"/>
        </w:rPr>
        <w:t>Det medicinerede vand bør være den eneste adgang til drikkevand i behandlingsperioden. Al medicineret drikkevand, der ikke er indtaget inden for 24 timer, skal bortskaffes.</w:t>
      </w:r>
    </w:p>
    <w:p w14:paraId="4EF93945" w14:textId="77777777" w:rsidR="00524F77" w:rsidRPr="00A71D74" w:rsidRDefault="00524F77" w:rsidP="002E5512">
      <w:pPr>
        <w:ind w:left="851"/>
        <w:rPr>
          <w:sz w:val="24"/>
          <w:szCs w:val="24"/>
        </w:rPr>
      </w:pPr>
    </w:p>
    <w:p w14:paraId="4A16F86A" w14:textId="77777777" w:rsidR="00524F77" w:rsidRPr="00A71D74" w:rsidRDefault="00524F77" w:rsidP="002E5512">
      <w:pPr>
        <w:ind w:left="851"/>
        <w:rPr>
          <w:sz w:val="24"/>
          <w:szCs w:val="24"/>
        </w:rPr>
      </w:pPr>
      <w:r w:rsidRPr="00A71D74">
        <w:rPr>
          <w:sz w:val="24"/>
          <w:szCs w:val="24"/>
        </w:rPr>
        <w:t>Der bør kun tilberedes tilstrækkeligt medicineret drikkevand til at dække det daglige behov.</w:t>
      </w:r>
    </w:p>
    <w:p w14:paraId="6E44C702" w14:textId="77777777" w:rsidR="00524F77" w:rsidRPr="00A71D74" w:rsidRDefault="00524F77" w:rsidP="002E5512">
      <w:pPr>
        <w:ind w:left="851"/>
        <w:rPr>
          <w:sz w:val="24"/>
          <w:szCs w:val="24"/>
        </w:rPr>
      </w:pPr>
    </w:p>
    <w:p w14:paraId="5F938306" w14:textId="77777777" w:rsidR="00524F77" w:rsidRPr="00A71D74" w:rsidRDefault="00524F77" w:rsidP="002E5512">
      <w:pPr>
        <w:ind w:left="851"/>
        <w:rPr>
          <w:sz w:val="24"/>
          <w:szCs w:val="24"/>
        </w:rPr>
      </w:pPr>
      <w:r w:rsidRPr="00A71D74">
        <w:rPr>
          <w:sz w:val="24"/>
          <w:szCs w:val="24"/>
        </w:rPr>
        <w:t>I tilfælde af at sygdom er ledsaget af en signifikant nedsat indtagelse af drikkevand, kan det blive nødvendigt at initiere parenteral behandling.</w:t>
      </w:r>
    </w:p>
    <w:p w14:paraId="39165B37" w14:textId="77777777" w:rsidR="00524F77" w:rsidRPr="00A71D74" w:rsidRDefault="00524F77" w:rsidP="002E5512">
      <w:pPr>
        <w:ind w:left="851"/>
        <w:rPr>
          <w:sz w:val="24"/>
          <w:szCs w:val="24"/>
        </w:rPr>
      </w:pPr>
    </w:p>
    <w:p w14:paraId="29B6253F" w14:textId="77777777" w:rsidR="00524F77" w:rsidRPr="00A71D74" w:rsidRDefault="00524F77" w:rsidP="002E5512">
      <w:pPr>
        <w:ind w:left="851"/>
        <w:rPr>
          <w:sz w:val="24"/>
          <w:szCs w:val="24"/>
        </w:rPr>
      </w:pPr>
      <w:r w:rsidRPr="00A71D74">
        <w:rPr>
          <w:sz w:val="24"/>
          <w:szCs w:val="24"/>
        </w:rPr>
        <w:t>Anvend følgende indikationer som grundlag for en præcis beregning af den mængde veterinærlægemiddel, der skal iblandes drikkevandet.</w:t>
      </w:r>
    </w:p>
    <w:p w14:paraId="4BBFBAAD" w14:textId="77777777" w:rsidR="00524F77" w:rsidRPr="00A71D74" w:rsidRDefault="00524F77" w:rsidP="002E5512">
      <w:pPr>
        <w:ind w:left="851"/>
        <w:rPr>
          <w:sz w:val="24"/>
          <w:szCs w:val="24"/>
        </w:rPr>
      </w:pPr>
    </w:p>
    <w:p w14:paraId="1569620E" w14:textId="77777777" w:rsidR="00524F77" w:rsidRPr="00A71D74" w:rsidRDefault="00524F77" w:rsidP="002E5512">
      <w:pPr>
        <w:tabs>
          <w:tab w:val="left" w:pos="1304"/>
        </w:tabs>
        <w:ind w:left="851"/>
        <w:rPr>
          <w:sz w:val="24"/>
          <w:szCs w:val="24"/>
        </w:rPr>
      </w:pPr>
      <w:r w:rsidRPr="00A71D74">
        <w:rPr>
          <w:sz w:val="24"/>
          <w:szCs w:val="24"/>
        </w:rPr>
        <w:t>Anvend følgende beregning til bestemmelse af påkrævet fortyndingsvolumen (i liter af drikkevand) til 150 g veterinærlægemiddel:</w:t>
      </w:r>
    </w:p>
    <w:p w14:paraId="06E37973" w14:textId="77777777" w:rsidR="00524F77" w:rsidRPr="00A71D74" w:rsidRDefault="00524F77" w:rsidP="00524F77">
      <w:pPr>
        <w:tabs>
          <w:tab w:val="left" w:pos="1304"/>
        </w:tabs>
        <w:jc w:val="both"/>
        <w:rPr>
          <w:sz w:val="24"/>
          <w:szCs w:val="24"/>
        </w:rPr>
      </w:pPr>
    </w:p>
    <w:tbl>
      <w:tblPr>
        <w:tblW w:w="7305" w:type="dxa"/>
        <w:tblInd w:w="709" w:type="dxa"/>
        <w:tblLook w:val="04A0" w:firstRow="1" w:lastRow="0" w:firstColumn="1" w:lastColumn="0" w:noHBand="0" w:noVBand="1"/>
      </w:tblPr>
      <w:tblGrid>
        <w:gridCol w:w="2402"/>
        <w:gridCol w:w="483"/>
        <w:gridCol w:w="4420"/>
      </w:tblGrid>
      <w:tr w:rsidR="00524F77" w:rsidRPr="00A71D74" w14:paraId="5E92FB3F" w14:textId="77777777" w:rsidTr="00003D9C">
        <w:trPr>
          <w:trHeight w:val="487"/>
        </w:trPr>
        <w:tc>
          <w:tcPr>
            <w:tcW w:w="2402" w:type="dxa"/>
            <w:vMerge w:val="restart"/>
            <w:vAlign w:val="center"/>
            <w:hideMark/>
          </w:tcPr>
          <w:p w14:paraId="5FB6D365" w14:textId="77777777" w:rsidR="00524F77" w:rsidRPr="00A71D74" w:rsidRDefault="00524F77">
            <w:pPr>
              <w:autoSpaceDE w:val="0"/>
              <w:autoSpaceDN w:val="0"/>
              <w:adjustRightInd w:val="0"/>
              <w:jc w:val="both"/>
              <w:rPr>
                <w:sz w:val="24"/>
                <w:szCs w:val="24"/>
              </w:rPr>
            </w:pPr>
            <w:r w:rsidRPr="00A71D74">
              <w:rPr>
                <w:sz w:val="24"/>
                <w:szCs w:val="24"/>
              </w:rPr>
              <w:t>Volumen (l) til 150 g veterinærlægemiddel</w:t>
            </w:r>
          </w:p>
        </w:tc>
        <w:tc>
          <w:tcPr>
            <w:tcW w:w="483" w:type="dxa"/>
            <w:vMerge w:val="restart"/>
            <w:vAlign w:val="center"/>
            <w:hideMark/>
          </w:tcPr>
          <w:p w14:paraId="03D8A063" w14:textId="77777777" w:rsidR="00524F77" w:rsidRPr="00A71D74" w:rsidRDefault="00524F77">
            <w:pPr>
              <w:autoSpaceDE w:val="0"/>
              <w:autoSpaceDN w:val="0"/>
              <w:adjustRightInd w:val="0"/>
              <w:jc w:val="both"/>
              <w:rPr>
                <w:sz w:val="24"/>
                <w:szCs w:val="24"/>
              </w:rPr>
            </w:pPr>
            <w:r w:rsidRPr="00A71D74">
              <w:rPr>
                <w:sz w:val="24"/>
                <w:szCs w:val="24"/>
              </w:rPr>
              <w:t>=</w:t>
            </w:r>
          </w:p>
        </w:tc>
        <w:tc>
          <w:tcPr>
            <w:tcW w:w="4420" w:type="dxa"/>
            <w:tcBorders>
              <w:top w:val="nil"/>
              <w:left w:val="nil"/>
              <w:bottom w:val="single" w:sz="4" w:space="0" w:color="auto"/>
              <w:right w:val="nil"/>
            </w:tcBorders>
            <w:hideMark/>
          </w:tcPr>
          <w:p w14:paraId="288DAF83" w14:textId="6899CC26" w:rsidR="00524F77" w:rsidRPr="00A71D74" w:rsidRDefault="00524F77">
            <w:pPr>
              <w:autoSpaceDE w:val="0"/>
              <w:autoSpaceDN w:val="0"/>
              <w:adjustRightInd w:val="0"/>
              <w:jc w:val="center"/>
              <w:rPr>
                <w:sz w:val="24"/>
                <w:szCs w:val="24"/>
              </w:rPr>
            </w:pPr>
            <w:r w:rsidRPr="00A71D74">
              <w:rPr>
                <w:sz w:val="24"/>
                <w:szCs w:val="24"/>
              </w:rPr>
              <w:t xml:space="preserve">10.000 </w:t>
            </w:r>
            <w:r w:rsidR="00A8421A">
              <w:rPr>
                <w:sz w:val="24"/>
                <w:szCs w:val="24"/>
              </w:rPr>
              <w:t>×</w:t>
            </w:r>
            <w:r w:rsidRPr="00A71D74">
              <w:rPr>
                <w:sz w:val="24"/>
                <w:szCs w:val="24"/>
              </w:rPr>
              <w:t xml:space="preserve"> [daglig vandindtagelse pr. dyr (l)]</w:t>
            </w:r>
          </w:p>
        </w:tc>
      </w:tr>
      <w:tr w:rsidR="00524F77" w:rsidRPr="00A71D74" w14:paraId="3519FA0A" w14:textId="77777777" w:rsidTr="00003D9C">
        <w:trPr>
          <w:trHeight w:val="244"/>
        </w:trPr>
        <w:tc>
          <w:tcPr>
            <w:tcW w:w="0" w:type="auto"/>
            <w:vMerge/>
            <w:vAlign w:val="center"/>
            <w:hideMark/>
          </w:tcPr>
          <w:p w14:paraId="47BD84BD" w14:textId="77777777" w:rsidR="00524F77" w:rsidRPr="00A71D74" w:rsidRDefault="00524F77">
            <w:pPr>
              <w:rPr>
                <w:sz w:val="24"/>
                <w:szCs w:val="24"/>
              </w:rPr>
            </w:pPr>
          </w:p>
        </w:tc>
        <w:tc>
          <w:tcPr>
            <w:tcW w:w="0" w:type="auto"/>
            <w:vMerge/>
            <w:vAlign w:val="center"/>
            <w:hideMark/>
          </w:tcPr>
          <w:p w14:paraId="4C9A333B" w14:textId="77777777" w:rsidR="00524F77" w:rsidRPr="00A71D74" w:rsidRDefault="00524F77">
            <w:pPr>
              <w:rPr>
                <w:sz w:val="24"/>
                <w:szCs w:val="24"/>
              </w:rPr>
            </w:pPr>
          </w:p>
        </w:tc>
        <w:tc>
          <w:tcPr>
            <w:tcW w:w="4420" w:type="dxa"/>
            <w:tcBorders>
              <w:top w:val="single" w:sz="4" w:space="0" w:color="auto"/>
              <w:left w:val="nil"/>
              <w:bottom w:val="nil"/>
              <w:right w:val="nil"/>
            </w:tcBorders>
            <w:hideMark/>
          </w:tcPr>
          <w:p w14:paraId="52AC3FD7" w14:textId="77777777" w:rsidR="00524F77" w:rsidRPr="00A71D74" w:rsidRDefault="00524F77">
            <w:pPr>
              <w:autoSpaceDE w:val="0"/>
              <w:autoSpaceDN w:val="0"/>
              <w:adjustRightInd w:val="0"/>
              <w:jc w:val="center"/>
              <w:rPr>
                <w:sz w:val="24"/>
                <w:szCs w:val="24"/>
              </w:rPr>
            </w:pPr>
            <w:r w:rsidRPr="00A71D74">
              <w:rPr>
                <w:sz w:val="24"/>
                <w:szCs w:val="24"/>
              </w:rPr>
              <w:t>Gennemsnitlig kropsvægt af ét svin (kg)</w:t>
            </w:r>
          </w:p>
        </w:tc>
      </w:tr>
    </w:tbl>
    <w:p w14:paraId="409A30CB" w14:textId="77777777" w:rsidR="00524F77" w:rsidRPr="00A71D74" w:rsidRDefault="00524F77" w:rsidP="00524F77">
      <w:pPr>
        <w:tabs>
          <w:tab w:val="left" w:pos="1304"/>
        </w:tabs>
        <w:jc w:val="both"/>
        <w:rPr>
          <w:sz w:val="24"/>
          <w:szCs w:val="24"/>
        </w:rPr>
      </w:pPr>
    </w:p>
    <w:p w14:paraId="764EA972" w14:textId="77777777" w:rsidR="00524F77" w:rsidRPr="00A71D74" w:rsidRDefault="00524F77" w:rsidP="002E5512">
      <w:pPr>
        <w:ind w:left="851"/>
        <w:rPr>
          <w:sz w:val="24"/>
          <w:szCs w:val="24"/>
        </w:rPr>
      </w:pPr>
      <w:r w:rsidRPr="00A71D74">
        <w:rPr>
          <w:sz w:val="24"/>
          <w:szCs w:val="24"/>
        </w:rPr>
        <w:t>150 g veterinærlægemiddel svarer til en dosis på 10.000 kg kropsvægt pr. dag.</w:t>
      </w:r>
    </w:p>
    <w:p w14:paraId="42C7621D" w14:textId="77777777" w:rsidR="00524F77" w:rsidRPr="00A71D74" w:rsidRDefault="00524F77" w:rsidP="002E5512">
      <w:pPr>
        <w:ind w:left="851"/>
        <w:rPr>
          <w:sz w:val="24"/>
          <w:szCs w:val="24"/>
        </w:rPr>
      </w:pPr>
    </w:p>
    <w:p w14:paraId="760BDB5B" w14:textId="77777777" w:rsidR="00524F77" w:rsidRPr="00A71D74" w:rsidRDefault="00524F77" w:rsidP="002E5512">
      <w:pPr>
        <w:ind w:left="851"/>
        <w:rPr>
          <w:sz w:val="24"/>
          <w:szCs w:val="24"/>
        </w:rPr>
      </w:pPr>
      <w:r w:rsidRPr="00A71D74">
        <w:rPr>
          <w:sz w:val="24"/>
          <w:szCs w:val="24"/>
        </w:rPr>
        <w:t>Som indikation varierer den normale vandindtagelse med omkring 0,15 l/kg kropsvægt/dag. Tabellen nedenfor angiver det vandvolumen, der skal anvendes til fortynding af 150 g veterinærlægemiddel.</w:t>
      </w:r>
    </w:p>
    <w:p w14:paraId="3FEB36AF" w14:textId="77777777" w:rsidR="00524F77" w:rsidRPr="00A71D74" w:rsidRDefault="00524F77" w:rsidP="00524F77">
      <w:pPr>
        <w:ind w:left="567" w:hanging="567"/>
        <w:rPr>
          <w:sz w:val="24"/>
          <w:szCs w:val="24"/>
        </w:rPr>
      </w:pPr>
    </w:p>
    <w:tbl>
      <w:tblPr>
        <w:tblW w:w="803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1"/>
        <w:gridCol w:w="5483"/>
      </w:tblGrid>
      <w:tr w:rsidR="00524F77" w:rsidRPr="00A71D74" w14:paraId="0565DEA8" w14:textId="77777777" w:rsidTr="000C4A23">
        <w:tc>
          <w:tcPr>
            <w:tcW w:w="2551" w:type="dxa"/>
            <w:tcBorders>
              <w:top w:val="single" w:sz="4" w:space="0" w:color="auto"/>
              <w:left w:val="single" w:sz="4" w:space="0" w:color="auto"/>
              <w:bottom w:val="single" w:sz="4" w:space="0" w:color="auto"/>
              <w:right w:val="single" w:sz="4" w:space="0" w:color="auto"/>
            </w:tcBorders>
            <w:noWrap/>
            <w:vAlign w:val="center"/>
            <w:hideMark/>
          </w:tcPr>
          <w:p w14:paraId="3D9D9E88" w14:textId="77777777" w:rsidR="00524F77" w:rsidRPr="00A71D74" w:rsidRDefault="00524F77">
            <w:pPr>
              <w:autoSpaceDE w:val="0"/>
              <w:autoSpaceDN w:val="0"/>
              <w:adjustRightInd w:val="0"/>
              <w:jc w:val="center"/>
              <w:rPr>
                <w:sz w:val="24"/>
                <w:szCs w:val="24"/>
              </w:rPr>
            </w:pPr>
            <w:r w:rsidRPr="00A71D74">
              <w:rPr>
                <w:sz w:val="24"/>
                <w:szCs w:val="24"/>
              </w:rPr>
              <w:t>Vandindtagelse</w:t>
            </w:r>
          </w:p>
        </w:tc>
        <w:tc>
          <w:tcPr>
            <w:tcW w:w="5483" w:type="dxa"/>
            <w:tcBorders>
              <w:top w:val="single" w:sz="4" w:space="0" w:color="auto"/>
              <w:left w:val="single" w:sz="4" w:space="0" w:color="auto"/>
              <w:bottom w:val="single" w:sz="4" w:space="0" w:color="auto"/>
              <w:right w:val="single" w:sz="4" w:space="0" w:color="auto"/>
            </w:tcBorders>
            <w:noWrap/>
            <w:vAlign w:val="center"/>
            <w:hideMark/>
          </w:tcPr>
          <w:p w14:paraId="62D7A1C5" w14:textId="77777777" w:rsidR="00524F77" w:rsidRPr="00A71D74" w:rsidRDefault="00524F77">
            <w:pPr>
              <w:autoSpaceDE w:val="0"/>
              <w:autoSpaceDN w:val="0"/>
              <w:adjustRightInd w:val="0"/>
              <w:jc w:val="center"/>
              <w:rPr>
                <w:sz w:val="24"/>
                <w:szCs w:val="24"/>
              </w:rPr>
            </w:pPr>
            <w:r w:rsidRPr="00A71D74">
              <w:rPr>
                <w:sz w:val="24"/>
                <w:szCs w:val="24"/>
              </w:rPr>
              <w:t>150 g pulver = 100 g antibiotisk aktivitet skal fortyndes i…</w:t>
            </w:r>
          </w:p>
        </w:tc>
      </w:tr>
      <w:tr w:rsidR="00524F77" w:rsidRPr="00A71D74" w14:paraId="72052FB6" w14:textId="77777777" w:rsidTr="000C4A23">
        <w:tc>
          <w:tcPr>
            <w:tcW w:w="2551" w:type="dxa"/>
            <w:tcBorders>
              <w:top w:val="single" w:sz="4" w:space="0" w:color="auto"/>
              <w:left w:val="single" w:sz="4" w:space="0" w:color="auto"/>
              <w:bottom w:val="single" w:sz="4" w:space="0" w:color="auto"/>
              <w:right w:val="single" w:sz="4" w:space="0" w:color="auto"/>
            </w:tcBorders>
            <w:noWrap/>
            <w:vAlign w:val="center"/>
            <w:hideMark/>
          </w:tcPr>
          <w:p w14:paraId="301B8F93" w14:textId="08E371B7" w:rsidR="00524F77" w:rsidRPr="00A71D74" w:rsidRDefault="00524F77">
            <w:pPr>
              <w:autoSpaceDE w:val="0"/>
              <w:autoSpaceDN w:val="0"/>
              <w:adjustRightInd w:val="0"/>
              <w:rPr>
                <w:sz w:val="24"/>
                <w:szCs w:val="24"/>
              </w:rPr>
            </w:pPr>
            <w:r w:rsidRPr="00A71D74">
              <w:rPr>
                <w:sz w:val="24"/>
                <w:szCs w:val="24"/>
              </w:rPr>
              <w:t>0,1 l/kg kropsvægt/dag</w:t>
            </w:r>
          </w:p>
        </w:tc>
        <w:tc>
          <w:tcPr>
            <w:tcW w:w="5483" w:type="dxa"/>
            <w:tcBorders>
              <w:top w:val="single" w:sz="4" w:space="0" w:color="auto"/>
              <w:left w:val="single" w:sz="4" w:space="0" w:color="auto"/>
              <w:bottom w:val="single" w:sz="4" w:space="0" w:color="auto"/>
              <w:right w:val="single" w:sz="4" w:space="0" w:color="auto"/>
            </w:tcBorders>
            <w:noWrap/>
            <w:vAlign w:val="center"/>
            <w:hideMark/>
          </w:tcPr>
          <w:p w14:paraId="2C5FCB40" w14:textId="4092F91E" w:rsidR="00524F77" w:rsidRPr="00A71D74" w:rsidRDefault="00524F77">
            <w:pPr>
              <w:autoSpaceDE w:val="0"/>
              <w:autoSpaceDN w:val="0"/>
              <w:adjustRightInd w:val="0"/>
              <w:jc w:val="center"/>
              <w:rPr>
                <w:sz w:val="24"/>
                <w:szCs w:val="24"/>
              </w:rPr>
            </w:pPr>
            <w:r w:rsidRPr="00A71D74">
              <w:rPr>
                <w:sz w:val="24"/>
                <w:szCs w:val="24"/>
              </w:rPr>
              <w:t>1</w:t>
            </w:r>
            <w:r w:rsidR="000C4A23">
              <w:rPr>
                <w:sz w:val="24"/>
                <w:szCs w:val="24"/>
              </w:rPr>
              <w:t>.</w:t>
            </w:r>
            <w:r w:rsidRPr="00A71D74">
              <w:rPr>
                <w:sz w:val="24"/>
                <w:szCs w:val="24"/>
              </w:rPr>
              <w:t>000 l drikkevand</w:t>
            </w:r>
          </w:p>
        </w:tc>
      </w:tr>
      <w:tr w:rsidR="00524F77" w:rsidRPr="00A71D74" w14:paraId="445372E8" w14:textId="77777777" w:rsidTr="000C4A23">
        <w:tc>
          <w:tcPr>
            <w:tcW w:w="2551" w:type="dxa"/>
            <w:tcBorders>
              <w:top w:val="single" w:sz="4" w:space="0" w:color="auto"/>
              <w:left w:val="single" w:sz="4" w:space="0" w:color="auto"/>
              <w:bottom w:val="single" w:sz="4" w:space="0" w:color="auto"/>
              <w:right w:val="single" w:sz="4" w:space="0" w:color="auto"/>
            </w:tcBorders>
            <w:noWrap/>
            <w:vAlign w:val="center"/>
            <w:hideMark/>
          </w:tcPr>
          <w:p w14:paraId="4C0454AC" w14:textId="188E32F4" w:rsidR="00524F77" w:rsidRPr="00A71D74" w:rsidRDefault="00524F77">
            <w:pPr>
              <w:autoSpaceDE w:val="0"/>
              <w:autoSpaceDN w:val="0"/>
              <w:adjustRightInd w:val="0"/>
              <w:rPr>
                <w:sz w:val="24"/>
                <w:szCs w:val="24"/>
              </w:rPr>
            </w:pPr>
            <w:r w:rsidRPr="00A71D74">
              <w:rPr>
                <w:sz w:val="24"/>
                <w:szCs w:val="24"/>
              </w:rPr>
              <w:t>0,15 l/kg kropsvægt/dag</w:t>
            </w:r>
          </w:p>
        </w:tc>
        <w:tc>
          <w:tcPr>
            <w:tcW w:w="5483" w:type="dxa"/>
            <w:tcBorders>
              <w:top w:val="single" w:sz="4" w:space="0" w:color="auto"/>
              <w:left w:val="single" w:sz="4" w:space="0" w:color="auto"/>
              <w:bottom w:val="single" w:sz="4" w:space="0" w:color="auto"/>
              <w:right w:val="single" w:sz="4" w:space="0" w:color="auto"/>
            </w:tcBorders>
            <w:noWrap/>
            <w:vAlign w:val="center"/>
            <w:hideMark/>
          </w:tcPr>
          <w:p w14:paraId="5D31388D" w14:textId="77777777" w:rsidR="00524F77" w:rsidRPr="00A71D74" w:rsidRDefault="00524F77">
            <w:pPr>
              <w:autoSpaceDE w:val="0"/>
              <w:autoSpaceDN w:val="0"/>
              <w:adjustRightInd w:val="0"/>
              <w:jc w:val="center"/>
              <w:rPr>
                <w:sz w:val="24"/>
                <w:szCs w:val="24"/>
              </w:rPr>
            </w:pPr>
            <w:r w:rsidRPr="00A71D74">
              <w:rPr>
                <w:sz w:val="24"/>
                <w:szCs w:val="24"/>
              </w:rPr>
              <w:t>1.500 l drikkevand</w:t>
            </w:r>
          </w:p>
        </w:tc>
      </w:tr>
      <w:tr w:rsidR="00524F77" w:rsidRPr="00A71D74" w14:paraId="74938116" w14:textId="77777777" w:rsidTr="000C4A23">
        <w:tc>
          <w:tcPr>
            <w:tcW w:w="2551" w:type="dxa"/>
            <w:tcBorders>
              <w:top w:val="single" w:sz="4" w:space="0" w:color="auto"/>
              <w:left w:val="single" w:sz="4" w:space="0" w:color="auto"/>
              <w:bottom w:val="single" w:sz="4" w:space="0" w:color="auto"/>
              <w:right w:val="single" w:sz="4" w:space="0" w:color="auto"/>
            </w:tcBorders>
            <w:noWrap/>
            <w:vAlign w:val="center"/>
            <w:hideMark/>
          </w:tcPr>
          <w:p w14:paraId="506C0785" w14:textId="22457A55" w:rsidR="00524F77" w:rsidRPr="00A71D74" w:rsidRDefault="00524F77">
            <w:pPr>
              <w:autoSpaceDE w:val="0"/>
              <w:autoSpaceDN w:val="0"/>
              <w:adjustRightInd w:val="0"/>
              <w:rPr>
                <w:sz w:val="24"/>
                <w:szCs w:val="24"/>
              </w:rPr>
            </w:pPr>
            <w:r w:rsidRPr="00A71D74">
              <w:rPr>
                <w:sz w:val="24"/>
                <w:szCs w:val="24"/>
              </w:rPr>
              <w:t>0,2 l/kg kropsvægt/dag</w:t>
            </w:r>
          </w:p>
        </w:tc>
        <w:tc>
          <w:tcPr>
            <w:tcW w:w="5483" w:type="dxa"/>
            <w:tcBorders>
              <w:top w:val="single" w:sz="4" w:space="0" w:color="auto"/>
              <w:left w:val="single" w:sz="4" w:space="0" w:color="auto"/>
              <w:bottom w:val="single" w:sz="4" w:space="0" w:color="auto"/>
              <w:right w:val="single" w:sz="4" w:space="0" w:color="auto"/>
            </w:tcBorders>
            <w:noWrap/>
            <w:vAlign w:val="center"/>
            <w:hideMark/>
          </w:tcPr>
          <w:p w14:paraId="5B695FF8" w14:textId="77777777" w:rsidR="00524F77" w:rsidRPr="00A71D74" w:rsidRDefault="00524F77">
            <w:pPr>
              <w:autoSpaceDE w:val="0"/>
              <w:autoSpaceDN w:val="0"/>
              <w:adjustRightInd w:val="0"/>
              <w:jc w:val="center"/>
              <w:rPr>
                <w:sz w:val="24"/>
                <w:szCs w:val="24"/>
              </w:rPr>
            </w:pPr>
            <w:r w:rsidRPr="00A71D74">
              <w:rPr>
                <w:sz w:val="24"/>
                <w:szCs w:val="24"/>
              </w:rPr>
              <w:t>2.000 l drikkevand</w:t>
            </w:r>
          </w:p>
        </w:tc>
      </w:tr>
      <w:tr w:rsidR="00524F77" w:rsidRPr="00A71D74" w14:paraId="48362674" w14:textId="77777777" w:rsidTr="000C4A23">
        <w:tc>
          <w:tcPr>
            <w:tcW w:w="2551" w:type="dxa"/>
            <w:tcBorders>
              <w:top w:val="single" w:sz="4" w:space="0" w:color="auto"/>
              <w:left w:val="single" w:sz="4" w:space="0" w:color="auto"/>
              <w:bottom w:val="single" w:sz="4" w:space="0" w:color="auto"/>
              <w:right w:val="single" w:sz="4" w:space="0" w:color="auto"/>
            </w:tcBorders>
            <w:noWrap/>
            <w:vAlign w:val="center"/>
            <w:hideMark/>
          </w:tcPr>
          <w:p w14:paraId="59CC1A95" w14:textId="5E72D17D" w:rsidR="00524F77" w:rsidRPr="00A71D74" w:rsidRDefault="00524F77">
            <w:pPr>
              <w:autoSpaceDE w:val="0"/>
              <w:autoSpaceDN w:val="0"/>
              <w:adjustRightInd w:val="0"/>
              <w:rPr>
                <w:sz w:val="24"/>
                <w:szCs w:val="24"/>
              </w:rPr>
            </w:pPr>
            <w:r w:rsidRPr="00A71D74">
              <w:rPr>
                <w:sz w:val="24"/>
                <w:szCs w:val="24"/>
              </w:rPr>
              <w:t>0,25 l/kg kropsvægt/dag</w:t>
            </w:r>
          </w:p>
        </w:tc>
        <w:tc>
          <w:tcPr>
            <w:tcW w:w="5483" w:type="dxa"/>
            <w:tcBorders>
              <w:top w:val="single" w:sz="4" w:space="0" w:color="auto"/>
              <w:left w:val="single" w:sz="4" w:space="0" w:color="auto"/>
              <w:bottom w:val="single" w:sz="4" w:space="0" w:color="auto"/>
              <w:right w:val="single" w:sz="4" w:space="0" w:color="auto"/>
            </w:tcBorders>
            <w:noWrap/>
            <w:vAlign w:val="center"/>
            <w:hideMark/>
          </w:tcPr>
          <w:p w14:paraId="0624AE0F" w14:textId="77777777" w:rsidR="00524F77" w:rsidRPr="00A71D74" w:rsidRDefault="00524F77">
            <w:pPr>
              <w:autoSpaceDE w:val="0"/>
              <w:autoSpaceDN w:val="0"/>
              <w:adjustRightInd w:val="0"/>
              <w:jc w:val="center"/>
              <w:rPr>
                <w:sz w:val="24"/>
                <w:szCs w:val="24"/>
              </w:rPr>
            </w:pPr>
            <w:r w:rsidRPr="00A71D74">
              <w:rPr>
                <w:sz w:val="24"/>
                <w:szCs w:val="24"/>
              </w:rPr>
              <w:t>2.500 l drikkevand</w:t>
            </w:r>
          </w:p>
        </w:tc>
      </w:tr>
    </w:tbl>
    <w:p w14:paraId="55DFADA0" w14:textId="77777777" w:rsidR="005B0036" w:rsidRPr="00A71D74" w:rsidRDefault="005B0036" w:rsidP="005B0036">
      <w:pPr>
        <w:tabs>
          <w:tab w:val="left" w:pos="851"/>
          <w:tab w:val="left" w:pos="8222"/>
        </w:tabs>
        <w:ind w:left="851"/>
        <w:rPr>
          <w:sz w:val="24"/>
          <w:szCs w:val="24"/>
        </w:rPr>
      </w:pPr>
    </w:p>
    <w:p w14:paraId="0114C060" w14:textId="77777777" w:rsidR="005B0036" w:rsidRPr="00A71D74" w:rsidRDefault="005B0036" w:rsidP="005B0036">
      <w:pPr>
        <w:tabs>
          <w:tab w:val="left" w:pos="851"/>
          <w:tab w:val="left" w:pos="8222"/>
        </w:tabs>
        <w:rPr>
          <w:b/>
          <w:sz w:val="24"/>
          <w:szCs w:val="24"/>
        </w:rPr>
      </w:pPr>
      <w:r w:rsidRPr="00A71D74">
        <w:rPr>
          <w:b/>
          <w:sz w:val="24"/>
          <w:szCs w:val="24"/>
        </w:rPr>
        <w:t>4.10</w:t>
      </w:r>
      <w:r w:rsidRPr="00A71D74">
        <w:rPr>
          <w:b/>
          <w:sz w:val="24"/>
          <w:szCs w:val="24"/>
        </w:rPr>
        <w:tab/>
        <w:t>Overdosering</w:t>
      </w:r>
    </w:p>
    <w:p w14:paraId="017DC6FD" w14:textId="77777777" w:rsidR="00524F77" w:rsidRPr="00A71D74" w:rsidRDefault="00524F77" w:rsidP="002E5512">
      <w:pPr>
        <w:ind w:left="851"/>
        <w:rPr>
          <w:sz w:val="24"/>
          <w:szCs w:val="24"/>
        </w:rPr>
      </w:pPr>
      <w:r w:rsidRPr="00A71D74">
        <w:rPr>
          <w:sz w:val="24"/>
          <w:szCs w:val="24"/>
        </w:rPr>
        <w:t>I tilfælde af en overdosis kan der observeres en ændring i konsistensen af fæces (blød fæces og/eller diarré).</w:t>
      </w:r>
    </w:p>
    <w:p w14:paraId="514794E7" w14:textId="77777777" w:rsidR="00524F77" w:rsidRPr="00A71D74" w:rsidRDefault="00524F77" w:rsidP="002E5512">
      <w:pPr>
        <w:ind w:left="851"/>
        <w:rPr>
          <w:sz w:val="24"/>
          <w:szCs w:val="24"/>
        </w:rPr>
      </w:pPr>
      <w:r w:rsidRPr="00A71D74">
        <w:rPr>
          <w:sz w:val="24"/>
          <w:szCs w:val="24"/>
        </w:rPr>
        <w:t xml:space="preserve">I tilfælde af overdosis ved hændeligt uheld, skal behandlingen afbrydes og </w:t>
      </w:r>
      <w:proofErr w:type="spellStart"/>
      <w:r w:rsidRPr="00A71D74">
        <w:rPr>
          <w:sz w:val="24"/>
          <w:szCs w:val="24"/>
        </w:rPr>
        <w:t>reinitieres</w:t>
      </w:r>
      <w:proofErr w:type="spellEnd"/>
      <w:r w:rsidRPr="00A71D74">
        <w:rPr>
          <w:sz w:val="24"/>
          <w:szCs w:val="24"/>
        </w:rPr>
        <w:t xml:space="preserve"> med den anbefalede dosis.</w:t>
      </w:r>
    </w:p>
    <w:p w14:paraId="6348D77D" w14:textId="77777777" w:rsidR="005B0036" w:rsidRPr="00A71D74" w:rsidRDefault="005B0036" w:rsidP="005B0036">
      <w:pPr>
        <w:tabs>
          <w:tab w:val="left" w:pos="851"/>
          <w:tab w:val="left" w:pos="8222"/>
        </w:tabs>
        <w:ind w:left="851"/>
        <w:rPr>
          <w:sz w:val="24"/>
          <w:szCs w:val="24"/>
        </w:rPr>
      </w:pPr>
    </w:p>
    <w:p w14:paraId="7C7FC470" w14:textId="77777777" w:rsidR="005B0036" w:rsidRPr="00A71D74" w:rsidRDefault="005B0036" w:rsidP="005B0036">
      <w:pPr>
        <w:tabs>
          <w:tab w:val="left" w:pos="851"/>
          <w:tab w:val="left" w:pos="8222"/>
        </w:tabs>
        <w:rPr>
          <w:b/>
          <w:sz w:val="24"/>
          <w:szCs w:val="24"/>
        </w:rPr>
      </w:pPr>
      <w:r w:rsidRPr="00A71D74">
        <w:rPr>
          <w:b/>
          <w:sz w:val="24"/>
          <w:szCs w:val="24"/>
        </w:rPr>
        <w:t>4.11</w:t>
      </w:r>
      <w:r w:rsidRPr="00A71D74">
        <w:rPr>
          <w:b/>
          <w:sz w:val="24"/>
          <w:szCs w:val="24"/>
        </w:rPr>
        <w:tab/>
        <w:t>Tilbageholdelsestid</w:t>
      </w:r>
    </w:p>
    <w:p w14:paraId="04D91DD9" w14:textId="77777777" w:rsidR="00524F77" w:rsidRPr="00A71D74" w:rsidRDefault="00524F77" w:rsidP="002E5512">
      <w:pPr>
        <w:ind w:left="851"/>
        <w:rPr>
          <w:sz w:val="24"/>
          <w:szCs w:val="24"/>
        </w:rPr>
      </w:pPr>
      <w:r w:rsidRPr="00A71D74">
        <w:rPr>
          <w:sz w:val="24"/>
          <w:szCs w:val="24"/>
        </w:rPr>
        <w:t>Slagtning: 0 dage.</w:t>
      </w:r>
    </w:p>
    <w:p w14:paraId="185ACD00" w14:textId="77777777" w:rsidR="00524F77" w:rsidRPr="00A71D74" w:rsidRDefault="00524F77" w:rsidP="002E5512">
      <w:pPr>
        <w:ind w:left="851"/>
        <w:rPr>
          <w:sz w:val="24"/>
          <w:szCs w:val="24"/>
        </w:rPr>
      </w:pPr>
      <w:r w:rsidRPr="00A71D74">
        <w:rPr>
          <w:sz w:val="24"/>
          <w:szCs w:val="24"/>
        </w:rPr>
        <w:t>Dyr må ikke slagtes til menneskeføde under behandlingen.</w:t>
      </w:r>
    </w:p>
    <w:p w14:paraId="321718BE" w14:textId="77777777" w:rsidR="005B0036" w:rsidRPr="00A71D74" w:rsidRDefault="005B0036" w:rsidP="005B0036">
      <w:pPr>
        <w:pStyle w:val="Sidehoved"/>
        <w:tabs>
          <w:tab w:val="clear" w:pos="4819"/>
          <w:tab w:val="left" w:pos="8222"/>
        </w:tabs>
        <w:ind w:left="851"/>
        <w:rPr>
          <w:szCs w:val="24"/>
        </w:rPr>
      </w:pPr>
    </w:p>
    <w:p w14:paraId="3B1D102F" w14:textId="68AA3F84" w:rsidR="00745D2E" w:rsidRDefault="00745D2E">
      <w:pPr>
        <w:rPr>
          <w:sz w:val="24"/>
          <w:szCs w:val="24"/>
        </w:rPr>
      </w:pPr>
      <w:r>
        <w:rPr>
          <w:sz w:val="24"/>
          <w:szCs w:val="24"/>
        </w:rPr>
        <w:br w:type="page"/>
      </w:r>
    </w:p>
    <w:p w14:paraId="66539221" w14:textId="77777777" w:rsidR="005B0036" w:rsidRPr="00A71D74" w:rsidRDefault="005B0036" w:rsidP="005B0036">
      <w:pPr>
        <w:tabs>
          <w:tab w:val="left" w:pos="851"/>
          <w:tab w:val="left" w:pos="8222"/>
        </w:tabs>
        <w:ind w:left="851"/>
        <w:rPr>
          <w:sz w:val="24"/>
          <w:szCs w:val="24"/>
        </w:rPr>
      </w:pPr>
    </w:p>
    <w:p w14:paraId="6502A8C6" w14:textId="4B1BD2CD" w:rsidR="005B0036" w:rsidRPr="00A71D74" w:rsidRDefault="005B0036" w:rsidP="005B0036">
      <w:pPr>
        <w:tabs>
          <w:tab w:val="left" w:pos="8222"/>
        </w:tabs>
        <w:ind w:left="851" w:hanging="851"/>
        <w:rPr>
          <w:b/>
          <w:sz w:val="24"/>
          <w:szCs w:val="24"/>
        </w:rPr>
      </w:pPr>
      <w:r w:rsidRPr="000C4A23">
        <w:rPr>
          <w:b/>
          <w:sz w:val="24"/>
          <w:szCs w:val="24"/>
        </w:rPr>
        <w:t>5.</w:t>
      </w:r>
      <w:r w:rsidRPr="000C4A23">
        <w:rPr>
          <w:b/>
          <w:sz w:val="24"/>
          <w:szCs w:val="24"/>
        </w:rPr>
        <w:tab/>
        <w:t>FARMAKOLOGISKE EGENSKABER</w:t>
      </w:r>
    </w:p>
    <w:p w14:paraId="32119BA2" w14:textId="77777777" w:rsidR="005B0036" w:rsidRPr="00A71D74" w:rsidRDefault="005B0036" w:rsidP="005B0036">
      <w:pPr>
        <w:tabs>
          <w:tab w:val="left" w:pos="8222"/>
        </w:tabs>
        <w:ind w:left="851"/>
        <w:rPr>
          <w:sz w:val="24"/>
          <w:szCs w:val="24"/>
        </w:rPr>
      </w:pPr>
    </w:p>
    <w:p w14:paraId="68B41B25" w14:textId="5570B99C" w:rsidR="00524F77" w:rsidRPr="00A71D74" w:rsidRDefault="00524F77" w:rsidP="00E12FB7">
      <w:pPr>
        <w:ind w:left="851"/>
        <w:rPr>
          <w:sz w:val="24"/>
          <w:szCs w:val="24"/>
        </w:rPr>
      </w:pPr>
      <w:proofErr w:type="spellStart"/>
      <w:r w:rsidRPr="00A71D74">
        <w:rPr>
          <w:sz w:val="24"/>
          <w:szCs w:val="24"/>
        </w:rPr>
        <w:t>Farmakoterapeutisk</w:t>
      </w:r>
      <w:proofErr w:type="spellEnd"/>
      <w:r w:rsidRPr="00A71D74">
        <w:rPr>
          <w:sz w:val="24"/>
          <w:szCs w:val="24"/>
        </w:rPr>
        <w:t xml:space="preserve"> gruppe: </w:t>
      </w:r>
      <w:proofErr w:type="spellStart"/>
      <w:r w:rsidR="00D67C50">
        <w:rPr>
          <w:sz w:val="24"/>
          <w:szCs w:val="24"/>
        </w:rPr>
        <w:t>A</w:t>
      </w:r>
      <w:r w:rsidRPr="00A71D74">
        <w:rPr>
          <w:sz w:val="24"/>
          <w:szCs w:val="24"/>
        </w:rPr>
        <w:t>ntibakterica</w:t>
      </w:r>
      <w:proofErr w:type="spellEnd"/>
      <w:r w:rsidRPr="00A71D74">
        <w:rPr>
          <w:sz w:val="24"/>
          <w:szCs w:val="24"/>
        </w:rPr>
        <w:t xml:space="preserve"> til systemisk brug, </w:t>
      </w:r>
      <w:proofErr w:type="spellStart"/>
      <w:r w:rsidRPr="00A71D74">
        <w:rPr>
          <w:sz w:val="24"/>
          <w:szCs w:val="24"/>
        </w:rPr>
        <w:t>lincomycin</w:t>
      </w:r>
      <w:proofErr w:type="spellEnd"/>
      <w:r w:rsidRPr="00A71D74">
        <w:rPr>
          <w:sz w:val="24"/>
          <w:szCs w:val="24"/>
        </w:rPr>
        <w:t xml:space="preserve"> kombinationer.</w:t>
      </w:r>
    </w:p>
    <w:p w14:paraId="60823ADF" w14:textId="57EE2FA8" w:rsidR="00524F77" w:rsidRPr="00A71D74" w:rsidRDefault="00524F77" w:rsidP="00E12FB7">
      <w:pPr>
        <w:ind w:left="851"/>
        <w:rPr>
          <w:sz w:val="24"/>
          <w:szCs w:val="24"/>
        </w:rPr>
      </w:pPr>
      <w:proofErr w:type="spellStart"/>
      <w:r w:rsidRPr="00A71D74">
        <w:rPr>
          <w:sz w:val="24"/>
          <w:szCs w:val="24"/>
        </w:rPr>
        <w:t>ATCvet</w:t>
      </w:r>
      <w:proofErr w:type="spellEnd"/>
      <w:r w:rsidRPr="00A71D74">
        <w:rPr>
          <w:sz w:val="24"/>
          <w:szCs w:val="24"/>
        </w:rPr>
        <w:t>-kode: QJ</w:t>
      </w:r>
      <w:r w:rsidR="00745D2E">
        <w:rPr>
          <w:sz w:val="24"/>
          <w:szCs w:val="24"/>
        </w:rPr>
        <w:t xml:space="preserve"> </w:t>
      </w:r>
      <w:r w:rsidRPr="00A71D74">
        <w:rPr>
          <w:sz w:val="24"/>
          <w:szCs w:val="24"/>
        </w:rPr>
        <w:t>01</w:t>
      </w:r>
      <w:r w:rsidR="00745D2E">
        <w:rPr>
          <w:sz w:val="24"/>
          <w:szCs w:val="24"/>
        </w:rPr>
        <w:t xml:space="preserve"> </w:t>
      </w:r>
      <w:r w:rsidRPr="00A71D74">
        <w:rPr>
          <w:sz w:val="24"/>
          <w:szCs w:val="24"/>
        </w:rPr>
        <w:t>FF</w:t>
      </w:r>
      <w:r w:rsidR="00745D2E">
        <w:rPr>
          <w:sz w:val="24"/>
          <w:szCs w:val="24"/>
        </w:rPr>
        <w:t xml:space="preserve"> </w:t>
      </w:r>
      <w:r w:rsidRPr="00A71D74">
        <w:rPr>
          <w:sz w:val="24"/>
          <w:szCs w:val="24"/>
        </w:rPr>
        <w:t>52.</w:t>
      </w:r>
    </w:p>
    <w:p w14:paraId="6B24D352" w14:textId="77777777" w:rsidR="005B0036" w:rsidRPr="00A71D74" w:rsidRDefault="005B0036" w:rsidP="005B0036">
      <w:pPr>
        <w:tabs>
          <w:tab w:val="left" w:pos="8222"/>
        </w:tabs>
        <w:ind w:left="851"/>
        <w:rPr>
          <w:sz w:val="24"/>
          <w:szCs w:val="24"/>
        </w:rPr>
      </w:pPr>
    </w:p>
    <w:p w14:paraId="7ECBDDF5" w14:textId="0572F09F" w:rsidR="005B0036" w:rsidRPr="00A71D74" w:rsidRDefault="005B0036" w:rsidP="005B0036">
      <w:pPr>
        <w:tabs>
          <w:tab w:val="left" w:pos="851"/>
          <w:tab w:val="left" w:pos="8222"/>
        </w:tabs>
        <w:rPr>
          <w:b/>
          <w:sz w:val="24"/>
          <w:szCs w:val="24"/>
        </w:rPr>
      </w:pPr>
      <w:r w:rsidRPr="000C4A23">
        <w:rPr>
          <w:b/>
          <w:sz w:val="24"/>
          <w:szCs w:val="24"/>
        </w:rPr>
        <w:t>5.1</w:t>
      </w:r>
      <w:r w:rsidRPr="000C4A23">
        <w:rPr>
          <w:b/>
          <w:sz w:val="24"/>
          <w:szCs w:val="24"/>
        </w:rPr>
        <w:tab/>
      </w:r>
      <w:proofErr w:type="spellStart"/>
      <w:r w:rsidRPr="000C4A23">
        <w:rPr>
          <w:b/>
          <w:sz w:val="24"/>
          <w:szCs w:val="24"/>
        </w:rPr>
        <w:t>Farmakodynamiske</w:t>
      </w:r>
      <w:proofErr w:type="spellEnd"/>
      <w:r w:rsidRPr="000C4A23">
        <w:rPr>
          <w:b/>
          <w:sz w:val="24"/>
          <w:szCs w:val="24"/>
        </w:rPr>
        <w:t xml:space="preserve"> egenskaber</w:t>
      </w:r>
    </w:p>
    <w:p w14:paraId="43F29250" w14:textId="77777777" w:rsidR="00524F77" w:rsidRPr="00A71D74" w:rsidRDefault="00524F77" w:rsidP="00E12FB7">
      <w:pPr>
        <w:ind w:left="851"/>
        <w:rPr>
          <w:sz w:val="24"/>
          <w:szCs w:val="24"/>
        </w:rPr>
      </w:pPr>
      <w:r w:rsidRPr="00A71D74">
        <w:rPr>
          <w:sz w:val="24"/>
          <w:szCs w:val="24"/>
        </w:rPr>
        <w:t xml:space="preserve">Veterinærlægemidlet er en kombination af to antibiotika, </w:t>
      </w:r>
      <w:proofErr w:type="spellStart"/>
      <w:r w:rsidRPr="00A71D74">
        <w:rPr>
          <w:sz w:val="24"/>
          <w:szCs w:val="24"/>
        </w:rPr>
        <w:t>lincomycin</w:t>
      </w:r>
      <w:proofErr w:type="spellEnd"/>
      <w:r w:rsidRPr="00A71D74">
        <w:rPr>
          <w:sz w:val="24"/>
          <w:szCs w:val="24"/>
        </w:rPr>
        <w:t xml:space="preserve"> og </w:t>
      </w:r>
      <w:proofErr w:type="spellStart"/>
      <w:r w:rsidRPr="00A71D74">
        <w:rPr>
          <w:sz w:val="24"/>
          <w:szCs w:val="24"/>
        </w:rPr>
        <w:t>spectinomycin</w:t>
      </w:r>
      <w:proofErr w:type="spellEnd"/>
      <w:r w:rsidRPr="00A71D74">
        <w:rPr>
          <w:sz w:val="24"/>
          <w:szCs w:val="24"/>
        </w:rPr>
        <w:t xml:space="preserve">, med et </w:t>
      </w:r>
      <w:proofErr w:type="spellStart"/>
      <w:r w:rsidRPr="00A71D74">
        <w:rPr>
          <w:sz w:val="24"/>
          <w:szCs w:val="24"/>
        </w:rPr>
        <w:t>komplimentært</w:t>
      </w:r>
      <w:proofErr w:type="spellEnd"/>
      <w:r w:rsidRPr="00A71D74">
        <w:rPr>
          <w:sz w:val="24"/>
          <w:szCs w:val="24"/>
        </w:rPr>
        <w:t xml:space="preserve"> virkningsspektrum.</w:t>
      </w:r>
    </w:p>
    <w:p w14:paraId="4BE3F236" w14:textId="77777777" w:rsidR="00524F77" w:rsidRPr="00A71D74" w:rsidRDefault="00524F77" w:rsidP="00E12FB7">
      <w:pPr>
        <w:ind w:left="851"/>
        <w:rPr>
          <w:sz w:val="24"/>
          <w:szCs w:val="24"/>
        </w:rPr>
      </w:pPr>
    </w:p>
    <w:p w14:paraId="02CFD1B8" w14:textId="77777777" w:rsidR="00524F77" w:rsidRPr="00A71D74" w:rsidRDefault="00524F77" w:rsidP="00E12FB7">
      <w:pPr>
        <w:ind w:left="851"/>
        <w:rPr>
          <w:sz w:val="24"/>
          <w:szCs w:val="24"/>
          <w:u w:val="single"/>
        </w:rPr>
      </w:pPr>
      <w:proofErr w:type="spellStart"/>
      <w:r w:rsidRPr="00A71D74">
        <w:rPr>
          <w:sz w:val="24"/>
          <w:szCs w:val="24"/>
          <w:u w:val="single"/>
        </w:rPr>
        <w:t>Lincomycin</w:t>
      </w:r>
      <w:proofErr w:type="spellEnd"/>
    </w:p>
    <w:p w14:paraId="79AD39FC" w14:textId="77777777" w:rsidR="00524F77" w:rsidRPr="00A71D74" w:rsidRDefault="00524F77" w:rsidP="00E12FB7">
      <w:pPr>
        <w:ind w:left="851"/>
        <w:rPr>
          <w:sz w:val="24"/>
          <w:szCs w:val="24"/>
        </w:rPr>
      </w:pPr>
      <w:proofErr w:type="spellStart"/>
      <w:r w:rsidRPr="00A71D74">
        <w:rPr>
          <w:sz w:val="24"/>
          <w:szCs w:val="24"/>
        </w:rPr>
        <w:t>Lincomycin</w:t>
      </w:r>
      <w:proofErr w:type="spellEnd"/>
      <w:r w:rsidRPr="00A71D74">
        <w:rPr>
          <w:sz w:val="24"/>
          <w:szCs w:val="24"/>
        </w:rPr>
        <w:t xml:space="preserve"> er aktivt mod grampositive bakterier, visse anaerobe gramnegative bakterier og </w:t>
      </w:r>
      <w:proofErr w:type="spellStart"/>
      <w:r w:rsidRPr="00A71D74">
        <w:rPr>
          <w:sz w:val="24"/>
          <w:szCs w:val="24"/>
        </w:rPr>
        <w:t>mycoplasma</w:t>
      </w:r>
      <w:proofErr w:type="spellEnd"/>
      <w:r w:rsidRPr="00A71D74">
        <w:rPr>
          <w:sz w:val="24"/>
          <w:szCs w:val="24"/>
        </w:rPr>
        <w:t xml:space="preserve">. Det har ringe eller ingen virkning mod gramnegative bakterier såsom </w:t>
      </w:r>
      <w:r w:rsidRPr="00A71D74">
        <w:rPr>
          <w:i/>
          <w:sz w:val="24"/>
          <w:szCs w:val="24"/>
        </w:rPr>
        <w:t>Escherichia coli</w:t>
      </w:r>
      <w:r w:rsidRPr="00A71D74">
        <w:rPr>
          <w:sz w:val="24"/>
          <w:szCs w:val="24"/>
        </w:rPr>
        <w:t>.</w:t>
      </w:r>
    </w:p>
    <w:p w14:paraId="059676F5" w14:textId="77777777" w:rsidR="00524F77" w:rsidRPr="00A71D74" w:rsidRDefault="00524F77" w:rsidP="00E12FB7">
      <w:pPr>
        <w:ind w:left="851"/>
        <w:rPr>
          <w:sz w:val="24"/>
          <w:szCs w:val="24"/>
        </w:rPr>
      </w:pPr>
    </w:p>
    <w:p w14:paraId="785E4987" w14:textId="77777777" w:rsidR="00524F77" w:rsidRPr="00A71D74" w:rsidRDefault="00524F77" w:rsidP="00E12FB7">
      <w:pPr>
        <w:ind w:left="851"/>
        <w:rPr>
          <w:sz w:val="24"/>
          <w:szCs w:val="24"/>
          <w:u w:val="single"/>
        </w:rPr>
      </w:pPr>
      <w:proofErr w:type="spellStart"/>
      <w:r w:rsidRPr="00A71D74">
        <w:rPr>
          <w:sz w:val="24"/>
          <w:szCs w:val="24"/>
          <w:u w:val="single"/>
        </w:rPr>
        <w:t>Spectinomycin</w:t>
      </w:r>
      <w:proofErr w:type="spellEnd"/>
    </w:p>
    <w:p w14:paraId="5437A68B" w14:textId="77777777" w:rsidR="00524F77" w:rsidRPr="00A71D74" w:rsidRDefault="00524F77" w:rsidP="00E12FB7">
      <w:pPr>
        <w:ind w:left="851"/>
        <w:rPr>
          <w:sz w:val="24"/>
          <w:szCs w:val="24"/>
        </w:rPr>
      </w:pPr>
      <w:proofErr w:type="spellStart"/>
      <w:r w:rsidRPr="00A71D74">
        <w:rPr>
          <w:sz w:val="24"/>
          <w:szCs w:val="24"/>
        </w:rPr>
        <w:t>Spectinomycin</w:t>
      </w:r>
      <w:proofErr w:type="spellEnd"/>
      <w:r w:rsidRPr="00A71D74">
        <w:rPr>
          <w:sz w:val="24"/>
          <w:szCs w:val="24"/>
        </w:rPr>
        <w:t xml:space="preserve"> er et antibiotikum i </w:t>
      </w:r>
      <w:proofErr w:type="spellStart"/>
      <w:r w:rsidRPr="00A71D74">
        <w:rPr>
          <w:sz w:val="24"/>
          <w:szCs w:val="24"/>
        </w:rPr>
        <w:t>aminocyclitolgruppen</w:t>
      </w:r>
      <w:proofErr w:type="spellEnd"/>
      <w:r w:rsidRPr="00A71D74">
        <w:rPr>
          <w:sz w:val="24"/>
          <w:szCs w:val="24"/>
        </w:rPr>
        <w:t xml:space="preserve">, der udvindes af </w:t>
      </w:r>
      <w:proofErr w:type="spellStart"/>
      <w:r w:rsidRPr="00A71D74">
        <w:rPr>
          <w:i/>
          <w:sz w:val="24"/>
          <w:szCs w:val="24"/>
        </w:rPr>
        <w:t>Streptomyces</w:t>
      </w:r>
      <w:proofErr w:type="spellEnd"/>
      <w:r w:rsidRPr="00A71D74">
        <w:rPr>
          <w:sz w:val="24"/>
          <w:szCs w:val="24"/>
        </w:rPr>
        <w:t xml:space="preserve"> </w:t>
      </w:r>
      <w:proofErr w:type="spellStart"/>
      <w:r w:rsidRPr="00A71D74">
        <w:rPr>
          <w:i/>
          <w:sz w:val="24"/>
          <w:szCs w:val="24"/>
        </w:rPr>
        <w:t>spectabilis</w:t>
      </w:r>
      <w:proofErr w:type="spellEnd"/>
      <w:r w:rsidRPr="00A71D74">
        <w:rPr>
          <w:sz w:val="24"/>
          <w:szCs w:val="24"/>
        </w:rPr>
        <w:t xml:space="preserve">. Det har </w:t>
      </w:r>
      <w:proofErr w:type="spellStart"/>
      <w:r w:rsidRPr="00A71D74">
        <w:rPr>
          <w:sz w:val="24"/>
          <w:szCs w:val="24"/>
        </w:rPr>
        <w:t>bakteriostatisk</w:t>
      </w:r>
      <w:proofErr w:type="spellEnd"/>
      <w:r w:rsidRPr="00A71D74">
        <w:rPr>
          <w:sz w:val="24"/>
          <w:szCs w:val="24"/>
        </w:rPr>
        <w:t xml:space="preserve"> aktivitet og er aktivt </w:t>
      </w:r>
      <w:proofErr w:type="spellStart"/>
      <w:r w:rsidRPr="00A71D74">
        <w:rPr>
          <w:i/>
          <w:sz w:val="24"/>
          <w:szCs w:val="24"/>
        </w:rPr>
        <w:t>Mycoplasma</w:t>
      </w:r>
      <w:proofErr w:type="spellEnd"/>
      <w:r w:rsidRPr="00A71D74">
        <w:rPr>
          <w:sz w:val="24"/>
          <w:szCs w:val="24"/>
        </w:rPr>
        <w:t xml:space="preserve"> </w:t>
      </w:r>
      <w:proofErr w:type="spellStart"/>
      <w:r w:rsidRPr="00A71D74">
        <w:rPr>
          <w:sz w:val="24"/>
          <w:szCs w:val="24"/>
        </w:rPr>
        <w:t>spp</w:t>
      </w:r>
      <w:proofErr w:type="spellEnd"/>
      <w:r w:rsidRPr="00A71D74">
        <w:rPr>
          <w:sz w:val="24"/>
          <w:szCs w:val="24"/>
        </w:rPr>
        <w:t xml:space="preserve">. og visse </w:t>
      </w:r>
      <w:proofErr w:type="spellStart"/>
      <w:r w:rsidRPr="00A71D74">
        <w:rPr>
          <w:sz w:val="24"/>
          <w:szCs w:val="24"/>
        </w:rPr>
        <w:t>Gram-negative</w:t>
      </w:r>
      <w:proofErr w:type="spellEnd"/>
      <w:r w:rsidRPr="00A71D74">
        <w:rPr>
          <w:sz w:val="24"/>
          <w:szCs w:val="24"/>
        </w:rPr>
        <w:t xml:space="preserve"> bakterier såsom </w:t>
      </w:r>
      <w:r w:rsidRPr="00A71D74">
        <w:rPr>
          <w:i/>
          <w:sz w:val="24"/>
          <w:szCs w:val="24"/>
        </w:rPr>
        <w:t>E. coli</w:t>
      </w:r>
      <w:r w:rsidRPr="00A71D74">
        <w:rPr>
          <w:sz w:val="24"/>
          <w:szCs w:val="24"/>
        </w:rPr>
        <w:t>.</w:t>
      </w:r>
    </w:p>
    <w:p w14:paraId="75FD0EEA" w14:textId="77777777" w:rsidR="00524F77" w:rsidRPr="00A71D74" w:rsidRDefault="00524F77" w:rsidP="00E12FB7">
      <w:pPr>
        <w:ind w:left="851"/>
        <w:rPr>
          <w:sz w:val="24"/>
          <w:szCs w:val="24"/>
        </w:rPr>
      </w:pPr>
      <w:r w:rsidRPr="00A71D74">
        <w:rPr>
          <w:sz w:val="24"/>
          <w:szCs w:val="24"/>
        </w:rPr>
        <w:t xml:space="preserve">Den mekanisme, ved hvilken oralt administreret </w:t>
      </w:r>
      <w:proofErr w:type="spellStart"/>
      <w:r w:rsidRPr="00A71D74">
        <w:rPr>
          <w:sz w:val="24"/>
          <w:szCs w:val="24"/>
        </w:rPr>
        <w:t>spectinomycin</w:t>
      </w:r>
      <w:proofErr w:type="spellEnd"/>
      <w:r w:rsidRPr="00A71D74">
        <w:rPr>
          <w:sz w:val="24"/>
          <w:szCs w:val="24"/>
        </w:rPr>
        <w:t xml:space="preserve"> virker systemisk på </w:t>
      </w:r>
      <w:proofErr w:type="spellStart"/>
      <w:r w:rsidRPr="00A71D74">
        <w:rPr>
          <w:sz w:val="24"/>
          <w:szCs w:val="24"/>
        </w:rPr>
        <w:t>patogener</w:t>
      </w:r>
      <w:proofErr w:type="spellEnd"/>
      <w:r w:rsidRPr="00A71D74">
        <w:rPr>
          <w:sz w:val="24"/>
          <w:szCs w:val="24"/>
        </w:rPr>
        <w:t xml:space="preserve"> trods ringe absorption, er ikke fuldt afklaret og kan til dels bestå i indirekte virkninger på tarmfloraen.</w:t>
      </w:r>
    </w:p>
    <w:p w14:paraId="083220D8" w14:textId="77777777" w:rsidR="00524F77" w:rsidRPr="00A71D74" w:rsidRDefault="00524F77" w:rsidP="00E12FB7">
      <w:pPr>
        <w:ind w:left="851"/>
        <w:rPr>
          <w:sz w:val="24"/>
          <w:szCs w:val="24"/>
        </w:rPr>
      </w:pPr>
    </w:p>
    <w:p w14:paraId="0622BF6F" w14:textId="77777777" w:rsidR="00524F77" w:rsidRPr="00A71D74" w:rsidRDefault="00524F77" w:rsidP="00E12FB7">
      <w:pPr>
        <w:ind w:left="851"/>
        <w:rPr>
          <w:sz w:val="24"/>
          <w:szCs w:val="24"/>
        </w:rPr>
      </w:pPr>
      <w:r w:rsidRPr="00A71D74">
        <w:rPr>
          <w:sz w:val="24"/>
          <w:szCs w:val="24"/>
        </w:rPr>
        <w:t xml:space="preserve">Hos </w:t>
      </w:r>
      <w:r w:rsidRPr="00A71D74">
        <w:rPr>
          <w:i/>
          <w:sz w:val="24"/>
          <w:szCs w:val="24"/>
        </w:rPr>
        <w:t>E. coli</w:t>
      </w:r>
      <w:r w:rsidRPr="00A71D74">
        <w:rPr>
          <w:sz w:val="24"/>
          <w:szCs w:val="24"/>
        </w:rPr>
        <w:t xml:space="preserve"> synes MIC-fordelingen af at være </w:t>
      </w:r>
      <w:proofErr w:type="spellStart"/>
      <w:r w:rsidRPr="00A71D74">
        <w:rPr>
          <w:sz w:val="24"/>
          <w:szCs w:val="24"/>
        </w:rPr>
        <w:t>bimodal</w:t>
      </w:r>
      <w:proofErr w:type="spellEnd"/>
      <w:r w:rsidRPr="00A71D74">
        <w:rPr>
          <w:sz w:val="24"/>
          <w:szCs w:val="24"/>
        </w:rPr>
        <w:t>, idet en væsentlig del af stammerne udviser høje MIC-værdier, hvilket til dels kan svare til naturlig (</w:t>
      </w:r>
      <w:proofErr w:type="spellStart"/>
      <w:r w:rsidRPr="00A71D74">
        <w:rPr>
          <w:sz w:val="24"/>
          <w:szCs w:val="24"/>
        </w:rPr>
        <w:t>intrinsisk</w:t>
      </w:r>
      <w:proofErr w:type="spellEnd"/>
      <w:r w:rsidRPr="00A71D74">
        <w:rPr>
          <w:sz w:val="24"/>
          <w:szCs w:val="24"/>
        </w:rPr>
        <w:t>) resistens.</w:t>
      </w:r>
    </w:p>
    <w:p w14:paraId="7E16CB4E" w14:textId="77777777" w:rsidR="00524F77" w:rsidRPr="00A71D74" w:rsidRDefault="00524F77" w:rsidP="00E12FB7">
      <w:pPr>
        <w:ind w:left="851"/>
        <w:rPr>
          <w:sz w:val="24"/>
          <w:szCs w:val="24"/>
        </w:rPr>
      </w:pPr>
    </w:p>
    <w:p w14:paraId="4B826233" w14:textId="77777777" w:rsidR="00524F77" w:rsidRPr="00A71D74" w:rsidRDefault="00524F77" w:rsidP="00E12FB7">
      <w:pPr>
        <w:ind w:left="851"/>
        <w:rPr>
          <w:sz w:val="24"/>
          <w:szCs w:val="24"/>
        </w:rPr>
      </w:pPr>
      <w:r w:rsidRPr="00A71D74">
        <w:rPr>
          <w:i/>
          <w:sz w:val="24"/>
          <w:szCs w:val="24"/>
        </w:rPr>
        <w:t xml:space="preserve">In </w:t>
      </w:r>
      <w:proofErr w:type="spellStart"/>
      <w:r w:rsidRPr="00A71D74">
        <w:rPr>
          <w:i/>
          <w:sz w:val="24"/>
          <w:szCs w:val="24"/>
        </w:rPr>
        <w:t>vitro</w:t>
      </w:r>
      <w:proofErr w:type="spellEnd"/>
      <w:r w:rsidRPr="00A71D74">
        <w:rPr>
          <w:sz w:val="24"/>
          <w:szCs w:val="24"/>
        </w:rPr>
        <w:t xml:space="preserve">-undersøgelser samt data vedrørende klinisk virkning viser, at kombinationen </w:t>
      </w:r>
      <w:proofErr w:type="spellStart"/>
      <w:r w:rsidRPr="00A71D74">
        <w:rPr>
          <w:sz w:val="24"/>
          <w:szCs w:val="24"/>
        </w:rPr>
        <w:t>lincomycin-spectinomycin</w:t>
      </w:r>
      <w:proofErr w:type="spellEnd"/>
      <w:r w:rsidRPr="00A71D74">
        <w:rPr>
          <w:sz w:val="24"/>
          <w:szCs w:val="24"/>
        </w:rPr>
        <w:t xml:space="preserve"> er aktiv mod </w:t>
      </w:r>
      <w:proofErr w:type="spellStart"/>
      <w:r w:rsidRPr="00A71D74">
        <w:rPr>
          <w:sz w:val="24"/>
          <w:szCs w:val="24"/>
        </w:rPr>
        <w:t>Lawsonia</w:t>
      </w:r>
      <w:proofErr w:type="spellEnd"/>
      <w:r w:rsidRPr="00A71D74">
        <w:rPr>
          <w:sz w:val="24"/>
          <w:szCs w:val="24"/>
        </w:rPr>
        <w:t xml:space="preserve"> </w:t>
      </w:r>
      <w:proofErr w:type="spellStart"/>
      <w:r w:rsidRPr="00A71D74">
        <w:rPr>
          <w:sz w:val="24"/>
          <w:szCs w:val="24"/>
        </w:rPr>
        <w:t>intracellularis</w:t>
      </w:r>
      <w:proofErr w:type="spellEnd"/>
      <w:r w:rsidRPr="00A71D74">
        <w:rPr>
          <w:sz w:val="24"/>
          <w:szCs w:val="24"/>
        </w:rPr>
        <w:t>.</w:t>
      </w:r>
    </w:p>
    <w:p w14:paraId="63FE29E6" w14:textId="77777777" w:rsidR="00524F77" w:rsidRPr="00A71D74" w:rsidRDefault="00524F77" w:rsidP="00E12FB7">
      <w:pPr>
        <w:ind w:left="851"/>
        <w:rPr>
          <w:sz w:val="24"/>
          <w:szCs w:val="24"/>
        </w:rPr>
      </w:pPr>
      <w:r w:rsidRPr="00A71D74">
        <w:rPr>
          <w:sz w:val="24"/>
          <w:szCs w:val="24"/>
        </w:rPr>
        <w:t xml:space="preserve">Tekniske begrænsninger vanskeliggør </w:t>
      </w:r>
      <w:r w:rsidRPr="00A71D74">
        <w:rPr>
          <w:i/>
          <w:sz w:val="24"/>
          <w:szCs w:val="24"/>
        </w:rPr>
        <w:t xml:space="preserve">in </w:t>
      </w:r>
      <w:proofErr w:type="spellStart"/>
      <w:r w:rsidRPr="00A71D74">
        <w:rPr>
          <w:i/>
          <w:sz w:val="24"/>
          <w:szCs w:val="24"/>
        </w:rPr>
        <w:t>vitro</w:t>
      </w:r>
      <w:proofErr w:type="spellEnd"/>
      <w:r w:rsidRPr="00A71D74">
        <w:rPr>
          <w:sz w:val="24"/>
          <w:szCs w:val="24"/>
        </w:rPr>
        <w:t xml:space="preserve">-følsomhedsbestemmelse for </w:t>
      </w:r>
      <w:proofErr w:type="spellStart"/>
      <w:r w:rsidRPr="00A71D74">
        <w:rPr>
          <w:i/>
          <w:sz w:val="24"/>
          <w:szCs w:val="24"/>
        </w:rPr>
        <w:t>Lawsonia</w:t>
      </w:r>
      <w:proofErr w:type="spellEnd"/>
      <w:r w:rsidRPr="00A71D74">
        <w:rPr>
          <w:i/>
          <w:sz w:val="24"/>
          <w:szCs w:val="24"/>
        </w:rPr>
        <w:t xml:space="preserve"> </w:t>
      </w:r>
      <w:proofErr w:type="spellStart"/>
      <w:r w:rsidRPr="00A71D74">
        <w:rPr>
          <w:i/>
          <w:sz w:val="24"/>
          <w:szCs w:val="24"/>
        </w:rPr>
        <w:t>intracellularis</w:t>
      </w:r>
      <w:proofErr w:type="spellEnd"/>
      <w:r w:rsidRPr="00A71D74">
        <w:rPr>
          <w:sz w:val="24"/>
          <w:szCs w:val="24"/>
        </w:rPr>
        <w:t xml:space="preserve">, og der savnes data om resistensstatus hos denne art over for </w:t>
      </w:r>
      <w:proofErr w:type="spellStart"/>
      <w:r w:rsidRPr="00A71D74">
        <w:rPr>
          <w:sz w:val="24"/>
          <w:szCs w:val="24"/>
        </w:rPr>
        <w:t>lincomycin-spectinomycin</w:t>
      </w:r>
      <w:proofErr w:type="spellEnd"/>
      <w:r w:rsidRPr="00A71D74">
        <w:rPr>
          <w:sz w:val="24"/>
          <w:szCs w:val="24"/>
        </w:rPr>
        <w:t>.</w:t>
      </w:r>
    </w:p>
    <w:p w14:paraId="4E881A05" w14:textId="77777777" w:rsidR="005B0036" w:rsidRPr="00A71D74" w:rsidRDefault="005B0036" w:rsidP="005B0036">
      <w:pPr>
        <w:tabs>
          <w:tab w:val="left" w:pos="851"/>
          <w:tab w:val="left" w:pos="8222"/>
        </w:tabs>
        <w:ind w:left="851"/>
        <w:rPr>
          <w:sz w:val="24"/>
          <w:szCs w:val="24"/>
        </w:rPr>
      </w:pPr>
    </w:p>
    <w:p w14:paraId="565B16E5" w14:textId="77777777" w:rsidR="005B0036" w:rsidRPr="00A71D74" w:rsidRDefault="005B0036" w:rsidP="005B0036">
      <w:pPr>
        <w:tabs>
          <w:tab w:val="left" w:pos="851"/>
          <w:tab w:val="left" w:pos="8222"/>
        </w:tabs>
        <w:rPr>
          <w:b/>
          <w:sz w:val="24"/>
          <w:szCs w:val="24"/>
        </w:rPr>
      </w:pPr>
      <w:r w:rsidRPr="000C4A23">
        <w:rPr>
          <w:b/>
          <w:sz w:val="24"/>
          <w:szCs w:val="24"/>
        </w:rPr>
        <w:t>5.2</w:t>
      </w:r>
      <w:r w:rsidRPr="000C4A23">
        <w:rPr>
          <w:b/>
          <w:sz w:val="24"/>
          <w:szCs w:val="24"/>
        </w:rPr>
        <w:tab/>
      </w:r>
      <w:proofErr w:type="spellStart"/>
      <w:r w:rsidRPr="000C4A23">
        <w:rPr>
          <w:b/>
          <w:sz w:val="24"/>
          <w:szCs w:val="24"/>
        </w:rPr>
        <w:t>Farmakokinetiske</w:t>
      </w:r>
      <w:proofErr w:type="spellEnd"/>
      <w:r w:rsidRPr="000C4A23">
        <w:rPr>
          <w:b/>
          <w:sz w:val="24"/>
          <w:szCs w:val="24"/>
        </w:rPr>
        <w:t xml:space="preserve"> egenskaber</w:t>
      </w:r>
    </w:p>
    <w:p w14:paraId="68B1531F" w14:textId="77777777" w:rsidR="000C4A23" w:rsidRDefault="000C4A23" w:rsidP="00E12FB7">
      <w:pPr>
        <w:ind w:left="851"/>
        <w:rPr>
          <w:sz w:val="24"/>
          <w:szCs w:val="24"/>
          <w:u w:val="single"/>
        </w:rPr>
      </w:pPr>
    </w:p>
    <w:p w14:paraId="641A10C6" w14:textId="0C77BD99" w:rsidR="00524F77" w:rsidRPr="00A71D74" w:rsidRDefault="00524F77" w:rsidP="00E12FB7">
      <w:pPr>
        <w:ind w:left="851"/>
        <w:rPr>
          <w:sz w:val="24"/>
          <w:szCs w:val="24"/>
          <w:u w:val="single"/>
        </w:rPr>
      </w:pPr>
      <w:proofErr w:type="spellStart"/>
      <w:r w:rsidRPr="00A71D74">
        <w:rPr>
          <w:sz w:val="24"/>
          <w:szCs w:val="24"/>
          <w:u w:val="single"/>
        </w:rPr>
        <w:t>Lincomycin</w:t>
      </w:r>
      <w:proofErr w:type="spellEnd"/>
      <w:r w:rsidRPr="00A71D74">
        <w:rPr>
          <w:sz w:val="24"/>
          <w:szCs w:val="24"/>
          <w:u w:val="single"/>
        </w:rPr>
        <w:t xml:space="preserve"> </w:t>
      </w:r>
    </w:p>
    <w:p w14:paraId="57026D72" w14:textId="77777777" w:rsidR="00524F77" w:rsidRPr="00A71D74" w:rsidRDefault="00524F77" w:rsidP="00E12FB7">
      <w:pPr>
        <w:ind w:left="851"/>
        <w:rPr>
          <w:sz w:val="24"/>
          <w:szCs w:val="24"/>
        </w:rPr>
      </w:pPr>
      <w:r w:rsidRPr="00A71D74">
        <w:rPr>
          <w:sz w:val="24"/>
          <w:szCs w:val="24"/>
        </w:rPr>
        <w:t xml:space="preserve">Hos svin bliver </w:t>
      </w:r>
      <w:proofErr w:type="spellStart"/>
      <w:r w:rsidRPr="00A71D74">
        <w:rPr>
          <w:sz w:val="24"/>
          <w:szCs w:val="24"/>
        </w:rPr>
        <w:t>lincomycin</w:t>
      </w:r>
      <w:proofErr w:type="spellEnd"/>
      <w:r w:rsidRPr="00A71D74">
        <w:rPr>
          <w:sz w:val="24"/>
          <w:szCs w:val="24"/>
        </w:rPr>
        <w:t xml:space="preserve"> absorberet hurtigt efter oral administration. En enkelt oral administration af </w:t>
      </w:r>
      <w:proofErr w:type="spellStart"/>
      <w:r w:rsidRPr="00A71D74">
        <w:rPr>
          <w:sz w:val="24"/>
          <w:szCs w:val="24"/>
        </w:rPr>
        <w:t>lincomycinhydrochlorid</w:t>
      </w:r>
      <w:proofErr w:type="spellEnd"/>
      <w:r w:rsidRPr="00A71D74">
        <w:rPr>
          <w:sz w:val="24"/>
          <w:szCs w:val="24"/>
        </w:rPr>
        <w:t xml:space="preserve"> i dosisniveauer på cirka 22, 55 og 100 mg/kg legemsvægt hos svin, resulterede i dosisrelaterede </w:t>
      </w:r>
      <w:proofErr w:type="spellStart"/>
      <w:r w:rsidRPr="00A71D74">
        <w:rPr>
          <w:sz w:val="24"/>
          <w:szCs w:val="24"/>
        </w:rPr>
        <w:t>lincomycinkoncentrationer</w:t>
      </w:r>
      <w:proofErr w:type="spellEnd"/>
      <w:r w:rsidRPr="00A71D74">
        <w:rPr>
          <w:sz w:val="24"/>
          <w:szCs w:val="24"/>
        </w:rPr>
        <w:t xml:space="preserve"> i plasma, detekteret 24-36 timer efter administration. Maksimale serumkoncentrationer blev observeret 4 timer efter dosering. Lignende resultater blev observeret efter orale enkeltdoser på 4,4 og 11,0 mg/kg legemsvægt hos svin. Koncentrationerne var </w:t>
      </w:r>
      <w:proofErr w:type="spellStart"/>
      <w:r w:rsidRPr="00A71D74">
        <w:rPr>
          <w:sz w:val="24"/>
          <w:szCs w:val="24"/>
        </w:rPr>
        <w:t>detekterbare</w:t>
      </w:r>
      <w:proofErr w:type="spellEnd"/>
      <w:r w:rsidRPr="00A71D74">
        <w:rPr>
          <w:sz w:val="24"/>
          <w:szCs w:val="24"/>
        </w:rPr>
        <w:t xml:space="preserve"> i 12-16 timer, med maksimale koncentrationer efter 4 timer. En oral enkeltdosis på 10 mg/kg legemsvægt blev administreret til svin for at bestemme biotilgængeligheden. Oral absorption af </w:t>
      </w:r>
      <w:proofErr w:type="spellStart"/>
      <w:r w:rsidRPr="00A71D74">
        <w:rPr>
          <w:sz w:val="24"/>
          <w:szCs w:val="24"/>
        </w:rPr>
        <w:t>lincomycin</w:t>
      </w:r>
      <w:proofErr w:type="spellEnd"/>
      <w:r w:rsidRPr="00A71D74">
        <w:rPr>
          <w:sz w:val="24"/>
          <w:szCs w:val="24"/>
        </w:rPr>
        <w:t xml:space="preserve"> var 53% ± 19%.</w:t>
      </w:r>
    </w:p>
    <w:p w14:paraId="132D8F60" w14:textId="77777777" w:rsidR="00524F77" w:rsidRPr="00A71D74" w:rsidRDefault="00524F77" w:rsidP="00E12FB7">
      <w:pPr>
        <w:ind w:left="851"/>
        <w:rPr>
          <w:sz w:val="24"/>
          <w:szCs w:val="24"/>
        </w:rPr>
      </w:pPr>
    </w:p>
    <w:p w14:paraId="55E20B00" w14:textId="77777777" w:rsidR="00524F77" w:rsidRPr="00A71D74" w:rsidRDefault="00524F77" w:rsidP="00E12FB7">
      <w:pPr>
        <w:ind w:left="851"/>
        <w:rPr>
          <w:sz w:val="24"/>
          <w:szCs w:val="24"/>
        </w:rPr>
      </w:pPr>
      <w:r w:rsidRPr="00A71D74">
        <w:rPr>
          <w:sz w:val="24"/>
          <w:szCs w:val="24"/>
        </w:rPr>
        <w:t xml:space="preserve">Gentagne doser til svin med daglige orale doser på 22 mg </w:t>
      </w:r>
      <w:proofErr w:type="spellStart"/>
      <w:r w:rsidRPr="00A71D74">
        <w:rPr>
          <w:sz w:val="24"/>
          <w:szCs w:val="24"/>
        </w:rPr>
        <w:t>lincomycin</w:t>
      </w:r>
      <w:proofErr w:type="spellEnd"/>
      <w:r w:rsidRPr="00A71D74">
        <w:rPr>
          <w:sz w:val="24"/>
          <w:szCs w:val="24"/>
        </w:rPr>
        <w:t xml:space="preserve">/kg legemsvægt i 3 dage indikerede ingen </w:t>
      </w:r>
      <w:proofErr w:type="spellStart"/>
      <w:r w:rsidRPr="00A71D74">
        <w:rPr>
          <w:sz w:val="24"/>
          <w:szCs w:val="24"/>
        </w:rPr>
        <w:t>lincomycinakkumulation</w:t>
      </w:r>
      <w:proofErr w:type="spellEnd"/>
      <w:r w:rsidRPr="00A71D74">
        <w:rPr>
          <w:sz w:val="24"/>
          <w:szCs w:val="24"/>
        </w:rPr>
        <w:t xml:space="preserve"> hos arterne. Der var ingen </w:t>
      </w:r>
      <w:proofErr w:type="spellStart"/>
      <w:r w:rsidRPr="00A71D74">
        <w:rPr>
          <w:sz w:val="24"/>
          <w:szCs w:val="24"/>
        </w:rPr>
        <w:t>detekterbare</w:t>
      </w:r>
      <w:proofErr w:type="spellEnd"/>
      <w:r w:rsidRPr="00A71D74">
        <w:rPr>
          <w:sz w:val="24"/>
          <w:szCs w:val="24"/>
        </w:rPr>
        <w:t xml:space="preserve"> serumkoncentrationer af antibiotika 24 timer efter administrationen.</w:t>
      </w:r>
    </w:p>
    <w:p w14:paraId="5BCCD085" w14:textId="77777777" w:rsidR="00524F77" w:rsidRPr="00A71D74" w:rsidRDefault="00524F77" w:rsidP="00E12FB7">
      <w:pPr>
        <w:ind w:left="851"/>
        <w:rPr>
          <w:sz w:val="24"/>
          <w:szCs w:val="24"/>
        </w:rPr>
      </w:pPr>
    </w:p>
    <w:p w14:paraId="5B687022" w14:textId="77777777" w:rsidR="00524F77" w:rsidRPr="00A71D74" w:rsidRDefault="00524F77" w:rsidP="00E12FB7">
      <w:pPr>
        <w:ind w:left="851"/>
        <w:rPr>
          <w:sz w:val="24"/>
          <w:szCs w:val="24"/>
        </w:rPr>
      </w:pPr>
      <w:proofErr w:type="spellStart"/>
      <w:r w:rsidRPr="00A71D74">
        <w:rPr>
          <w:sz w:val="24"/>
          <w:szCs w:val="24"/>
        </w:rPr>
        <w:lastRenderedPageBreak/>
        <w:t>Farmakokinetiske</w:t>
      </w:r>
      <w:proofErr w:type="spellEnd"/>
      <w:r w:rsidRPr="00A71D74">
        <w:rPr>
          <w:sz w:val="24"/>
          <w:szCs w:val="24"/>
        </w:rPr>
        <w:t xml:space="preserve"> studier med </w:t>
      </w:r>
      <w:proofErr w:type="spellStart"/>
      <w:r w:rsidRPr="00A71D74">
        <w:rPr>
          <w:sz w:val="24"/>
          <w:szCs w:val="24"/>
        </w:rPr>
        <w:t>lincomycin</w:t>
      </w:r>
      <w:proofErr w:type="spellEnd"/>
      <w:r w:rsidRPr="00A71D74">
        <w:rPr>
          <w:sz w:val="24"/>
          <w:szCs w:val="24"/>
        </w:rPr>
        <w:t xml:space="preserve"> med svin viser, at </w:t>
      </w:r>
      <w:proofErr w:type="spellStart"/>
      <w:r w:rsidRPr="00A71D74">
        <w:rPr>
          <w:sz w:val="24"/>
          <w:szCs w:val="24"/>
        </w:rPr>
        <w:t>lincomycin</w:t>
      </w:r>
      <w:proofErr w:type="spellEnd"/>
      <w:r w:rsidRPr="00A71D74">
        <w:rPr>
          <w:sz w:val="24"/>
          <w:szCs w:val="24"/>
        </w:rPr>
        <w:t xml:space="preserve"> er biotilgængeligt efter intravenøs, intramuskulær eller oral administration. Den gennemsnitlige halveringstid for alle administrationsveje er 2,82 timer hos svin.</w:t>
      </w:r>
    </w:p>
    <w:p w14:paraId="50A29ED1" w14:textId="77777777" w:rsidR="00524F77" w:rsidRPr="00A71D74" w:rsidRDefault="00524F77" w:rsidP="00E12FB7">
      <w:pPr>
        <w:ind w:left="851"/>
        <w:rPr>
          <w:sz w:val="24"/>
          <w:szCs w:val="24"/>
        </w:rPr>
      </w:pPr>
    </w:p>
    <w:p w14:paraId="09B3A94C" w14:textId="77777777" w:rsidR="00524F77" w:rsidRPr="00A71D74" w:rsidRDefault="00524F77" w:rsidP="00E12FB7">
      <w:pPr>
        <w:ind w:left="851"/>
        <w:rPr>
          <w:sz w:val="24"/>
          <w:szCs w:val="24"/>
          <w:u w:val="single"/>
        </w:rPr>
      </w:pPr>
      <w:proofErr w:type="spellStart"/>
      <w:r w:rsidRPr="00A71D74">
        <w:rPr>
          <w:sz w:val="24"/>
          <w:szCs w:val="24"/>
          <w:u w:val="single"/>
        </w:rPr>
        <w:t>Spectinomycin</w:t>
      </w:r>
      <w:proofErr w:type="spellEnd"/>
    </w:p>
    <w:p w14:paraId="4C727544" w14:textId="77777777" w:rsidR="00524F77" w:rsidRPr="00A71D74" w:rsidRDefault="00524F77" w:rsidP="00E12FB7">
      <w:pPr>
        <w:ind w:left="851"/>
        <w:rPr>
          <w:sz w:val="24"/>
          <w:szCs w:val="24"/>
        </w:rPr>
      </w:pPr>
      <w:r w:rsidRPr="00A71D74">
        <w:rPr>
          <w:sz w:val="24"/>
          <w:szCs w:val="24"/>
        </w:rPr>
        <w:t xml:space="preserve">Studier udført med forskellige dyrearter har vist, at </w:t>
      </w:r>
      <w:proofErr w:type="spellStart"/>
      <w:r w:rsidRPr="00A71D74">
        <w:rPr>
          <w:sz w:val="24"/>
          <w:szCs w:val="24"/>
        </w:rPr>
        <w:t>spectinomycin</w:t>
      </w:r>
      <w:proofErr w:type="spellEnd"/>
      <w:r w:rsidRPr="00A71D74">
        <w:rPr>
          <w:sz w:val="24"/>
          <w:szCs w:val="24"/>
        </w:rPr>
        <w:t xml:space="preserve"> gennemgår en begrænset absorption fra tarmen (mindre end 4-7%) efter oral administration. </w:t>
      </w:r>
      <w:proofErr w:type="spellStart"/>
      <w:r w:rsidRPr="00A71D74">
        <w:rPr>
          <w:sz w:val="24"/>
          <w:szCs w:val="24"/>
        </w:rPr>
        <w:t>Spectinomycin</w:t>
      </w:r>
      <w:proofErr w:type="spellEnd"/>
      <w:r w:rsidRPr="00A71D74">
        <w:rPr>
          <w:sz w:val="24"/>
          <w:szCs w:val="24"/>
        </w:rPr>
        <w:t xml:space="preserve"> har en lav tendens til proteinbinding og har en ringe fedtopløselighed.</w:t>
      </w:r>
    </w:p>
    <w:p w14:paraId="7285C760" w14:textId="77777777" w:rsidR="005B0036" w:rsidRPr="00A71D74" w:rsidRDefault="005B0036" w:rsidP="005B0036">
      <w:pPr>
        <w:tabs>
          <w:tab w:val="left" w:pos="851"/>
          <w:tab w:val="left" w:pos="8222"/>
        </w:tabs>
        <w:ind w:left="851"/>
        <w:rPr>
          <w:sz w:val="24"/>
          <w:szCs w:val="24"/>
        </w:rPr>
      </w:pPr>
    </w:p>
    <w:p w14:paraId="113EB460" w14:textId="77777777" w:rsidR="005B0036" w:rsidRPr="00A71D74" w:rsidRDefault="005B0036" w:rsidP="005B0036">
      <w:pPr>
        <w:tabs>
          <w:tab w:val="left" w:pos="851"/>
          <w:tab w:val="left" w:pos="8222"/>
        </w:tabs>
        <w:rPr>
          <w:b/>
          <w:sz w:val="24"/>
          <w:szCs w:val="24"/>
        </w:rPr>
      </w:pPr>
      <w:r w:rsidRPr="00A71D74">
        <w:rPr>
          <w:b/>
          <w:sz w:val="24"/>
          <w:szCs w:val="24"/>
        </w:rPr>
        <w:t>5.3</w:t>
      </w:r>
      <w:r w:rsidRPr="00A71D74">
        <w:rPr>
          <w:b/>
          <w:sz w:val="24"/>
          <w:szCs w:val="24"/>
        </w:rPr>
        <w:tab/>
        <w:t>Miljømæssige forhold</w:t>
      </w:r>
    </w:p>
    <w:p w14:paraId="628F5F9F" w14:textId="77777777" w:rsidR="00312DE6" w:rsidRPr="00A71D74" w:rsidRDefault="00312DE6" w:rsidP="00E12FB7">
      <w:pPr>
        <w:autoSpaceDE w:val="0"/>
        <w:autoSpaceDN w:val="0"/>
        <w:adjustRightInd w:val="0"/>
        <w:ind w:left="851"/>
        <w:rPr>
          <w:rFonts w:eastAsia="Calibri"/>
          <w:iCs/>
          <w:sz w:val="24"/>
          <w:szCs w:val="24"/>
        </w:rPr>
      </w:pPr>
      <w:proofErr w:type="spellStart"/>
      <w:r w:rsidRPr="00A71D74">
        <w:rPr>
          <w:rFonts w:eastAsia="Calibri"/>
          <w:iCs/>
          <w:sz w:val="24"/>
          <w:szCs w:val="24"/>
        </w:rPr>
        <w:t>Lincomycin</w:t>
      </w:r>
      <w:proofErr w:type="spellEnd"/>
      <w:r w:rsidRPr="00A71D74">
        <w:rPr>
          <w:rFonts w:eastAsia="Calibri"/>
          <w:iCs/>
          <w:sz w:val="24"/>
          <w:szCs w:val="24"/>
        </w:rPr>
        <w:t xml:space="preserve"> er toksisk for terrestriske plantearter, herunder afgrødearter som f.eks. korsblomstrede grøntsager (</w:t>
      </w:r>
      <w:proofErr w:type="spellStart"/>
      <w:r w:rsidRPr="00A71D74">
        <w:rPr>
          <w:rFonts w:eastAsia="Calibri"/>
          <w:iCs/>
          <w:sz w:val="24"/>
          <w:szCs w:val="24"/>
        </w:rPr>
        <w:t>Brassicaceae</w:t>
      </w:r>
      <w:proofErr w:type="spellEnd"/>
      <w:r w:rsidRPr="00A71D74">
        <w:rPr>
          <w:rFonts w:eastAsia="Calibri"/>
          <w:iCs/>
          <w:sz w:val="24"/>
          <w:szCs w:val="24"/>
        </w:rPr>
        <w:t>) og vandorganismer som f.eks. cyanobakterier.</w:t>
      </w:r>
    </w:p>
    <w:p w14:paraId="31544DAD" w14:textId="77777777" w:rsidR="00312DE6" w:rsidRPr="00A71D74" w:rsidRDefault="00312DE6" w:rsidP="00E12FB7">
      <w:pPr>
        <w:autoSpaceDE w:val="0"/>
        <w:autoSpaceDN w:val="0"/>
        <w:adjustRightInd w:val="0"/>
        <w:ind w:left="851"/>
        <w:rPr>
          <w:rFonts w:eastAsia="Calibri"/>
          <w:sz w:val="24"/>
          <w:szCs w:val="24"/>
        </w:rPr>
      </w:pPr>
      <w:r w:rsidRPr="00A71D74">
        <w:rPr>
          <w:rFonts w:eastAsia="Calibri"/>
          <w:iCs/>
          <w:sz w:val="24"/>
          <w:szCs w:val="24"/>
        </w:rPr>
        <w:t xml:space="preserve">Selvom </w:t>
      </w:r>
      <w:proofErr w:type="spellStart"/>
      <w:r w:rsidRPr="00A71D74">
        <w:rPr>
          <w:rFonts w:eastAsia="Calibri"/>
          <w:iCs/>
          <w:sz w:val="24"/>
          <w:szCs w:val="24"/>
        </w:rPr>
        <w:t>spectinomycin</w:t>
      </w:r>
      <w:proofErr w:type="spellEnd"/>
      <w:r w:rsidRPr="00A71D74">
        <w:rPr>
          <w:rFonts w:eastAsia="Calibri"/>
          <w:iCs/>
          <w:sz w:val="24"/>
          <w:szCs w:val="24"/>
        </w:rPr>
        <w:t xml:space="preserve"> ikke er </w:t>
      </w:r>
      <w:proofErr w:type="spellStart"/>
      <w:r w:rsidRPr="00A71D74">
        <w:rPr>
          <w:rFonts w:eastAsia="Calibri"/>
          <w:iCs/>
          <w:sz w:val="24"/>
          <w:szCs w:val="24"/>
        </w:rPr>
        <w:t>persistent</w:t>
      </w:r>
      <w:proofErr w:type="spellEnd"/>
      <w:r w:rsidRPr="00A71D74">
        <w:rPr>
          <w:rFonts w:eastAsia="Calibri"/>
          <w:iCs/>
          <w:sz w:val="24"/>
          <w:szCs w:val="24"/>
        </w:rPr>
        <w:t xml:space="preserve"> i miljøet, kan visse nedbrydningsprodukter, der produceres i miljøet fra </w:t>
      </w:r>
      <w:proofErr w:type="spellStart"/>
      <w:r w:rsidRPr="00A71D74">
        <w:rPr>
          <w:rFonts w:eastAsia="Calibri"/>
          <w:iCs/>
          <w:sz w:val="24"/>
          <w:szCs w:val="24"/>
        </w:rPr>
        <w:t>spectinomycin</w:t>
      </w:r>
      <w:proofErr w:type="spellEnd"/>
      <w:r w:rsidRPr="00A71D74">
        <w:rPr>
          <w:rFonts w:eastAsia="Calibri"/>
          <w:iCs/>
          <w:sz w:val="24"/>
          <w:szCs w:val="24"/>
        </w:rPr>
        <w:t xml:space="preserve">, blive klassificeret som </w:t>
      </w:r>
      <w:proofErr w:type="spellStart"/>
      <w:r w:rsidRPr="00A71D74">
        <w:rPr>
          <w:rFonts w:eastAsia="Calibri"/>
          <w:iCs/>
          <w:sz w:val="24"/>
          <w:szCs w:val="24"/>
        </w:rPr>
        <w:t>persistente</w:t>
      </w:r>
      <w:proofErr w:type="spellEnd"/>
      <w:r w:rsidRPr="00A71D74">
        <w:rPr>
          <w:rFonts w:eastAsia="Calibri"/>
          <w:iCs/>
          <w:sz w:val="24"/>
          <w:szCs w:val="24"/>
        </w:rPr>
        <w:t xml:space="preserve"> eller meget </w:t>
      </w:r>
      <w:proofErr w:type="spellStart"/>
      <w:r w:rsidRPr="00A71D74">
        <w:rPr>
          <w:rFonts w:eastAsia="Calibri"/>
          <w:iCs/>
          <w:sz w:val="24"/>
          <w:szCs w:val="24"/>
        </w:rPr>
        <w:t>persistente</w:t>
      </w:r>
      <w:proofErr w:type="spellEnd"/>
      <w:r w:rsidRPr="00A71D74">
        <w:rPr>
          <w:rFonts w:eastAsia="Calibri"/>
          <w:iCs/>
          <w:sz w:val="24"/>
          <w:szCs w:val="24"/>
        </w:rPr>
        <w:t>.</w:t>
      </w:r>
    </w:p>
    <w:p w14:paraId="1A999D44" w14:textId="77777777" w:rsidR="005B0036" w:rsidRPr="00A71D74" w:rsidRDefault="005B0036" w:rsidP="005B0036">
      <w:pPr>
        <w:tabs>
          <w:tab w:val="left" w:pos="8222"/>
        </w:tabs>
        <w:ind w:left="851"/>
        <w:rPr>
          <w:sz w:val="24"/>
          <w:szCs w:val="24"/>
        </w:rPr>
      </w:pPr>
    </w:p>
    <w:p w14:paraId="1232FCEB" w14:textId="77777777" w:rsidR="005B0036" w:rsidRPr="00A71D74" w:rsidRDefault="005B0036" w:rsidP="005B0036">
      <w:pPr>
        <w:tabs>
          <w:tab w:val="left" w:pos="851"/>
          <w:tab w:val="left" w:pos="8222"/>
        </w:tabs>
        <w:ind w:left="851"/>
        <w:rPr>
          <w:sz w:val="24"/>
          <w:szCs w:val="24"/>
        </w:rPr>
      </w:pPr>
    </w:p>
    <w:p w14:paraId="491D7439" w14:textId="77777777" w:rsidR="005B0036" w:rsidRPr="00A71D74" w:rsidRDefault="005B0036" w:rsidP="005B0036">
      <w:pPr>
        <w:tabs>
          <w:tab w:val="left" w:pos="8222"/>
        </w:tabs>
        <w:ind w:left="851" w:hanging="851"/>
        <w:rPr>
          <w:b/>
          <w:sz w:val="24"/>
          <w:szCs w:val="24"/>
        </w:rPr>
      </w:pPr>
      <w:r w:rsidRPr="00A71D74">
        <w:rPr>
          <w:b/>
          <w:sz w:val="24"/>
          <w:szCs w:val="24"/>
        </w:rPr>
        <w:t>6.</w:t>
      </w:r>
      <w:r w:rsidRPr="00A71D74">
        <w:rPr>
          <w:b/>
          <w:sz w:val="24"/>
          <w:szCs w:val="24"/>
        </w:rPr>
        <w:tab/>
        <w:t>FARMACEUTISKE OPLYSNINGER</w:t>
      </w:r>
    </w:p>
    <w:p w14:paraId="0A009909" w14:textId="77777777" w:rsidR="005B0036" w:rsidRPr="00A71D74" w:rsidRDefault="005B0036" w:rsidP="005B0036">
      <w:pPr>
        <w:tabs>
          <w:tab w:val="left" w:pos="851"/>
          <w:tab w:val="left" w:pos="8222"/>
        </w:tabs>
        <w:ind w:left="851"/>
        <w:rPr>
          <w:sz w:val="24"/>
          <w:szCs w:val="24"/>
        </w:rPr>
      </w:pPr>
    </w:p>
    <w:p w14:paraId="53FB9814" w14:textId="77777777" w:rsidR="005B0036" w:rsidRPr="00A71D74" w:rsidRDefault="005B0036" w:rsidP="005B0036">
      <w:pPr>
        <w:tabs>
          <w:tab w:val="left" w:pos="8222"/>
        </w:tabs>
        <w:ind w:left="851" w:hanging="851"/>
        <w:rPr>
          <w:b/>
          <w:sz w:val="24"/>
          <w:szCs w:val="24"/>
        </w:rPr>
      </w:pPr>
      <w:r w:rsidRPr="00A71D74">
        <w:rPr>
          <w:b/>
          <w:sz w:val="24"/>
          <w:szCs w:val="24"/>
        </w:rPr>
        <w:t>6.1</w:t>
      </w:r>
      <w:r w:rsidRPr="00A71D74">
        <w:rPr>
          <w:b/>
          <w:sz w:val="24"/>
          <w:szCs w:val="24"/>
        </w:rPr>
        <w:tab/>
        <w:t>Hjælpestoffer</w:t>
      </w:r>
    </w:p>
    <w:p w14:paraId="75558ED5" w14:textId="77777777" w:rsidR="00312DE6" w:rsidRPr="00A71D74" w:rsidRDefault="00312DE6" w:rsidP="00E12FB7">
      <w:pPr>
        <w:ind w:left="851"/>
        <w:rPr>
          <w:sz w:val="24"/>
          <w:szCs w:val="24"/>
        </w:rPr>
      </w:pPr>
      <w:r w:rsidRPr="00A71D74">
        <w:rPr>
          <w:sz w:val="24"/>
          <w:szCs w:val="24"/>
        </w:rPr>
        <w:t>Natriumbenzoat (E-211)</w:t>
      </w:r>
    </w:p>
    <w:p w14:paraId="6E556854" w14:textId="77777777" w:rsidR="00312DE6" w:rsidRPr="00A71D74" w:rsidRDefault="00312DE6" w:rsidP="00E12FB7">
      <w:pPr>
        <w:ind w:left="851"/>
        <w:rPr>
          <w:sz w:val="24"/>
          <w:szCs w:val="24"/>
        </w:rPr>
      </w:pPr>
      <w:proofErr w:type="spellStart"/>
      <w:r w:rsidRPr="00A71D74">
        <w:rPr>
          <w:sz w:val="24"/>
          <w:szCs w:val="24"/>
        </w:rPr>
        <w:t>Lactosemonohydrat</w:t>
      </w:r>
      <w:proofErr w:type="spellEnd"/>
    </w:p>
    <w:p w14:paraId="63D632F1" w14:textId="77777777" w:rsidR="005B0036" w:rsidRPr="00A71D74" w:rsidRDefault="005B0036" w:rsidP="005B0036">
      <w:pPr>
        <w:tabs>
          <w:tab w:val="left" w:pos="851"/>
          <w:tab w:val="left" w:pos="8222"/>
        </w:tabs>
        <w:ind w:left="851"/>
        <w:rPr>
          <w:sz w:val="24"/>
          <w:szCs w:val="24"/>
        </w:rPr>
      </w:pPr>
    </w:p>
    <w:p w14:paraId="2B6D322D" w14:textId="77777777" w:rsidR="005B0036" w:rsidRPr="00A71D74" w:rsidRDefault="005B0036" w:rsidP="005B0036">
      <w:pPr>
        <w:tabs>
          <w:tab w:val="left" w:pos="8222"/>
        </w:tabs>
        <w:ind w:left="851" w:hanging="851"/>
        <w:rPr>
          <w:b/>
          <w:sz w:val="24"/>
          <w:szCs w:val="24"/>
        </w:rPr>
      </w:pPr>
      <w:r w:rsidRPr="00A71D74">
        <w:rPr>
          <w:b/>
          <w:sz w:val="24"/>
          <w:szCs w:val="24"/>
        </w:rPr>
        <w:t>6.2</w:t>
      </w:r>
      <w:r w:rsidRPr="00A71D74">
        <w:rPr>
          <w:b/>
          <w:sz w:val="24"/>
          <w:szCs w:val="24"/>
        </w:rPr>
        <w:tab/>
        <w:t>Uforligeligheder</w:t>
      </w:r>
    </w:p>
    <w:p w14:paraId="605DE9D5" w14:textId="77777777" w:rsidR="00312DE6" w:rsidRPr="00A71D74" w:rsidRDefault="00312DE6" w:rsidP="00E12FB7">
      <w:pPr>
        <w:ind w:left="851"/>
        <w:rPr>
          <w:sz w:val="24"/>
          <w:szCs w:val="24"/>
        </w:rPr>
      </w:pPr>
      <w:r w:rsidRPr="00A71D74">
        <w:rPr>
          <w:sz w:val="24"/>
          <w:szCs w:val="24"/>
        </w:rPr>
        <w:t>Da der ikke foreligger undersøgelser vedrørende eventuelle uforligeligheder, bør dette lægemiddel ikke blandes med andre lægemidler.</w:t>
      </w:r>
    </w:p>
    <w:p w14:paraId="5B633FE6" w14:textId="77777777" w:rsidR="005B0036" w:rsidRPr="00A71D74" w:rsidRDefault="005B0036" w:rsidP="005B0036">
      <w:pPr>
        <w:tabs>
          <w:tab w:val="left" w:pos="851"/>
          <w:tab w:val="left" w:pos="8222"/>
        </w:tabs>
        <w:ind w:left="851"/>
        <w:rPr>
          <w:sz w:val="24"/>
          <w:szCs w:val="24"/>
        </w:rPr>
      </w:pPr>
    </w:p>
    <w:p w14:paraId="09972FFA" w14:textId="77777777" w:rsidR="005B0036" w:rsidRPr="00A71D74" w:rsidRDefault="005B0036" w:rsidP="005B0036">
      <w:pPr>
        <w:tabs>
          <w:tab w:val="left" w:pos="8222"/>
        </w:tabs>
        <w:ind w:left="851" w:hanging="851"/>
        <w:rPr>
          <w:b/>
          <w:sz w:val="24"/>
          <w:szCs w:val="24"/>
        </w:rPr>
      </w:pPr>
      <w:r w:rsidRPr="00A71D74">
        <w:rPr>
          <w:b/>
          <w:sz w:val="24"/>
          <w:szCs w:val="24"/>
        </w:rPr>
        <w:t>6.3</w:t>
      </w:r>
      <w:r w:rsidRPr="00A71D74">
        <w:rPr>
          <w:b/>
          <w:sz w:val="24"/>
          <w:szCs w:val="24"/>
        </w:rPr>
        <w:tab/>
        <w:t>Opbevaringstid</w:t>
      </w:r>
    </w:p>
    <w:p w14:paraId="14A3CECD" w14:textId="77777777" w:rsidR="00312DE6" w:rsidRPr="00A71D74" w:rsidRDefault="00312DE6" w:rsidP="00B31146">
      <w:pPr>
        <w:ind w:left="851" w:right="-318"/>
        <w:rPr>
          <w:sz w:val="24"/>
          <w:szCs w:val="24"/>
        </w:rPr>
      </w:pPr>
      <w:r w:rsidRPr="00A71D74">
        <w:rPr>
          <w:sz w:val="24"/>
          <w:szCs w:val="24"/>
        </w:rPr>
        <w:t>I salgspakning: 2 år.</w:t>
      </w:r>
    </w:p>
    <w:p w14:paraId="6B413B0D" w14:textId="77777777" w:rsidR="00312DE6" w:rsidRPr="00A71D74" w:rsidRDefault="00312DE6" w:rsidP="00B31146">
      <w:pPr>
        <w:ind w:left="851" w:right="-318"/>
        <w:rPr>
          <w:sz w:val="24"/>
          <w:szCs w:val="24"/>
        </w:rPr>
      </w:pPr>
      <w:r w:rsidRPr="00A71D74">
        <w:rPr>
          <w:sz w:val="24"/>
          <w:szCs w:val="24"/>
        </w:rPr>
        <w:t>Efter første åbning af den indre emballage: 6 måneder.</w:t>
      </w:r>
    </w:p>
    <w:p w14:paraId="408364D9" w14:textId="77777777" w:rsidR="00312DE6" w:rsidRPr="00A71D74" w:rsidRDefault="00312DE6" w:rsidP="00B31146">
      <w:pPr>
        <w:ind w:left="851" w:right="-318"/>
        <w:rPr>
          <w:sz w:val="24"/>
          <w:szCs w:val="24"/>
        </w:rPr>
      </w:pPr>
      <w:r w:rsidRPr="00A71D74">
        <w:rPr>
          <w:sz w:val="24"/>
          <w:szCs w:val="24"/>
        </w:rPr>
        <w:t>Efter opløsning ifølge anvisning: 24 timer.</w:t>
      </w:r>
    </w:p>
    <w:p w14:paraId="0BC0ADE1" w14:textId="77777777" w:rsidR="00312DE6" w:rsidRPr="00A71D74" w:rsidRDefault="00312DE6" w:rsidP="00B31146">
      <w:pPr>
        <w:ind w:left="851"/>
        <w:rPr>
          <w:sz w:val="24"/>
          <w:szCs w:val="24"/>
        </w:rPr>
      </w:pPr>
      <w:r w:rsidRPr="00A71D74">
        <w:rPr>
          <w:sz w:val="24"/>
          <w:szCs w:val="24"/>
        </w:rPr>
        <w:t>Medicineret drikkevand bør opfriskes eller udskiftes en gang i døgnet.</w:t>
      </w:r>
    </w:p>
    <w:p w14:paraId="255BD9A1" w14:textId="77777777" w:rsidR="005B0036" w:rsidRPr="00A71D74" w:rsidRDefault="005B0036" w:rsidP="005B0036">
      <w:pPr>
        <w:tabs>
          <w:tab w:val="left" w:pos="851"/>
          <w:tab w:val="left" w:pos="8222"/>
        </w:tabs>
        <w:ind w:left="851"/>
        <w:rPr>
          <w:sz w:val="24"/>
          <w:szCs w:val="24"/>
        </w:rPr>
      </w:pPr>
    </w:p>
    <w:p w14:paraId="4FB8AD9C" w14:textId="77777777" w:rsidR="005B0036" w:rsidRPr="00A71D74" w:rsidRDefault="005B0036" w:rsidP="005B0036">
      <w:pPr>
        <w:tabs>
          <w:tab w:val="left" w:pos="8222"/>
        </w:tabs>
        <w:ind w:left="851" w:hanging="851"/>
        <w:rPr>
          <w:b/>
          <w:sz w:val="24"/>
          <w:szCs w:val="24"/>
        </w:rPr>
      </w:pPr>
      <w:r w:rsidRPr="00A71D74">
        <w:rPr>
          <w:b/>
          <w:sz w:val="24"/>
          <w:szCs w:val="24"/>
        </w:rPr>
        <w:t>6.4</w:t>
      </w:r>
      <w:r w:rsidRPr="00A71D74">
        <w:rPr>
          <w:b/>
          <w:sz w:val="24"/>
          <w:szCs w:val="24"/>
        </w:rPr>
        <w:tab/>
        <w:t>Særlige opbevaringsforhold</w:t>
      </w:r>
    </w:p>
    <w:p w14:paraId="6FE3D601" w14:textId="77777777" w:rsidR="00312DE6" w:rsidRPr="00A71D74" w:rsidRDefault="00312DE6" w:rsidP="00B31146">
      <w:pPr>
        <w:ind w:left="851"/>
        <w:rPr>
          <w:noProof/>
          <w:sz w:val="24"/>
          <w:szCs w:val="24"/>
        </w:rPr>
      </w:pPr>
      <w:r w:rsidRPr="00A71D74">
        <w:rPr>
          <w:noProof/>
          <w:sz w:val="24"/>
          <w:szCs w:val="24"/>
        </w:rPr>
        <w:t>Dette veterinærlægemiddel kræver ingen særlige forholdsregler vedrørende opbevaringen.</w:t>
      </w:r>
    </w:p>
    <w:p w14:paraId="5AE63707" w14:textId="77777777" w:rsidR="005B0036" w:rsidRPr="00A71D74" w:rsidRDefault="005B0036" w:rsidP="005B0036">
      <w:pPr>
        <w:tabs>
          <w:tab w:val="left" w:pos="851"/>
          <w:tab w:val="left" w:pos="8222"/>
        </w:tabs>
        <w:ind w:left="851"/>
        <w:rPr>
          <w:sz w:val="24"/>
          <w:szCs w:val="24"/>
        </w:rPr>
      </w:pPr>
    </w:p>
    <w:p w14:paraId="4CD9ED12" w14:textId="77777777" w:rsidR="005B0036" w:rsidRPr="00A71D74" w:rsidRDefault="005B0036" w:rsidP="005B0036">
      <w:pPr>
        <w:tabs>
          <w:tab w:val="left" w:pos="8222"/>
        </w:tabs>
        <w:ind w:left="851" w:hanging="851"/>
        <w:rPr>
          <w:b/>
          <w:sz w:val="24"/>
          <w:szCs w:val="24"/>
        </w:rPr>
      </w:pPr>
      <w:r w:rsidRPr="00A71D74">
        <w:rPr>
          <w:b/>
          <w:sz w:val="24"/>
          <w:szCs w:val="24"/>
        </w:rPr>
        <w:t>6.5</w:t>
      </w:r>
      <w:r w:rsidRPr="00A71D74">
        <w:rPr>
          <w:b/>
          <w:sz w:val="24"/>
          <w:szCs w:val="24"/>
        </w:rPr>
        <w:tab/>
        <w:t>Emballage</w:t>
      </w:r>
    </w:p>
    <w:p w14:paraId="072A6204" w14:textId="77777777" w:rsidR="00312DE6" w:rsidRPr="00A71D74" w:rsidRDefault="00312DE6" w:rsidP="00B31146">
      <w:pPr>
        <w:autoSpaceDE w:val="0"/>
        <w:autoSpaceDN w:val="0"/>
        <w:adjustRightInd w:val="0"/>
        <w:ind w:left="851"/>
        <w:rPr>
          <w:rFonts w:eastAsia="Calibri"/>
          <w:sz w:val="24"/>
          <w:szCs w:val="24"/>
        </w:rPr>
      </w:pPr>
      <w:r w:rsidRPr="00A71D74">
        <w:rPr>
          <w:rFonts w:eastAsia="Calibri"/>
          <w:iCs/>
          <w:sz w:val="24"/>
          <w:szCs w:val="24"/>
        </w:rPr>
        <w:t xml:space="preserve">Sammensat film i tre lag bestående af polyesterfilm, aluminiumsfilm og et </w:t>
      </w:r>
      <w:proofErr w:type="spellStart"/>
      <w:r w:rsidRPr="00A71D74">
        <w:rPr>
          <w:rFonts w:eastAsia="Calibri"/>
          <w:iCs/>
          <w:sz w:val="24"/>
          <w:szCs w:val="24"/>
        </w:rPr>
        <w:t>polyethylenark</w:t>
      </w:r>
      <w:proofErr w:type="spellEnd"/>
      <w:r w:rsidRPr="00A71D74">
        <w:rPr>
          <w:rFonts w:eastAsia="Calibri"/>
          <w:iCs/>
          <w:sz w:val="24"/>
          <w:szCs w:val="24"/>
        </w:rPr>
        <w:t xml:space="preserve"> med lav massefylde samlet af et polyuretanbaseret bindemiddel, der indeholder 150 g eller 1,5 kg.</w:t>
      </w:r>
      <w:r w:rsidRPr="00A71D74">
        <w:rPr>
          <w:rFonts w:eastAsia="Calibri"/>
          <w:sz w:val="24"/>
          <w:szCs w:val="24"/>
        </w:rPr>
        <w:t xml:space="preserve"> Forseglingen udføres af termisk system.</w:t>
      </w:r>
    </w:p>
    <w:p w14:paraId="7FFEDB3D" w14:textId="77777777" w:rsidR="00312DE6" w:rsidRPr="00A71D74" w:rsidRDefault="00312DE6" w:rsidP="00B31146">
      <w:pPr>
        <w:ind w:left="851"/>
        <w:rPr>
          <w:sz w:val="24"/>
          <w:szCs w:val="24"/>
        </w:rPr>
      </w:pPr>
    </w:p>
    <w:p w14:paraId="6F2D9E4E" w14:textId="77777777" w:rsidR="00312DE6" w:rsidRPr="00A71D74" w:rsidRDefault="00312DE6" w:rsidP="00B31146">
      <w:pPr>
        <w:ind w:left="851"/>
        <w:rPr>
          <w:sz w:val="24"/>
          <w:szCs w:val="24"/>
        </w:rPr>
      </w:pPr>
      <w:r w:rsidRPr="00A71D74">
        <w:rPr>
          <w:sz w:val="24"/>
          <w:szCs w:val="24"/>
        </w:rPr>
        <w:t>Pakningsstørrelse:</w:t>
      </w:r>
    </w:p>
    <w:p w14:paraId="441F0CF3" w14:textId="77777777" w:rsidR="00312DE6" w:rsidRPr="00A71D74" w:rsidRDefault="00312DE6" w:rsidP="00B31146">
      <w:pPr>
        <w:ind w:left="851"/>
        <w:rPr>
          <w:sz w:val="24"/>
          <w:szCs w:val="24"/>
        </w:rPr>
      </w:pPr>
      <w:r w:rsidRPr="00A71D74">
        <w:rPr>
          <w:sz w:val="24"/>
          <w:szCs w:val="24"/>
        </w:rPr>
        <w:t>Poser af 150 g</w:t>
      </w:r>
    </w:p>
    <w:p w14:paraId="76408E6E" w14:textId="77777777" w:rsidR="00312DE6" w:rsidRPr="00A71D74" w:rsidRDefault="00312DE6" w:rsidP="00B31146">
      <w:pPr>
        <w:ind w:left="851"/>
        <w:rPr>
          <w:sz w:val="24"/>
          <w:szCs w:val="24"/>
        </w:rPr>
      </w:pPr>
      <w:r w:rsidRPr="00A71D74">
        <w:rPr>
          <w:sz w:val="24"/>
          <w:szCs w:val="24"/>
        </w:rPr>
        <w:t>Poser af 1,5 kg</w:t>
      </w:r>
    </w:p>
    <w:p w14:paraId="25A50F18" w14:textId="77777777" w:rsidR="00312DE6" w:rsidRPr="00A71D74" w:rsidRDefault="00312DE6" w:rsidP="00B31146">
      <w:pPr>
        <w:ind w:left="851"/>
        <w:rPr>
          <w:sz w:val="24"/>
          <w:szCs w:val="24"/>
        </w:rPr>
      </w:pPr>
    </w:p>
    <w:p w14:paraId="4840CC62" w14:textId="77777777" w:rsidR="00312DE6" w:rsidRPr="00A71D74" w:rsidRDefault="00312DE6" w:rsidP="00B31146">
      <w:pPr>
        <w:ind w:left="851"/>
        <w:rPr>
          <w:sz w:val="24"/>
          <w:szCs w:val="24"/>
        </w:rPr>
      </w:pPr>
      <w:r w:rsidRPr="00A71D74">
        <w:rPr>
          <w:sz w:val="24"/>
          <w:szCs w:val="24"/>
        </w:rPr>
        <w:t>Ikke alle pakningsstørrelser er nødvendigvis markedsført.</w:t>
      </w:r>
    </w:p>
    <w:p w14:paraId="4D5263C3" w14:textId="77777777" w:rsidR="005B0036" w:rsidRPr="00A71D74" w:rsidRDefault="005B0036" w:rsidP="005B0036">
      <w:pPr>
        <w:tabs>
          <w:tab w:val="left" w:pos="851"/>
          <w:tab w:val="left" w:pos="8222"/>
        </w:tabs>
        <w:ind w:left="851"/>
        <w:rPr>
          <w:sz w:val="24"/>
          <w:szCs w:val="24"/>
        </w:rPr>
      </w:pPr>
    </w:p>
    <w:p w14:paraId="6CCA1225" w14:textId="77777777" w:rsidR="005B0036" w:rsidRPr="00A71D74" w:rsidRDefault="005B0036" w:rsidP="005B0036">
      <w:pPr>
        <w:tabs>
          <w:tab w:val="left" w:pos="851"/>
          <w:tab w:val="left" w:pos="8222"/>
        </w:tabs>
        <w:ind w:left="851" w:hanging="851"/>
        <w:rPr>
          <w:b/>
          <w:sz w:val="24"/>
          <w:szCs w:val="24"/>
        </w:rPr>
      </w:pPr>
      <w:r w:rsidRPr="00A71D74">
        <w:rPr>
          <w:b/>
          <w:sz w:val="24"/>
          <w:szCs w:val="24"/>
        </w:rPr>
        <w:t>6.6</w:t>
      </w:r>
      <w:r w:rsidRPr="00A71D74">
        <w:rPr>
          <w:b/>
          <w:sz w:val="24"/>
          <w:szCs w:val="24"/>
        </w:rPr>
        <w:tab/>
        <w:t>Særlige forholdsregler ved bortskaffelse af rester af lægemidlet eller affald</w:t>
      </w:r>
    </w:p>
    <w:p w14:paraId="76BB0A58" w14:textId="77777777" w:rsidR="00312DE6" w:rsidRPr="00A71D74" w:rsidRDefault="00312DE6" w:rsidP="00B31146">
      <w:pPr>
        <w:ind w:left="851" w:right="-318"/>
        <w:rPr>
          <w:sz w:val="24"/>
          <w:szCs w:val="24"/>
        </w:rPr>
      </w:pPr>
      <w:r w:rsidRPr="00A71D74">
        <w:rPr>
          <w:sz w:val="24"/>
          <w:szCs w:val="24"/>
        </w:rPr>
        <w:t>Ikke anvendte veterinærlægemidler, samt affald heraf bør destrueres i henhold til lokale retningslinjer.</w:t>
      </w:r>
    </w:p>
    <w:p w14:paraId="0088D938" w14:textId="77777777" w:rsidR="00312DE6" w:rsidRPr="00A71D74" w:rsidRDefault="00312DE6" w:rsidP="00B31146">
      <w:pPr>
        <w:ind w:left="851" w:right="-318"/>
        <w:rPr>
          <w:sz w:val="24"/>
          <w:szCs w:val="24"/>
        </w:rPr>
      </w:pPr>
    </w:p>
    <w:p w14:paraId="1D01E794" w14:textId="77777777" w:rsidR="00312DE6" w:rsidRPr="00A71D74" w:rsidRDefault="00312DE6" w:rsidP="00B31146">
      <w:pPr>
        <w:ind w:left="851" w:right="-318"/>
        <w:rPr>
          <w:iCs/>
          <w:sz w:val="24"/>
          <w:szCs w:val="24"/>
        </w:rPr>
      </w:pPr>
      <w:proofErr w:type="spellStart"/>
      <w:r w:rsidRPr="00A71D74">
        <w:rPr>
          <w:iCs/>
          <w:sz w:val="24"/>
          <w:szCs w:val="24"/>
        </w:rPr>
        <w:lastRenderedPageBreak/>
        <w:t>Lincomycin</w:t>
      </w:r>
      <w:proofErr w:type="spellEnd"/>
      <w:r w:rsidRPr="00A71D74">
        <w:rPr>
          <w:iCs/>
          <w:sz w:val="24"/>
          <w:szCs w:val="24"/>
        </w:rPr>
        <w:t xml:space="preserve"> er toksisk for vandorganismer (som f.eks. cyanobakterier). Undlad at kontaminere overfladevand eller grøfter med veterinærlægemidlet eller brugt beholder for at undgå bivirkninger hos vandorganismer.</w:t>
      </w:r>
    </w:p>
    <w:p w14:paraId="35825A36" w14:textId="77777777" w:rsidR="005B0036" w:rsidRPr="00A71D74" w:rsidRDefault="005B0036" w:rsidP="005B0036">
      <w:pPr>
        <w:tabs>
          <w:tab w:val="left" w:pos="851"/>
          <w:tab w:val="left" w:pos="8222"/>
        </w:tabs>
        <w:ind w:left="851"/>
        <w:rPr>
          <w:sz w:val="24"/>
          <w:szCs w:val="24"/>
        </w:rPr>
      </w:pPr>
    </w:p>
    <w:p w14:paraId="64CBA2C8" w14:textId="77777777" w:rsidR="005B0036" w:rsidRPr="00A71D74" w:rsidRDefault="005B0036" w:rsidP="005B0036">
      <w:pPr>
        <w:tabs>
          <w:tab w:val="left" w:pos="851"/>
          <w:tab w:val="left" w:pos="8222"/>
        </w:tabs>
        <w:ind w:left="851" w:hanging="851"/>
        <w:rPr>
          <w:b/>
          <w:sz w:val="24"/>
          <w:szCs w:val="24"/>
        </w:rPr>
      </w:pPr>
      <w:r w:rsidRPr="00A71D74">
        <w:rPr>
          <w:b/>
          <w:sz w:val="24"/>
          <w:szCs w:val="24"/>
        </w:rPr>
        <w:t>7.</w:t>
      </w:r>
      <w:r w:rsidRPr="00A71D74">
        <w:rPr>
          <w:b/>
          <w:sz w:val="24"/>
          <w:szCs w:val="24"/>
        </w:rPr>
        <w:tab/>
        <w:t>INDEHAVER AF MARKEDSFØRINGSTILLADELSEN</w:t>
      </w:r>
    </w:p>
    <w:p w14:paraId="0CCD3B2B" w14:textId="77777777" w:rsidR="00312DE6" w:rsidRPr="00A71D74" w:rsidRDefault="00312DE6" w:rsidP="00B31146">
      <w:pPr>
        <w:ind w:left="851"/>
        <w:rPr>
          <w:bCs/>
          <w:sz w:val="24"/>
          <w:szCs w:val="24"/>
        </w:rPr>
      </w:pPr>
      <w:proofErr w:type="spellStart"/>
      <w:r w:rsidRPr="00A71D74">
        <w:rPr>
          <w:bCs/>
          <w:sz w:val="24"/>
          <w:szCs w:val="24"/>
        </w:rPr>
        <w:t>Laboratorios</w:t>
      </w:r>
      <w:proofErr w:type="spellEnd"/>
      <w:r w:rsidRPr="00A71D74">
        <w:rPr>
          <w:bCs/>
          <w:sz w:val="24"/>
          <w:szCs w:val="24"/>
        </w:rPr>
        <w:t xml:space="preserve"> </w:t>
      </w:r>
      <w:proofErr w:type="spellStart"/>
      <w:r w:rsidRPr="00A71D74">
        <w:rPr>
          <w:bCs/>
          <w:sz w:val="24"/>
          <w:szCs w:val="24"/>
        </w:rPr>
        <w:t>Maymó</w:t>
      </w:r>
      <w:proofErr w:type="spellEnd"/>
      <w:r w:rsidRPr="00A71D74">
        <w:rPr>
          <w:bCs/>
          <w:sz w:val="24"/>
          <w:szCs w:val="24"/>
        </w:rPr>
        <w:t>, S.A</w:t>
      </w:r>
    </w:p>
    <w:p w14:paraId="3863A435" w14:textId="77777777" w:rsidR="00312DE6" w:rsidRPr="00A71D74" w:rsidRDefault="00312DE6" w:rsidP="00B31146">
      <w:pPr>
        <w:ind w:left="851"/>
        <w:rPr>
          <w:bCs/>
          <w:sz w:val="24"/>
          <w:szCs w:val="24"/>
        </w:rPr>
      </w:pPr>
      <w:proofErr w:type="spellStart"/>
      <w:r w:rsidRPr="00A71D74">
        <w:rPr>
          <w:bCs/>
          <w:sz w:val="24"/>
          <w:szCs w:val="24"/>
        </w:rPr>
        <w:t>Vía</w:t>
      </w:r>
      <w:proofErr w:type="spellEnd"/>
      <w:r w:rsidRPr="00A71D74">
        <w:rPr>
          <w:bCs/>
          <w:sz w:val="24"/>
          <w:szCs w:val="24"/>
        </w:rPr>
        <w:t xml:space="preserve"> Augusta, 302</w:t>
      </w:r>
    </w:p>
    <w:p w14:paraId="619F58F2" w14:textId="77777777" w:rsidR="00312DE6" w:rsidRPr="00A71D74" w:rsidRDefault="00312DE6" w:rsidP="00B31146">
      <w:pPr>
        <w:ind w:left="851"/>
        <w:rPr>
          <w:bCs/>
          <w:sz w:val="24"/>
          <w:szCs w:val="24"/>
        </w:rPr>
      </w:pPr>
      <w:r w:rsidRPr="00A71D74">
        <w:rPr>
          <w:bCs/>
          <w:sz w:val="24"/>
          <w:szCs w:val="24"/>
        </w:rPr>
        <w:t xml:space="preserve">08017 Barcelona </w:t>
      </w:r>
    </w:p>
    <w:p w14:paraId="392437FF" w14:textId="77777777" w:rsidR="00312DE6" w:rsidRPr="00A71D74" w:rsidRDefault="00312DE6" w:rsidP="00B31146">
      <w:pPr>
        <w:tabs>
          <w:tab w:val="left" w:pos="1304"/>
        </w:tabs>
        <w:ind w:left="851" w:right="-318"/>
        <w:rPr>
          <w:sz w:val="24"/>
          <w:szCs w:val="24"/>
        </w:rPr>
      </w:pPr>
      <w:r w:rsidRPr="00A71D74">
        <w:rPr>
          <w:sz w:val="24"/>
          <w:szCs w:val="24"/>
        </w:rPr>
        <w:t>Spanien</w:t>
      </w:r>
    </w:p>
    <w:p w14:paraId="2E368BB9" w14:textId="77777777" w:rsidR="005B0036" w:rsidRPr="00A71D74" w:rsidRDefault="005B0036" w:rsidP="005B0036">
      <w:pPr>
        <w:tabs>
          <w:tab w:val="left" w:pos="851"/>
          <w:tab w:val="left" w:pos="8222"/>
        </w:tabs>
        <w:ind w:left="851"/>
        <w:rPr>
          <w:sz w:val="24"/>
          <w:szCs w:val="24"/>
        </w:rPr>
      </w:pPr>
    </w:p>
    <w:p w14:paraId="7D9B030F" w14:textId="77777777" w:rsidR="005B0036" w:rsidRPr="00A71D74" w:rsidRDefault="005B0036" w:rsidP="005B0036">
      <w:pPr>
        <w:tabs>
          <w:tab w:val="left" w:pos="8222"/>
        </w:tabs>
        <w:ind w:left="851" w:hanging="851"/>
        <w:rPr>
          <w:b/>
          <w:sz w:val="24"/>
          <w:szCs w:val="24"/>
        </w:rPr>
      </w:pPr>
      <w:r w:rsidRPr="00A71D74">
        <w:rPr>
          <w:b/>
          <w:sz w:val="24"/>
          <w:szCs w:val="24"/>
        </w:rPr>
        <w:t>8.</w:t>
      </w:r>
      <w:r w:rsidRPr="00A71D74">
        <w:rPr>
          <w:b/>
          <w:sz w:val="24"/>
          <w:szCs w:val="24"/>
        </w:rPr>
        <w:tab/>
        <w:t>MARKEDSFØRINGSTILLADELSESNUMMER (NUMRE)</w:t>
      </w:r>
    </w:p>
    <w:p w14:paraId="3ED141E6" w14:textId="2EA71B1B" w:rsidR="005B0036" w:rsidRPr="00A71D74" w:rsidRDefault="00985B1D" w:rsidP="005B0036">
      <w:pPr>
        <w:tabs>
          <w:tab w:val="left" w:pos="851"/>
          <w:tab w:val="left" w:pos="8222"/>
        </w:tabs>
        <w:ind w:left="851"/>
        <w:rPr>
          <w:sz w:val="24"/>
          <w:szCs w:val="24"/>
        </w:rPr>
      </w:pPr>
      <w:r w:rsidRPr="00A71D74">
        <w:rPr>
          <w:sz w:val="24"/>
          <w:szCs w:val="24"/>
        </w:rPr>
        <w:t>63078</w:t>
      </w:r>
    </w:p>
    <w:p w14:paraId="7CD9DA4F" w14:textId="77777777" w:rsidR="005B0036" w:rsidRPr="00A71D74" w:rsidRDefault="005B0036" w:rsidP="005B0036">
      <w:pPr>
        <w:tabs>
          <w:tab w:val="left" w:pos="851"/>
          <w:tab w:val="left" w:pos="8222"/>
        </w:tabs>
        <w:ind w:left="851"/>
        <w:rPr>
          <w:sz w:val="24"/>
          <w:szCs w:val="24"/>
        </w:rPr>
      </w:pPr>
    </w:p>
    <w:p w14:paraId="4C990D06" w14:textId="77777777" w:rsidR="005B0036" w:rsidRPr="00A71D74" w:rsidRDefault="005B0036" w:rsidP="005B0036">
      <w:pPr>
        <w:tabs>
          <w:tab w:val="left" w:pos="851"/>
          <w:tab w:val="left" w:pos="8222"/>
        </w:tabs>
        <w:rPr>
          <w:b/>
          <w:sz w:val="24"/>
          <w:szCs w:val="24"/>
        </w:rPr>
      </w:pPr>
      <w:r w:rsidRPr="00A71D74">
        <w:rPr>
          <w:b/>
          <w:sz w:val="24"/>
          <w:szCs w:val="24"/>
        </w:rPr>
        <w:t>9.</w:t>
      </w:r>
      <w:r w:rsidRPr="00A71D74">
        <w:rPr>
          <w:b/>
          <w:sz w:val="24"/>
          <w:szCs w:val="24"/>
        </w:rPr>
        <w:tab/>
        <w:t>DATO FOR FØRSTE MARKEDSFØRINGSTILLADELSE</w:t>
      </w:r>
    </w:p>
    <w:p w14:paraId="269570A1" w14:textId="7961A813" w:rsidR="005B0036" w:rsidRPr="00A71D74" w:rsidRDefault="005B7553" w:rsidP="005B0036">
      <w:pPr>
        <w:tabs>
          <w:tab w:val="left" w:pos="851"/>
          <w:tab w:val="left" w:pos="8222"/>
        </w:tabs>
        <w:ind w:left="851"/>
        <w:rPr>
          <w:sz w:val="24"/>
          <w:szCs w:val="24"/>
        </w:rPr>
      </w:pPr>
      <w:r>
        <w:rPr>
          <w:sz w:val="24"/>
          <w:szCs w:val="24"/>
        </w:rPr>
        <w:t>23. juni 2020</w:t>
      </w:r>
    </w:p>
    <w:p w14:paraId="4E0E94F9" w14:textId="77777777" w:rsidR="005B0036" w:rsidRPr="00A71D74" w:rsidRDefault="005B0036" w:rsidP="005B0036">
      <w:pPr>
        <w:tabs>
          <w:tab w:val="left" w:pos="851"/>
          <w:tab w:val="left" w:pos="8222"/>
        </w:tabs>
        <w:ind w:left="851"/>
        <w:rPr>
          <w:sz w:val="24"/>
          <w:szCs w:val="24"/>
        </w:rPr>
      </w:pPr>
    </w:p>
    <w:p w14:paraId="2075EF0C" w14:textId="77777777" w:rsidR="005B0036" w:rsidRPr="00A71D74" w:rsidRDefault="005B0036" w:rsidP="005B0036">
      <w:pPr>
        <w:tabs>
          <w:tab w:val="left" w:pos="851"/>
          <w:tab w:val="left" w:pos="8222"/>
        </w:tabs>
        <w:ind w:left="851" w:hanging="851"/>
        <w:rPr>
          <w:b/>
          <w:sz w:val="24"/>
          <w:szCs w:val="24"/>
        </w:rPr>
      </w:pPr>
      <w:r w:rsidRPr="00A71D74">
        <w:rPr>
          <w:b/>
          <w:sz w:val="24"/>
          <w:szCs w:val="24"/>
        </w:rPr>
        <w:t>10.</w:t>
      </w:r>
      <w:r w:rsidRPr="00A71D74">
        <w:rPr>
          <w:b/>
          <w:sz w:val="24"/>
          <w:szCs w:val="24"/>
        </w:rPr>
        <w:tab/>
        <w:t>DATO FOR ÆNDRING AF TEKSTEN</w:t>
      </w:r>
    </w:p>
    <w:p w14:paraId="676069FC" w14:textId="5057EC79" w:rsidR="005B0036" w:rsidRPr="00A71D74" w:rsidRDefault="00985B1D" w:rsidP="005B0036">
      <w:pPr>
        <w:tabs>
          <w:tab w:val="left" w:pos="851"/>
          <w:tab w:val="left" w:pos="8222"/>
        </w:tabs>
        <w:ind w:left="851"/>
        <w:rPr>
          <w:sz w:val="24"/>
          <w:szCs w:val="24"/>
        </w:rPr>
      </w:pPr>
      <w:r w:rsidRPr="00A71D74">
        <w:rPr>
          <w:sz w:val="24"/>
          <w:szCs w:val="24"/>
        </w:rPr>
        <w:t>-</w:t>
      </w:r>
    </w:p>
    <w:p w14:paraId="78CEE573" w14:textId="77777777" w:rsidR="005B0036" w:rsidRPr="00A71D74" w:rsidRDefault="005B0036" w:rsidP="005B0036">
      <w:pPr>
        <w:tabs>
          <w:tab w:val="left" w:pos="851"/>
          <w:tab w:val="left" w:pos="8222"/>
        </w:tabs>
        <w:ind w:left="851"/>
        <w:rPr>
          <w:sz w:val="24"/>
          <w:szCs w:val="24"/>
        </w:rPr>
      </w:pPr>
    </w:p>
    <w:p w14:paraId="3445651D" w14:textId="77777777" w:rsidR="005B0036" w:rsidRPr="00A71D74" w:rsidRDefault="005B0036" w:rsidP="005B0036">
      <w:pPr>
        <w:tabs>
          <w:tab w:val="left" w:pos="851"/>
          <w:tab w:val="left" w:pos="8222"/>
        </w:tabs>
        <w:rPr>
          <w:b/>
          <w:sz w:val="24"/>
          <w:szCs w:val="24"/>
        </w:rPr>
      </w:pPr>
      <w:r w:rsidRPr="00A71D74">
        <w:rPr>
          <w:b/>
          <w:sz w:val="24"/>
          <w:szCs w:val="24"/>
        </w:rPr>
        <w:t>11.</w:t>
      </w:r>
      <w:r w:rsidRPr="00A71D74">
        <w:rPr>
          <w:b/>
          <w:sz w:val="24"/>
          <w:szCs w:val="24"/>
        </w:rPr>
        <w:tab/>
        <w:t>UDLEVERINGSBESTEMMELSE</w:t>
      </w:r>
    </w:p>
    <w:p w14:paraId="1D35BE2C" w14:textId="3E2C7F44" w:rsidR="0003527F" w:rsidRPr="00A71D74" w:rsidRDefault="00312DE6" w:rsidP="00020505">
      <w:pPr>
        <w:pStyle w:val="Sidehoved"/>
        <w:tabs>
          <w:tab w:val="clear" w:pos="4819"/>
          <w:tab w:val="left" w:pos="851"/>
          <w:tab w:val="left" w:pos="8222"/>
        </w:tabs>
        <w:ind w:left="851"/>
        <w:rPr>
          <w:szCs w:val="24"/>
        </w:rPr>
      </w:pPr>
      <w:r w:rsidRPr="00A71D74">
        <w:rPr>
          <w:szCs w:val="24"/>
        </w:rPr>
        <w:t>BP</w:t>
      </w:r>
    </w:p>
    <w:sectPr w:rsidR="0003527F" w:rsidRPr="00A71D7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518F2" w14:textId="77777777" w:rsidR="001423B1" w:rsidRDefault="001423B1">
      <w:r>
        <w:separator/>
      </w:r>
    </w:p>
  </w:endnote>
  <w:endnote w:type="continuationSeparator" w:id="0">
    <w:p w14:paraId="590992D4" w14:textId="77777777" w:rsidR="001423B1" w:rsidRDefault="0014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D6262" w14:textId="77777777" w:rsidR="004A62CC" w:rsidRDefault="004A62CC">
    <w:pPr>
      <w:pStyle w:val="Sidefod"/>
      <w:pBdr>
        <w:bottom w:val="single" w:sz="6" w:space="1" w:color="auto"/>
      </w:pBdr>
      <w:tabs>
        <w:tab w:val="clear" w:pos="4819"/>
        <w:tab w:val="left" w:pos="8647"/>
      </w:tabs>
      <w:rPr>
        <w:i/>
        <w:snapToGrid w:val="0"/>
        <w:sz w:val="18"/>
      </w:rPr>
    </w:pPr>
  </w:p>
  <w:p w14:paraId="43B43785" w14:textId="77777777" w:rsidR="004A62CC" w:rsidRDefault="004A62CC">
    <w:pPr>
      <w:pStyle w:val="Sidefod"/>
      <w:tabs>
        <w:tab w:val="clear" w:pos="4819"/>
        <w:tab w:val="left" w:pos="8647"/>
      </w:tabs>
      <w:rPr>
        <w:i/>
        <w:snapToGrid w:val="0"/>
        <w:sz w:val="18"/>
      </w:rPr>
    </w:pPr>
  </w:p>
  <w:p w14:paraId="73C2D523" w14:textId="5F2A31A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060A7">
      <w:rPr>
        <w:i/>
        <w:noProof/>
        <w:snapToGrid w:val="0"/>
        <w:sz w:val="18"/>
      </w:rPr>
      <w:t>Lismay, pulver til anvendelse i drikkevand 444,7+222,0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176B2" w14:textId="77777777" w:rsidR="004A62CC" w:rsidRDefault="004A62CC">
    <w:pPr>
      <w:pStyle w:val="Sidefod"/>
      <w:pBdr>
        <w:bottom w:val="single" w:sz="6" w:space="1" w:color="auto"/>
      </w:pBdr>
      <w:tabs>
        <w:tab w:val="clear" w:pos="4819"/>
        <w:tab w:val="left" w:pos="8647"/>
      </w:tabs>
      <w:rPr>
        <w:i/>
        <w:snapToGrid w:val="0"/>
        <w:sz w:val="18"/>
      </w:rPr>
    </w:pPr>
  </w:p>
  <w:p w14:paraId="43A35AFD" w14:textId="77777777" w:rsidR="004A62CC" w:rsidRDefault="004A62CC">
    <w:pPr>
      <w:pStyle w:val="Sidefod"/>
      <w:tabs>
        <w:tab w:val="clear" w:pos="4819"/>
        <w:tab w:val="left" w:pos="8647"/>
      </w:tabs>
      <w:rPr>
        <w:i/>
        <w:snapToGrid w:val="0"/>
        <w:sz w:val="18"/>
      </w:rPr>
    </w:pPr>
  </w:p>
  <w:p w14:paraId="6CE66AF5"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423B1">
      <w:rPr>
        <w:i/>
        <w:noProof/>
        <w:snapToGrid w:val="0"/>
        <w:sz w:val="18"/>
      </w:rPr>
      <w:t>Dokument1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0D6D0" w14:textId="77777777" w:rsidR="001423B1" w:rsidRDefault="001423B1">
      <w:r>
        <w:separator/>
      </w:r>
    </w:p>
  </w:footnote>
  <w:footnote w:type="continuationSeparator" w:id="0">
    <w:p w14:paraId="23A6CC82" w14:textId="77777777" w:rsidR="001423B1" w:rsidRDefault="00142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380D1"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530"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47D9D"/>
    <w:multiLevelType w:val="hybridMultilevel"/>
    <w:tmpl w:val="8A404192"/>
    <w:lvl w:ilvl="0" w:tplc="B87041CC">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29770140"/>
    <w:multiLevelType w:val="hybridMultilevel"/>
    <w:tmpl w:val="546E63FC"/>
    <w:lvl w:ilvl="0" w:tplc="110EC2C2">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30C0FDE"/>
    <w:multiLevelType w:val="hybridMultilevel"/>
    <w:tmpl w:val="BA4A3A5E"/>
    <w:lvl w:ilvl="0" w:tplc="B87041C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B1"/>
    <w:rsid w:val="00003D9C"/>
    <w:rsid w:val="00020505"/>
    <w:rsid w:val="0003527F"/>
    <w:rsid w:val="00065C7D"/>
    <w:rsid w:val="000C4A23"/>
    <w:rsid w:val="000C6CD4"/>
    <w:rsid w:val="001423B1"/>
    <w:rsid w:val="001577E4"/>
    <w:rsid w:val="001858CA"/>
    <w:rsid w:val="00185F44"/>
    <w:rsid w:val="001C4AEF"/>
    <w:rsid w:val="001D3CC5"/>
    <w:rsid w:val="00276769"/>
    <w:rsid w:val="002E5512"/>
    <w:rsid w:val="003060A7"/>
    <w:rsid w:val="00312DE6"/>
    <w:rsid w:val="00322BDE"/>
    <w:rsid w:val="00406EE7"/>
    <w:rsid w:val="00407013"/>
    <w:rsid w:val="004A62CC"/>
    <w:rsid w:val="00524F77"/>
    <w:rsid w:val="00565A74"/>
    <w:rsid w:val="005B0036"/>
    <w:rsid w:val="005B7553"/>
    <w:rsid w:val="005F5831"/>
    <w:rsid w:val="00662012"/>
    <w:rsid w:val="00666B01"/>
    <w:rsid w:val="006B1539"/>
    <w:rsid w:val="006B7770"/>
    <w:rsid w:val="006F5621"/>
    <w:rsid w:val="00745D2E"/>
    <w:rsid w:val="007E2A00"/>
    <w:rsid w:val="008010F2"/>
    <w:rsid w:val="009202AE"/>
    <w:rsid w:val="00985B1D"/>
    <w:rsid w:val="009D66C6"/>
    <w:rsid w:val="00A30BB4"/>
    <w:rsid w:val="00A643AF"/>
    <w:rsid w:val="00A71D74"/>
    <w:rsid w:val="00A8421A"/>
    <w:rsid w:val="00A96525"/>
    <w:rsid w:val="00AE29E5"/>
    <w:rsid w:val="00AE5757"/>
    <w:rsid w:val="00B25EB8"/>
    <w:rsid w:val="00B31146"/>
    <w:rsid w:val="00B55558"/>
    <w:rsid w:val="00BC634B"/>
    <w:rsid w:val="00BF2AE0"/>
    <w:rsid w:val="00C479BF"/>
    <w:rsid w:val="00D67C50"/>
    <w:rsid w:val="00DD6D71"/>
    <w:rsid w:val="00DF32BE"/>
    <w:rsid w:val="00E12FB7"/>
    <w:rsid w:val="00E14F0A"/>
    <w:rsid w:val="00EB5778"/>
    <w:rsid w:val="00EE5253"/>
    <w:rsid w:val="00F23170"/>
    <w:rsid w:val="00FA66E4"/>
    <w:rsid w:val="00FC3DBD"/>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E5F17"/>
  <w15:chartTrackingRefBased/>
  <w15:docId w15:val="{FA9746C9-B02C-41F8-81E0-F5F330D4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F23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62509">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04216241">
      <w:bodyDiv w:val="1"/>
      <w:marLeft w:val="0"/>
      <w:marRight w:val="0"/>
      <w:marTop w:val="0"/>
      <w:marBottom w:val="0"/>
      <w:divBdr>
        <w:top w:val="none" w:sz="0" w:space="0" w:color="auto"/>
        <w:left w:val="none" w:sz="0" w:space="0" w:color="auto"/>
        <w:bottom w:val="none" w:sz="0" w:space="0" w:color="auto"/>
        <w:right w:val="none" w:sz="0" w:space="0" w:color="auto"/>
      </w:divBdr>
    </w:div>
    <w:div w:id="386563752">
      <w:bodyDiv w:val="1"/>
      <w:marLeft w:val="0"/>
      <w:marRight w:val="0"/>
      <w:marTop w:val="0"/>
      <w:marBottom w:val="0"/>
      <w:divBdr>
        <w:top w:val="none" w:sz="0" w:space="0" w:color="auto"/>
        <w:left w:val="none" w:sz="0" w:space="0" w:color="auto"/>
        <w:bottom w:val="none" w:sz="0" w:space="0" w:color="auto"/>
        <w:right w:val="none" w:sz="0" w:space="0" w:color="auto"/>
      </w:divBdr>
    </w:div>
    <w:div w:id="436095881">
      <w:bodyDiv w:val="1"/>
      <w:marLeft w:val="0"/>
      <w:marRight w:val="0"/>
      <w:marTop w:val="0"/>
      <w:marBottom w:val="0"/>
      <w:divBdr>
        <w:top w:val="none" w:sz="0" w:space="0" w:color="auto"/>
        <w:left w:val="none" w:sz="0" w:space="0" w:color="auto"/>
        <w:bottom w:val="none" w:sz="0" w:space="0" w:color="auto"/>
        <w:right w:val="none" w:sz="0" w:space="0" w:color="auto"/>
      </w:divBdr>
    </w:div>
    <w:div w:id="490103766">
      <w:bodyDiv w:val="1"/>
      <w:marLeft w:val="0"/>
      <w:marRight w:val="0"/>
      <w:marTop w:val="0"/>
      <w:marBottom w:val="0"/>
      <w:divBdr>
        <w:top w:val="none" w:sz="0" w:space="0" w:color="auto"/>
        <w:left w:val="none" w:sz="0" w:space="0" w:color="auto"/>
        <w:bottom w:val="none" w:sz="0" w:space="0" w:color="auto"/>
        <w:right w:val="none" w:sz="0" w:space="0" w:color="auto"/>
      </w:divBdr>
    </w:div>
    <w:div w:id="614562635">
      <w:bodyDiv w:val="1"/>
      <w:marLeft w:val="0"/>
      <w:marRight w:val="0"/>
      <w:marTop w:val="0"/>
      <w:marBottom w:val="0"/>
      <w:divBdr>
        <w:top w:val="none" w:sz="0" w:space="0" w:color="auto"/>
        <w:left w:val="none" w:sz="0" w:space="0" w:color="auto"/>
        <w:bottom w:val="none" w:sz="0" w:space="0" w:color="auto"/>
        <w:right w:val="none" w:sz="0" w:space="0" w:color="auto"/>
      </w:divBdr>
    </w:div>
    <w:div w:id="686753043">
      <w:bodyDiv w:val="1"/>
      <w:marLeft w:val="0"/>
      <w:marRight w:val="0"/>
      <w:marTop w:val="0"/>
      <w:marBottom w:val="0"/>
      <w:divBdr>
        <w:top w:val="none" w:sz="0" w:space="0" w:color="auto"/>
        <w:left w:val="none" w:sz="0" w:space="0" w:color="auto"/>
        <w:bottom w:val="none" w:sz="0" w:space="0" w:color="auto"/>
        <w:right w:val="none" w:sz="0" w:space="0" w:color="auto"/>
      </w:divBdr>
    </w:div>
    <w:div w:id="926110182">
      <w:bodyDiv w:val="1"/>
      <w:marLeft w:val="0"/>
      <w:marRight w:val="0"/>
      <w:marTop w:val="0"/>
      <w:marBottom w:val="0"/>
      <w:divBdr>
        <w:top w:val="none" w:sz="0" w:space="0" w:color="auto"/>
        <w:left w:val="none" w:sz="0" w:space="0" w:color="auto"/>
        <w:bottom w:val="none" w:sz="0" w:space="0" w:color="auto"/>
        <w:right w:val="none" w:sz="0" w:space="0" w:color="auto"/>
      </w:divBdr>
    </w:div>
    <w:div w:id="1100368281">
      <w:bodyDiv w:val="1"/>
      <w:marLeft w:val="0"/>
      <w:marRight w:val="0"/>
      <w:marTop w:val="0"/>
      <w:marBottom w:val="0"/>
      <w:divBdr>
        <w:top w:val="none" w:sz="0" w:space="0" w:color="auto"/>
        <w:left w:val="none" w:sz="0" w:space="0" w:color="auto"/>
        <w:bottom w:val="none" w:sz="0" w:space="0" w:color="auto"/>
        <w:right w:val="none" w:sz="0" w:space="0" w:color="auto"/>
      </w:divBdr>
    </w:div>
    <w:div w:id="1271158716">
      <w:bodyDiv w:val="1"/>
      <w:marLeft w:val="0"/>
      <w:marRight w:val="0"/>
      <w:marTop w:val="0"/>
      <w:marBottom w:val="0"/>
      <w:divBdr>
        <w:top w:val="none" w:sz="0" w:space="0" w:color="auto"/>
        <w:left w:val="none" w:sz="0" w:space="0" w:color="auto"/>
        <w:bottom w:val="none" w:sz="0" w:space="0" w:color="auto"/>
        <w:right w:val="none" w:sz="0" w:space="0" w:color="auto"/>
      </w:divBdr>
    </w:div>
    <w:div w:id="1289118386">
      <w:bodyDiv w:val="1"/>
      <w:marLeft w:val="0"/>
      <w:marRight w:val="0"/>
      <w:marTop w:val="0"/>
      <w:marBottom w:val="0"/>
      <w:divBdr>
        <w:top w:val="none" w:sz="0" w:space="0" w:color="auto"/>
        <w:left w:val="none" w:sz="0" w:space="0" w:color="auto"/>
        <w:bottom w:val="none" w:sz="0" w:space="0" w:color="auto"/>
        <w:right w:val="none" w:sz="0" w:space="0" w:color="auto"/>
      </w:divBdr>
    </w:div>
    <w:div w:id="1315379289">
      <w:bodyDiv w:val="1"/>
      <w:marLeft w:val="0"/>
      <w:marRight w:val="0"/>
      <w:marTop w:val="0"/>
      <w:marBottom w:val="0"/>
      <w:divBdr>
        <w:top w:val="none" w:sz="0" w:space="0" w:color="auto"/>
        <w:left w:val="none" w:sz="0" w:space="0" w:color="auto"/>
        <w:bottom w:val="none" w:sz="0" w:space="0" w:color="auto"/>
        <w:right w:val="none" w:sz="0" w:space="0" w:color="auto"/>
      </w:divBdr>
    </w:div>
    <w:div w:id="1348871800">
      <w:bodyDiv w:val="1"/>
      <w:marLeft w:val="0"/>
      <w:marRight w:val="0"/>
      <w:marTop w:val="0"/>
      <w:marBottom w:val="0"/>
      <w:divBdr>
        <w:top w:val="none" w:sz="0" w:space="0" w:color="auto"/>
        <w:left w:val="none" w:sz="0" w:space="0" w:color="auto"/>
        <w:bottom w:val="none" w:sz="0" w:space="0" w:color="auto"/>
        <w:right w:val="none" w:sz="0" w:space="0" w:color="auto"/>
      </w:divBdr>
    </w:div>
    <w:div w:id="1499537829">
      <w:bodyDiv w:val="1"/>
      <w:marLeft w:val="0"/>
      <w:marRight w:val="0"/>
      <w:marTop w:val="0"/>
      <w:marBottom w:val="0"/>
      <w:divBdr>
        <w:top w:val="none" w:sz="0" w:space="0" w:color="auto"/>
        <w:left w:val="none" w:sz="0" w:space="0" w:color="auto"/>
        <w:bottom w:val="none" w:sz="0" w:space="0" w:color="auto"/>
        <w:right w:val="none" w:sz="0" w:space="0" w:color="auto"/>
      </w:divBdr>
    </w:div>
    <w:div w:id="1566254530">
      <w:bodyDiv w:val="1"/>
      <w:marLeft w:val="0"/>
      <w:marRight w:val="0"/>
      <w:marTop w:val="0"/>
      <w:marBottom w:val="0"/>
      <w:divBdr>
        <w:top w:val="none" w:sz="0" w:space="0" w:color="auto"/>
        <w:left w:val="none" w:sz="0" w:space="0" w:color="auto"/>
        <w:bottom w:val="none" w:sz="0" w:space="0" w:color="auto"/>
        <w:right w:val="none" w:sz="0" w:space="0" w:color="auto"/>
      </w:divBdr>
    </w:div>
    <w:div w:id="1606421130">
      <w:bodyDiv w:val="1"/>
      <w:marLeft w:val="0"/>
      <w:marRight w:val="0"/>
      <w:marTop w:val="0"/>
      <w:marBottom w:val="0"/>
      <w:divBdr>
        <w:top w:val="none" w:sz="0" w:space="0" w:color="auto"/>
        <w:left w:val="none" w:sz="0" w:space="0" w:color="auto"/>
        <w:bottom w:val="none" w:sz="0" w:space="0" w:color="auto"/>
        <w:right w:val="none" w:sz="0" w:space="0" w:color="auto"/>
      </w:divBdr>
    </w:div>
    <w:div w:id="1628117984">
      <w:bodyDiv w:val="1"/>
      <w:marLeft w:val="0"/>
      <w:marRight w:val="0"/>
      <w:marTop w:val="0"/>
      <w:marBottom w:val="0"/>
      <w:divBdr>
        <w:top w:val="none" w:sz="0" w:space="0" w:color="auto"/>
        <w:left w:val="none" w:sz="0" w:space="0" w:color="auto"/>
        <w:bottom w:val="none" w:sz="0" w:space="0" w:color="auto"/>
        <w:right w:val="none" w:sz="0" w:space="0" w:color="auto"/>
      </w:divBdr>
    </w:div>
    <w:div w:id="1644235781">
      <w:bodyDiv w:val="1"/>
      <w:marLeft w:val="0"/>
      <w:marRight w:val="0"/>
      <w:marTop w:val="0"/>
      <w:marBottom w:val="0"/>
      <w:divBdr>
        <w:top w:val="none" w:sz="0" w:space="0" w:color="auto"/>
        <w:left w:val="none" w:sz="0" w:space="0" w:color="auto"/>
        <w:bottom w:val="none" w:sz="0" w:space="0" w:color="auto"/>
        <w:right w:val="none" w:sz="0" w:space="0" w:color="auto"/>
      </w:divBdr>
    </w:div>
    <w:div w:id="1662196914">
      <w:bodyDiv w:val="1"/>
      <w:marLeft w:val="0"/>
      <w:marRight w:val="0"/>
      <w:marTop w:val="0"/>
      <w:marBottom w:val="0"/>
      <w:divBdr>
        <w:top w:val="none" w:sz="0" w:space="0" w:color="auto"/>
        <w:left w:val="none" w:sz="0" w:space="0" w:color="auto"/>
        <w:bottom w:val="none" w:sz="0" w:space="0" w:color="auto"/>
        <w:right w:val="none" w:sz="0" w:space="0" w:color="auto"/>
      </w:divBdr>
    </w:div>
    <w:div w:id="1743988806">
      <w:bodyDiv w:val="1"/>
      <w:marLeft w:val="0"/>
      <w:marRight w:val="0"/>
      <w:marTop w:val="0"/>
      <w:marBottom w:val="0"/>
      <w:divBdr>
        <w:top w:val="none" w:sz="0" w:space="0" w:color="auto"/>
        <w:left w:val="none" w:sz="0" w:space="0" w:color="auto"/>
        <w:bottom w:val="none" w:sz="0" w:space="0" w:color="auto"/>
        <w:right w:val="none" w:sz="0" w:space="0" w:color="auto"/>
      </w:divBdr>
    </w:div>
    <w:div w:id="1895192591">
      <w:bodyDiv w:val="1"/>
      <w:marLeft w:val="0"/>
      <w:marRight w:val="0"/>
      <w:marTop w:val="0"/>
      <w:marBottom w:val="0"/>
      <w:divBdr>
        <w:top w:val="none" w:sz="0" w:space="0" w:color="auto"/>
        <w:left w:val="none" w:sz="0" w:space="0" w:color="auto"/>
        <w:bottom w:val="none" w:sz="0" w:space="0" w:color="auto"/>
        <w:right w:val="none" w:sz="0" w:space="0" w:color="auto"/>
      </w:divBdr>
    </w:div>
    <w:div w:id="1952778287">
      <w:bodyDiv w:val="1"/>
      <w:marLeft w:val="0"/>
      <w:marRight w:val="0"/>
      <w:marTop w:val="0"/>
      <w:marBottom w:val="0"/>
      <w:divBdr>
        <w:top w:val="none" w:sz="0" w:space="0" w:color="auto"/>
        <w:left w:val="none" w:sz="0" w:space="0" w:color="auto"/>
        <w:bottom w:val="none" w:sz="0" w:space="0" w:color="auto"/>
        <w:right w:val="none" w:sz="0" w:space="0" w:color="auto"/>
      </w:divBdr>
    </w:div>
    <w:div w:id="1990672091">
      <w:bodyDiv w:val="1"/>
      <w:marLeft w:val="0"/>
      <w:marRight w:val="0"/>
      <w:marTop w:val="0"/>
      <w:marBottom w:val="0"/>
      <w:divBdr>
        <w:top w:val="none" w:sz="0" w:space="0" w:color="auto"/>
        <w:left w:val="none" w:sz="0" w:space="0" w:color="auto"/>
        <w:bottom w:val="none" w:sz="0" w:space="0" w:color="auto"/>
        <w:right w:val="none" w:sz="0" w:space="0" w:color="auto"/>
      </w:divBdr>
    </w:div>
    <w:div w:id="2017614060">
      <w:bodyDiv w:val="1"/>
      <w:marLeft w:val="0"/>
      <w:marRight w:val="0"/>
      <w:marTop w:val="0"/>
      <w:marBottom w:val="0"/>
      <w:divBdr>
        <w:top w:val="none" w:sz="0" w:space="0" w:color="auto"/>
        <w:left w:val="none" w:sz="0" w:space="0" w:color="auto"/>
        <w:bottom w:val="none" w:sz="0" w:space="0" w:color="auto"/>
        <w:right w:val="none" w:sz="0" w:space="0" w:color="auto"/>
      </w:divBdr>
    </w:div>
    <w:div w:id="209108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SPC%20Vet.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54</TotalTime>
  <Pages>7</Pages>
  <Words>1712</Words>
  <Characters>11343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2019073246, MT</dc:description>
  <cp:lastModifiedBy>Gitte Jørgensen</cp:lastModifiedBy>
  <cp:revision>11</cp:revision>
  <dcterms:created xsi:type="dcterms:W3CDTF">2020-06-19T06:03:00Z</dcterms:created>
  <dcterms:modified xsi:type="dcterms:W3CDTF">2020-06-23T12:22:00Z</dcterms:modified>
</cp:coreProperties>
</file>