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185621">
        <w:rPr>
          <w:b/>
          <w:sz w:val="24"/>
          <w:szCs w:val="24"/>
        </w:rPr>
        <w:t>21. august 2023</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F029FE" w:rsidP="005B0036">
      <w:pPr>
        <w:tabs>
          <w:tab w:val="left" w:pos="8222"/>
        </w:tabs>
        <w:jc w:val="center"/>
        <w:rPr>
          <w:b/>
          <w:sz w:val="24"/>
          <w:szCs w:val="24"/>
        </w:rPr>
      </w:pPr>
      <w:proofErr w:type="spellStart"/>
      <w:r>
        <w:rPr>
          <w:b/>
          <w:sz w:val="24"/>
          <w:szCs w:val="24"/>
        </w:rPr>
        <w:t>Lodisure</w:t>
      </w:r>
      <w:proofErr w:type="spellEnd"/>
      <w:r>
        <w:rPr>
          <w:b/>
          <w:sz w:val="24"/>
          <w:szCs w:val="24"/>
        </w:rPr>
        <w:t xml:space="preserve"> </w:t>
      </w:r>
      <w:proofErr w:type="spellStart"/>
      <w:r>
        <w:rPr>
          <w:b/>
          <w:sz w:val="24"/>
          <w:szCs w:val="24"/>
        </w:rPr>
        <w:t>Vet</w:t>
      </w:r>
      <w:proofErr w:type="spellEnd"/>
      <w:r>
        <w:rPr>
          <w:b/>
          <w:sz w:val="24"/>
          <w:szCs w:val="24"/>
        </w:rPr>
        <w:t>., tabletter</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114924" w:rsidP="005B0036">
      <w:pPr>
        <w:tabs>
          <w:tab w:val="left" w:pos="8222"/>
        </w:tabs>
        <w:ind w:left="851"/>
        <w:rPr>
          <w:sz w:val="24"/>
          <w:szCs w:val="24"/>
        </w:rPr>
      </w:pPr>
      <w:r>
        <w:rPr>
          <w:sz w:val="24"/>
          <w:szCs w:val="24"/>
        </w:rPr>
        <w:t>31761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114924" w:rsidP="005B0036">
      <w:pPr>
        <w:tabs>
          <w:tab w:val="left" w:pos="8222"/>
        </w:tabs>
        <w:ind w:left="851"/>
        <w:rPr>
          <w:sz w:val="24"/>
          <w:szCs w:val="24"/>
        </w:rPr>
      </w:pPr>
      <w:proofErr w:type="spellStart"/>
      <w:r>
        <w:rPr>
          <w:sz w:val="24"/>
          <w:szCs w:val="24"/>
        </w:rPr>
        <w:t>Lodisure</w:t>
      </w:r>
      <w:proofErr w:type="spellEnd"/>
      <w:r>
        <w:rPr>
          <w:sz w:val="24"/>
          <w:szCs w:val="24"/>
        </w:rPr>
        <w:t xml:space="preserve"> </w:t>
      </w:r>
      <w:proofErr w:type="spellStart"/>
      <w:r>
        <w:rPr>
          <w:sz w:val="24"/>
          <w:szCs w:val="24"/>
        </w:rPr>
        <w:t>Vet</w:t>
      </w:r>
      <w:proofErr w:type="spellEnd"/>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2743F5" w:rsidRPr="002743F5" w:rsidRDefault="002743F5" w:rsidP="002743F5">
      <w:pPr>
        <w:tabs>
          <w:tab w:val="left" w:pos="8222"/>
        </w:tabs>
        <w:ind w:left="851"/>
        <w:rPr>
          <w:iCs/>
          <w:sz w:val="24"/>
          <w:szCs w:val="24"/>
        </w:rPr>
      </w:pPr>
      <w:r w:rsidRPr="002743F5">
        <w:rPr>
          <w:sz w:val="24"/>
          <w:szCs w:val="24"/>
        </w:rPr>
        <w:t>Hver tablet indeholder</w:t>
      </w:r>
      <w:r>
        <w:rPr>
          <w:sz w:val="24"/>
          <w:szCs w:val="24"/>
        </w:rPr>
        <w:t>:</w:t>
      </w:r>
    </w:p>
    <w:p w:rsidR="002743F5" w:rsidRPr="002743F5" w:rsidRDefault="002743F5" w:rsidP="002743F5">
      <w:pPr>
        <w:tabs>
          <w:tab w:val="left" w:pos="8222"/>
        </w:tabs>
        <w:ind w:left="851"/>
        <w:rPr>
          <w:b/>
          <w:sz w:val="24"/>
          <w:szCs w:val="24"/>
        </w:rPr>
      </w:pPr>
    </w:p>
    <w:p w:rsidR="002743F5" w:rsidRPr="002743F5" w:rsidRDefault="002743F5" w:rsidP="002743F5">
      <w:pPr>
        <w:tabs>
          <w:tab w:val="left" w:pos="8222"/>
        </w:tabs>
        <w:ind w:left="851"/>
        <w:rPr>
          <w:sz w:val="24"/>
          <w:szCs w:val="24"/>
          <w:u w:val="single"/>
        </w:rPr>
      </w:pPr>
      <w:r w:rsidRPr="002743F5">
        <w:rPr>
          <w:sz w:val="24"/>
          <w:szCs w:val="24"/>
          <w:u w:val="single"/>
        </w:rPr>
        <w:t>Aktivt stof</w:t>
      </w:r>
    </w:p>
    <w:p w:rsidR="002743F5" w:rsidRPr="002743F5" w:rsidRDefault="002743F5" w:rsidP="00751ED6">
      <w:pPr>
        <w:tabs>
          <w:tab w:val="left" w:pos="3686"/>
          <w:tab w:val="left" w:pos="8222"/>
        </w:tabs>
        <w:ind w:left="851"/>
        <w:rPr>
          <w:iCs/>
          <w:sz w:val="24"/>
          <w:szCs w:val="24"/>
        </w:rPr>
      </w:pPr>
      <w:proofErr w:type="spellStart"/>
      <w:r w:rsidRPr="002743F5">
        <w:rPr>
          <w:sz w:val="24"/>
          <w:szCs w:val="24"/>
        </w:rPr>
        <w:t>Amlodipin</w:t>
      </w:r>
      <w:proofErr w:type="spellEnd"/>
      <w:r w:rsidR="00751ED6">
        <w:rPr>
          <w:sz w:val="24"/>
          <w:szCs w:val="24"/>
        </w:rPr>
        <w:tab/>
      </w:r>
      <w:r w:rsidRPr="002743F5">
        <w:rPr>
          <w:sz w:val="24"/>
          <w:szCs w:val="24"/>
        </w:rPr>
        <w:t xml:space="preserve">1,0 mg (svarende til 1,4 mg </w:t>
      </w:r>
      <w:proofErr w:type="spellStart"/>
      <w:r w:rsidRPr="002743F5">
        <w:rPr>
          <w:sz w:val="24"/>
          <w:szCs w:val="24"/>
        </w:rPr>
        <w:t>amlodipinbesilat</w:t>
      </w:r>
      <w:proofErr w:type="spellEnd"/>
      <w:r w:rsidRPr="002743F5">
        <w:rPr>
          <w:sz w:val="24"/>
          <w:szCs w:val="24"/>
        </w:rPr>
        <w:t>)</w:t>
      </w:r>
    </w:p>
    <w:p w:rsidR="002743F5" w:rsidRPr="002743F5" w:rsidRDefault="002743F5" w:rsidP="002743F5">
      <w:pPr>
        <w:tabs>
          <w:tab w:val="left" w:pos="8222"/>
        </w:tabs>
        <w:ind w:left="851"/>
        <w:rPr>
          <w:b/>
          <w:sz w:val="24"/>
          <w:szCs w:val="24"/>
        </w:rPr>
      </w:pPr>
    </w:p>
    <w:p w:rsidR="002743F5" w:rsidRPr="002743F5" w:rsidRDefault="002743F5" w:rsidP="002743F5">
      <w:pPr>
        <w:tabs>
          <w:tab w:val="left" w:pos="8222"/>
        </w:tabs>
        <w:ind w:left="851"/>
        <w:rPr>
          <w:sz w:val="24"/>
          <w:szCs w:val="24"/>
          <w:u w:val="single"/>
        </w:rPr>
      </w:pPr>
      <w:r w:rsidRPr="002743F5">
        <w:rPr>
          <w:sz w:val="24"/>
          <w:szCs w:val="24"/>
          <w:u w:val="single"/>
        </w:rPr>
        <w:t>Hjælpestoffer</w:t>
      </w:r>
    </w:p>
    <w:p w:rsidR="002743F5" w:rsidRPr="002743F5" w:rsidRDefault="002743F5" w:rsidP="00751ED6">
      <w:pPr>
        <w:tabs>
          <w:tab w:val="left" w:pos="3686"/>
          <w:tab w:val="left" w:pos="8222"/>
        </w:tabs>
        <w:ind w:left="851"/>
        <w:rPr>
          <w:sz w:val="24"/>
          <w:szCs w:val="24"/>
        </w:rPr>
      </w:pPr>
      <w:proofErr w:type="spellStart"/>
      <w:r w:rsidRPr="002743F5">
        <w:rPr>
          <w:sz w:val="24"/>
          <w:szCs w:val="24"/>
        </w:rPr>
        <w:t>Brilliant</w:t>
      </w:r>
      <w:proofErr w:type="spellEnd"/>
      <w:r w:rsidRPr="002743F5">
        <w:rPr>
          <w:sz w:val="24"/>
          <w:szCs w:val="24"/>
        </w:rPr>
        <w:t xml:space="preserve"> </w:t>
      </w:r>
      <w:proofErr w:type="spellStart"/>
      <w:r w:rsidRPr="002743F5">
        <w:rPr>
          <w:sz w:val="24"/>
          <w:szCs w:val="24"/>
        </w:rPr>
        <w:t>blue</w:t>
      </w:r>
      <w:proofErr w:type="spellEnd"/>
      <w:r w:rsidRPr="002743F5">
        <w:rPr>
          <w:sz w:val="24"/>
          <w:szCs w:val="24"/>
        </w:rPr>
        <w:t xml:space="preserve"> FCF (E133)</w:t>
      </w:r>
      <w:r w:rsidRPr="002743F5">
        <w:rPr>
          <w:sz w:val="24"/>
          <w:szCs w:val="24"/>
        </w:rPr>
        <w:tab/>
        <w:t>1,0 mg</w:t>
      </w:r>
    </w:p>
    <w:p w:rsidR="002743F5" w:rsidRPr="002743F5" w:rsidRDefault="002743F5" w:rsidP="002743F5">
      <w:pPr>
        <w:tabs>
          <w:tab w:val="left" w:pos="8222"/>
        </w:tabs>
        <w:ind w:left="851"/>
        <w:rPr>
          <w:sz w:val="24"/>
          <w:szCs w:val="24"/>
        </w:rPr>
      </w:pPr>
    </w:p>
    <w:p w:rsidR="002743F5" w:rsidRPr="002743F5" w:rsidRDefault="002743F5" w:rsidP="002743F5">
      <w:pPr>
        <w:tabs>
          <w:tab w:val="left" w:pos="8222"/>
        </w:tabs>
        <w:ind w:left="851"/>
        <w:rPr>
          <w:sz w:val="24"/>
          <w:szCs w:val="24"/>
        </w:rPr>
      </w:pPr>
      <w:r w:rsidRPr="002743F5">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5B0036" w:rsidRDefault="00751ED6" w:rsidP="005B0036">
      <w:pPr>
        <w:tabs>
          <w:tab w:val="left" w:pos="8222"/>
        </w:tabs>
        <w:ind w:left="851"/>
        <w:rPr>
          <w:sz w:val="24"/>
          <w:szCs w:val="24"/>
        </w:rPr>
      </w:pPr>
      <w:r>
        <w:rPr>
          <w:sz w:val="24"/>
          <w:szCs w:val="24"/>
        </w:rPr>
        <w:t>Tabletter</w:t>
      </w:r>
    </w:p>
    <w:p w:rsidR="00751ED6" w:rsidRDefault="00751ED6" w:rsidP="005B0036">
      <w:pPr>
        <w:tabs>
          <w:tab w:val="left" w:pos="8222"/>
        </w:tabs>
        <w:ind w:left="851"/>
        <w:rPr>
          <w:sz w:val="24"/>
          <w:szCs w:val="24"/>
        </w:rPr>
      </w:pPr>
    </w:p>
    <w:p w:rsidR="001D7F7D" w:rsidRPr="00751ED6" w:rsidRDefault="001D7F7D" w:rsidP="001D7F7D">
      <w:pPr>
        <w:tabs>
          <w:tab w:val="left" w:pos="8222"/>
        </w:tabs>
        <w:ind w:left="851"/>
        <w:rPr>
          <w:sz w:val="24"/>
          <w:szCs w:val="24"/>
        </w:rPr>
      </w:pPr>
      <w:r w:rsidRPr="00751ED6">
        <w:rPr>
          <w:sz w:val="24"/>
          <w:szCs w:val="24"/>
        </w:rPr>
        <w:t xml:space="preserve">Blå, aflang tablet med </w:t>
      </w:r>
      <w:r w:rsidRPr="00551119">
        <w:rPr>
          <w:sz w:val="24"/>
          <w:szCs w:val="24"/>
          <w:lang w:val="nl-NL"/>
        </w:rPr>
        <w:t>lyse og mørke pletter og en</w:t>
      </w:r>
      <w:bookmarkStart w:id="0" w:name="_GoBack"/>
      <w:bookmarkEnd w:id="0"/>
      <w:r w:rsidRPr="00551119">
        <w:rPr>
          <w:sz w:val="24"/>
          <w:szCs w:val="24"/>
          <w:lang w:val="nl-NL"/>
        </w:rPr>
        <w:t xml:space="preserve"> streg</w:t>
      </w:r>
      <w:r w:rsidRPr="00751ED6">
        <w:rPr>
          <w:sz w:val="24"/>
          <w:szCs w:val="24"/>
        </w:rPr>
        <w:t xml:space="preserve"> på begge sider.</w:t>
      </w:r>
    </w:p>
    <w:p w:rsidR="001D7F7D" w:rsidRPr="00751ED6" w:rsidRDefault="001D7F7D" w:rsidP="001D7F7D">
      <w:pPr>
        <w:tabs>
          <w:tab w:val="left" w:pos="8222"/>
        </w:tabs>
        <w:ind w:left="851"/>
        <w:rPr>
          <w:sz w:val="24"/>
          <w:szCs w:val="24"/>
        </w:rPr>
      </w:pPr>
      <w:r w:rsidRPr="00751ED6">
        <w:rPr>
          <w:sz w:val="24"/>
          <w:szCs w:val="24"/>
        </w:rPr>
        <w:t>Tabletten kan deles i to lige store dele.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2377F3" w:rsidP="005B0036">
      <w:pPr>
        <w:tabs>
          <w:tab w:val="left" w:pos="8222"/>
        </w:tabs>
        <w:ind w:left="851"/>
        <w:rPr>
          <w:sz w:val="24"/>
          <w:szCs w:val="24"/>
        </w:rPr>
      </w:pPr>
      <w:r>
        <w:rPr>
          <w:sz w:val="24"/>
          <w:szCs w:val="24"/>
        </w:rPr>
        <w:t>Kat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2377F3" w:rsidRPr="002377F3" w:rsidRDefault="002377F3" w:rsidP="002377F3">
      <w:pPr>
        <w:pStyle w:val="Sidehoved"/>
        <w:tabs>
          <w:tab w:val="left" w:pos="8222"/>
        </w:tabs>
        <w:ind w:left="851"/>
        <w:rPr>
          <w:szCs w:val="24"/>
        </w:rPr>
      </w:pPr>
      <w:r w:rsidRPr="002377F3">
        <w:rPr>
          <w:szCs w:val="24"/>
        </w:rPr>
        <w:t>Til behandling af systemisk hypertension hos katte.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2377F3" w:rsidRPr="002377F3" w:rsidRDefault="002377F3" w:rsidP="002377F3">
      <w:pPr>
        <w:pStyle w:val="Sidehoved"/>
        <w:tabs>
          <w:tab w:val="left" w:pos="8222"/>
        </w:tabs>
        <w:ind w:left="851"/>
        <w:rPr>
          <w:szCs w:val="24"/>
        </w:rPr>
      </w:pPr>
      <w:r w:rsidRPr="002377F3">
        <w:rPr>
          <w:szCs w:val="24"/>
        </w:rPr>
        <w:t>Bør ikke anvendes til dyr med svær leversygdom.</w:t>
      </w:r>
    </w:p>
    <w:p w:rsidR="002377F3" w:rsidRPr="002377F3" w:rsidRDefault="002377F3" w:rsidP="002377F3">
      <w:pPr>
        <w:pStyle w:val="Sidehoved"/>
        <w:tabs>
          <w:tab w:val="left" w:pos="8222"/>
        </w:tabs>
        <w:ind w:left="851"/>
        <w:rPr>
          <w:szCs w:val="24"/>
        </w:rPr>
      </w:pPr>
      <w:r w:rsidRPr="002377F3">
        <w:rPr>
          <w:szCs w:val="24"/>
        </w:rPr>
        <w:t>Bør ikke anvendes i tilfælde af overfølsomhed over for det aktive stof eller over for et eller flere af hjælpestofferne.</w:t>
      </w:r>
    </w:p>
    <w:p w:rsidR="002377F3" w:rsidRPr="002377F3" w:rsidRDefault="002377F3" w:rsidP="002377F3">
      <w:pPr>
        <w:pStyle w:val="Sidehoved"/>
        <w:tabs>
          <w:tab w:val="left" w:pos="8222"/>
        </w:tabs>
        <w:ind w:left="851"/>
        <w:rPr>
          <w:szCs w:val="24"/>
        </w:rPr>
      </w:pPr>
      <w:bookmarkStart w:id="1" w:name="_Hlk37244400"/>
      <w:r w:rsidRPr="002377F3">
        <w:rPr>
          <w:szCs w:val="24"/>
        </w:rPr>
        <w:t xml:space="preserve">Bør ikke anvendes i tilfælde af </w:t>
      </w:r>
      <w:proofErr w:type="spellStart"/>
      <w:r w:rsidRPr="002377F3">
        <w:rPr>
          <w:szCs w:val="24"/>
        </w:rPr>
        <w:t>kardiogent</w:t>
      </w:r>
      <w:proofErr w:type="spellEnd"/>
      <w:r w:rsidRPr="002377F3">
        <w:rPr>
          <w:szCs w:val="24"/>
        </w:rPr>
        <w:t xml:space="preserve"> </w:t>
      </w:r>
      <w:proofErr w:type="spellStart"/>
      <w:r w:rsidRPr="002377F3">
        <w:rPr>
          <w:szCs w:val="24"/>
        </w:rPr>
        <w:t>shock</w:t>
      </w:r>
      <w:proofErr w:type="spellEnd"/>
      <w:r w:rsidRPr="002377F3">
        <w:rPr>
          <w:szCs w:val="24"/>
        </w:rPr>
        <w:t xml:space="preserve"> eller svær aortastenose.</w:t>
      </w:r>
      <w:bookmarkEnd w:id="1"/>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B72503" w:rsidRPr="00B72503" w:rsidRDefault="00B72503" w:rsidP="00B72503">
      <w:pPr>
        <w:pStyle w:val="Sidehoved"/>
        <w:tabs>
          <w:tab w:val="left" w:pos="8222"/>
        </w:tabs>
        <w:ind w:left="851"/>
        <w:rPr>
          <w:bCs/>
          <w:szCs w:val="24"/>
        </w:rPr>
      </w:pPr>
      <w:bookmarkStart w:id="2" w:name="_Hlk16583500"/>
      <w:r w:rsidRPr="00B72503">
        <w:rPr>
          <w:szCs w:val="24"/>
        </w:rPr>
        <w:t xml:space="preserve">Hos katte forekommer situationsbetinget hypertension (også kaldes hvid kittel-hypertension) som følge af måleproceduren i klinikken hos et ellers </w:t>
      </w:r>
      <w:proofErr w:type="spellStart"/>
      <w:r w:rsidRPr="00B72503">
        <w:rPr>
          <w:szCs w:val="24"/>
        </w:rPr>
        <w:t>normotensivt</w:t>
      </w:r>
      <w:proofErr w:type="spellEnd"/>
      <w:r w:rsidRPr="00B72503">
        <w:rPr>
          <w:szCs w:val="24"/>
        </w:rPr>
        <w:t xml:space="preserve"> dyr. I tilfælde af høje stressniveauer, kan målingen af det systoliske blodtryk føre til fejldiagnosticeret hypertension. Det anbefales, at stabil hypertension bekræftes ved flere og gentagne målinger af det systoliske blodtryk på forskellige dage, før behandlingen påbegyndes.</w:t>
      </w:r>
    </w:p>
    <w:p w:rsidR="00B72503" w:rsidRPr="00B72503" w:rsidRDefault="00B72503" w:rsidP="00B72503">
      <w:pPr>
        <w:pStyle w:val="Sidehoved"/>
        <w:tabs>
          <w:tab w:val="left" w:pos="8222"/>
        </w:tabs>
        <w:ind w:left="851"/>
        <w:rPr>
          <w:bCs/>
          <w:szCs w:val="24"/>
        </w:rPr>
      </w:pPr>
      <w:r w:rsidRPr="00B72503">
        <w:rPr>
          <w:szCs w:val="24"/>
        </w:rPr>
        <w:t xml:space="preserve">I tilfælde af sekundær hypertension er det vigtigt at klarlægge den primære årsag og/eller </w:t>
      </w:r>
      <w:proofErr w:type="spellStart"/>
      <w:r w:rsidRPr="00B72503">
        <w:rPr>
          <w:szCs w:val="24"/>
        </w:rPr>
        <w:t>komorbiditeter</w:t>
      </w:r>
      <w:proofErr w:type="spellEnd"/>
      <w:r w:rsidRPr="00B72503">
        <w:rPr>
          <w:szCs w:val="24"/>
        </w:rPr>
        <w:t xml:space="preserve"> til hypertension, såsom </w:t>
      </w:r>
      <w:proofErr w:type="spellStart"/>
      <w:r w:rsidRPr="00B72503">
        <w:rPr>
          <w:szCs w:val="24"/>
        </w:rPr>
        <w:t>hypertyreoidisme</w:t>
      </w:r>
      <w:proofErr w:type="spellEnd"/>
      <w:r w:rsidRPr="00B72503">
        <w:rPr>
          <w:szCs w:val="24"/>
        </w:rPr>
        <w:t>, kronisk nyresygdom og diabetes, og at behandle disse sygdomme.</w:t>
      </w:r>
    </w:p>
    <w:p w:rsidR="00B72503" w:rsidRPr="00B72503" w:rsidRDefault="00B72503" w:rsidP="00B72503">
      <w:pPr>
        <w:pStyle w:val="Sidehoved"/>
        <w:tabs>
          <w:tab w:val="left" w:pos="8222"/>
        </w:tabs>
        <w:ind w:left="851"/>
        <w:rPr>
          <w:szCs w:val="24"/>
        </w:rPr>
      </w:pPr>
      <w:r w:rsidRPr="00B72503">
        <w:rPr>
          <w:szCs w:val="24"/>
        </w:rPr>
        <w:t>Fortsat administration af præparatet over en længere periode bør ske i henhold til en løbende evaluering af fordele og risici, der udføres af den ordinerende dyrlæge og omfatter rutinemæssig måling af det systoliske blodtryk under behandlingen (f.eks. hver 2. til 3. måned). Hvis det er nødvendigt, kan doseringerne justeres.</w:t>
      </w:r>
      <w:bookmarkEnd w:id="2"/>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FE6283" w:rsidRPr="00FE6283" w:rsidRDefault="00FE6283" w:rsidP="00FE6283">
      <w:pPr>
        <w:tabs>
          <w:tab w:val="left" w:pos="851"/>
          <w:tab w:val="left" w:pos="8222"/>
        </w:tabs>
        <w:ind w:left="851"/>
        <w:rPr>
          <w:i/>
          <w:sz w:val="24"/>
          <w:szCs w:val="24"/>
        </w:rPr>
      </w:pPr>
      <w:bookmarkStart w:id="3" w:name="_Hlk16583517"/>
      <w:r w:rsidRPr="00FE6283">
        <w:rPr>
          <w:sz w:val="24"/>
          <w:szCs w:val="24"/>
        </w:rPr>
        <w:t xml:space="preserve">Der skal udvises særlig forsigtighed hos patienter med leversygdom, da </w:t>
      </w:r>
      <w:proofErr w:type="spellStart"/>
      <w:r w:rsidRPr="00FE6283">
        <w:rPr>
          <w:sz w:val="24"/>
          <w:szCs w:val="24"/>
        </w:rPr>
        <w:t>amlodipin</w:t>
      </w:r>
      <w:proofErr w:type="spellEnd"/>
      <w:r w:rsidRPr="00FE6283">
        <w:rPr>
          <w:sz w:val="24"/>
          <w:szCs w:val="24"/>
        </w:rPr>
        <w:t xml:space="preserve"> i høj grad </w:t>
      </w:r>
      <w:proofErr w:type="spellStart"/>
      <w:r w:rsidRPr="00FE6283">
        <w:rPr>
          <w:sz w:val="24"/>
          <w:szCs w:val="24"/>
        </w:rPr>
        <w:t>metaboliseres</w:t>
      </w:r>
      <w:proofErr w:type="spellEnd"/>
      <w:r w:rsidRPr="00FE6283">
        <w:rPr>
          <w:sz w:val="24"/>
          <w:szCs w:val="24"/>
        </w:rPr>
        <w:t xml:space="preserve"> af leveren. Som følge heraf kan </w:t>
      </w:r>
      <w:proofErr w:type="spellStart"/>
      <w:r w:rsidRPr="00FE6283">
        <w:rPr>
          <w:sz w:val="24"/>
          <w:szCs w:val="24"/>
        </w:rPr>
        <w:t>amlodipins</w:t>
      </w:r>
      <w:proofErr w:type="spellEnd"/>
      <w:r w:rsidRPr="00FE6283">
        <w:rPr>
          <w:sz w:val="24"/>
          <w:szCs w:val="24"/>
        </w:rPr>
        <w:t xml:space="preserve"> halveringstid være forlænget, og det kan være nødvendigt med en lavere dosis. Da der ikke er blevet udført forsøg hos dyr med leversygdom, skal anvendelsen af præparatet hos disse dyr baseres på den ansvarlige dyrlæges vurdering af fordele/risici</w:t>
      </w:r>
      <w:r w:rsidRPr="00FE6283">
        <w:rPr>
          <w:i/>
          <w:sz w:val="24"/>
          <w:szCs w:val="24"/>
        </w:rPr>
        <w:t>.</w:t>
      </w:r>
    </w:p>
    <w:p w:rsidR="00FE6283" w:rsidRPr="00FE6283" w:rsidRDefault="00FE6283" w:rsidP="00FE6283">
      <w:pPr>
        <w:tabs>
          <w:tab w:val="left" w:pos="851"/>
          <w:tab w:val="left" w:pos="8222"/>
        </w:tabs>
        <w:ind w:left="851"/>
        <w:rPr>
          <w:iCs/>
          <w:sz w:val="24"/>
          <w:szCs w:val="24"/>
        </w:rPr>
      </w:pPr>
    </w:p>
    <w:p w:rsidR="00FE6283" w:rsidRPr="00FE6283" w:rsidRDefault="00FE6283" w:rsidP="00FE6283">
      <w:pPr>
        <w:tabs>
          <w:tab w:val="left" w:pos="851"/>
          <w:tab w:val="left" w:pos="8222"/>
        </w:tabs>
        <w:ind w:left="851"/>
        <w:rPr>
          <w:sz w:val="24"/>
          <w:szCs w:val="24"/>
        </w:rPr>
      </w:pPr>
      <w:r w:rsidRPr="00FE6283">
        <w:rPr>
          <w:sz w:val="24"/>
          <w:szCs w:val="24"/>
        </w:rPr>
        <w:t>Ældre katte med svær hypertension og kronisk nyresygdom (</w:t>
      </w:r>
      <w:proofErr w:type="spellStart"/>
      <w:r w:rsidRPr="00FE6283">
        <w:rPr>
          <w:i/>
          <w:iCs/>
          <w:sz w:val="24"/>
          <w:szCs w:val="24"/>
        </w:rPr>
        <w:t>chronic</w:t>
      </w:r>
      <w:proofErr w:type="spellEnd"/>
      <w:r w:rsidRPr="00FE6283">
        <w:rPr>
          <w:i/>
          <w:iCs/>
          <w:sz w:val="24"/>
          <w:szCs w:val="24"/>
        </w:rPr>
        <w:t xml:space="preserve"> </w:t>
      </w:r>
      <w:proofErr w:type="spellStart"/>
      <w:r w:rsidRPr="00FE6283">
        <w:rPr>
          <w:i/>
          <w:iCs/>
          <w:sz w:val="24"/>
          <w:szCs w:val="24"/>
        </w:rPr>
        <w:t>kidney</w:t>
      </w:r>
      <w:proofErr w:type="spellEnd"/>
      <w:r w:rsidRPr="00FE6283">
        <w:rPr>
          <w:i/>
          <w:iCs/>
          <w:sz w:val="24"/>
          <w:szCs w:val="24"/>
        </w:rPr>
        <w:t xml:space="preserve"> </w:t>
      </w:r>
      <w:proofErr w:type="spellStart"/>
      <w:r w:rsidRPr="00FE6283">
        <w:rPr>
          <w:i/>
          <w:iCs/>
          <w:sz w:val="24"/>
          <w:szCs w:val="24"/>
        </w:rPr>
        <w:t>disease</w:t>
      </w:r>
      <w:proofErr w:type="spellEnd"/>
      <w:r w:rsidRPr="00FE6283">
        <w:rPr>
          <w:sz w:val="24"/>
          <w:szCs w:val="24"/>
        </w:rPr>
        <w:t xml:space="preserve">, CKD) kan lide af </w:t>
      </w:r>
      <w:proofErr w:type="spellStart"/>
      <w:r w:rsidRPr="00FE6283">
        <w:rPr>
          <w:sz w:val="24"/>
          <w:szCs w:val="24"/>
        </w:rPr>
        <w:t>hypokaliæmi</w:t>
      </w:r>
      <w:proofErr w:type="spellEnd"/>
      <w:r w:rsidRPr="00FE6283">
        <w:rPr>
          <w:sz w:val="24"/>
          <w:szCs w:val="24"/>
        </w:rPr>
        <w:t xml:space="preserve"> som følge af deres underliggende sygdom. Administration af </w:t>
      </w:r>
      <w:proofErr w:type="spellStart"/>
      <w:r w:rsidRPr="00FE6283">
        <w:rPr>
          <w:sz w:val="24"/>
          <w:szCs w:val="24"/>
        </w:rPr>
        <w:t>amlodipin</w:t>
      </w:r>
      <w:proofErr w:type="spellEnd"/>
      <w:r w:rsidRPr="00FE6283">
        <w:rPr>
          <w:sz w:val="24"/>
          <w:szCs w:val="24"/>
        </w:rPr>
        <w:t xml:space="preserve"> kan til tider føre til en reduktion i kalium- og </w:t>
      </w:r>
      <w:proofErr w:type="spellStart"/>
      <w:r w:rsidRPr="00FE6283">
        <w:rPr>
          <w:sz w:val="24"/>
          <w:szCs w:val="24"/>
        </w:rPr>
        <w:t>chloridniveauer</w:t>
      </w:r>
      <w:proofErr w:type="spellEnd"/>
      <w:r w:rsidRPr="00FE6283">
        <w:rPr>
          <w:sz w:val="24"/>
          <w:szCs w:val="24"/>
        </w:rPr>
        <w:t xml:space="preserve"> i serum, og kan derfor føre til forværring af allerede tilstedeværende </w:t>
      </w:r>
      <w:proofErr w:type="spellStart"/>
      <w:r w:rsidRPr="00FE6283">
        <w:rPr>
          <w:sz w:val="24"/>
          <w:szCs w:val="24"/>
        </w:rPr>
        <w:t>hypokaliæmi</w:t>
      </w:r>
      <w:proofErr w:type="spellEnd"/>
      <w:r w:rsidRPr="00FE6283">
        <w:rPr>
          <w:sz w:val="24"/>
          <w:szCs w:val="24"/>
        </w:rPr>
        <w:t>. Det anbefales at overvåge disse koncentrationer før og under behandlingen.</w:t>
      </w:r>
    </w:p>
    <w:p w:rsidR="00FE6283" w:rsidRPr="00FE6283" w:rsidRDefault="00FE6283" w:rsidP="00FE6283">
      <w:pPr>
        <w:tabs>
          <w:tab w:val="left" w:pos="851"/>
          <w:tab w:val="left" w:pos="8222"/>
        </w:tabs>
        <w:ind w:left="851"/>
        <w:rPr>
          <w:sz w:val="24"/>
          <w:szCs w:val="24"/>
        </w:rPr>
      </w:pPr>
      <w:bookmarkStart w:id="4" w:name="_Hlk37244515"/>
    </w:p>
    <w:p w:rsidR="00FE6283" w:rsidRPr="00FE6283" w:rsidRDefault="00FE6283" w:rsidP="00FE6283">
      <w:pPr>
        <w:tabs>
          <w:tab w:val="left" w:pos="851"/>
          <w:tab w:val="left" w:pos="8222"/>
        </w:tabs>
        <w:ind w:left="851"/>
        <w:rPr>
          <w:sz w:val="24"/>
          <w:szCs w:val="24"/>
        </w:rPr>
      </w:pPr>
      <w:r w:rsidRPr="00FE6283">
        <w:rPr>
          <w:sz w:val="24"/>
          <w:szCs w:val="24"/>
        </w:rPr>
        <w:t>Der blev ikke inkluderet dyr med svær ustabil CKD i de kliniske forsøg. Anvendelsen af dette præparat til sådanne dyr bør baseres på den ansvarlige dyrlæges vurdering af</w:t>
      </w:r>
      <w:r w:rsidR="00DB06B6">
        <w:rPr>
          <w:sz w:val="24"/>
          <w:szCs w:val="24"/>
        </w:rPr>
        <w:t xml:space="preserve"> </w:t>
      </w:r>
      <w:r w:rsidRPr="00FE6283">
        <w:rPr>
          <w:sz w:val="24"/>
          <w:szCs w:val="24"/>
        </w:rPr>
        <w:t>fordele/risici.</w:t>
      </w:r>
    </w:p>
    <w:p w:rsidR="00FE6283" w:rsidRPr="00FE6283" w:rsidRDefault="00FE6283" w:rsidP="00FE6283">
      <w:pPr>
        <w:tabs>
          <w:tab w:val="left" w:pos="851"/>
          <w:tab w:val="left" w:pos="8222"/>
        </w:tabs>
        <w:ind w:left="851"/>
        <w:rPr>
          <w:sz w:val="24"/>
          <w:szCs w:val="24"/>
        </w:rPr>
      </w:pPr>
    </w:p>
    <w:p w:rsidR="00FE6283" w:rsidRPr="00FE6283" w:rsidRDefault="00FE6283" w:rsidP="00FE6283">
      <w:pPr>
        <w:tabs>
          <w:tab w:val="left" w:pos="851"/>
          <w:tab w:val="left" w:pos="8222"/>
        </w:tabs>
        <w:ind w:left="851"/>
        <w:rPr>
          <w:sz w:val="24"/>
          <w:szCs w:val="24"/>
        </w:rPr>
      </w:pPr>
      <w:r w:rsidRPr="00FE6283">
        <w:rPr>
          <w:sz w:val="24"/>
          <w:szCs w:val="24"/>
        </w:rPr>
        <w:t xml:space="preserve">Da </w:t>
      </w:r>
      <w:proofErr w:type="spellStart"/>
      <w:r w:rsidRPr="00FE6283">
        <w:rPr>
          <w:sz w:val="24"/>
          <w:szCs w:val="24"/>
        </w:rPr>
        <w:t>amlodipin</w:t>
      </w:r>
      <w:proofErr w:type="spellEnd"/>
      <w:r w:rsidRPr="00FE6283">
        <w:rPr>
          <w:sz w:val="24"/>
          <w:szCs w:val="24"/>
        </w:rPr>
        <w:t xml:space="preserve"> kan have en let negativ inotrop virkning, skal anvendelsen af præparatet hos hjertepatienter baseres på dyrlægens vurdering af fordele/risici. Sikkerheden er ikke blevet undersøgt hos katte med kendt hjertesygdom.</w:t>
      </w:r>
    </w:p>
    <w:p w:rsidR="00FE6283" w:rsidRPr="00FE6283" w:rsidRDefault="00FE6283" w:rsidP="00FE6283">
      <w:pPr>
        <w:tabs>
          <w:tab w:val="left" w:pos="851"/>
          <w:tab w:val="left" w:pos="8222"/>
        </w:tabs>
        <w:ind w:left="851"/>
        <w:rPr>
          <w:sz w:val="24"/>
          <w:szCs w:val="24"/>
        </w:rPr>
      </w:pPr>
    </w:p>
    <w:p w:rsidR="00FE6283" w:rsidRPr="00FE6283" w:rsidRDefault="00FE6283" w:rsidP="00FE6283">
      <w:pPr>
        <w:tabs>
          <w:tab w:val="left" w:pos="851"/>
          <w:tab w:val="left" w:pos="8222"/>
        </w:tabs>
        <w:ind w:left="851"/>
        <w:rPr>
          <w:sz w:val="24"/>
          <w:szCs w:val="24"/>
        </w:rPr>
      </w:pPr>
      <w:r w:rsidRPr="00FE6283">
        <w:rPr>
          <w:sz w:val="24"/>
          <w:szCs w:val="24"/>
        </w:rPr>
        <w:t>Dyr, der vejede under 2,5 kg, blev ikke inkluderet i de kliniske forsøg. Dyr, der vejer fra 2 til 2,5 kg, bør behandles med forsigtighed og baseret på den ansvarlige dyrlæges vurdering af fordele/risici.</w:t>
      </w:r>
    </w:p>
    <w:p w:rsidR="00FE6283" w:rsidRPr="00FE6283" w:rsidRDefault="00FE6283" w:rsidP="00FE6283">
      <w:pPr>
        <w:tabs>
          <w:tab w:val="left" w:pos="851"/>
          <w:tab w:val="left" w:pos="8222"/>
        </w:tabs>
        <w:ind w:left="851"/>
        <w:rPr>
          <w:sz w:val="24"/>
          <w:szCs w:val="24"/>
        </w:rPr>
      </w:pPr>
    </w:p>
    <w:p w:rsidR="00FE6283" w:rsidRPr="00FE6283" w:rsidRDefault="00FE6283" w:rsidP="00FE6283">
      <w:pPr>
        <w:tabs>
          <w:tab w:val="left" w:pos="851"/>
          <w:tab w:val="left" w:pos="8222"/>
        </w:tabs>
        <w:ind w:left="851"/>
        <w:rPr>
          <w:sz w:val="24"/>
          <w:szCs w:val="24"/>
        </w:rPr>
      </w:pPr>
      <w:r w:rsidRPr="00FE6283">
        <w:rPr>
          <w:sz w:val="24"/>
          <w:szCs w:val="24"/>
        </w:rPr>
        <w:t>Doser over 0,47 mg/kg legemsvægt er ikke blevet undersøgt i kliniske forsøg med præparatet, og bør kun administreres med forsigtighed og baseret på den ansvarlige dyrlæges vurdering af fordele/risici.</w:t>
      </w:r>
    </w:p>
    <w:p w:rsidR="00FE6283" w:rsidRPr="00FE6283" w:rsidRDefault="00FE6283" w:rsidP="00FE6283">
      <w:pPr>
        <w:tabs>
          <w:tab w:val="left" w:pos="851"/>
          <w:tab w:val="left" w:pos="8222"/>
        </w:tabs>
        <w:ind w:left="851"/>
        <w:rPr>
          <w:sz w:val="24"/>
          <w:szCs w:val="24"/>
        </w:rPr>
      </w:pPr>
    </w:p>
    <w:p w:rsidR="00FE6283" w:rsidRPr="00FE6283" w:rsidRDefault="00FE6283" w:rsidP="00FE6283">
      <w:pPr>
        <w:tabs>
          <w:tab w:val="left" w:pos="851"/>
          <w:tab w:val="left" w:pos="8222"/>
        </w:tabs>
        <w:ind w:left="851"/>
        <w:rPr>
          <w:iCs/>
          <w:sz w:val="24"/>
          <w:szCs w:val="24"/>
        </w:rPr>
      </w:pPr>
      <w:r w:rsidRPr="00FE6283">
        <w:rPr>
          <w:sz w:val="24"/>
          <w:szCs w:val="24"/>
        </w:rPr>
        <w:t>Tabletterne er med smag. For at undgå tilfælde af indtagelse ved hændeligt uheld, skal tabletterne opbevares utilgængeligt for dyrene.</w:t>
      </w:r>
      <w:bookmarkEnd w:id="3"/>
      <w:bookmarkEnd w:id="4"/>
    </w:p>
    <w:p w:rsidR="00D0657E" w:rsidRDefault="00D0657E">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D0657E" w:rsidRPr="00D0657E" w:rsidRDefault="00D0657E" w:rsidP="00D0657E">
      <w:pPr>
        <w:tabs>
          <w:tab w:val="left" w:pos="836"/>
          <w:tab w:val="left" w:pos="8222"/>
        </w:tabs>
        <w:ind w:left="851"/>
        <w:rPr>
          <w:sz w:val="24"/>
          <w:szCs w:val="24"/>
        </w:rPr>
      </w:pPr>
      <w:r w:rsidRPr="00D0657E">
        <w:rPr>
          <w:sz w:val="24"/>
          <w:szCs w:val="24"/>
        </w:rPr>
        <w:t xml:space="preserve">Dette præparat kan forårsage overfølsomhedsreaktioner. Personer med kendt overfølsomhed over for </w:t>
      </w:r>
      <w:proofErr w:type="spellStart"/>
      <w:r w:rsidRPr="00D0657E">
        <w:rPr>
          <w:sz w:val="24"/>
          <w:szCs w:val="24"/>
        </w:rPr>
        <w:t>amlodipin</w:t>
      </w:r>
      <w:proofErr w:type="spellEnd"/>
      <w:r w:rsidRPr="00D0657E">
        <w:rPr>
          <w:sz w:val="24"/>
          <w:szCs w:val="24"/>
        </w:rPr>
        <w:t xml:space="preserve"> bør undgå kontakt med præparatet. Vask hænder efter brug.</w:t>
      </w:r>
    </w:p>
    <w:p w:rsidR="00D0657E" w:rsidRPr="00D0657E" w:rsidRDefault="00D0657E" w:rsidP="00D0657E">
      <w:pPr>
        <w:tabs>
          <w:tab w:val="left" w:pos="836"/>
          <w:tab w:val="left" w:pos="8222"/>
        </w:tabs>
        <w:ind w:left="851"/>
        <w:rPr>
          <w:sz w:val="24"/>
          <w:szCs w:val="24"/>
        </w:rPr>
      </w:pPr>
      <w:r w:rsidRPr="00D0657E">
        <w:rPr>
          <w:sz w:val="24"/>
          <w:szCs w:val="24"/>
        </w:rPr>
        <w:t>Indtagelse ved hændeligt uheld hos børn kan forårsage et blodtryksfald. Ubrugte tabletdele skal lægges tilbage i blisterkortet og æsken, og opbevares utilgængeligt for børn. I tilfælde af indtagelse ved hændeligt uheld hos et barn, skal der straks søges lægehjælp, og indlægssedlen eller etiketten bør vises til lægen.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8A34C3" w:rsidRPr="008A34C3" w:rsidRDefault="008A34C3" w:rsidP="008A34C3">
      <w:pPr>
        <w:tabs>
          <w:tab w:val="left" w:pos="851"/>
          <w:tab w:val="left" w:pos="8222"/>
        </w:tabs>
        <w:ind w:left="851"/>
        <w:rPr>
          <w:sz w:val="24"/>
          <w:szCs w:val="24"/>
        </w:rPr>
      </w:pPr>
      <w:r w:rsidRPr="008A34C3">
        <w:rPr>
          <w:sz w:val="24"/>
          <w:szCs w:val="24"/>
        </w:rPr>
        <w:t xml:space="preserve">De følgende uønskede hændelser blev rapporteret i kliniske forsøg med hyppigheden </w:t>
      </w:r>
      <w:r w:rsidR="00AC283C">
        <w:rPr>
          <w:sz w:val="24"/>
          <w:szCs w:val="24"/>
        </w:rPr>
        <w:t>"</w:t>
      </w:r>
      <w:r w:rsidRPr="008A34C3">
        <w:rPr>
          <w:sz w:val="24"/>
          <w:szCs w:val="24"/>
        </w:rPr>
        <w:t>almindelig</w:t>
      </w:r>
      <w:r w:rsidR="00AC283C">
        <w:rPr>
          <w:sz w:val="24"/>
          <w:szCs w:val="24"/>
        </w:rPr>
        <w:t>"</w:t>
      </w:r>
      <w:r w:rsidRPr="008A34C3">
        <w:rPr>
          <w:sz w:val="24"/>
          <w:szCs w:val="24"/>
        </w:rPr>
        <w:t xml:space="preserve">: </w:t>
      </w:r>
      <w:r>
        <w:rPr>
          <w:sz w:val="24"/>
          <w:szCs w:val="24"/>
        </w:rPr>
        <w:t>L</w:t>
      </w:r>
      <w:r w:rsidRPr="008A34C3">
        <w:rPr>
          <w:sz w:val="24"/>
          <w:szCs w:val="24"/>
        </w:rPr>
        <w:t xml:space="preserve">et og forbigående forstyrrelse i fordøjelseskanalen (f.eks. opkastning, nedsat appetit, diarré), letargi, vægttab og nedsatte kaliumniveauer i serum. Hypotension blev i kliniske forsøg observeret med hyppigheden </w:t>
      </w:r>
      <w:r w:rsidR="00AC283C">
        <w:rPr>
          <w:sz w:val="24"/>
          <w:szCs w:val="24"/>
        </w:rPr>
        <w:t>"</w:t>
      </w:r>
      <w:r w:rsidRPr="008A34C3">
        <w:rPr>
          <w:sz w:val="24"/>
          <w:szCs w:val="24"/>
        </w:rPr>
        <w:t>ikke almindelig</w:t>
      </w:r>
      <w:r w:rsidR="00AC283C">
        <w:rPr>
          <w:sz w:val="24"/>
          <w:szCs w:val="24"/>
        </w:rPr>
        <w:t>"</w:t>
      </w:r>
      <w:r w:rsidRPr="008A34C3">
        <w:rPr>
          <w:sz w:val="24"/>
          <w:szCs w:val="24"/>
        </w:rPr>
        <w:t>.</w:t>
      </w:r>
    </w:p>
    <w:p w:rsidR="008A34C3" w:rsidRDefault="008A34C3" w:rsidP="008A34C3">
      <w:pPr>
        <w:tabs>
          <w:tab w:val="left" w:pos="851"/>
          <w:tab w:val="left" w:pos="8222"/>
        </w:tabs>
        <w:ind w:left="851"/>
        <w:rPr>
          <w:sz w:val="24"/>
          <w:szCs w:val="24"/>
        </w:rPr>
      </w:pPr>
    </w:p>
    <w:p w:rsidR="008A34C3" w:rsidRPr="008A34C3" w:rsidRDefault="008A34C3" w:rsidP="008A34C3">
      <w:pPr>
        <w:tabs>
          <w:tab w:val="left" w:pos="851"/>
          <w:tab w:val="left" w:pos="8222"/>
        </w:tabs>
        <w:ind w:left="851"/>
        <w:rPr>
          <w:sz w:val="24"/>
          <w:szCs w:val="24"/>
          <w:u w:val="single"/>
        </w:rPr>
      </w:pPr>
      <w:r w:rsidRPr="008A34C3">
        <w:rPr>
          <w:sz w:val="24"/>
          <w:szCs w:val="24"/>
          <w:u w:val="single"/>
        </w:rPr>
        <w:t>Hyppigheden af bivirkninger er defineret som</w:t>
      </w:r>
    </w:p>
    <w:p w:rsidR="008A34C3" w:rsidRPr="008A34C3" w:rsidRDefault="008A34C3" w:rsidP="008A34C3">
      <w:pPr>
        <w:tabs>
          <w:tab w:val="left" w:pos="1134"/>
          <w:tab w:val="left" w:pos="8222"/>
        </w:tabs>
        <w:ind w:left="1134" w:hanging="283"/>
        <w:rPr>
          <w:sz w:val="24"/>
          <w:szCs w:val="24"/>
        </w:rPr>
      </w:pPr>
      <w:r w:rsidRPr="008A34C3">
        <w:rPr>
          <w:sz w:val="24"/>
          <w:szCs w:val="24"/>
        </w:rPr>
        <w:t>-</w:t>
      </w:r>
      <w:r>
        <w:rPr>
          <w:sz w:val="24"/>
          <w:szCs w:val="24"/>
        </w:rPr>
        <w:tab/>
      </w:r>
      <w:r w:rsidRPr="008A34C3">
        <w:rPr>
          <w:sz w:val="24"/>
          <w:szCs w:val="24"/>
        </w:rPr>
        <w:t>Meget almindelig (flere end 1 ud af 10 behandlede dyr, der viser bivirkninger i løbet af en behandling)</w:t>
      </w:r>
    </w:p>
    <w:p w:rsidR="008A34C3" w:rsidRPr="008A34C3" w:rsidRDefault="008A34C3" w:rsidP="008A34C3">
      <w:pPr>
        <w:tabs>
          <w:tab w:val="left" w:pos="1134"/>
          <w:tab w:val="left" w:pos="8222"/>
        </w:tabs>
        <w:ind w:left="1134" w:hanging="283"/>
        <w:rPr>
          <w:sz w:val="24"/>
          <w:szCs w:val="24"/>
        </w:rPr>
      </w:pPr>
      <w:r w:rsidRPr="008A34C3">
        <w:rPr>
          <w:sz w:val="24"/>
          <w:szCs w:val="24"/>
        </w:rPr>
        <w:t>-</w:t>
      </w:r>
      <w:r>
        <w:rPr>
          <w:sz w:val="24"/>
          <w:szCs w:val="24"/>
        </w:rPr>
        <w:tab/>
      </w:r>
      <w:r w:rsidRPr="008A34C3">
        <w:rPr>
          <w:sz w:val="24"/>
          <w:szCs w:val="24"/>
        </w:rPr>
        <w:t>Almindelig (flere end 1, men færre end 10 dyr af 100 behandlede dyr)</w:t>
      </w:r>
    </w:p>
    <w:p w:rsidR="008A34C3" w:rsidRPr="008A34C3" w:rsidRDefault="008A34C3" w:rsidP="008A34C3">
      <w:pPr>
        <w:tabs>
          <w:tab w:val="left" w:pos="1134"/>
          <w:tab w:val="left" w:pos="8222"/>
        </w:tabs>
        <w:ind w:left="1134" w:hanging="283"/>
        <w:rPr>
          <w:sz w:val="24"/>
          <w:szCs w:val="24"/>
        </w:rPr>
      </w:pPr>
      <w:r w:rsidRPr="008A34C3">
        <w:rPr>
          <w:sz w:val="24"/>
          <w:szCs w:val="24"/>
        </w:rPr>
        <w:t>-</w:t>
      </w:r>
      <w:r>
        <w:rPr>
          <w:sz w:val="24"/>
          <w:szCs w:val="24"/>
        </w:rPr>
        <w:tab/>
      </w:r>
      <w:r w:rsidRPr="008A34C3">
        <w:rPr>
          <w:sz w:val="24"/>
          <w:szCs w:val="24"/>
        </w:rPr>
        <w:t>Ikke almindelig (flere end 1, men færre end 10 dyr af 1.000 behandlede dyr)</w:t>
      </w:r>
    </w:p>
    <w:p w:rsidR="008A34C3" w:rsidRPr="008A34C3" w:rsidRDefault="008A34C3" w:rsidP="008A34C3">
      <w:pPr>
        <w:tabs>
          <w:tab w:val="left" w:pos="1134"/>
          <w:tab w:val="left" w:pos="8222"/>
        </w:tabs>
        <w:ind w:left="1134" w:hanging="283"/>
        <w:rPr>
          <w:sz w:val="24"/>
          <w:szCs w:val="24"/>
        </w:rPr>
      </w:pPr>
      <w:r w:rsidRPr="008A34C3">
        <w:rPr>
          <w:sz w:val="24"/>
          <w:szCs w:val="24"/>
        </w:rPr>
        <w:t>-</w:t>
      </w:r>
      <w:r>
        <w:rPr>
          <w:sz w:val="24"/>
          <w:szCs w:val="24"/>
        </w:rPr>
        <w:tab/>
      </w:r>
      <w:r w:rsidRPr="008A34C3">
        <w:rPr>
          <w:sz w:val="24"/>
          <w:szCs w:val="24"/>
        </w:rPr>
        <w:t>Sjælden (flere end 1, men færre end 10 dyr ud af 10.000 behandlede dyr)</w:t>
      </w:r>
    </w:p>
    <w:p w:rsidR="008A34C3" w:rsidRPr="008A34C3" w:rsidRDefault="008A34C3" w:rsidP="008A34C3">
      <w:pPr>
        <w:tabs>
          <w:tab w:val="left" w:pos="1134"/>
          <w:tab w:val="left" w:pos="8222"/>
        </w:tabs>
        <w:ind w:left="1134" w:hanging="283"/>
        <w:rPr>
          <w:sz w:val="24"/>
          <w:szCs w:val="24"/>
        </w:rPr>
      </w:pPr>
      <w:r w:rsidRPr="008A34C3">
        <w:rPr>
          <w:sz w:val="24"/>
          <w:szCs w:val="24"/>
        </w:rPr>
        <w:t>-</w:t>
      </w:r>
      <w:r>
        <w:rPr>
          <w:sz w:val="24"/>
          <w:szCs w:val="24"/>
        </w:rPr>
        <w:tab/>
      </w:r>
      <w:r w:rsidRPr="008A34C3">
        <w:rPr>
          <w:sz w:val="24"/>
          <w:szCs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AC283C" w:rsidRPr="00AC283C" w:rsidRDefault="00AC283C" w:rsidP="00AC283C">
      <w:pPr>
        <w:tabs>
          <w:tab w:val="left" w:pos="851"/>
          <w:tab w:val="left" w:pos="8222"/>
        </w:tabs>
        <w:ind w:left="851"/>
        <w:rPr>
          <w:sz w:val="24"/>
          <w:szCs w:val="24"/>
        </w:rPr>
      </w:pPr>
      <w:bookmarkStart w:id="5" w:name="_Hlk16583677"/>
      <w:r w:rsidRPr="00AC283C">
        <w:rPr>
          <w:sz w:val="24"/>
          <w:szCs w:val="24"/>
        </w:rPr>
        <w:t xml:space="preserve">Laboratorieundersøgelser af rotter og kaniner har ikke afsløret </w:t>
      </w:r>
      <w:proofErr w:type="spellStart"/>
      <w:r w:rsidRPr="00AC283C">
        <w:rPr>
          <w:sz w:val="24"/>
          <w:szCs w:val="24"/>
        </w:rPr>
        <w:t>teratogene</w:t>
      </w:r>
      <w:proofErr w:type="spellEnd"/>
      <w:r w:rsidRPr="00AC283C">
        <w:rPr>
          <w:sz w:val="24"/>
          <w:szCs w:val="24"/>
        </w:rPr>
        <w:t xml:space="preserve"> virkninger eller reproduktionstoksicitet. </w:t>
      </w:r>
      <w:proofErr w:type="spellStart"/>
      <w:r w:rsidRPr="00AC283C">
        <w:rPr>
          <w:sz w:val="24"/>
          <w:szCs w:val="24"/>
        </w:rPr>
        <w:t>Amlodipin</w:t>
      </w:r>
      <w:proofErr w:type="spellEnd"/>
      <w:r w:rsidRPr="00AC283C">
        <w:rPr>
          <w:sz w:val="24"/>
          <w:szCs w:val="24"/>
        </w:rPr>
        <w:t xml:space="preserve"> udskilles i mælken.</w:t>
      </w:r>
    </w:p>
    <w:p w:rsidR="00AC283C" w:rsidRPr="00AC283C" w:rsidRDefault="00AC283C" w:rsidP="00AC283C">
      <w:pPr>
        <w:tabs>
          <w:tab w:val="left" w:pos="851"/>
          <w:tab w:val="left" w:pos="8222"/>
        </w:tabs>
        <w:ind w:left="851"/>
        <w:rPr>
          <w:sz w:val="24"/>
          <w:szCs w:val="24"/>
        </w:rPr>
      </w:pPr>
      <w:proofErr w:type="spellStart"/>
      <w:r w:rsidRPr="00AC283C">
        <w:rPr>
          <w:sz w:val="24"/>
          <w:szCs w:val="24"/>
        </w:rPr>
        <w:t>Amlodipins</w:t>
      </w:r>
      <w:proofErr w:type="spellEnd"/>
      <w:r w:rsidRPr="00AC283C">
        <w:rPr>
          <w:sz w:val="24"/>
          <w:szCs w:val="24"/>
        </w:rPr>
        <w:t xml:space="preserve"> sikkerhed under drægtighed og diegivning er ikke fastlagt hos katte.</w:t>
      </w:r>
    </w:p>
    <w:p w:rsidR="005B0036" w:rsidRDefault="00AC283C" w:rsidP="00AC283C">
      <w:pPr>
        <w:tabs>
          <w:tab w:val="left" w:pos="851"/>
          <w:tab w:val="left" w:pos="8222"/>
        </w:tabs>
        <w:ind w:left="851"/>
        <w:rPr>
          <w:sz w:val="24"/>
          <w:szCs w:val="24"/>
        </w:rPr>
      </w:pPr>
      <w:r w:rsidRPr="00AC283C">
        <w:rPr>
          <w:sz w:val="24"/>
          <w:szCs w:val="24"/>
        </w:rPr>
        <w:t>Må kun anvendes i overensstemmelse med den ansvarlige dyrlæges vurdering af fordele/risic</w:t>
      </w:r>
      <w:bookmarkEnd w:id="5"/>
      <w:r>
        <w:rPr>
          <w:sz w:val="24"/>
          <w:szCs w:val="24"/>
        </w:rPr>
        <w:t>i.</w:t>
      </w:r>
    </w:p>
    <w:p w:rsidR="00AC283C" w:rsidRPr="00406EE7" w:rsidRDefault="00AC283C" w:rsidP="00AC283C">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AC283C" w:rsidRPr="00AC283C" w:rsidRDefault="00AC283C" w:rsidP="00AC283C">
      <w:pPr>
        <w:tabs>
          <w:tab w:val="left" w:pos="851"/>
          <w:tab w:val="left" w:pos="8222"/>
        </w:tabs>
        <w:ind w:left="851"/>
        <w:rPr>
          <w:sz w:val="24"/>
          <w:szCs w:val="24"/>
        </w:rPr>
      </w:pPr>
      <w:bookmarkStart w:id="6" w:name="_Hlk16583736"/>
      <w:r w:rsidRPr="00AC283C">
        <w:rPr>
          <w:sz w:val="24"/>
          <w:szCs w:val="24"/>
        </w:rPr>
        <w:t xml:space="preserve">Samtidig anvendelse af </w:t>
      </w:r>
      <w:proofErr w:type="spellStart"/>
      <w:r w:rsidRPr="00AC283C">
        <w:rPr>
          <w:sz w:val="24"/>
          <w:szCs w:val="24"/>
        </w:rPr>
        <w:t>diuretika</w:t>
      </w:r>
      <w:proofErr w:type="spellEnd"/>
      <w:r w:rsidRPr="00AC283C">
        <w:rPr>
          <w:sz w:val="24"/>
          <w:szCs w:val="24"/>
        </w:rPr>
        <w:t xml:space="preserve">, betablokkere, andre calciumkanalblokkere, </w:t>
      </w:r>
      <w:proofErr w:type="spellStart"/>
      <w:r w:rsidRPr="00AC283C">
        <w:rPr>
          <w:sz w:val="24"/>
          <w:szCs w:val="24"/>
        </w:rPr>
        <w:t>hæmmere</w:t>
      </w:r>
      <w:proofErr w:type="spellEnd"/>
      <w:r w:rsidRPr="00AC283C">
        <w:rPr>
          <w:sz w:val="24"/>
          <w:szCs w:val="24"/>
        </w:rPr>
        <w:t xml:space="preserve"> af </w:t>
      </w:r>
      <w:proofErr w:type="spellStart"/>
      <w:r w:rsidRPr="00AC283C">
        <w:rPr>
          <w:sz w:val="24"/>
          <w:szCs w:val="24"/>
        </w:rPr>
        <w:t>renin-angiotensin-aldosteronsystemet</w:t>
      </w:r>
      <w:proofErr w:type="spellEnd"/>
      <w:r w:rsidRPr="00AC283C">
        <w:rPr>
          <w:sz w:val="24"/>
          <w:szCs w:val="24"/>
        </w:rPr>
        <w:t xml:space="preserve">, andre </w:t>
      </w:r>
      <w:proofErr w:type="spellStart"/>
      <w:r w:rsidRPr="00AC283C">
        <w:rPr>
          <w:sz w:val="24"/>
          <w:szCs w:val="24"/>
        </w:rPr>
        <w:t>vasodilatatorer</w:t>
      </w:r>
      <w:proofErr w:type="spellEnd"/>
      <w:r w:rsidRPr="00AC283C">
        <w:rPr>
          <w:sz w:val="24"/>
          <w:szCs w:val="24"/>
        </w:rPr>
        <w:t>, alfa-2-agonister eller andre stoffer, der kan nedsætte blodtrykket, kan forårsage hypotension.</w:t>
      </w:r>
    </w:p>
    <w:p w:rsidR="00AC283C" w:rsidRPr="00AC283C" w:rsidRDefault="00AC283C" w:rsidP="00AC283C">
      <w:pPr>
        <w:tabs>
          <w:tab w:val="left" w:pos="851"/>
          <w:tab w:val="left" w:pos="8222"/>
        </w:tabs>
        <w:ind w:left="851"/>
        <w:rPr>
          <w:sz w:val="24"/>
          <w:szCs w:val="24"/>
        </w:rPr>
      </w:pPr>
      <w:r w:rsidRPr="00AC283C">
        <w:rPr>
          <w:sz w:val="24"/>
          <w:szCs w:val="24"/>
        </w:rPr>
        <w:t xml:space="preserve">Samtidig anvendelse af </w:t>
      </w:r>
      <w:proofErr w:type="spellStart"/>
      <w:r w:rsidRPr="00AC283C">
        <w:rPr>
          <w:sz w:val="24"/>
          <w:szCs w:val="24"/>
        </w:rPr>
        <w:t>ciclosporin</w:t>
      </w:r>
      <w:proofErr w:type="spellEnd"/>
      <w:r w:rsidRPr="00AC283C">
        <w:rPr>
          <w:sz w:val="24"/>
          <w:szCs w:val="24"/>
        </w:rPr>
        <w:t xml:space="preserve"> eller potente CYP3A4-hæmmere (f.eks. </w:t>
      </w:r>
      <w:proofErr w:type="spellStart"/>
      <w:r w:rsidRPr="00AC283C">
        <w:rPr>
          <w:sz w:val="24"/>
          <w:szCs w:val="24"/>
        </w:rPr>
        <w:t>ketoconazol</w:t>
      </w:r>
      <w:proofErr w:type="spellEnd"/>
      <w:r w:rsidRPr="00AC283C">
        <w:rPr>
          <w:sz w:val="24"/>
          <w:szCs w:val="24"/>
        </w:rPr>
        <w:t xml:space="preserve">, </w:t>
      </w:r>
      <w:proofErr w:type="spellStart"/>
      <w:r w:rsidRPr="00AC283C">
        <w:rPr>
          <w:sz w:val="24"/>
          <w:szCs w:val="24"/>
        </w:rPr>
        <w:t>itraconazol</w:t>
      </w:r>
      <w:proofErr w:type="spellEnd"/>
      <w:r w:rsidRPr="00AC283C">
        <w:rPr>
          <w:sz w:val="24"/>
          <w:szCs w:val="24"/>
        </w:rPr>
        <w:t xml:space="preserve">) kan føre til forhøjede </w:t>
      </w:r>
      <w:proofErr w:type="spellStart"/>
      <w:r w:rsidRPr="00AC283C">
        <w:rPr>
          <w:sz w:val="24"/>
          <w:szCs w:val="24"/>
        </w:rPr>
        <w:t>amlodipinniveauer</w:t>
      </w:r>
      <w:proofErr w:type="spellEnd"/>
      <w:r w:rsidRPr="00AC283C">
        <w:rPr>
          <w:sz w:val="24"/>
          <w:szCs w:val="24"/>
        </w:rPr>
        <w:t>.</w:t>
      </w:r>
      <w:bookmarkEnd w:id="6"/>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186643" w:rsidRPr="00186643" w:rsidRDefault="00186643" w:rsidP="00186643">
      <w:pPr>
        <w:tabs>
          <w:tab w:val="left" w:pos="851"/>
          <w:tab w:val="left" w:pos="8222"/>
        </w:tabs>
        <w:ind w:left="851"/>
        <w:rPr>
          <w:sz w:val="24"/>
          <w:szCs w:val="24"/>
        </w:rPr>
      </w:pPr>
      <w:bookmarkStart w:id="7" w:name="_Hlk37244463"/>
      <w:r w:rsidRPr="00186643">
        <w:rPr>
          <w:sz w:val="24"/>
          <w:szCs w:val="24"/>
        </w:rPr>
        <w:t>Oral anvendelse.</w:t>
      </w:r>
    </w:p>
    <w:p w:rsidR="00186643" w:rsidRPr="00186643" w:rsidRDefault="00186643" w:rsidP="00186643">
      <w:pPr>
        <w:tabs>
          <w:tab w:val="left" w:pos="851"/>
          <w:tab w:val="left" w:pos="8222"/>
        </w:tabs>
        <w:ind w:left="851"/>
        <w:rPr>
          <w:sz w:val="24"/>
          <w:szCs w:val="24"/>
        </w:rPr>
      </w:pPr>
    </w:p>
    <w:p w:rsidR="00186643" w:rsidRPr="00186643" w:rsidRDefault="00186643" w:rsidP="00186643">
      <w:pPr>
        <w:tabs>
          <w:tab w:val="left" w:pos="851"/>
          <w:tab w:val="left" w:pos="8222"/>
        </w:tabs>
        <w:ind w:left="851"/>
        <w:rPr>
          <w:sz w:val="24"/>
          <w:szCs w:val="24"/>
        </w:rPr>
      </w:pPr>
      <w:r w:rsidRPr="00186643">
        <w:rPr>
          <w:sz w:val="24"/>
          <w:szCs w:val="24"/>
        </w:rPr>
        <w:t xml:space="preserve">Den anbefalede standard startdosis er 0,125-0,25 mg </w:t>
      </w:r>
      <w:proofErr w:type="spellStart"/>
      <w:r w:rsidRPr="00186643">
        <w:rPr>
          <w:sz w:val="24"/>
          <w:szCs w:val="24"/>
        </w:rPr>
        <w:t>amlodipin</w:t>
      </w:r>
      <w:proofErr w:type="spellEnd"/>
      <w:r w:rsidRPr="00186643">
        <w:rPr>
          <w:sz w:val="24"/>
          <w:szCs w:val="24"/>
        </w:rPr>
        <w:t xml:space="preserve"> pr. kg legemsvægt pr. dag.</w:t>
      </w:r>
    </w:p>
    <w:p w:rsidR="00186643" w:rsidRPr="00186643" w:rsidRDefault="00186643" w:rsidP="00186643">
      <w:pPr>
        <w:tabs>
          <w:tab w:val="left" w:pos="851"/>
          <w:tab w:val="left" w:pos="8222"/>
        </w:tabs>
        <w:ind w:left="851"/>
        <w:rPr>
          <w:vanish/>
          <w:sz w:val="24"/>
          <w:szCs w:val="24"/>
        </w:rPr>
      </w:pPr>
    </w:p>
    <w:tbl>
      <w:tblPr>
        <w:tblW w:w="0" w:type="auto"/>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3027"/>
        <w:gridCol w:w="2552"/>
      </w:tblGrid>
      <w:tr w:rsidR="00186643" w:rsidRPr="00186643" w:rsidTr="00E410E8">
        <w:tc>
          <w:tcPr>
            <w:tcW w:w="1984" w:type="dxa"/>
            <w:tcBorders>
              <w:top w:val="nil"/>
              <w:left w:val="nil"/>
              <w:bottom w:val="single" w:sz="4" w:space="0" w:color="auto"/>
              <w:right w:val="single" w:sz="4" w:space="0" w:color="auto"/>
            </w:tcBorders>
          </w:tcPr>
          <w:p w:rsidR="00186643" w:rsidRPr="00186643" w:rsidRDefault="00186643" w:rsidP="000F583E">
            <w:pPr>
              <w:tabs>
                <w:tab w:val="left" w:pos="8222"/>
              </w:tabs>
              <w:ind w:left="33"/>
              <w:rPr>
                <w:sz w:val="24"/>
                <w:szCs w:val="24"/>
              </w:rPr>
            </w:pPr>
          </w:p>
        </w:tc>
        <w:tc>
          <w:tcPr>
            <w:tcW w:w="3027" w:type="dxa"/>
            <w:tcBorders>
              <w:top w:val="single" w:sz="4" w:space="0" w:color="000000"/>
              <w:left w:val="single" w:sz="4" w:space="0" w:color="auto"/>
              <w:bottom w:val="single" w:sz="4" w:space="0" w:color="000000"/>
              <w:right w:val="single" w:sz="4" w:space="0" w:color="000000"/>
            </w:tcBorders>
            <w:hideMark/>
          </w:tcPr>
          <w:p w:rsidR="00186643" w:rsidRPr="00186643" w:rsidRDefault="00186643" w:rsidP="00E410E8">
            <w:pPr>
              <w:tabs>
                <w:tab w:val="left" w:pos="8222"/>
              </w:tabs>
              <w:ind w:left="17"/>
              <w:rPr>
                <w:sz w:val="24"/>
                <w:szCs w:val="24"/>
              </w:rPr>
            </w:pPr>
            <w:r w:rsidRPr="00186643">
              <w:rPr>
                <w:sz w:val="24"/>
                <w:szCs w:val="24"/>
              </w:rPr>
              <w:t>Legemsvægtinterval (kg)</w:t>
            </w:r>
          </w:p>
        </w:tc>
        <w:tc>
          <w:tcPr>
            <w:tcW w:w="2552" w:type="dxa"/>
            <w:tcBorders>
              <w:top w:val="single" w:sz="4" w:space="0" w:color="000000"/>
              <w:left w:val="single" w:sz="4" w:space="0" w:color="000000"/>
              <w:bottom w:val="single" w:sz="4" w:space="0" w:color="000000"/>
              <w:right w:val="single" w:sz="4" w:space="0" w:color="000000"/>
            </w:tcBorders>
            <w:hideMark/>
          </w:tcPr>
          <w:p w:rsidR="00186643" w:rsidRPr="00186643" w:rsidRDefault="00186643" w:rsidP="00E410E8">
            <w:pPr>
              <w:tabs>
                <w:tab w:val="left" w:pos="8222"/>
              </w:tabs>
              <w:ind w:left="116"/>
              <w:rPr>
                <w:sz w:val="24"/>
                <w:szCs w:val="24"/>
              </w:rPr>
            </w:pPr>
            <w:r w:rsidRPr="00186643">
              <w:rPr>
                <w:sz w:val="24"/>
                <w:szCs w:val="24"/>
              </w:rPr>
              <w:t>Antal tabletter pr. dag</w:t>
            </w:r>
          </w:p>
        </w:tc>
      </w:tr>
      <w:tr w:rsidR="00186643" w:rsidRPr="00186643" w:rsidTr="00E410E8">
        <w:tc>
          <w:tcPr>
            <w:tcW w:w="1984" w:type="dxa"/>
            <w:vMerge w:val="restart"/>
            <w:tcBorders>
              <w:top w:val="single" w:sz="4" w:space="0" w:color="auto"/>
              <w:left w:val="single" w:sz="4" w:space="0" w:color="000000"/>
              <w:bottom w:val="single" w:sz="4" w:space="0" w:color="000000"/>
              <w:right w:val="single" w:sz="4" w:space="0" w:color="000000"/>
            </w:tcBorders>
            <w:hideMark/>
          </w:tcPr>
          <w:p w:rsidR="00186643" w:rsidRPr="00186643" w:rsidRDefault="00186643" w:rsidP="000F583E">
            <w:pPr>
              <w:tabs>
                <w:tab w:val="left" w:pos="8222"/>
              </w:tabs>
              <w:ind w:left="33"/>
              <w:rPr>
                <w:sz w:val="24"/>
                <w:szCs w:val="24"/>
              </w:rPr>
            </w:pPr>
            <w:r w:rsidRPr="00186643">
              <w:rPr>
                <w:sz w:val="24"/>
                <w:szCs w:val="24"/>
              </w:rPr>
              <w:t>Standarddosering:</w:t>
            </w:r>
          </w:p>
        </w:tc>
        <w:tc>
          <w:tcPr>
            <w:tcW w:w="3027" w:type="dxa"/>
            <w:tcBorders>
              <w:top w:val="single" w:sz="4" w:space="0" w:color="000000"/>
              <w:left w:val="single" w:sz="4" w:space="0" w:color="000000"/>
              <w:bottom w:val="single" w:sz="4" w:space="0" w:color="000000"/>
              <w:right w:val="single" w:sz="4" w:space="0" w:color="000000"/>
            </w:tcBorders>
            <w:hideMark/>
          </w:tcPr>
          <w:p w:rsidR="00186643" w:rsidRPr="00186643" w:rsidRDefault="00186643" w:rsidP="00E410E8">
            <w:pPr>
              <w:tabs>
                <w:tab w:val="left" w:pos="8222"/>
              </w:tabs>
              <w:ind w:left="17"/>
              <w:rPr>
                <w:sz w:val="24"/>
                <w:szCs w:val="24"/>
              </w:rPr>
            </w:pPr>
            <w:r w:rsidRPr="00186643">
              <w:rPr>
                <w:sz w:val="24"/>
                <w:szCs w:val="24"/>
              </w:rPr>
              <w:t xml:space="preserve">2 til &lt; 4 </w:t>
            </w:r>
          </w:p>
        </w:tc>
        <w:tc>
          <w:tcPr>
            <w:tcW w:w="2552" w:type="dxa"/>
            <w:tcBorders>
              <w:top w:val="single" w:sz="4" w:space="0" w:color="000000"/>
              <w:left w:val="single" w:sz="4" w:space="0" w:color="000000"/>
              <w:bottom w:val="single" w:sz="4" w:space="0" w:color="000000"/>
              <w:right w:val="single" w:sz="4" w:space="0" w:color="000000"/>
            </w:tcBorders>
            <w:hideMark/>
          </w:tcPr>
          <w:p w:rsidR="00186643" w:rsidRPr="00186643" w:rsidRDefault="00186643" w:rsidP="00E410E8">
            <w:pPr>
              <w:tabs>
                <w:tab w:val="left" w:pos="8222"/>
              </w:tabs>
              <w:ind w:left="116"/>
              <w:rPr>
                <w:sz w:val="24"/>
                <w:szCs w:val="24"/>
              </w:rPr>
            </w:pPr>
            <w:r w:rsidRPr="00186643">
              <w:rPr>
                <w:sz w:val="24"/>
                <w:szCs w:val="24"/>
              </w:rPr>
              <w:t>½</w:t>
            </w:r>
          </w:p>
        </w:tc>
      </w:tr>
      <w:tr w:rsidR="00186643" w:rsidRPr="00186643" w:rsidTr="00E410E8">
        <w:tc>
          <w:tcPr>
            <w:tcW w:w="1984" w:type="dxa"/>
            <w:vMerge/>
            <w:tcBorders>
              <w:top w:val="single" w:sz="4" w:space="0" w:color="auto"/>
              <w:left w:val="single" w:sz="4" w:space="0" w:color="000000"/>
              <w:bottom w:val="single" w:sz="4" w:space="0" w:color="000000"/>
              <w:right w:val="single" w:sz="4" w:space="0" w:color="000000"/>
            </w:tcBorders>
            <w:vAlign w:val="center"/>
            <w:hideMark/>
          </w:tcPr>
          <w:p w:rsidR="00186643" w:rsidRPr="00186643" w:rsidRDefault="00186643" w:rsidP="000F583E">
            <w:pPr>
              <w:tabs>
                <w:tab w:val="left" w:pos="8222"/>
              </w:tabs>
              <w:ind w:left="33"/>
              <w:rPr>
                <w:sz w:val="24"/>
                <w:szCs w:val="24"/>
              </w:rPr>
            </w:pPr>
          </w:p>
        </w:tc>
        <w:tc>
          <w:tcPr>
            <w:tcW w:w="3027" w:type="dxa"/>
            <w:tcBorders>
              <w:top w:val="single" w:sz="4" w:space="0" w:color="000000"/>
              <w:left w:val="single" w:sz="4" w:space="0" w:color="000000"/>
              <w:bottom w:val="single" w:sz="4" w:space="0" w:color="000000"/>
              <w:right w:val="single" w:sz="4" w:space="0" w:color="000000"/>
            </w:tcBorders>
            <w:hideMark/>
          </w:tcPr>
          <w:p w:rsidR="00186643" w:rsidRPr="00186643" w:rsidRDefault="00186643" w:rsidP="00E410E8">
            <w:pPr>
              <w:tabs>
                <w:tab w:val="left" w:pos="8222"/>
              </w:tabs>
              <w:ind w:left="17"/>
              <w:rPr>
                <w:sz w:val="24"/>
                <w:szCs w:val="24"/>
              </w:rPr>
            </w:pPr>
            <w:r w:rsidRPr="00186643">
              <w:rPr>
                <w:sz w:val="24"/>
                <w:szCs w:val="24"/>
              </w:rPr>
              <w:t>≥ 4 til 8</w:t>
            </w:r>
          </w:p>
        </w:tc>
        <w:tc>
          <w:tcPr>
            <w:tcW w:w="2552" w:type="dxa"/>
            <w:tcBorders>
              <w:top w:val="single" w:sz="4" w:space="0" w:color="000000"/>
              <w:left w:val="single" w:sz="4" w:space="0" w:color="000000"/>
              <w:bottom w:val="single" w:sz="4" w:space="0" w:color="000000"/>
              <w:right w:val="single" w:sz="4" w:space="0" w:color="000000"/>
            </w:tcBorders>
            <w:hideMark/>
          </w:tcPr>
          <w:p w:rsidR="00186643" w:rsidRPr="00186643" w:rsidRDefault="00186643" w:rsidP="00E410E8">
            <w:pPr>
              <w:tabs>
                <w:tab w:val="left" w:pos="8222"/>
              </w:tabs>
              <w:ind w:left="116"/>
              <w:rPr>
                <w:sz w:val="24"/>
                <w:szCs w:val="24"/>
              </w:rPr>
            </w:pPr>
            <w:r w:rsidRPr="00186643">
              <w:rPr>
                <w:sz w:val="24"/>
                <w:szCs w:val="24"/>
              </w:rPr>
              <w:t>1</w:t>
            </w:r>
          </w:p>
        </w:tc>
      </w:tr>
    </w:tbl>
    <w:p w:rsidR="00E410E8" w:rsidRDefault="00E410E8" w:rsidP="00186643">
      <w:pPr>
        <w:tabs>
          <w:tab w:val="left" w:pos="851"/>
          <w:tab w:val="left" w:pos="8222"/>
        </w:tabs>
        <w:ind w:left="851"/>
        <w:rPr>
          <w:sz w:val="24"/>
          <w:szCs w:val="24"/>
        </w:rPr>
      </w:pPr>
      <w:bookmarkStart w:id="8" w:name="_Hlk16583407"/>
    </w:p>
    <w:p w:rsidR="00186643" w:rsidRPr="00186643" w:rsidRDefault="00186643" w:rsidP="00186643">
      <w:pPr>
        <w:tabs>
          <w:tab w:val="left" w:pos="851"/>
          <w:tab w:val="left" w:pos="8222"/>
        </w:tabs>
        <w:ind w:left="851"/>
        <w:rPr>
          <w:sz w:val="24"/>
          <w:szCs w:val="24"/>
        </w:rPr>
      </w:pPr>
      <w:r w:rsidRPr="00186643">
        <w:rPr>
          <w:sz w:val="24"/>
          <w:szCs w:val="24"/>
        </w:rPr>
        <w:t>For katte, der vejer fra 2 kg til 2,5 kg, henvises til pkt. 4.5.</w:t>
      </w:r>
    </w:p>
    <w:p w:rsidR="00E410E8" w:rsidRDefault="00E410E8" w:rsidP="00186643">
      <w:pPr>
        <w:tabs>
          <w:tab w:val="left" w:pos="851"/>
          <w:tab w:val="left" w:pos="8222"/>
        </w:tabs>
        <w:ind w:left="851"/>
        <w:rPr>
          <w:sz w:val="24"/>
          <w:szCs w:val="24"/>
        </w:rPr>
      </w:pPr>
    </w:p>
    <w:p w:rsidR="00186643" w:rsidRPr="00186643" w:rsidRDefault="00186643" w:rsidP="00186643">
      <w:pPr>
        <w:tabs>
          <w:tab w:val="left" w:pos="851"/>
          <w:tab w:val="left" w:pos="8222"/>
        </w:tabs>
        <w:ind w:left="851"/>
        <w:rPr>
          <w:sz w:val="24"/>
          <w:szCs w:val="24"/>
        </w:rPr>
      </w:pPr>
      <w:r w:rsidRPr="00186643">
        <w:rPr>
          <w:sz w:val="24"/>
          <w:szCs w:val="24"/>
        </w:rPr>
        <w:t xml:space="preserve">Efter to ugers behandling, skal det kliniske respons reevalueres. I tilfælde af et utilstrækkeligt klinisk respons - mindre end 15 % reduktion i SBP, og SBP stadig </w:t>
      </w:r>
      <w:r w:rsidRPr="00186643">
        <w:rPr>
          <w:sz w:val="24"/>
          <w:szCs w:val="24"/>
        </w:rPr>
        <w:lastRenderedPageBreak/>
        <w:t>&gt; 150 </w:t>
      </w:r>
      <w:proofErr w:type="spellStart"/>
      <w:r w:rsidRPr="00186643">
        <w:rPr>
          <w:sz w:val="24"/>
          <w:szCs w:val="24"/>
        </w:rPr>
        <w:t>mmHg</w:t>
      </w:r>
      <w:proofErr w:type="spellEnd"/>
      <w:r w:rsidRPr="00186643">
        <w:rPr>
          <w:sz w:val="24"/>
          <w:szCs w:val="24"/>
        </w:rPr>
        <w:t xml:space="preserve"> - kan dosis øges med 0,5 mg (½ tablet) pr. dag</w:t>
      </w:r>
      <w:bookmarkStart w:id="9" w:name="_Hlk37249059"/>
      <w:r w:rsidRPr="00186643">
        <w:rPr>
          <w:sz w:val="24"/>
          <w:szCs w:val="24"/>
        </w:rPr>
        <w:t>,</w:t>
      </w:r>
      <w:r w:rsidRPr="00186643">
        <w:rPr>
          <w:i/>
          <w:sz w:val="24"/>
          <w:szCs w:val="24"/>
        </w:rPr>
        <w:t xml:space="preserve"> </w:t>
      </w:r>
      <w:r w:rsidRPr="00186643">
        <w:rPr>
          <w:sz w:val="24"/>
          <w:szCs w:val="24"/>
        </w:rPr>
        <w:t xml:space="preserve">op til en maksimal dosis på 0,5 mg/kg legemsvægt </w:t>
      </w:r>
      <w:r w:rsidR="00E410E8">
        <w:rPr>
          <w:sz w:val="24"/>
          <w:szCs w:val="24"/>
        </w:rPr>
        <w:t>daglig</w:t>
      </w:r>
      <w:bookmarkEnd w:id="9"/>
      <w:r w:rsidRPr="00186643">
        <w:rPr>
          <w:sz w:val="24"/>
          <w:szCs w:val="24"/>
        </w:rPr>
        <w:t>. Se også pkt. 4.5.</w:t>
      </w:r>
    </w:p>
    <w:p w:rsidR="00186643" w:rsidRPr="00186643" w:rsidRDefault="00186643" w:rsidP="00186643">
      <w:pPr>
        <w:tabs>
          <w:tab w:val="left" w:pos="851"/>
          <w:tab w:val="left" w:pos="8222"/>
        </w:tabs>
        <w:ind w:left="851"/>
        <w:rPr>
          <w:sz w:val="24"/>
          <w:szCs w:val="24"/>
        </w:rPr>
      </w:pPr>
      <w:r w:rsidRPr="00186643">
        <w:rPr>
          <w:sz w:val="24"/>
          <w:szCs w:val="24"/>
        </w:rPr>
        <w:t>Respons på dosisjusteringer bør reevalueres efter yderligere to uger.</w:t>
      </w:r>
    </w:p>
    <w:p w:rsidR="00186643" w:rsidRPr="00186643" w:rsidRDefault="00186643" w:rsidP="00186643">
      <w:pPr>
        <w:tabs>
          <w:tab w:val="left" w:pos="851"/>
          <w:tab w:val="left" w:pos="8222"/>
        </w:tabs>
        <w:ind w:left="851"/>
        <w:rPr>
          <w:sz w:val="24"/>
          <w:szCs w:val="24"/>
        </w:rPr>
      </w:pPr>
      <w:r w:rsidRPr="00186643">
        <w:rPr>
          <w:sz w:val="24"/>
          <w:szCs w:val="24"/>
        </w:rPr>
        <w:t>I tilfælde af klinisk relevante uønskede hændelser, bør det overvejes at nedsætte dosis eller ophøre med behandlingen.</w:t>
      </w:r>
    </w:p>
    <w:p w:rsidR="00186643" w:rsidRPr="00186643" w:rsidRDefault="00186643" w:rsidP="00186643">
      <w:pPr>
        <w:tabs>
          <w:tab w:val="left" w:pos="851"/>
          <w:tab w:val="left" w:pos="8222"/>
        </w:tabs>
        <w:ind w:left="851"/>
        <w:rPr>
          <w:sz w:val="24"/>
          <w:szCs w:val="24"/>
        </w:rPr>
      </w:pPr>
      <w:r w:rsidRPr="00186643">
        <w:rPr>
          <w:sz w:val="24"/>
          <w:szCs w:val="24"/>
        </w:rPr>
        <w:t>Tabletterne kan administreres direkte til dyret, eller administreres sammen med en lille smule foder.</w:t>
      </w:r>
      <w:bookmarkEnd w:id="7"/>
      <w:bookmarkEnd w:id="8"/>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E410E8" w:rsidRPr="00E410E8" w:rsidRDefault="00E410E8" w:rsidP="00E410E8">
      <w:pPr>
        <w:tabs>
          <w:tab w:val="left" w:pos="851"/>
          <w:tab w:val="left" w:pos="8222"/>
        </w:tabs>
        <w:ind w:left="851"/>
        <w:rPr>
          <w:sz w:val="24"/>
          <w:szCs w:val="24"/>
        </w:rPr>
      </w:pPr>
      <w:bookmarkStart w:id="10" w:name="_Hlk16583763"/>
      <w:bookmarkStart w:id="11" w:name="_Hlk16583447"/>
      <w:r w:rsidRPr="00E410E8">
        <w:rPr>
          <w:sz w:val="24"/>
          <w:szCs w:val="24"/>
        </w:rPr>
        <w:t>Der forekom nedsat appetit og vægttab ved en dosis på 1 mg/dag (svarende til 0,32 mg/kg).</w:t>
      </w:r>
    </w:p>
    <w:p w:rsidR="00E410E8" w:rsidRPr="00E410E8" w:rsidRDefault="00E410E8" w:rsidP="00E410E8">
      <w:pPr>
        <w:tabs>
          <w:tab w:val="left" w:pos="851"/>
          <w:tab w:val="left" w:pos="8222"/>
        </w:tabs>
        <w:ind w:left="851"/>
        <w:rPr>
          <w:sz w:val="24"/>
          <w:szCs w:val="24"/>
        </w:rPr>
      </w:pPr>
      <w:r w:rsidRPr="00E410E8">
        <w:rPr>
          <w:sz w:val="24"/>
          <w:szCs w:val="24"/>
        </w:rPr>
        <w:t xml:space="preserve">Letargi begyndte at forekomme hos nogle katte, der fik 3 mg </w:t>
      </w:r>
      <w:proofErr w:type="spellStart"/>
      <w:r w:rsidRPr="00E410E8">
        <w:rPr>
          <w:sz w:val="24"/>
          <w:szCs w:val="24"/>
        </w:rPr>
        <w:t>amlodipin</w:t>
      </w:r>
      <w:proofErr w:type="spellEnd"/>
      <w:r w:rsidRPr="00E410E8">
        <w:rPr>
          <w:sz w:val="24"/>
          <w:szCs w:val="24"/>
        </w:rPr>
        <w:t>/dag (0,63-1,11 mg/kg/dag).</w:t>
      </w:r>
    </w:p>
    <w:p w:rsidR="00E410E8" w:rsidRPr="00E410E8" w:rsidRDefault="00E410E8" w:rsidP="00E410E8">
      <w:pPr>
        <w:tabs>
          <w:tab w:val="left" w:pos="851"/>
          <w:tab w:val="left" w:pos="8222"/>
        </w:tabs>
        <w:ind w:left="851"/>
        <w:rPr>
          <w:sz w:val="24"/>
          <w:szCs w:val="24"/>
        </w:rPr>
      </w:pPr>
      <w:r w:rsidRPr="00E410E8">
        <w:rPr>
          <w:sz w:val="24"/>
          <w:szCs w:val="24"/>
        </w:rPr>
        <w:t xml:space="preserve">Der blev påvist et overordnet skift i elektrolytbalancen (nedsatte kalium- og </w:t>
      </w:r>
      <w:proofErr w:type="spellStart"/>
      <w:r w:rsidRPr="00E410E8">
        <w:rPr>
          <w:sz w:val="24"/>
          <w:szCs w:val="24"/>
        </w:rPr>
        <w:t>chloridkoncentrationer</w:t>
      </w:r>
      <w:proofErr w:type="spellEnd"/>
      <w:r w:rsidRPr="00E410E8">
        <w:rPr>
          <w:sz w:val="24"/>
          <w:szCs w:val="24"/>
        </w:rPr>
        <w:t xml:space="preserve">) hos alle dyr, der fik 3-5 mg </w:t>
      </w:r>
      <w:proofErr w:type="spellStart"/>
      <w:r w:rsidRPr="00E410E8">
        <w:rPr>
          <w:sz w:val="24"/>
          <w:szCs w:val="24"/>
        </w:rPr>
        <w:t>amlodipin</w:t>
      </w:r>
      <w:proofErr w:type="spellEnd"/>
      <w:r w:rsidRPr="00E410E8">
        <w:rPr>
          <w:sz w:val="24"/>
          <w:szCs w:val="24"/>
        </w:rPr>
        <w:t>/dag (0,49 - 1,56 mg/kg).</w:t>
      </w:r>
    </w:p>
    <w:p w:rsidR="00E410E8" w:rsidRPr="00E410E8" w:rsidRDefault="00E410E8" w:rsidP="00E410E8">
      <w:pPr>
        <w:tabs>
          <w:tab w:val="left" w:pos="851"/>
          <w:tab w:val="left" w:pos="8222"/>
        </w:tabs>
        <w:ind w:left="851"/>
        <w:rPr>
          <w:sz w:val="24"/>
          <w:szCs w:val="24"/>
        </w:rPr>
      </w:pPr>
      <w:proofErr w:type="spellStart"/>
      <w:r w:rsidRPr="00E410E8">
        <w:rPr>
          <w:sz w:val="24"/>
          <w:szCs w:val="24"/>
        </w:rPr>
        <w:t>Konjunktivitis</w:t>
      </w:r>
      <w:proofErr w:type="spellEnd"/>
      <w:r w:rsidRPr="00E410E8">
        <w:rPr>
          <w:sz w:val="24"/>
          <w:szCs w:val="24"/>
        </w:rPr>
        <w:t xml:space="preserve"> og vandigt udflåd fra øjnene blev bemærket hos de dyr, der fik den højeste dosis, dvs. 1,02-1,47 mg/kg. Det er imidlertid uklart, om dette er behandlingsrelateret</w:t>
      </w:r>
      <w:bookmarkEnd w:id="10"/>
      <w:r w:rsidRPr="00E410E8">
        <w:rPr>
          <w:sz w:val="24"/>
          <w:szCs w:val="24"/>
        </w:rPr>
        <w:t>.</w:t>
      </w:r>
    </w:p>
    <w:p w:rsidR="00E410E8" w:rsidRPr="00E410E8" w:rsidRDefault="00E410E8" w:rsidP="00E410E8">
      <w:pPr>
        <w:tabs>
          <w:tab w:val="left" w:pos="851"/>
          <w:tab w:val="left" w:pos="8222"/>
        </w:tabs>
        <w:ind w:left="851"/>
        <w:rPr>
          <w:iCs/>
          <w:sz w:val="24"/>
          <w:szCs w:val="24"/>
        </w:rPr>
      </w:pPr>
      <w:bookmarkStart w:id="12" w:name="_Hlk37244567"/>
      <w:bookmarkEnd w:id="11"/>
      <w:r w:rsidRPr="00E410E8">
        <w:rPr>
          <w:sz w:val="24"/>
          <w:szCs w:val="24"/>
        </w:rPr>
        <w:t xml:space="preserve">Der er blevet beskrevet reversibel </w:t>
      </w:r>
      <w:proofErr w:type="spellStart"/>
      <w:r w:rsidRPr="00E410E8">
        <w:rPr>
          <w:sz w:val="24"/>
          <w:szCs w:val="24"/>
        </w:rPr>
        <w:t>gingival</w:t>
      </w:r>
      <w:proofErr w:type="spellEnd"/>
      <w:r w:rsidRPr="00E410E8">
        <w:rPr>
          <w:sz w:val="24"/>
          <w:szCs w:val="24"/>
        </w:rPr>
        <w:t xml:space="preserve"> </w:t>
      </w:r>
      <w:proofErr w:type="spellStart"/>
      <w:r w:rsidRPr="00E410E8">
        <w:rPr>
          <w:sz w:val="24"/>
          <w:szCs w:val="24"/>
        </w:rPr>
        <w:t>hyperplasi</w:t>
      </w:r>
      <w:proofErr w:type="spellEnd"/>
      <w:r w:rsidRPr="00E410E8">
        <w:rPr>
          <w:sz w:val="24"/>
          <w:szCs w:val="24"/>
        </w:rPr>
        <w:t xml:space="preserve"> </w:t>
      </w:r>
      <w:bookmarkStart w:id="13" w:name="_Hlk47517722"/>
      <w:r w:rsidRPr="00E410E8">
        <w:rPr>
          <w:sz w:val="24"/>
          <w:szCs w:val="24"/>
        </w:rPr>
        <w:t xml:space="preserve">i litteraturen efter behandling med 2,5 mg </w:t>
      </w:r>
      <w:proofErr w:type="spellStart"/>
      <w:r w:rsidRPr="00E410E8">
        <w:rPr>
          <w:sz w:val="24"/>
          <w:szCs w:val="24"/>
        </w:rPr>
        <w:t>amlodipin</w:t>
      </w:r>
      <w:proofErr w:type="spellEnd"/>
      <w:r w:rsidRPr="00E410E8">
        <w:rPr>
          <w:sz w:val="24"/>
          <w:szCs w:val="24"/>
        </w:rPr>
        <w:t xml:space="preserve"> </w:t>
      </w:r>
      <w:r>
        <w:rPr>
          <w:sz w:val="24"/>
          <w:szCs w:val="24"/>
        </w:rPr>
        <w:t>daglig</w:t>
      </w:r>
      <w:r w:rsidRPr="00E410E8">
        <w:rPr>
          <w:sz w:val="24"/>
          <w:szCs w:val="24"/>
        </w:rPr>
        <w:t xml:space="preserve"> i over 300 dage.</w:t>
      </w:r>
      <w:bookmarkEnd w:id="12"/>
      <w:bookmarkEnd w:id="13"/>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295BAF" w:rsidP="005B0036">
      <w:pPr>
        <w:tabs>
          <w:tab w:val="left" w:pos="851"/>
          <w:tab w:val="left" w:pos="8222"/>
        </w:tabs>
        <w:ind w:left="851"/>
        <w:rPr>
          <w:sz w:val="24"/>
          <w:szCs w:val="24"/>
        </w:rPr>
      </w:pPr>
      <w:r>
        <w:rPr>
          <w:sz w:val="24"/>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295BAF" w:rsidRDefault="005B0036" w:rsidP="005B0036">
      <w:pPr>
        <w:tabs>
          <w:tab w:val="left" w:pos="8222"/>
        </w:tabs>
        <w:ind w:left="851" w:hanging="851"/>
        <w:rPr>
          <w:b/>
          <w:sz w:val="24"/>
          <w:szCs w:val="24"/>
        </w:rPr>
      </w:pPr>
      <w:r w:rsidRPr="00295BAF">
        <w:rPr>
          <w:b/>
          <w:sz w:val="24"/>
          <w:szCs w:val="24"/>
        </w:rPr>
        <w:t>5.</w:t>
      </w:r>
      <w:r w:rsidRPr="00295BAF">
        <w:rPr>
          <w:b/>
          <w:sz w:val="24"/>
          <w:szCs w:val="24"/>
        </w:rPr>
        <w:tab/>
        <w:t>FARMAKOLOGISKE EGENSKABER</w:t>
      </w:r>
    </w:p>
    <w:p w:rsidR="005B0036" w:rsidRPr="00295BAF" w:rsidRDefault="005B0036" w:rsidP="005B0036">
      <w:pPr>
        <w:tabs>
          <w:tab w:val="left" w:pos="8222"/>
        </w:tabs>
        <w:ind w:left="851"/>
        <w:rPr>
          <w:sz w:val="24"/>
          <w:szCs w:val="24"/>
        </w:rPr>
      </w:pPr>
    </w:p>
    <w:p w:rsidR="00295BAF" w:rsidRPr="00295BAF" w:rsidRDefault="00295BAF" w:rsidP="00295BAF">
      <w:pPr>
        <w:tabs>
          <w:tab w:val="left" w:pos="8222"/>
        </w:tabs>
        <w:ind w:left="851"/>
        <w:rPr>
          <w:sz w:val="24"/>
          <w:szCs w:val="24"/>
        </w:rPr>
      </w:pPr>
      <w:proofErr w:type="spellStart"/>
      <w:r w:rsidRPr="00295BAF">
        <w:rPr>
          <w:sz w:val="24"/>
          <w:szCs w:val="24"/>
        </w:rPr>
        <w:t>Farmakoterapeutisk</w:t>
      </w:r>
      <w:proofErr w:type="spellEnd"/>
      <w:r w:rsidRPr="00295BAF">
        <w:rPr>
          <w:sz w:val="24"/>
          <w:szCs w:val="24"/>
        </w:rPr>
        <w:t xml:space="preserve"> gruppe: Selektive calciumantagonister med overvejende </w:t>
      </w:r>
      <w:proofErr w:type="spellStart"/>
      <w:r w:rsidRPr="00295BAF">
        <w:rPr>
          <w:sz w:val="24"/>
          <w:szCs w:val="24"/>
        </w:rPr>
        <w:t>vaskulær</w:t>
      </w:r>
      <w:proofErr w:type="spellEnd"/>
      <w:r w:rsidRPr="00295BAF">
        <w:rPr>
          <w:sz w:val="24"/>
          <w:szCs w:val="24"/>
        </w:rPr>
        <w:t xml:space="preserve"> effekt, </w:t>
      </w:r>
      <w:proofErr w:type="spellStart"/>
      <w:r w:rsidRPr="00295BAF">
        <w:rPr>
          <w:sz w:val="24"/>
          <w:szCs w:val="24"/>
        </w:rPr>
        <w:t>dihydropyridin</w:t>
      </w:r>
      <w:proofErr w:type="spellEnd"/>
      <w:r w:rsidRPr="00295BAF">
        <w:rPr>
          <w:sz w:val="24"/>
          <w:szCs w:val="24"/>
        </w:rPr>
        <w:t>-derivater.</w:t>
      </w:r>
    </w:p>
    <w:p w:rsidR="00295BAF" w:rsidRPr="00295BAF" w:rsidRDefault="00295BAF" w:rsidP="00295BAF">
      <w:pPr>
        <w:tabs>
          <w:tab w:val="left" w:pos="8222"/>
        </w:tabs>
        <w:ind w:left="851"/>
        <w:rPr>
          <w:sz w:val="24"/>
          <w:szCs w:val="24"/>
        </w:rPr>
      </w:pPr>
      <w:proofErr w:type="spellStart"/>
      <w:r w:rsidRPr="00295BAF">
        <w:rPr>
          <w:sz w:val="24"/>
          <w:szCs w:val="24"/>
        </w:rPr>
        <w:t>ATCvet</w:t>
      </w:r>
      <w:proofErr w:type="spellEnd"/>
      <w:r w:rsidRPr="00295BAF">
        <w:rPr>
          <w:sz w:val="24"/>
          <w:szCs w:val="24"/>
        </w:rPr>
        <w:t>-kode: QC</w:t>
      </w:r>
      <w:r>
        <w:rPr>
          <w:sz w:val="24"/>
          <w:szCs w:val="24"/>
        </w:rPr>
        <w:t xml:space="preserve"> </w:t>
      </w:r>
      <w:r w:rsidRPr="00295BAF">
        <w:rPr>
          <w:sz w:val="24"/>
          <w:szCs w:val="24"/>
        </w:rPr>
        <w:t>08</w:t>
      </w:r>
      <w:r>
        <w:rPr>
          <w:sz w:val="24"/>
          <w:szCs w:val="24"/>
        </w:rPr>
        <w:t xml:space="preserve"> </w:t>
      </w:r>
      <w:r w:rsidRPr="00295BAF">
        <w:rPr>
          <w:sz w:val="24"/>
          <w:szCs w:val="24"/>
        </w:rPr>
        <w:t>CA</w:t>
      </w:r>
      <w:r>
        <w:rPr>
          <w:sz w:val="24"/>
          <w:szCs w:val="24"/>
        </w:rPr>
        <w:t xml:space="preserve"> </w:t>
      </w:r>
      <w:r w:rsidRPr="00295BAF">
        <w:rPr>
          <w:sz w:val="24"/>
          <w:szCs w:val="24"/>
        </w:rPr>
        <w:t>01.</w:t>
      </w:r>
    </w:p>
    <w:p w:rsidR="00295BAF" w:rsidRPr="00295BAF" w:rsidRDefault="00295BAF" w:rsidP="00295BAF">
      <w:pPr>
        <w:tabs>
          <w:tab w:val="left" w:pos="8222"/>
        </w:tabs>
        <w:ind w:left="851"/>
        <w:rPr>
          <w:sz w:val="24"/>
          <w:szCs w:val="24"/>
        </w:rPr>
      </w:pPr>
    </w:p>
    <w:p w:rsidR="005B0036" w:rsidRPr="00295BAF" w:rsidRDefault="005B0036" w:rsidP="005B0036">
      <w:pPr>
        <w:tabs>
          <w:tab w:val="left" w:pos="851"/>
          <w:tab w:val="left" w:pos="8222"/>
        </w:tabs>
        <w:rPr>
          <w:b/>
          <w:sz w:val="24"/>
          <w:szCs w:val="24"/>
        </w:rPr>
      </w:pPr>
      <w:r w:rsidRPr="00295BAF">
        <w:rPr>
          <w:b/>
          <w:sz w:val="24"/>
          <w:szCs w:val="24"/>
        </w:rPr>
        <w:t>5.1</w:t>
      </w:r>
      <w:r w:rsidRPr="00295BAF">
        <w:rPr>
          <w:b/>
          <w:sz w:val="24"/>
          <w:szCs w:val="24"/>
        </w:rPr>
        <w:tab/>
      </w:r>
      <w:proofErr w:type="spellStart"/>
      <w:r w:rsidRPr="00295BAF">
        <w:rPr>
          <w:b/>
          <w:sz w:val="24"/>
          <w:szCs w:val="24"/>
        </w:rPr>
        <w:t>Farmakodynamiske</w:t>
      </w:r>
      <w:proofErr w:type="spellEnd"/>
      <w:r w:rsidRPr="00295BAF">
        <w:rPr>
          <w:b/>
          <w:sz w:val="24"/>
          <w:szCs w:val="24"/>
        </w:rPr>
        <w:t xml:space="preserve"> egenskaber</w:t>
      </w:r>
    </w:p>
    <w:p w:rsidR="00574C34" w:rsidRPr="00574C34" w:rsidRDefault="00574C34" w:rsidP="00574C34">
      <w:pPr>
        <w:tabs>
          <w:tab w:val="left" w:pos="851"/>
          <w:tab w:val="left" w:pos="8222"/>
        </w:tabs>
        <w:ind w:left="851"/>
        <w:rPr>
          <w:iCs/>
          <w:sz w:val="24"/>
          <w:szCs w:val="24"/>
          <w:u w:val="single"/>
        </w:rPr>
      </w:pPr>
      <w:proofErr w:type="spellStart"/>
      <w:r w:rsidRPr="00574C34">
        <w:rPr>
          <w:sz w:val="24"/>
          <w:szCs w:val="24"/>
        </w:rPr>
        <w:t>Amlodipin</w:t>
      </w:r>
      <w:proofErr w:type="spellEnd"/>
      <w:r w:rsidRPr="00574C34">
        <w:rPr>
          <w:sz w:val="24"/>
          <w:szCs w:val="24"/>
        </w:rPr>
        <w:t xml:space="preserve"> er en </w:t>
      </w:r>
      <w:proofErr w:type="spellStart"/>
      <w:r w:rsidRPr="00574C34">
        <w:rPr>
          <w:sz w:val="24"/>
          <w:szCs w:val="24"/>
        </w:rPr>
        <w:t>calciumion-influkshæmmer</w:t>
      </w:r>
      <w:proofErr w:type="spellEnd"/>
      <w:r w:rsidRPr="00574C34">
        <w:rPr>
          <w:sz w:val="24"/>
          <w:szCs w:val="24"/>
        </w:rPr>
        <w:t xml:space="preserve"> af </w:t>
      </w:r>
      <w:proofErr w:type="spellStart"/>
      <w:r w:rsidRPr="00574C34">
        <w:rPr>
          <w:sz w:val="24"/>
          <w:szCs w:val="24"/>
        </w:rPr>
        <w:t>dihydropyridingruppen</w:t>
      </w:r>
      <w:proofErr w:type="spellEnd"/>
      <w:r w:rsidRPr="00574C34">
        <w:rPr>
          <w:sz w:val="24"/>
          <w:szCs w:val="24"/>
        </w:rPr>
        <w:t xml:space="preserve"> (</w:t>
      </w:r>
      <w:proofErr w:type="gramStart"/>
      <w:r w:rsidRPr="00574C34">
        <w:rPr>
          <w:sz w:val="24"/>
          <w:szCs w:val="24"/>
        </w:rPr>
        <w:t>langsom</w:t>
      </w:r>
      <w:proofErr w:type="gramEnd"/>
      <w:r w:rsidRPr="00574C34">
        <w:rPr>
          <w:sz w:val="24"/>
          <w:szCs w:val="24"/>
        </w:rPr>
        <w:t xml:space="preserve"> kanalhæmmer eller </w:t>
      </w:r>
      <w:proofErr w:type="spellStart"/>
      <w:r w:rsidRPr="00574C34">
        <w:rPr>
          <w:sz w:val="24"/>
          <w:szCs w:val="24"/>
        </w:rPr>
        <w:t>calciumionantagonist</w:t>
      </w:r>
      <w:proofErr w:type="spellEnd"/>
      <w:r w:rsidRPr="00574C34">
        <w:rPr>
          <w:sz w:val="24"/>
          <w:szCs w:val="24"/>
        </w:rPr>
        <w:t xml:space="preserve">), og hæmmer den </w:t>
      </w:r>
      <w:proofErr w:type="spellStart"/>
      <w:r w:rsidRPr="00574C34">
        <w:rPr>
          <w:sz w:val="24"/>
          <w:szCs w:val="24"/>
        </w:rPr>
        <w:t>transmembrane</w:t>
      </w:r>
      <w:proofErr w:type="spellEnd"/>
      <w:r w:rsidRPr="00574C34">
        <w:rPr>
          <w:sz w:val="24"/>
          <w:szCs w:val="24"/>
        </w:rPr>
        <w:t xml:space="preserve"> </w:t>
      </w:r>
      <w:proofErr w:type="spellStart"/>
      <w:r w:rsidRPr="00574C34">
        <w:rPr>
          <w:sz w:val="24"/>
          <w:szCs w:val="24"/>
        </w:rPr>
        <w:t>influks</w:t>
      </w:r>
      <w:proofErr w:type="spellEnd"/>
      <w:r w:rsidRPr="00574C34">
        <w:rPr>
          <w:sz w:val="24"/>
          <w:szCs w:val="24"/>
        </w:rPr>
        <w:t xml:space="preserve"> af </w:t>
      </w:r>
      <w:proofErr w:type="spellStart"/>
      <w:r w:rsidRPr="00574C34">
        <w:rPr>
          <w:sz w:val="24"/>
          <w:szCs w:val="24"/>
        </w:rPr>
        <w:t>calciumioner</w:t>
      </w:r>
      <w:proofErr w:type="spellEnd"/>
      <w:r w:rsidRPr="00574C34">
        <w:rPr>
          <w:sz w:val="24"/>
          <w:szCs w:val="24"/>
        </w:rPr>
        <w:t xml:space="preserve"> i den glatte muskulatur i hjerte og kar.</w:t>
      </w:r>
    </w:p>
    <w:p w:rsidR="00574C34" w:rsidRPr="00574C34" w:rsidRDefault="00574C34" w:rsidP="00574C34">
      <w:pPr>
        <w:tabs>
          <w:tab w:val="left" w:pos="851"/>
          <w:tab w:val="left" w:pos="8222"/>
        </w:tabs>
        <w:ind w:left="851"/>
        <w:rPr>
          <w:sz w:val="24"/>
          <w:szCs w:val="24"/>
        </w:rPr>
      </w:pPr>
      <w:r w:rsidRPr="00574C34">
        <w:rPr>
          <w:sz w:val="24"/>
          <w:szCs w:val="24"/>
        </w:rPr>
        <w:t xml:space="preserve">Mekanismen bag </w:t>
      </w:r>
      <w:proofErr w:type="spellStart"/>
      <w:r w:rsidRPr="00574C34">
        <w:rPr>
          <w:sz w:val="24"/>
          <w:szCs w:val="24"/>
        </w:rPr>
        <w:t>amlodipins</w:t>
      </w:r>
      <w:proofErr w:type="spellEnd"/>
      <w:r w:rsidRPr="00574C34">
        <w:rPr>
          <w:sz w:val="24"/>
          <w:szCs w:val="24"/>
        </w:rPr>
        <w:t xml:space="preserve"> </w:t>
      </w:r>
      <w:proofErr w:type="spellStart"/>
      <w:r w:rsidRPr="00574C34">
        <w:rPr>
          <w:sz w:val="24"/>
          <w:szCs w:val="24"/>
        </w:rPr>
        <w:t>antihypertensive</w:t>
      </w:r>
      <w:proofErr w:type="spellEnd"/>
      <w:r w:rsidRPr="00574C34">
        <w:rPr>
          <w:sz w:val="24"/>
          <w:szCs w:val="24"/>
        </w:rPr>
        <w:t xml:space="preserve"> virkning skyldes en direkte afslappende virkning på den glatte karmuskulatur, hvor det virker som en perifer </w:t>
      </w:r>
      <w:proofErr w:type="spellStart"/>
      <w:r w:rsidRPr="00574C34">
        <w:rPr>
          <w:sz w:val="24"/>
          <w:szCs w:val="24"/>
        </w:rPr>
        <w:t>arteriolær</w:t>
      </w:r>
      <w:proofErr w:type="spellEnd"/>
      <w:r w:rsidRPr="00574C34">
        <w:rPr>
          <w:sz w:val="24"/>
          <w:szCs w:val="24"/>
        </w:rPr>
        <w:t xml:space="preserve"> </w:t>
      </w:r>
      <w:proofErr w:type="spellStart"/>
      <w:r w:rsidRPr="00574C34">
        <w:rPr>
          <w:sz w:val="24"/>
          <w:szCs w:val="24"/>
        </w:rPr>
        <w:t>vasodilatator</w:t>
      </w:r>
      <w:proofErr w:type="spellEnd"/>
      <w:r w:rsidRPr="00574C34">
        <w:rPr>
          <w:sz w:val="24"/>
          <w:szCs w:val="24"/>
        </w:rPr>
        <w:t xml:space="preserve">, og nedsætter </w:t>
      </w:r>
      <w:proofErr w:type="spellStart"/>
      <w:r w:rsidRPr="00574C34">
        <w:rPr>
          <w:i/>
          <w:iCs/>
          <w:sz w:val="24"/>
          <w:szCs w:val="24"/>
        </w:rPr>
        <w:t>afterload</w:t>
      </w:r>
      <w:proofErr w:type="spellEnd"/>
      <w:r w:rsidRPr="00574C34">
        <w:rPr>
          <w:sz w:val="24"/>
          <w:szCs w:val="24"/>
        </w:rPr>
        <w:t>.</w:t>
      </w:r>
    </w:p>
    <w:p w:rsidR="00574C34" w:rsidRPr="00574C34" w:rsidRDefault="00574C34" w:rsidP="00574C34">
      <w:pPr>
        <w:tabs>
          <w:tab w:val="left" w:pos="851"/>
          <w:tab w:val="left" w:pos="8222"/>
        </w:tabs>
        <w:ind w:left="851"/>
        <w:rPr>
          <w:sz w:val="24"/>
          <w:szCs w:val="24"/>
        </w:rPr>
      </w:pPr>
      <w:proofErr w:type="spellStart"/>
      <w:r w:rsidRPr="00574C34">
        <w:rPr>
          <w:sz w:val="24"/>
          <w:szCs w:val="24"/>
        </w:rPr>
        <w:t>Amlodipin</w:t>
      </w:r>
      <w:proofErr w:type="spellEnd"/>
      <w:r w:rsidRPr="00574C34">
        <w:rPr>
          <w:sz w:val="24"/>
          <w:szCs w:val="24"/>
        </w:rPr>
        <w:t xml:space="preserve"> har en større affinitet for L-type-calciumkanaler, og har nogen affinitet for T-type-calciumkanaler. I nyrerne findes L-type-calciumkanaler primært i de </w:t>
      </w:r>
      <w:proofErr w:type="spellStart"/>
      <w:r w:rsidRPr="00574C34">
        <w:rPr>
          <w:sz w:val="24"/>
          <w:szCs w:val="24"/>
        </w:rPr>
        <w:t>afferente</w:t>
      </w:r>
      <w:proofErr w:type="spellEnd"/>
      <w:r w:rsidRPr="00574C34">
        <w:rPr>
          <w:sz w:val="24"/>
          <w:szCs w:val="24"/>
        </w:rPr>
        <w:t xml:space="preserve"> (</w:t>
      </w:r>
      <w:proofErr w:type="spellStart"/>
      <w:r w:rsidRPr="00574C34">
        <w:rPr>
          <w:sz w:val="24"/>
          <w:szCs w:val="24"/>
        </w:rPr>
        <w:t>prærenale</w:t>
      </w:r>
      <w:proofErr w:type="spellEnd"/>
      <w:r w:rsidRPr="00574C34">
        <w:rPr>
          <w:sz w:val="24"/>
          <w:szCs w:val="24"/>
        </w:rPr>
        <w:t xml:space="preserve">) </w:t>
      </w:r>
      <w:proofErr w:type="spellStart"/>
      <w:r w:rsidRPr="00574C34">
        <w:rPr>
          <w:sz w:val="24"/>
          <w:szCs w:val="24"/>
        </w:rPr>
        <w:t>arterioler</w:t>
      </w:r>
      <w:proofErr w:type="spellEnd"/>
      <w:r w:rsidRPr="00574C34">
        <w:rPr>
          <w:sz w:val="24"/>
          <w:szCs w:val="24"/>
        </w:rPr>
        <w:t>.</w:t>
      </w:r>
      <w:r w:rsidRPr="00574C34">
        <w:rPr>
          <w:i/>
          <w:sz w:val="24"/>
          <w:szCs w:val="24"/>
        </w:rPr>
        <w:t xml:space="preserve"> </w:t>
      </w:r>
      <w:r w:rsidRPr="00574C34">
        <w:rPr>
          <w:sz w:val="24"/>
          <w:szCs w:val="24"/>
        </w:rPr>
        <w:t xml:space="preserve">Selvom </w:t>
      </w:r>
      <w:proofErr w:type="spellStart"/>
      <w:r w:rsidRPr="00574C34">
        <w:rPr>
          <w:sz w:val="24"/>
          <w:szCs w:val="24"/>
        </w:rPr>
        <w:t>amlodipin</w:t>
      </w:r>
      <w:proofErr w:type="spellEnd"/>
      <w:r w:rsidRPr="00574C34">
        <w:rPr>
          <w:sz w:val="24"/>
          <w:szCs w:val="24"/>
        </w:rPr>
        <w:t xml:space="preserve"> har en større affinitet for de </w:t>
      </w:r>
      <w:proofErr w:type="spellStart"/>
      <w:r w:rsidRPr="00574C34">
        <w:rPr>
          <w:sz w:val="24"/>
          <w:szCs w:val="24"/>
        </w:rPr>
        <w:t>vaskulære</w:t>
      </w:r>
      <w:proofErr w:type="spellEnd"/>
      <w:r w:rsidRPr="00574C34">
        <w:rPr>
          <w:sz w:val="24"/>
          <w:szCs w:val="24"/>
        </w:rPr>
        <w:t xml:space="preserve"> L-type-calciumkanaler, kan det også virke på kanalerne i hjertemusklen og hjertets </w:t>
      </w:r>
      <w:proofErr w:type="spellStart"/>
      <w:r w:rsidRPr="00574C34">
        <w:rPr>
          <w:sz w:val="24"/>
          <w:szCs w:val="24"/>
        </w:rPr>
        <w:t>nodalvæv</w:t>
      </w:r>
      <w:proofErr w:type="spellEnd"/>
      <w:r w:rsidRPr="00574C34">
        <w:rPr>
          <w:sz w:val="24"/>
          <w:szCs w:val="24"/>
        </w:rPr>
        <w:t>.</w:t>
      </w:r>
    </w:p>
    <w:p w:rsidR="00574C34" w:rsidRPr="00574C34" w:rsidRDefault="00574C34" w:rsidP="00574C34">
      <w:pPr>
        <w:tabs>
          <w:tab w:val="left" w:pos="851"/>
          <w:tab w:val="left" w:pos="8222"/>
        </w:tabs>
        <w:ind w:left="851"/>
        <w:rPr>
          <w:sz w:val="24"/>
          <w:szCs w:val="24"/>
        </w:rPr>
      </w:pPr>
      <w:proofErr w:type="spellStart"/>
      <w:r w:rsidRPr="00574C34">
        <w:rPr>
          <w:sz w:val="24"/>
          <w:szCs w:val="24"/>
        </w:rPr>
        <w:t>Amlodipin</w:t>
      </w:r>
      <w:proofErr w:type="spellEnd"/>
      <w:r w:rsidRPr="00574C34">
        <w:rPr>
          <w:sz w:val="24"/>
          <w:szCs w:val="24"/>
        </w:rPr>
        <w:t xml:space="preserve"> undertrykker impulsdannelse og </w:t>
      </w:r>
      <w:proofErr w:type="spellStart"/>
      <w:r w:rsidRPr="00574C34">
        <w:rPr>
          <w:sz w:val="24"/>
          <w:szCs w:val="24"/>
        </w:rPr>
        <w:t>konduktionshastigheden</w:t>
      </w:r>
      <w:proofErr w:type="spellEnd"/>
      <w:r w:rsidRPr="00574C34">
        <w:rPr>
          <w:sz w:val="24"/>
          <w:szCs w:val="24"/>
        </w:rPr>
        <w:t xml:space="preserve"> i hjertemuskulaturen i let grad.</w:t>
      </w:r>
    </w:p>
    <w:p w:rsidR="00574C34" w:rsidRPr="00574C34" w:rsidRDefault="00574C34" w:rsidP="00574C34">
      <w:pPr>
        <w:tabs>
          <w:tab w:val="left" w:pos="851"/>
          <w:tab w:val="left" w:pos="8222"/>
        </w:tabs>
        <w:ind w:left="851"/>
        <w:rPr>
          <w:sz w:val="24"/>
          <w:szCs w:val="24"/>
        </w:rPr>
      </w:pPr>
      <w:r w:rsidRPr="00574C34">
        <w:rPr>
          <w:sz w:val="24"/>
          <w:szCs w:val="24"/>
        </w:rPr>
        <w:t xml:space="preserve">Hos katte med systemisk arteriel hypertension fører dosering med oralt </w:t>
      </w:r>
      <w:proofErr w:type="spellStart"/>
      <w:r w:rsidRPr="00574C34">
        <w:rPr>
          <w:sz w:val="24"/>
          <w:szCs w:val="24"/>
        </w:rPr>
        <w:t>amlodipin</w:t>
      </w:r>
      <w:proofErr w:type="spellEnd"/>
      <w:r w:rsidRPr="00574C34">
        <w:rPr>
          <w:sz w:val="24"/>
          <w:szCs w:val="24"/>
        </w:rPr>
        <w:t xml:space="preserve"> en gang dagligt til klinisk signifikante reduktioner i blodtrykket i hele 24-timers intervallet. Som følge af den langsomt indsættende virkning, er akut hypotension ikke en egenskab ved </w:t>
      </w:r>
      <w:proofErr w:type="spellStart"/>
      <w:r w:rsidRPr="00574C34">
        <w:rPr>
          <w:sz w:val="24"/>
          <w:szCs w:val="24"/>
        </w:rPr>
        <w:t>amlodipinadministration</w:t>
      </w:r>
      <w:proofErr w:type="spellEnd"/>
      <w:r w:rsidRPr="00574C34">
        <w:rPr>
          <w:sz w:val="24"/>
          <w:szCs w:val="24"/>
        </w:rPr>
        <w:t>.</w:t>
      </w:r>
    </w:p>
    <w:p w:rsidR="00BD40E4" w:rsidRDefault="00BD40E4">
      <w:pPr>
        <w:rPr>
          <w:sz w:val="24"/>
          <w:szCs w:val="24"/>
        </w:rPr>
      </w:pPr>
      <w:r>
        <w:rPr>
          <w:sz w:val="24"/>
          <w:szCs w:val="24"/>
        </w:rPr>
        <w:br w:type="page"/>
      </w:r>
    </w:p>
    <w:p w:rsidR="005B0036" w:rsidRPr="00295BAF" w:rsidRDefault="005B0036" w:rsidP="005B0036">
      <w:pPr>
        <w:tabs>
          <w:tab w:val="left" w:pos="851"/>
          <w:tab w:val="left" w:pos="8222"/>
        </w:tabs>
        <w:ind w:left="851"/>
        <w:rPr>
          <w:sz w:val="24"/>
          <w:szCs w:val="24"/>
        </w:rPr>
      </w:pPr>
    </w:p>
    <w:p w:rsidR="005B0036" w:rsidRPr="00295BAF" w:rsidRDefault="005B0036" w:rsidP="005B0036">
      <w:pPr>
        <w:tabs>
          <w:tab w:val="left" w:pos="851"/>
          <w:tab w:val="left" w:pos="8222"/>
        </w:tabs>
        <w:rPr>
          <w:b/>
          <w:sz w:val="24"/>
          <w:szCs w:val="24"/>
        </w:rPr>
      </w:pPr>
      <w:r w:rsidRPr="00295BAF">
        <w:rPr>
          <w:b/>
          <w:sz w:val="24"/>
          <w:szCs w:val="24"/>
        </w:rPr>
        <w:t>5.2</w:t>
      </w:r>
      <w:r w:rsidRPr="00295BAF">
        <w:rPr>
          <w:b/>
          <w:sz w:val="24"/>
          <w:szCs w:val="24"/>
        </w:rPr>
        <w:tab/>
      </w:r>
      <w:proofErr w:type="spellStart"/>
      <w:r w:rsidRPr="00295BAF">
        <w:rPr>
          <w:b/>
          <w:sz w:val="24"/>
          <w:szCs w:val="24"/>
        </w:rPr>
        <w:t>Farmakokinetiske</w:t>
      </w:r>
      <w:proofErr w:type="spellEnd"/>
      <w:r w:rsidRPr="00295BAF">
        <w:rPr>
          <w:b/>
          <w:sz w:val="24"/>
          <w:szCs w:val="24"/>
        </w:rPr>
        <w:t xml:space="preserve"> egenskaber</w:t>
      </w:r>
    </w:p>
    <w:p w:rsidR="00BD40E4" w:rsidRPr="00BD40E4" w:rsidRDefault="00BD40E4" w:rsidP="00BD40E4">
      <w:pPr>
        <w:tabs>
          <w:tab w:val="left" w:pos="851"/>
          <w:tab w:val="left" w:pos="8222"/>
        </w:tabs>
        <w:ind w:left="851"/>
        <w:rPr>
          <w:sz w:val="24"/>
          <w:szCs w:val="24"/>
        </w:rPr>
      </w:pPr>
      <w:r w:rsidRPr="00BD40E4">
        <w:rPr>
          <w:sz w:val="24"/>
          <w:szCs w:val="24"/>
        </w:rPr>
        <w:t xml:space="preserve">Absorption: Efter oral administration absorberes </w:t>
      </w:r>
      <w:proofErr w:type="spellStart"/>
      <w:r w:rsidRPr="00BD40E4">
        <w:rPr>
          <w:sz w:val="24"/>
          <w:szCs w:val="24"/>
        </w:rPr>
        <w:t>amlodipin</w:t>
      </w:r>
      <w:proofErr w:type="spellEnd"/>
      <w:r w:rsidRPr="00BD40E4">
        <w:rPr>
          <w:sz w:val="24"/>
          <w:szCs w:val="24"/>
        </w:rPr>
        <w:t xml:space="preserve"> godt, med en gennemsnitlig biotilgængelighed på ca. 80 %. Efter en enkelt dosis på 1 mg pr. kat (svarende til 0,16 og 0</w:t>
      </w:r>
      <w:r>
        <w:rPr>
          <w:sz w:val="24"/>
          <w:szCs w:val="24"/>
        </w:rPr>
        <w:t>,</w:t>
      </w:r>
      <w:r w:rsidRPr="00BD40E4">
        <w:rPr>
          <w:sz w:val="24"/>
          <w:szCs w:val="24"/>
        </w:rPr>
        <w:t xml:space="preserve">40 mg </w:t>
      </w:r>
      <w:proofErr w:type="spellStart"/>
      <w:r w:rsidRPr="00BD40E4">
        <w:rPr>
          <w:sz w:val="24"/>
          <w:szCs w:val="24"/>
        </w:rPr>
        <w:t>amlodipin</w:t>
      </w:r>
      <w:proofErr w:type="spellEnd"/>
      <w:r w:rsidRPr="00BD40E4">
        <w:rPr>
          <w:sz w:val="24"/>
          <w:szCs w:val="24"/>
        </w:rPr>
        <w:t>/kg) blev maksimale niveauer i blodet på 3,0 til 35,1 </w:t>
      </w:r>
      <w:proofErr w:type="spellStart"/>
      <w:r w:rsidRPr="00BD40E4">
        <w:rPr>
          <w:sz w:val="24"/>
          <w:szCs w:val="24"/>
        </w:rPr>
        <w:t>ng</w:t>
      </w:r>
      <w:proofErr w:type="spellEnd"/>
      <w:r w:rsidRPr="00BD40E4">
        <w:rPr>
          <w:sz w:val="24"/>
          <w:szCs w:val="24"/>
        </w:rPr>
        <w:t xml:space="preserve">/ml (gennemsnitligt </w:t>
      </w:r>
      <w:proofErr w:type="spellStart"/>
      <w:r w:rsidRPr="00BD40E4">
        <w:rPr>
          <w:sz w:val="24"/>
          <w:szCs w:val="24"/>
        </w:rPr>
        <w:t>C</w:t>
      </w:r>
      <w:r w:rsidRPr="00BD40E4">
        <w:rPr>
          <w:sz w:val="24"/>
          <w:szCs w:val="24"/>
          <w:vertAlign w:val="subscript"/>
        </w:rPr>
        <w:t>max</w:t>
      </w:r>
      <w:proofErr w:type="spellEnd"/>
      <w:r w:rsidRPr="00BD40E4">
        <w:rPr>
          <w:sz w:val="24"/>
          <w:szCs w:val="24"/>
        </w:rPr>
        <w:t xml:space="preserve"> 19,3 </w:t>
      </w:r>
      <w:proofErr w:type="spellStart"/>
      <w:r w:rsidRPr="00BD40E4">
        <w:rPr>
          <w:sz w:val="24"/>
          <w:szCs w:val="24"/>
        </w:rPr>
        <w:t>ng</w:t>
      </w:r>
      <w:proofErr w:type="spellEnd"/>
      <w:r w:rsidRPr="00BD40E4">
        <w:rPr>
          <w:sz w:val="24"/>
          <w:szCs w:val="24"/>
        </w:rPr>
        <w:t xml:space="preserve">/ml) målt 2 til 6 timer (gennemsnitligt </w:t>
      </w:r>
      <w:proofErr w:type="spellStart"/>
      <w:r w:rsidRPr="00BD40E4">
        <w:rPr>
          <w:sz w:val="24"/>
          <w:szCs w:val="24"/>
        </w:rPr>
        <w:t>T</w:t>
      </w:r>
      <w:r w:rsidRPr="00BD40E4">
        <w:rPr>
          <w:sz w:val="24"/>
          <w:szCs w:val="24"/>
          <w:vertAlign w:val="subscript"/>
        </w:rPr>
        <w:t>max</w:t>
      </w:r>
      <w:proofErr w:type="spellEnd"/>
      <w:r w:rsidRPr="00BD40E4">
        <w:rPr>
          <w:sz w:val="24"/>
          <w:szCs w:val="24"/>
        </w:rPr>
        <w:t xml:space="preserve"> 4,3 t) efter dosis.</w:t>
      </w:r>
    </w:p>
    <w:p w:rsidR="00BD40E4" w:rsidRPr="00BD40E4" w:rsidRDefault="00BD40E4" w:rsidP="00BD40E4">
      <w:pPr>
        <w:tabs>
          <w:tab w:val="left" w:pos="851"/>
          <w:tab w:val="left" w:pos="8222"/>
        </w:tabs>
        <w:ind w:left="851"/>
        <w:rPr>
          <w:sz w:val="24"/>
          <w:szCs w:val="24"/>
        </w:rPr>
      </w:pPr>
      <w:r w:rsidRPr="00BD40E4">
        <w:rPr>
          <w:sz w:val="24"/>
          <w:szCs w:val="24"/>
        </w:rPr>
        <w:t xml:space="preserve">Fordeling: </w:t>
      </w:r>
      <w:proofErr w:type="spellStart"/>
      <w:r w:rsidRPr="00BD40E4">
        <w:rPr>
          <w:sz w:val="24"/>
          <w:szCs w:val="24"/>
        </w:rPr>
        <w:t>Amlodipin</w:t>
      </w:r>
      <w:proofErr w:type="spellEnd"/>
      <w:r w:rsidRPr="00BD40E4">
        <w:rPr>
          <w:sz w:val="24"/>
          <w:szCs w:val="24"/>
        </w:rPr>
        <w:t xml:space="preserve"> bindes i høj grad til plasmaproteiner. </w:t>
      </w:r>
      <w:r w:rsidRPr="00BD40E4">
        <w:rPr>
          <w:i/>
          <w:iCs/>
          <w:sz w:val="24"/>
          <w:szCs w:val="24"/>
        </w:rPr>
        <w:t xml:space="preserve">In </w:t>
      </w:r>
      <w:proofErr w:type="spellStart"/>
      <w:r w:rsidRPr="00BD40E4">
        <w:rPr>
          <w:i/>
          <w:iCs/>
          <w:sz w:val="24"/>
          <w:szCs w:val="24"/>
        </w:rPr>
        <w:t>vitro</w:t>
      </w:r>
      <w:proofErr w:type="spellEnd"/>
      <w:r w:rsidRPr="00BD40E4">
        <w:rPr>
          <w:sz w:val="24"/>
          <w:szCs w:val="24"/>
        </w:rPr>
        <w:t xml:space="preserve">-proteinbinding i plasma hos katte er 97 %. Fordelingsvoluminet af </w:t>
      </w:r>
      <w:proofErr w:type="spellStart"/>
      <w:r w:rsidRPr="00BD40E4">
        <w:rPr>
          <w:sz w:val="24"/>
          <w:szCs w:val="24"/>
        </w:rPr>
        <w:t>amlodipin</w:t>
      </w:r>
      <w:proofErr w:type="spellEnd"/>
      <w:r w:rsidRPr="00BD40E4">
        <w:rPr>
          <w:sz w:val="24"/>
          <w:szCs w:val="24"/>
        </w:rPr>
        <w:t xml:space="preserve"> er ca. 10 l/kg.</w:t>
      </w:r>
    </w:p>
    <w:p w:rsidR="00BD40E4" w:rsidRPr="00BD40E4" w:rsidRDefault="00BD40E4" w:rsidP="00BD40E4">
      <w:pPr>
        <w:tabs>
          <w:tab w:val="left" w:pos="851"/>
          <w:tab w:val="left" w:pos="8222"/>
        </w:tabs>
        <w:ind w:left="851"/>
        <w:rPr>
          <w:sz w:val="24"/>
          <w:szCs w:val="24"/>
        </w:rPr>
      </w:pPr>
      <w:r w:rsidRPr="00BD40E4">
        <w:rPr>
          <w:sz w:val="24"/>
          <w:szCs w:val="24"/>
        </w:rPr>
        <w:t xml:space="preserve">Biotransformation: </w:t>
      </w:r>
      <w:proofErr w:type="spellStart"/>
      <w:r w:rsidRPr="00BD40E4">
        <w:rPr>
          <w:sz w:val="24"/>
          <w:szCs w:val="24"/>
        </w:rPr>
        <w:t>Amlodipin</w:t>
      </w:r>
      <w:proofErr w:type="spellEnd"/>
      <w:r w:rsidRPr="00BD40E4">
        <w:rPr>
          <w:sz w:val="24"/>
          <w:szCs w:val="24"/>
        </w:rPr>
        <w:t xml:space="preserve"> </w:t>
      </w:r>
      <w:proofErr w:type="spellStart"/>
      <w:r w:rsidRPr="00BD40E4">
        <w:rPr>
          <w:sz w:val="24"/>
          <w:szCs w:val="24"/>
        </w:rPr>
        <w:t>metaboliseres</w:t>
      </w:r>
      <w:proofErr w:type="spellEnd"/>
      <w:r w:rsidRPr="00BD40E4">
        <w:rPr>
          <w:sz w:val="24"/>
          <w:szCs w:val="24"/>
        </w:rPr>
        <w:t xml:space="preserve"> i udstrakt grad i leveren til inaktive metabolitter.</w:t>
      </w:r>
    </w:p>
    <w:p w:rsidR="00BD40E4" w:rsidRPr="00BD40E4" w:rsidRDefault="00BD40E4" w:rsidP="00BD40E4">
      <w:pPr>
        <w:tabs>
          <w:tab w:val="left" w:pos="851"/>
          <w:tab w:val="left" w:pos="8222"/>
        </w:tabs>
        <w:ind w:left="851"/>
        <w:rPr>
          <w:sz w:val="24"/>
          <w:szCs w:val="24"/>
        </w:rPr>
      </w:pPr>
      <w:r w:rsidRPr="00BD40E4">
        <w:rPr>
          <w:sz w:val="24"/>
          <w:szCs w:val="24"/>
        </w:rPr>
        <w:t xml:space="preserve">Elimination: </w:t>
      </w:r>
      <w:proofErr w:type="spellStart"/>
      <w:r w:rsidRPr="00BD40E4">
        <w:rPr>
          <w:sz w:val="24"/>
          <w:szCs w:val="24"/>
        </w:rPr>
        <w:t>Amlodipin</w:t>
      </w:r>
      <w:proofErr w:type="spellEnd"/>
      <w:r w:rsidRPr="00BD40E4">
        <w:rPr>
          <w:sz w:val="24"/>
          <w:szCs w:val="24"/>
        </w:rPr>
        <w:t xml:space="preserve"> har en lang halveringstid i plasma på 33 til 86 timer (gennemsnit 54 t), hvilket fører til signifikant akkumulation.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9E0F4A" w:rsidRPr="0041535F" w:rsidRDefault="009E0F4A" w:rsidP="009E0F4A">
      <w:pPr>
        <w:tabs>
          <w:tab w:val="left" w:pos="851"/>
          <w:tab w:val="left" w:pos="8222"/>
        </w:tabs>
        <w:ind w:left="851"/>
        <w:rPr>
          <w:sz w:val="24"/>
          <w:szCs w:val="24"/>
        </w:rPr>
      </w:pPr>
      <w:proofErr w:type="spellStart"/>
      <w:r w:rsidRPr="0041535F">
        <w:rPr>
          <w:sz w:val="24"/>
          <w:szCs w:val="24"/>
        </w:rPr>
        <w:t>Brilliant</w:t>
      </w:r>
      <w:proofErr w:type="spellEnd"/>
      <w:r w:rsidRPr="0041535F">
        <w:rPr>
          <w:sz w:val="24"/>
          <w:szCs w:val="24"/>
        </w:rPr>
        <w:t xml:space="preserve"> Blue FCF (E133)</w:t>
      </w:r>
    </w:p>
    <w:p w:rsidR="009E0F4A" w:rsidRPr="0041535F" w:rsidRDefault="009E0F4A" w:rsidP="009E0F4A">
      <w:pPr>
        <w:tabs>
          <w:tab w:val="left" w:pos="851"/>
          <w:tab w:val="left" w:pos="8222"/>
        </w:tabs>
        <w:ind w:left="851"/>
        <w:rPr>
          <w:sz w:val="24"/>
          <w:szCs w:val="24"/>
        </w:rPr>
      </w:pPr>
      <w:r w:rsidRPr="0041535F">
        <w:rPr>
          <w:sz w:val="24"/>
          <w:szCs w:val="24"/>
        </w:rPr>
        <w:t>Gær (tørt)</w:t>
      </w:r>
    </w:p>
    <w:p w:rsidR="009E0F4A" w:rsidRPr="009E0F4A" w:rsidRDefault="009E0F4A" w:rsidP="009E0F4A">
      <w:pPr>
        <w:tabs>
          <w:tab w:val="left" w:pos="851"/>
          <w:tab w:val="left" w:pos="8222"/>
        </w:tabs>
        <w:ind w:left="851"/>
        <w:rPr>
          <w:sz w:val="24"/>
          <w:szCs w:val="24"/>
        </w:rPr>
      </w:pPr>
      <w:r w:rsidRPr="009E0F4A">
        <w:rPr>
          <w:sz w:val="24"/>
          <w:szCs w:val="24"/>
        </w:rPr>
        <w:t>Kyllingesmag</w:t>
      </w:r>
    </w:p>
    <w:p w:rsidR="009E0F4A" w:rsidRPr="009E0F4A" w:rsidRDefault="009E0F4A" w:rsidP="009E0F4A">
      <w:pPr>
        <w:tabs>
          <w:tab w:val="left" w:pos="851"/>
          <w:tab w:val="left" w:pos="8222"/>
        </w:tabs>
        <w:ind w:left="851"/>
        <w:rPr>
          <w:sz w:val="24"/>
          <w:szCs w:val="24"/>
        </w:rPr>
      </w:pPr>
      <w:r w:rsidRPr="009E0F4A">
        <w:rPr>
          <w:sz w:val="24"/>
          <w:szCs w:val="24"/>
        </w:rPr>
        <w:t>Cellulose, mikrokrystallinsk</w:t>
      </w:r>
    </w:p>
    <w:p w:rsidR="009E0F4A" w:rsidRDefault="009E0F4A" w:rsidP="009E0F4A">
      <w:pPr>
        <w:tabs>
          <w:tab w:val="left" w:pos="851"/>
          <w:tab w:val="left" w:pos="8222"/>
        </w:tabs>
        <w:ind w:left="851"/>
        <w:rPr>
          <w:sz w:val="24"/>
          <w:szCs w:val="24"/>
        </w:rPr>
      </w:pPr>
      <w:proofErr w:type="spellStart"/>
      <w:r w:rsidRPr="009E0F4A">
        <w:rPr>
          <w:sz w:val="24"/>
          <w:szCs w:val="24"/>
        </w:rPr>
        <w:t>Natriumstivelsesglycolat</w:t>
      </w:r>
      <w:proofErr w:type="spellEnd"/>
    </w:p>
    <w:p w:rsidR="009E0F4A" w:rsidRPr="009E0F4A" w:rsidRDefault="009E0F4A" w:rsidP="009E0F4A">
      <w:pPr>
        <w:tabs>
          <w:tab w:val="left" w:pos="851"/>
          <w:tab w:val="left" w:pos="8222"/>
        </w:tabs>
        <w:ind w:left="851"/>
        <w:rPr>
          <w:sz w:val="24"/>
          <w:szCs w:val="24"/>
        </w:rPr>
      </w:pPr>
      <w:proofErr w:type="spellStart"/>
      <w:r w:rsidRPr="009E0F4A">
        <w:rPr>
          <w:sz w:val="24"/>
          <w:szCs w:val="24"/>
        </w:rPr>
        <w:t>Magnesiumstearat</w:t>
      </w:r>
      <w:proofErr w:type="spellEnd"/>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5B0036" w:rsidRPr="00406EE7" w:rsidRDefault="009E0F4A" w:rsidP="005B0036">
      <w:pPr>
        <w:tabs>
          <w:tab w:val="left" w:pos="851"/>
          <w:tab w:val="left" w:pos="8222"/>
        </w:tabs>
        <w:ind w:left="851"/>
        <w:rPr>
          <w:sz w:val="24"/>
          <w:szCs w:val="24"/>
        </w:rPr>
      </w:pPr>
      <w:r>
        <w:rPr>
          <w:sz w:val="24"/>
          <w:szCs w:val="24"/>
        </w:rPr>
        <w:t>Ikke relevant.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9E0F4A" w:rsidRDefault="009E0F4A" w:rsidP="009E0F4A">
      <w:pPr>
        <w:tabs>
          <w:tab w:val="left" w:pos="851"/>
          <w:tab w:val="left" w:pos="8222"/>
        </w:tabs>
        <w:ind w:left="851"/>
        <w:rPr>
          <w:sz w:val="24"/>
          <w:szCs w:val="24"/>
        </w:rPr>
      </w:pPr>
      <w:r w:rsidRPr="009E0F4A">
        <w:rPr>
          <w:sz w:val="24"/>
          <w:szCs w:val="24"/>
        </w:rPr>
        <w:t>I salgspakning: 3 år.</w:t>
      </w:r>
    </w:p>
    <w:p w:rsidR="009E0F4A" w:rsidRPr="009E0F4A" w:rsidRDefault="009E0F4A" w:rsidP="009E0F4A">
      <w:pPr>
        <w:tabs>
          <w:tab w:val="left" w:pos="851"/>
          <w:tab w:val="left" w:pos="8222"/>
        </w:tabs>
        <w:ind w:left="851"/>
        <w:rPr>
          <w:sz w:val="24"/>
          <w:szCs w:val="24"/>
        </w:rPr>
      </w:pPr>
    </w:p>
    <w:p w:rsidR="009E0F4A" w:rsidRPr="009E0F4A" w:rsidRDefault="009E0F4A" w:rsidP="009E0F4A">
      <w:pPr>
        <w:tabs>
          <w:tab w:val="left" w:pos="851"/>
          <w:tab w:val="left" w:pos="8222"/>
        </w:tabs>
        <w:ind w:left="851"/>
        <w:rPr>
          <w:sz w:val="24"/>
          <w:szCs w:val="24"/>
        </w:rPr>
      </w:pPr>
      <w:r w:rsidRPr="009E0F4A">
        <w:rPr>
          <w:sz w:val="24"/>
          <w:szCs w:val="24"/>
        </w:rPr>
        <w:t>Delte tabletter: 24 timer.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185621" w:rsidRDefault="00185621" w:rsidP="00185621">
      <w:pPr>
        <w:tabs>
          <w:tab w:val="left" w:pos="851"/>
          <w:tab w:val="left" w:pos="8222"/>
        </w:tabs>
        <w:ind w:left="851"/>
      </w:pPr>
      <w:r w:rsidRPr="00551119">
        <w:t>Må ikke opbevares over 25 °C</w:t>
      </w:r>
      <w:r>
        <w:t>.</w:t>
      </w:r>
    </w:p>
    <w:p w:rsidR="00185621" w:rsidRDefault="00185621" w:rsidP="00185621">
      <w:pPr>
        <w:tabs>
          <w:tab w:val="left" w:pos="851"/>
          <w:tab w:val="left" w:pos="8222"/>
        </w:tabs>
        <w:ind w:left="851"/>
        <w:rPr>
          <w:sz w:val="24"/>
          <w:szCs w:val="24"/>
        </w:rPr>
      </w:pPr>
      <w:r w:rsidRPr="009E0F4A">
        <w:rPr>
          <w:sz w:val="24"/>
          <w:szCs w:val="24"/>
        </w:rPr>
        <w:t>Opbevar blisterpakningen i den ydre æske for at beskytte mod lys.</w:t>
      </w:r>
    </w:p>
    <w:p w:rsidR="00185621" w:rsidRDefault="00185621" w:rsidP="00185621">
      <w:pPr>
        <w:tabs>
          <w:tab w:val="left" w:pos="851"/>
          <w:tab w:val="left" w:pos="8222"/>
        </w:tabs>
        <w:ind w:left="851"/>
        <w:rPr>
          <w:sz w:val="24"/>
          <w:szCs w:val="24"/>
        </w:rPr>
      </w:pPr>
    </w:p>
    <w:p w:rsidR="00185621" w:rsidRPr="009E0F4A" w:rsidRDefault="00185621" w:rsidP="00185621">
      <w:pPr>
        <w:tabs>
          <w:tab w:val="left" w:pos="851"/>
          <w:tab w:val="left" w:pos="8222"/>
        </w:tabs>
        <w:ind w:left="851"/>
        <w:rPr>
          <w:sz w:val="24"/>
          <w:szCs w:val="24"/>
        </w:rPr>
      </w:pPr>
      <w:r w:rsidRPr="009E0F4A">
        <w:rPr>
          <w:sz w:val="24"/>
          <w:szCs w:val="24"/>
        </w:rPr>
        <w:t>Delte tabletter skal opbevares i den åbne blisterpakning.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4D62C3" w:rsidRPr="004D62C3" w:rsidRDefault="004D62C3" w:rsidP="004D62C3">
      <w:pPr>
        <w:tabs>
          <w:tab w:val="left" w:pos="851"/>
          <w:tab w:val="left" w:pos="8222"/>
        </w:tabs>
        <w:ind w:left="851"/>
        <w:rPr>
          <w:sz w:val="24"/>
          <w:szCs w:val="24"/>
        </w:rPr>
      </w:pPr>
      <w:r w:rsidRPr="004D62C3">
        <w:rPr>
          <w:sz w:val="24"/>
          <w:szCs w:val="24"/>
        </w:rPr>
        <w:t>Blisterkort fremstillet af PVC/aluminium/OPA med gennemtrykkeligt PVC-PVDC/aluminium dækfolie. Hver blister indeholder 14 tabletter.</w:t>
      </w:r>
    </w:p>
    <w:p w:rsidR="004D62C3" w:rsidRPr="004D62C3" w:rsidRDefault="004D62C3" w:rsidP="004D62C3">
      <w:pPr>
        <w:tabs>
          <w:tab w:val="left" w:pos="851"/>
          <w:tab w:val="left" w:pos="8222"/>
        </w:tabs>
        <w:ind w:left="851"/>
        <w:rPr>
          <w:sz w:val="24"/>
          <w:szCs w:val="24"/>
        </w:rPr>
      </w:pPr>
    </w:p>
    <w:p w:rsidR="004D62C3" w:rsidRPr="00D670FA" w:rsidRDefault="004D62C3" w:rsidP="004D62C3">
      <w:pPr>
        <w:tabs>
          <w:tab w:val="left" w:pos="851"/>
          <w:tab w:val="left" w:pos="8222"/>
        </w:tabs>
        <w:ind w:left="851"/>
        <w:rPr>
          <w:sz w:val="24"/>
          <w:szCs w:val="24"/>
          <w:u w:val="single"/>
        </w:rPr>
      </w:pPr>
      <w:r w:rsidRPr="00D670FA">
        <w:rPr>
          <w:sz w:val="24"/>
          <w:szCs w:val="24"/>
          <w:u w:val="single"/>
        </w:rPr>
        <w:t>Pakningsstørrelser</w:t>
      </w:r>
    </w:p>
    <w:p w:rsidR="004D62C3" w:rsidRPr="004D62C3" w:rsidRDefault="004D62C3" w:rsidP="004D62C3">
      <w:pPr>
        <w:tabs>
          <w:tab w:val="left" w:pos="851"/>
          <w:tab w:val="left" w:pos="8222"/>
        </w:tabs>
        <w:ind w:left="851"/>
        <w:rPr>
          <w:sz w:val="24"/>
          <w:szCs w:val="24"/>
        </w:rPr>
      </w:pPr>
      <w:r w:rsidRPr="004D62C3">
        <w:rPr>
          <w:sz w:val="24"/>
          <w:szCs w:val="24"/>
        </w:rPr>
        <w:t>1 kartonæske med 28 tabletter</w:t>
      </w:r>
      <w:r w:rsidR="00D670FA">
        <w:rPr>
          <w:sz w:val="24"/>
          <w:szCs w:val="24"/>
        </w:rPr>
        <w:t>.</w:t>
      </w:r>
    </w:p>
    <w:p w:rsidR="004D62C3" w:rsidRPr="004D62C3" w:rsidRDefault="004D62C3" w:rsidP="004D62C3">
      <w:pPr>
        <w:tabs>
          <w:tab w:val="left" w:pos="851"/>
          <w:tab w:val="left" w:pos="8222"/>
        </w:tabs>
        <w:ind w:left="851"/>
        <w:rPr>
          <w:sz w:val="24"/>
          <w:szCs w:val="24"/>
        </w:rPr>
      </w:pPr>
      <w:r w:rsidRPr="004D62C3">
        <w:rPr>
          <w:sz w:val="24"/>
          <w:szCs w:val="24"/>
        </w:rPr>
        <w:t>1 kartonæske med 56 tabletter</w:t>
      </w:r>
      <w:r w:rsidR="00D670FA">
        <w:rPr>
          <w:sz w:val="24"/>
          <w:szCs w:val="24"/>
        </w:rPr>
        <w:t>.</w:t>
      </w:r>
    </w:p>
    <w:p w:rsidR="004D62C3" w:rsidRPr="004D62C3" w:rsidRDefault="004D62C3" w:rsidP="004D62C3">
      <w:pPr>
        <w:tabs>
          <w:tab w:val="left" w:pos="851"/>
          <w:tab w:val="left" w:pos="8222"/>
        </w:tabs>
        <w:ind w:left="851"/>
        <w:rPr>
          <w:sz w:val="24"/>
          <w:szCs w:val="24"/>
        </w:rPr>
      </w:pPr>
      <w:r w:rsidRPr="004D62C3">
        <w:rPr>
          <w:sz w:val="24"/>
          <w:szCs w:val="24"/>
        </w:rPr>
        <w:t>1 kartonæske med 84 tabletter</w:t>
      </w:r>
      <w:r w:rsidR="00D670FA">
        <w:rPr>
          <w:sz w:val="24"/>
          <w:szCs w:val="24"/>
        </w:rPr>
        <w:t>.</w:t>
      </w:r>
    </w:p>
    <w:p w:rsidR="004D62C3" w:rsidRPr="004D62C3" w:rsidRDefault="004D62C3" w:rsidP="004D62C3">
      <w:pPr>
        <w:tabs>
          <w:tab w:val="left" w:pos="851"/>
          <w:tab w:val="left" w:pos="8222"/>
        </w:tabs>
        <w:ind w:left="851"/>
        <w:rPr>
          <w:sz w:val="24"/>
          <w:szCs w:val="24"/>
        </w:rPr>
      </w:pPr>
      <w:r w:rsidRPr="004D62C3">
        <w:rPr>
          <w:sz w:val="24"/>
          <w:szCs w:val="24"/>
        </w:rPr>
        <w:t>1 kartonæske med 168 tabletter</w:t>
      </w:r>
      <w:r w:rsidR="00D670FA">
        <w:rPr>
          <w:sz w:val="24"/>
          <w:szCs w:val="24"/>
        </w:rPr>
        <w:t>.</w:t>
      </w:r>
    </w:p>
    <w:p w:rsidR="004D62C3" w:rsidRPr="004D62C3" w:rsidRDefault="004D62C3" w:rsidP="004D62C3">
      <w:pPr>
        <w:tabs>
          <w:tab w:val="left" w:pos="851"/>
          <w:tab w:val="left" w:pos="8222"/>
        </w:tabs>
        <w:ind w:left="851"/>
        <w:rPr>
          <w:sz w:val="24"/>
          <w:szCs w:val="24"/>
        </w:rPr>
      </w:pPr>
    </w:p>
    <w:p w:rsidR="004D62C3" w:rsidRPr="004D62C3" w:rsidRDefault="004D62C3" w:rsidP="004D62C3">
      <w:pPr>
        <w:tabs>
          <w:tab w:val="left" w:pos="851"/>
          <w:tab w:val="left" w:pos="8222"/>
        </w:tabs>
        <w:ind w:left="851"/>
        <w:rPr>
          <w:sz w:val="24"/>
          <w:szCs w:val="24"/>
        </w:rPr>
      </w:pPr>
      <w:r w:rsidRPr="004D62C3">
        <w:rPr>
          <w:sz w:val="24"/>
          <w:szCs w:val="24"/>
        </w:rPr>
        <w:t>Ikke alle pakningsstørrelser er nødvendigvis markedsført.</w:t>
      </w:r>
    </w:p>
    <w:p w:rsidR="008634C4" w:rsidRDefault="008634C4">
      <w:pPr>
        <w:rPr>
          <w:sz w:val="24"/>
          <w:szCs w:val="24"/>
        </w:rPr>
      </w:pPr>
      <w:r>
        <w:rPr>
          <w:sz w:val="24"/>
          <w:szCs w:val="24"/>
        </w:rPr>
        <w:br w:type="page"/>
      </w:r>
    </w:p>
    <w:p w:rsidR="004D62C3" w:rsidRPr="004D62C3" w:rsidRDefault="004D62C3" w:rsidP="004D62C3">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8634C4" w:rsidRPr="008634C4" w:rsidRDefault="008634C4" w:rsidP="008634C4">
      <w:pPr>
        <w:tabs>
          <w:tab w:val="left" w:pos="851"/>
          <w:tab w:val="left" w:pos="8222"/>
        </w:tabs>
        <w:ind w:left="851"/>
        <w:rPr>
          <w:i/>
          <w:sz w:val="24"/>
          <w:szCs w:val="24"/>
        </w:rPr>
      </w:pPr>
      <w:r w:rsidRPr="008634C4">
        <w:rPr>
          <w:sz w:val="24"/>
          <w:szCs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8634C4" w:rsidRPr="0041535F" w:rsidRDefault="008634C4" w:rsidP="008634C4">
      <w:pPr>
        <w:tabs>
          <w:tab w:val="left" w:pos="851"/>
          <w:tab w:val="left" w:pos="8222"/>
        </w:tabs>
        <w:ind w:left="851"/>
        <w:rPr>
          <w:sz w:val="24"/>
          <w:szCs w:val="24"/>
        </w:rPr>
      </w:pPr>
      <w:proofErr w:type="spellStart"/>
      <w:r w:rsidRPr="0041535F">
        <w:rPr>
          <w:sz w:val="24"/>
          <w:szCs w:val="24"/>
        </w:rPr>
        <w:t>Dechra</w:t>
      </w:r>
      <w:proofErr w:type="spellEnd"/>
      <w:r w:rsidRPr="0041535F">
        <w:rPr>
          <w:sz w:val="24"/>
          <w:szCs w:val="24"/>
        </w:rPr>
        <w:t xml:space="preserve"> Regulatory B.V.</w:t>
      </w:r>
    </w:p>
    <w:p w:rsidR="008634C4" w:rsidRPr="0041535F" w:rsidRDefault="008634C4" w:rsidP="008634C4">
      <w:pPr>
        <w:tabs>
          <w:tab w:val="left" w:pos="851"/>
          <w:tab w:val="left" w:pos="8222"/>
        </w:tabs>
        <w:ind w:left="851"/>
        <w:rPr>
          <w:sz w:val="24"/>
          <w:szCs w:val="24"/>
        </w:rPr>
      </w:pPr>
      <w:proofErr w:type="spellStart"/>
      <w:r w:rsidRPr="0041535F">
        <w:rPr>
          <w:sz w:val="24"/>
          <w:szCs w:val="24"/>
        </w:rPr>
        <w:t>Handelsweg</w:t>
      </w:r>
      <w:proofErr w:type="spellEnd"/>
      <w:r w:rsidRPr="0041535F">
        <w:rPr>
          <w:sz w:val="24"/>
          <w:szCs w:val="24"/>
        </w:rPr>
        <w:t xml:space="preserve"> 25</w:t>
      </w:r>
    </w:p>
    <w:p w:rsidR="008634C4" w:rsidRPr="0041535F" w:rsidRDefault="008634C4" w:rsidP="008634C4">
      <w:pPr>
        <w:tabs>
          <w:tab w:val="left" w:pos="851"/>
          <w:tab w:val="left" w:pos="8222"/>
        </w:tabs>
        <w:ind w:left="851"/>
        <w:rPr>
          <w:sz w:val="24"/>
          <w:szCs w:val="24"/>
        </w:rPr>
      </w:pPr>
      <w:r w:rsidRPr="0041535F">
        <w:rPr>
          <w:sz w:val="24"/>
          <w:szCs w:val="24"/>
        </w:rPr>
        <w:t xml:space="preserve">5531 AE </w:t>
      </w:r>
      <w:proofErr w:type="spellStart"/>
      <w:r w:rsidRPr="0041535F">
        <w:rPr>
          <w:sz w:val="24"/>
          <w:szCs w:val="24"/>
        </w:rPr>
        <w:t>Bladel</w:t>
      </w:r>
      <w:proofErr w:type="spellEnd"/>
    </w:p>
    <w:p w:rsidR="008634C4" w:rsidRPr="0041535F" w:rsidRDefault="008634C4" w:rsidP="008634C4">
      <w:pPr>
        <w:tabs>
          <w:tab w:val="left" w:pos="851"/>
          <w:tab w:val="left" w:pos="8222"/>
        </w:tabs>
        <w:ind w:left="851"/>
        <w:rPr>
          <w:sz w:val="24"/>
          <w:szCs w:val="24"/>
        </w:rPr>
      </w:pPr>
      <w:r w:rsidRPr="0041535F">
        <w:rPr>
          <w:sz w:val="24"/>
          <w:szCs w:val="24"/>
        </w:rPr>
        <w:t>Holland</w:t>
      </w:r>
    </w:p>
    <w:p w:rsidR="008634C4" w:rsidRPr="0041535F" w:rsidRDefault="008634C4" w:rsidP="008634C4">
      <w:pPr>
        <w:tabs>
          <w:tab w:val="left" w:pos="851"/>
          <w:tab w:val="left" w:pos="8222"/>
        </w:tabs>
        <w:ind w:left="851"/>
        <w:rPr>
          <w:sz w:val="24"/>
          <w:szCs w:val="24"/>
        </w:rPr>
      </w:pPr>
    </w:p>
    <w:p w:rsidR="008634C4" w:rsidRPr="0041535F" w:rsidRDefault="008634C4" w:rsidP="008634C4">
      <w:pPr>
        <w:tabs>
          <w:tab w:val="left" w:pos="851"/>
          <w:tab w:val="left" w:pos="8222"/>
        </w:tabs>
        <w:ind w:left="851"/>
        <w:rPr>
          <w:b/>
          <w:sz w:val="24"/>
          <w:szCs w:val="24"/>
        </w:rPr>
      </w:pPr>
      <w:r w:rsidRPr="0041535F">
        <w:rPr>
          <w:b/>
          <w:sz w:val="24"/>
          <w:szCs w:val="24"/>
        </w:rPr>
        <w:t>Repræsentant</w:t>
      </w:r>
    </w:p>
    <w:p w:rsidR="008634C4" w:rsidRPr="0041535F" w:rsidRDefault="008634C4" w:rsidP="008634C4">
      <w:pPr>
        <w:tabs>
          <w:tab w:val="left" w:pos="851"/>
          <w:tab w:val="left" w:pos="8222"/>
        </w:tabs>
        <w:ind w:left="851"/>
        <w:rPr>
          <w:sz w:val="24"/>
          <w:szCs w:val="24"/>
        </w:rPr>
      </w:pPr>
      <w:proofErr w:type="spellStart"/>
      <w:r w:rsidRPr="0041535F">
        <w:rPr>
          <w:sz w:val="24"/>
          <w:szCs w:val="24"/>
        </w:rPr>
        <w:t>Dechra</w:t>
      </w:r>
      <w:proofErr w:type="spellEnd"/>
      <w:r w:rsidRPr="0041535F">
        <w:rPr>
          <w:sz w:val="24"/>
          <w:szCs w:val="24"/>
        </w:rPr>
        <w:t xml:space="preserve"> </w:t>
      </w:r>
      <w:proofErr w:type="spellStart"/>
      <w:r w:rsidRPr="0041535F">
        <w:rPr>
          <w:sz w:val="24"/>
          <w:szCs w:val="24"/>
        </w:rPr>
        <w:t>Veterinary</w:t>
      </w:r>
      <w:proofErr w:type="spellEnd"/>
      <w:r w:rsidRPr="0041535F">
        <w:rPr>
          <w:sz w:val="24"/>
          <w:szCs w:val="24"/>
        </w:rPr>
        <w:t xml:space="preserve"> Products A/S</w:t>
      </w:r>
    </w:p>
    <w:p w:rsidR="008634C4" w:rsidRPr="008634C4" w:rsidRDefault="008634C4" w:rsidP="008634C4">
      <w:pPr>
        <w:tabs>
          <w:tab w:val="left" w:pos="851"/>
          <w:tab w:val="left" w:pos="8222"/>
        </w:tabs>
        <w:ind w:left="851"/>
        <w:rPr>
          <w:sz w:val="24"/>
          <w:szCs w:val="24"/>
        </w:rPr>
      </w:pPr>
      <w:proofErr w:type="spellStart"/>
      <w:r w:rsidRPr="008634C4">
        <w:rPr>
          <w:sz w:val="24"/>
          <w:szCs w:val="24"/>
        </w:rPr>
        <w:t>Mekuvej</w:t>
      </w:r>
      <w:proofErr w:type="spellEnd"/>
      <w:r w:rsidRPr="008634C4">
        <w:rPr>
          <w:sz w:val="24"/>
          <w:szCs w:val="24"/>
        </w:rPr>
        <w:t xml:space="preserve"> 9</w:t>
      </w:r>
    </w:p>
    <w:p w:rsidR="008634C4" w:rsidRPr="008634C4" w:rsidRDefault="008634C4" w:rsidP="008634C4">
      <w:pPr>
        <w:tabs>
          <w:tab w:val="left" w:pos="851"/>
          <w:tab w:val="left" w:pos="8222"/>
        </w:tabs>
        <w:ind w:left="851"/>
        <w:rPr>
          <w:sz w:val="24"/>
          <w:szCs w:val="24"/>
        </w:rPr>
      </w:pPr>
      <w:r w:rsidRPr="008634C4">
        <w:rPr>
          <w:sz w:val="24"/>
          <w:szCs w:val="24"/>
        </w:rPr>
        <w:t>7171 Uldum</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187C10" w:rsidP="005B0036">
      <w:pPr>
        <w:tabs>
          <w:tab w:val="left" w:pos="851"/>
          <w:tab w:val="left" w:pos="8222"/>
        </w:tabs>
        <w:ind w:left="851"/>
        <w:rPr>
          <w:sz w:val="24"/>
          <w:szCs w:val="24"/>
        </w:rPr>
      </w:pPr>
      <w:r>
        <w:rPr>
          <w:sz w:val="24"/>
          <w:szCs w:val="24"/>
        </w:rPr>
        <w:t>63245</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41535F" w:rsidP="005B0036">
      <w:pPr>
        <w:tabs>
          <w:tab w:val="left" w:pos="851"/>
          <w:tab w:val="left" w:pos="8222"/>
        </w:tabs>
        <w:ind w:left="851"/>
        <w:rPr>
          <w:sz w:val="24"/>
          <w:szCs w:val="24"/>
        </w:rPr>
      </w:pPr>
      <w:r>
        <w:rPr>
          <w:sz w:val="24"/>
          <w:szCs w:val="24"/>
        </w:rPr>
        <w:t>9. februar 2021</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185621" w:rsidP="005B0036">
      <w:pPr>
        <w:tabs>
          <w:tab w:val="left" w:pos="851"/>
          <w:tab w:val="left" w:pos="8222"/>
        </w:tabs>
        <w:ind w:left="851"/>
        <w:rPr>
          <w:sz w:val="24"/>
          <w:szCs w:val="24"/>
        </w:rPr>
      </w:pPr>
      <w:r>
        <w:rPr>
          <w:sz w:val="24"/>
          <w:szCs w:val="24"/>
        </w:rPr>
        <w:t>21. august 2023</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187C10" w:rsidRDefault="00187C10" w:rsidP="00187C10">
      <w:pPr>
        <w:pStyle w:val="Sidehoved"/>
        <w:tabs>
          <w:tab w:val="clear" w:pos="4819"/>
          <w:tab w:val="left" w:pos="851"/>
          <w:tab w:val="left" w:pos="8222"/>
        </w:tabs>
        <w:ind w:left="851"/>
        <w:rPr>
          <w:szCs w:val="24"/>
        </w:rPr>
      </w:pPr>
      <w:r>
        <w:rPr>
          <w:szCs w:val="24"/>
        </w:rPr>
        <w:t>B</w:t>
      </w:r>
    </w:p>
    <w:sectPr w:rsidR="0003527F" w:rsidRPr="00187C1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9FE" w:rsidRDefault="00F029FE">
      <w:r>
        <w:separator/>
      </w:r>
    </w:p>
  </w:endnote>
  <w:endnote w:type="continuationSeparator" w:id="0">
    <w:p w:rsidR="00F029FE" w:rsidRDefault="00F0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377F3">
      <w:rPr>
        <w:i/>
        <w:noProof/>
        <w:snapToGrid w:val="0"/>
        <w:sz w:val="18"/>
      </w:rPr>
      <w:t>Lodisure Vet., 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377F3">
      <w:rPr>
        <w:i/>
        <w:noProof/>
        <w:snapToGrid w:val="0"/>
        <w:sz w:val="18"/>
      </w:rPr>
      <w:t>Lodisure Vet., tabletter 1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9FE" w:rsidRDefault="00F029FE">
      <w:r>
        <w:separator/>
      </w:r>
    </w:p>
  </w:footnote>
  <w:footnote w:type="continuationSeparator" w:id="0">
    <w:p w:rsidR="00F029FE" w:rsidRDefault="00F02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FE"/>
    <w:rsid w:val="0003527F"/>
    <w:rsid w:val="00065C7D"/>
    <w:rsid w:val="000C6CD4"/>
    <w:rsid w:val="000F583E"/>
    <w:rsid w:val="00114924"/>
    <w:rsid w:val="001577E4"/>
    <w:rsid w:val="00185621"/>
    <w:rsid w:val="001858CA"/>
    <w:rsid w:val="00186643"/>
    <w:rsid w:val="00187C10"/>
    <w:rsid w:val="001C4AEF"/>
    <w:rsid w:val="001D3CC5"/>
    <w:rsid w:val="001D7F7D"/>
    <w:rsid w:val="002377F3"/>
    <w:rsid w:val="00265E56"/>
    <w:rsid w:val="002743F5"/>
    <w:rsid w:val="00295BAF"/>
    <w:rsid w:val="00322BDE"/>
    <w:rsid w:val="00406EE7"/>
    <w:rsid w:val="00407013"/>
    <w:rsid w:val="0041535F"/>
    <w:rsid w:val="004A62CC"/>
    <w:rsid w:val="004D62C3"/>
    <w:rsid w:val="00565A74"/>
    <w:rsid w:val="00574C34"/>
    <w:rsid w:val="005B0036"/>
    <w:rsid w:val="005F5831"/>
    <w:rsid w:val="00662012"/>
    <w:rsid w:val="00666B01"/>
    <w:rsid w:val="006B1539"/>
    <w:rsid w:val="006F5621"/>
    <w:rsid w:val="00751ED6"/>
    <w:rsid w:val="007E2A00"/>
    <w:rsid w:val="008010F2"/>
    <w:rsid w:val="008634C4"/>
    <w:rsid w:val="008A34C3"/>
    <w:rsid w:val="008F4889"/>
    <w:rsid w:val="009202AE"/>
    <w:rsid w:val="00951CA9"/>
    <w:rsid w:val="009D66C6"/>
    <w:rsid w:val="009E0F4A"/>
    <w:rsid w:val="009F6511"/>
    <w:rsid w:val="00A96525"/>
    <w:rsid w:val="00AC283C"/>
    <w:rsid w:val="00AE29E5"/>
    <w:rsid w:val="00AE5757"/>
    <w:rsid w:val="00B25EB8"/>
    <w:rsid w:val="00B72503"/>
    <w:rsid w:val="00BC634B"/>
    <w:rsid w:val="00BD40E4"/>
    <w:rsid w:val="00BF2AE0"/>
    <w:rsid w:val="00C479BF"/>
    <w:rsid w:val="00D0657E"/>
    <w:rsid w:val="00D670FA"/>
    <w:rsid w:val="00DB06B6"/>
    <w:rsid w:val="00DD6D71"/>
    <w:rsid w:val="00DF32BE"/>
    <w:rsid w:val="00E14F0A"/>
    <w:rsid w:val="00E410E8"/>
    <w:rsid w:val="00EB5778"/>
    <w:rsid w:val="00EE5253"/>
    <w:rsid w:val="00EE7E90"/>
    <w:rsid w:val="00F029FE"/>
    <w:rsid w:val="00FA66E4"/>
    <w:rsid w:val="00FD6433"/>
    <w:rsid w:val="00FE62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D4CEF"/>
  <w15:chartTrackingRefBased/>
  <w15:docId w15:val="{8B680346-D72C-42EB-8D0B-DB9F2ADC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630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4612594">
      <w:bodyDiv w:val="1"/>
      <w:marLeft w:val="0"/>
      <w:marRight w:val="0"/>
      <w:marTop w:val="0"/>
      <w:marBottom w:val="0"/>
      <w:divBdr>
        <w:top w:val="none" w:sz="0" w:space="0" w:color="auto"/>
        <w:left w:val="none" w:sz="0" w:space="0" w:color="auto"/>
        <w:bottom w:val="none" w:sz="0" w:space="0" w:color="auto"/>
        <w:right w:val="none" w:sz="0" w:space="0" w:color="auto"/>
      </w:divBdr>
    </w:div>
    <w:div w:id="180096811">
      <w:bodyDiv w:val="1"/>
      <w:marLeft w:val="0"/>
      <w:marRight w:val="0"/>
      <w:marTop w:val="0"/>
      <w:marBottom w:val="0"/>
      <w:divBdr>
        <w:top w:val="none" w:sz="0" w:space="0" w:color="auto"/>
        <w:left w:val="none" w:sz="0" w:space="0" w:color="auto"/>
        <w:bottom w:val="none" w:sz="0" w:space="0" w:color="auto"/>
        <w:right w:val="none" w:sz="0" w:space="0" w:color="auto"/>
      </w:divBdr>
    </w:div>
    <w:div w:id="232857999">
      <w:bodyDiv w:val="1"/>
      <w:marLeft w:val="0"/>
      <w:marRight w:val="0"/>
      <w:marTop w:val="0"/>
      <w:marBottom w:val="0"/>
      <w:divBdr>
        <w:top w:val="none" w:sz="0" w:space="0" w:color="auto"/>
        <w:left w:val="none" w:sz="0" w:space="0" w:color="auto"/>
        <w:bottom w:val="none" w:sz="0" w:space="0" w:color="auto"/>
        <w:right w:val="none" w:sz="0" w:space="0" w:color="auto"/>
      </w:divBdr>
    </w:div>
    <w:div w:id="254677646">
      <w:bodyDiv w:val="1"/>
      <w:marLeft w:val="0"/>
      <w:marRight w:val="0"/>
      <w:marTop w:val="0"/>
      <w:marBottom w:val="0"/>
      <w:divBdr>
        <w:top w:val="none" w:sz="0" w:space="0" w:color="auto"/>
        <w:left w:val="none" w:sz="0" w:space="0" w:color="auto"/>
        <w:bottom w:val="none" w:sz="0" w:space="0" w:color="auto"/>
        <w:right w:val="none" w:sz="0" w:space="0" w:color="auto"/>
      </w:divBdr>
    </w:div>
    <w:div w:id="355733660">
      <w:bodyDiv w:val="1"/>
      <w:marLeft w:val="0"/>
      <w:marRight w:val="0"/>
      <w:marTop w:val="0"/>
      <w:marBottom w:val="0"/>
      <w:divBdr>
        <w:top w:val="none" w:sz="0" w:space="0" w:color="auto"/>
        <w:left w:val="none" w:sz="0" w:space="0" w:color="auto"/>
        <w:bottom w:val="none" w:sz="0" w:space="0" w:color="auto"/>
        <w:right w:val="none" w:sz="0" w:space="0" w:color="auto"/>
      </w:divBdr>
    </w:div>
    <w:div w:id="457725283">
      <w:bodyDiv w:val="1"/>
      <w:marLeft w:val="0"/>
      <w:marRight w:val="0"/>
      <w:marTop w:val="0"/>
      <w:marBottom w:val="0"/>
      <w:divBdr>
        <w:top w:val="none" w:sz="0" w:space="0" w:color="auto"/>
        <w:left w:val="none" w:sz="0" w:space="0" w:color="auto"/>
        <w:bottom w:val="none" w:sz="0" w:space="0" w:color="auto"/>
        <w:right w:val="none" w:sz="0" w:space="0" w:color="auto"/>
      </w:divBdr>
    </w:div>
    <w:div w:id="510923410">
      <w:bodyDiv w:val="1"/>
      <w:marLeft w:val="0"/>
      <w:marRight w:val="0"/>
      <w:marTop w:val="0"/>
      <w:marBottom w:val="0"/>
      <w:divBdr>
        <w:top w:val="none" w:sz="0" w:space="0" w:color="auto"/>
        <w:left w:val="none" w:sz="0" w:space="0" w:color="auto"/>
        <w:bottom w:val="none" w:sz="0" w:space="0" w:color="auto"/>
        <w:right w:val="none" w:sz="0" w:space="0" w:color="auto"/>
      </w:divBdr>
    </w:div>
    <w:div w:id="561795870">
      <w:bodyDiv w:val="1"/>
      <w:marLeft w:val="0"/>
      <w:marRight w:val="0"/>
      <w:marTop w:val="0"/>
      <w:marBottom w:val="0"/>
      <w:divBdr>
        <w:top w:val="none" w:sz="0" w:space="0" w:color="auto"/>
        <w:left w:val="none" w:sz="0" w:space="0" w:color="auto"/>
        <w:bottom w:val="none" w:sz="0" w:space="0" w:color="auto"/>
        <w:right w:val="none" w:sz="0" w:space="0" w:color="auto"/>
      </w:divBdr>
    </w:div>
    <w:div w:id="569272148">
      <w:bodyDiv w:val="1"/>
      <w:marLeft w:val="0"/>
      <w:marRight w:val="0"/>
      <w:marTop w:val="0"/>
      <w:marBottom w:val="0"/>
      <w:divBdr>
        <w:top w:val="none" w:sz="0" w:space="0" w:color="auto"/>
        <w:left w:val="none" w:sz="0" w:space="0" w:color="auto"/>
        <w:bottom w:val="none" w:sz="0" w:space="0" w:color="auto"/>
        <w:right w:val="none" w:sz="0" w:space="0" w:color="auto"/>
      </w:divBdr>
    </w:div>
    <w:div w:id="580454172">
      <w:bodyDiv w:val="1"/>
      <w:marLeft w:val="0"/>
      <w:marRight w:val="0"/>
      <w:marTop w:val="0"/>
      <w:marBottom w:val="0"/>
      <w:divBdr>
        <w:top w:val="none" w:sz="0" w:space="0" w:color="auto"/>
        <w:left w:val="none" w:sz="0" w:space="0" w:color="auto"/>
        <w:bottom w:val="none" w:sz="0" w:space="0" w:color="auto"/>
        <w:right w:val="none" w:sz="0" w:space="0" w:color="auto"/>
      </w:divBdr>
    </w:div>
    <w:div w:id="609701940">
      <w:bodyDiv w:val="1"/>
      <w:marLeft w:val="0"/>
      <w:marRight w:val="0"/>
      <w:marTop w:val="0"/>
      <w:marBottom w:val="0"/>
      <w:divBdr>
        <w:top w:val="none" w:sz="0" w:space="0" w:color="auto"/>
        <w:left w:val="none" w:sz="0" w:space="0" w:color="auto"/>
        <w:bottom w:val="none" w:sz="0" w:space="0" w:color="auto"/>
        <w:right w:val="none" w:sz="0" w:space="0" w:color="auto"/>
      </w:divBdr>
    </w:div>
    <w:div w:id="691414571">
      <w:bodyDiv w:val="1"/>
      <w:marLeft w:val="0"/>
      <w:marRight w:val="0"/>
      <w:marTop w:val="0"/>
      <w:marBottom w:val="0"/>
      <w:divBdr>
        <w:top w:val="none" w:sz="0" w:space="0" w:color="auto"/>
        <w:left w:val="none" w:sz="0" w:space="0" w:color="auto"/>
        <w:bottom w:val="none" w:sz="0" w:space="0" w:color="auto"/>
        <w:right w:val="none" w:sz="0" w:space="0" w:color="auto"/>
      </w:divBdr>
    </w:div>
    <w:div w:id="707266237">
      <w:bodyDiv w:val="1"/>
      <w:marLeft w:val="0"/>
      <w:marRight w:val="0"/>
      <w:marTop w:val="0"/>
      <w:marBottom w:val="0"/>
      <w:divBdr>
        <w:top w:val="none" w:sz="0" w:space="0" w:color="auto"/>
        <w:left w:val="none" w:sz="0" w:space="0" w:color="auto"/>
        <w:bottom w:val="none" w:sz="0" w:space="0" w:color="auto"/>
        <w:right w:val="none" w:sz="0" w:space="0" w:color="auto"/>
      </w:divBdr>
    </w:div>
    <w:div w:id="725227998">
      <w:bodyDiv w:val="1"/>
      <w:marLeft w:val="0"/>
      <w:marRight w:val="0"/>
      <w:marTop w:val="0"/>
      <w:marBottom w:val="0"/>
      <w:divBdr>
        <w:top w:val="none" w:sz="0" w:space="0" w:color="auto"/>
        <w:left w:val="none" w:sz="0" w:space="0" w:color="auto"/>
        <w:bottom w:val="none" w:sz="0" w:space="0" w:color="auto"/>
        <w:right w:val="none" w:sz="0" w:space="0" w:color="auto"/>
      </w:divBdr>
    </w:div>
    <w:div w:id="735594245">
      <w:bodyDiv w:val="1"/>
      <w:marLeft w:val="0"/>
      <w:marRight w:val="0"/>
      <w:marTop w:val="0"/>
      <w:marBottom w:val="0"/>
      <w:divBdr>
        <w:top w:val="none" w:sz="0" w:space="0" w:color="auto"/>
        <w:left w:val="none" w:sz="0" w:space="0" w:color="auto"/>
        <w:bottom w:val="none" w:sz="0" w:space="0" w:color="auto"/>
        <w:right w:val="none" w:sz="0" w:space="0" w:color="auto"/>
      </w:divBdr>
    </w:div>
    <w:div w:id="742916621">
      <w:bodyDiv w:val="1"/>
      <w:marLeft w:val="0"/>
      <w:marRight w:val="0"/>
      <w:marTop w:val="0"/>
      <w:marBottom w:val="0"/>
      <w:divBdr>
        <w:top w:val="none" w:sz="0" w:space="0" w:color="auto"/>
        <w:left w:val="none" w:sz="0" w:space="0" w:color="auto"/>
        <w:bottom w:val="none" w:sz="0" w:space="0" w:color="auto"/>
        <w:right w:val="none" w:sz="0" w:space="0" w:color="auto"/>
      </w:divBdr>
    </w:div>
    <w:div w:id="746922416">
      <w:bodyDiv w:val="1"/>
      <w:marLeft w:val="0"/>
      <w:marRight w:val="0"/>
      <w:marTop w:val="0"/>
      <w:marBottom w:val="0"/>
      <w:divBdr>
        <w:top w:val="none" w:sz="0" w:space="0" w:color="auto"/>
        <w:left w:val="none" w:sz="0" w:space="0" w:color="auto"/>
        <w:bottom w:val="none" w:sz="0" w:space="0" w:color="auto"/>
        <w:right w:val="none" w:sz="0" w:space="0" w:color="auto"/>
      </w:divBdr>
    </w:div>
    <w:div w:id="786125905">
      <w:bodyDiv w:val="1"/>
      <w:marLeft w:val="0"/>
      <w:marRight w:val="0"/>
      <w:marTop w:val="0"/>
      <w:marBottom w:val="0"/>
      <w:divBdr>
        <w:top w:val="none" w:sz="0" w:space="0" w:color="auto"/>
        <w:left w:val="none" w:sz="0" w:space="0" w:color="auto"/>
        <w:bottom w:val="none" w:sz="0" w:space="0" w:color="auto"/>
        <w:right w:val="none" w:sz="0" w:space="0" w:color="auto"/>
      </w:divBdr>
    </w:div>
    <w:div w:id="835994096">
      <w:bodyDiv w:val="1"/>
      <w:marLeft w:val="0"/>
      <w:marRight w:val="0"/>
      <w:marTop w:val="0"/>
      <w:marBottom w:val="0"/>
      <w:divBdr>
        <w:top w:val="none" w:sz="0" w:space="0" w:color="auto"/>
        <w:left w:val="none" w:sz="0" w:space="0" w:color="auto"/>
        <w:bottom w:val="none" w:sz="0" w:space="0" w:color="auto"/>
        <w:right w:val="none" w:sz="0" w:space="0" w:color="auto"/>
      </w:divBdr>
    </w:div>
    <w:div w:id="844200468">
      <w:bodyDiv w:val="1"/>
      <w:marLeft w:val="0"/>
      <w:marRight w:val="0"/>
      <w:marTop w:val="0"/>
      <w:marBottom w:val="0"/>
      <w:divBdr>
        <w:top w:val="none" w:sz="0" w:space="0" w:color="auto"/>
        <w:left w:val="none" w:sz="0" w:space="0" w:color="auto"/>
        <w:bottom w:val="none" w:sz="0" w:space="0" w:color="auto"/>
        <w:right w:val="none" w:sz="0" w:space="0" w:color="auto"/>
      </w:divBdr>
    </w:div>
    <w:div w:id="865749164">
      <w:bodyDiv w:val="1"/>
      <w:marLeft w:val="0"/>
      <w:marRight w:val="0"/>
      <w:marTop w:val="0"/>
      <w:marBottom w:val="0"/>
      <w:divBdr>
        <w:top w:val="none" w:sz="0" w:space="0" w:color="auto"/>
        <w:left w:val="none" w:sz="0" w:space="0" w:color="auto"/>
        <w:bottom w:val="none" w:sz="0" w:space="0" w:color="auto"/>
        <w:right w:val="none" w:sz="0" w:space="0" w:color="auto"/>
      </w:divBdr>
    </w:div>
    <w:div w:id="903757129">
      <w:bodyDiv w:val="1"/>
      <w:marLeft w:val="0"/>
      <w:marRight w:val="0"/>
      <w:marTop w:val="0"/>
      <w:marBottom w:val="0"/>
      <w:divBdr>
        <w:top w:val="none" w:sz="0" w:space="0" w:color="auto"/>
        <w:left w:val="none" w:sz="0" w:space="0" w:color="auto"/>
        <w:bottom w:val="none" w:sz="0" w:space="0" w:color="auto"/>
        <w:right w:val="none" w:sz="0" w:space="0" w:color="auto"/>
      </w:divBdr>
    </w:div>
    <w:div w:id="1301572753">
      <w:bodyDiv w:val="1"/>
      <w:marLeft w:val="0"/>
      <w:marRight w:val="0"/>
      <w:marTop w:val="0"/>
      <w:marBottom w:val="0"/>
      <w:divBdr>
        <w:top w:val="none" w:sz="0" w:space="0" w:color="auto"/>
        <w:left w:val="none" w:sz="0" w:space="0" w:color="auto"/>
        <w:bottom w:val="none" w:sz="0" w:space="0" w:color="auto"/>
        <w:right w:val="none" w:sz="0" w:space="0" w:color="auto"/>
      </w:divBdr>
    </w:div>
    <w:div w:id="1302228497">
      <w:bodyDiv w:val="1"/>
      <w:marLeft w:val="0"/>
      <w:marRight w:val="0"/>
      <w:marTop w:val="0"/>
      <w:marBottom w:val="0"/>
      <w:divBdr>
        <w:top w:val="none" w:sz="0" w:space="0" w:color="auto"/>
        <w:left w:val="none" w:sz="0" w:space="0" w:color="auto"/>
        <w:bottom w:val="none" w:sz="0" w:space="0" w:color="auto"/>
        <w:right w:val="none" w:sz="0" w:space="0" w:color="auto"/>
      </w:divBdr>
    </w:div>
    <w:div w:id="1336613481">
      <w:bodyDiv w:val="1"/>
      <w:marLeft w:val="0"/>
      <w:marRight w:val="0"/>
      <w:marTop w:val="0"/>
      <w:marBottom w:val="0"/>
      <w:divBdr>
        <w:top w:val="none" w:sz="0" w:space="0" w:color="auto"/>
        <w:left w:val="none" w:sz="0" w:space="0" w:color="auto"/>
        <w:bottom w:val="none" w:sz="0" w:space="0" w:color="auto"/>
        <w:right w:val="none" w:sz="0" w:space="0" w:color="auto"/>
      </w:divBdr>
    </w:div>
    <w:div w:id="1425225582">
      <w:bodyDiv w:val="1"/>
      <w:marLeft w:val="0"/>
      <w:marRight w:val="0"/>
      <w:marTop w:val="0"/>
      <w:marBottom w:val="0"/>
      <w:divBdr>
        <w:top w:val="none" w:sz="0" w:space="0" w:color="auto"/>
        <w:left w:val="none" w:sz="0" w:space="0" w:color="auto"/>
        <w:bottom w:val="none" w:sz="0" w:space="0" w:color="auto"/>
        <w:right w:val="none" w:sz="0" w:space="0" w:color="auto"/>
      </w:divBdr>
    </w:div>
    <w:div w:id="1469739688">
      <w:bodyDiv w:val="1"/>
      <w:marLeft w:val="0"/>
      <w:marRight w:val="0"/>
      <w:marTop w:val="0"/>
      <w:marBottom w:val="0"/>
      <w:divBdr>
        <w:top w:val="none" w:sz="0" w:space="0" w:color="auto"/>
        <w:left w:val="none" w:sz="0" w:space="0" w:color="auto"/>
        <w:bottom w:val="none" w:sz="0" w:space="0" w:color="auto"/>
        <w:right w:val="none" w:sz="0" w:space="0" w:color="auto"/>
      </w:divBdr>
    </w:div>
    <w:div w:id="1501461510">
      <w:bodyDiv w:val="1"/>
      <w:marLeft w:val="0"/>
      <w:marRight w:val="0"/>
      <w:marTop w:val="0"/>
      <w:marBottom w:val="0"/>
      <w:divBdr>
        <w:top w:val="none" w:sz="0" w:space="0" w:color="auto"/>
        <w:left w:val="none" w:sz="0" w:space="0" w:color="auto"/>
        <w:bottom w:val="none" w:sz="0" w:space="0" w:color="auto"/>
        <w:right w:val="none" w:sz="0" w:space="0" w:color="auto"/>
      </w:divBdr>
    </w:div>
    <w:div w:id="1522544316">
      <w:bodyDiv w:val="1"/>
      <w:marLeft w:val="0"/>
      <w:marRight w:val="0"/>
      <w:marTop w:val="0"/>
      <w:marBottom w:val="0"/>
      <w:divBdr>
        <w:top w:val="none" w:sz="0" w:space="0" w:color="auto"/>
        <w:left w:val="none" w:sz="0" w:space="0" w:color="auto"/>
        <w:bottom w:val="none" w:sz="0" w:space="0" w:color="auto"/>
        <w:right w:val="none" w:sz="0" w:space="0" w:color="auto"/>
      </w:divBdr>
    </w:div>
    <w:div w:id="1539972562">
      <w:bodyDiv w:val="1"/>
      <w:marLeft w:val="0"/>
      <w:marRight w:val="0"/>
      <w:marTop w:val="0"/>
      <w:marBottom w:val="0"/>
      <w:divBdr>
        <w:top w:val="none" w:sz="0" w:space="0" w:color="auto"/>
        <w:left w:val="none" w:sz="0" w:space="0" w:color="auto"/>
        <w:bottom w:val="none" w:sz="0" w:space="0" w:color="auto"/>
        <w:right w:val="none" w:sz="0" w:space="0" w:color="auto"/>
      </w:divBdr>
    </w:div>
    <w:div w:id="1598447140">
      <w:bodyDiv w:val="1"/>
      <w:marLeft w:val="0"/>
      <w:marRight w:val="0"/>
      <w:marTop w:val="0"/>
      <w:marBottom w:val="0"/>
      <w:divBdr>
        <w:top w:val="none" w:sz="0" w:space="0" w:color="auto"/>
        <w:left w:val="none" w:sz="0" w:space="0" w:color="auto"/>
        <w:bottom w:val="none" w:sz="0" w:space="0" w:color="auto"/>
        <w:right w:val="none" w:sz="0" w:space="0" w:color="auto"/>
      </w:divBdr>
    </w:div>
    <w:div w:id="1643927197">
      <w:bodyDiv w:val="1"/>
      <w:marLeft w:val="0"/>
      <w:marRight w:val="0"/>
      <w:marTop w:val="0"/>
      <w:marBottom w:val="0"/>
      <w:divBdr>
        <w:top w:val="none" w:sz="0" w:space="0" w:color="auto"/>
        <w:left w:val="none" w:sz="0" w:space="0" w:color="auto"/>
        <w:bottom w:val="none" w:sz="0" w:space="0" w:color="auto"/>
        <w:right w:val="none" w:sz="0" w:space="0" w:color="auto"/>
      </w:divBdr>
    </w:div>
    <w:div w:id="1650479998">
      <w:bodyDiv w:val="1"/>
      <w:marLeft w:val="0"/>
      <w:marRight w:val="0"/>
      <w:marTop w:val="0"/>
      <w:marBottom w:val="0"/>
      <w:divBdr>
        <w:top w:val="none" w:sz="0" w:space="0" w:color="auto"/>
        <w:left w:val="none" w:sz="0" w:space="0" w:color="auto"/>
        <w:bottom w:val="none" w:sz="0" w:space="0" w:color="auto"/>
        <w:right w:val="none" w:sz="0" w:space="0" w:color="auto"/>
      </w:divBdr>
    </w:div>
    <w:div w:id="1739478141">
      <w:bodyDiv w:val="1"/>
      <w:marLeft w:val="0"/>
      <w:marRight w:val="0"/>
      <w:marTop w:val="0"/>
      <w:marBottom w:val="0"/>
      <w:divBdr>
        <w:top w:val="none" w:sz="0" w:space="0" w:color="auto"/>
        <w:left w:val="none" w:sz="0" w:space="0" w:color="auto"/>
        <w:bottom w:val="none" w:sz="0" w:space="0" w:color="auto"/>
        <w:right w:val="none" w:sz="0" w:space="0" w:color="auto"/>
      </w:divBdr>
    </w:div>
    <w:div w:id="1755279826">
      <w:bodyDiv w:val="1"/>
      <w:marLeft w:val="0"/>
      <w:marRight w:val="0"/>
      <w:marTop w:val="0"/>
      <w:marBottom w:val="0"/>
      <w:divBdr>
        <w:top w:val="none" w:sz="0" w:space="0" w:color="auto"/>
        <w:left w:val="none" w:sz="0" w:space="0" w:color="auto"/>
        <w:bottom w:val="none" w:sz="0" w:space="0" w:color="auto"/>
        <w:right w:val="none" w:sz="0" w:space="0" w:color="auto"/>
      </w:divBdr>
    </w:div>
    <w:div w:id="1867720151">
      <w:bodyDiv w:val="1"/>
      <w:marLeft w:val="0"/>
      <w:marRight w:val="0"/>
      <w:marTop w:val="0"/>
      <w:marBottom w:val="0"/>
      <w:divBdr>
        <w:top w:val="none" w:sz="0" w:space="0" w:color="auto"/>
        <w:left w:val="none" w:sz="0" w:space="0" w:color="auto"/>
        <w:bottom w:val="none" w:sz="0" w:space="0" w:color="auto"/>
        <w:right w:val="none" w:sz="0" w:space="0" w:color="auto"/>
      </w:divBdr>
    </w:div>
    <w:div w:id="1887838445">
      <w:bodyDiv w:val="1"/>
      <w:marLeft w:val="0"/>
      <w:marRight w:val="0"/>
      <w:marTop w:val="0"/>
      <w:marBottom w:val="0"/>
      <w:divBdr>
        <w:top w:val="none" w:sz="0" w:space="0" w:color="auto"/>
        <w:left w:val="none" w:sz="0" w:space="0" w:color="auto"/>
        <w:bottom w:val="none" w:sz="0" w:space="0" w:color="auto"/>
        <w:right w:val="none" w:sz="0" w:space="0" w:color="auto"/>
      </w:divBdr>
    </w:div>
    <w:div w:id="2032023309">
      <w:bodyDiv w:val="1"/>
      <w:marLeft w:val="0"/>
      <w:marRight w:val="0"/>
      <w:marTop w:val="0"/>
      <w:marBottom w:val="0"/>
      <w:divBdr>
        <w:top w:val="none" w:sz="0" w:space="0" w:color="auto"/>
        <w:left w:val="none" w:sz="0" w:space="0" w:color="auto"/>
        <w:bottom w:val="none" w:sz="0" w:space="0" w:color="auto"/>
        <w:right w:val="none" w:sz="0" w:space="0" w:color="auto"/>
      </w:divBdr>
    </w:div>
    <w:div w:id="2053072504">
      <w:bodyDiv w:val="1"/>
      <w:marLeft w:val="0"/>
      <w:marRight w:val="0"/>
      <w:marTop w:val="0"/>
      <w:marBottom w:val="0"/>
      <w:divBdr>
        <w:top w:val="none" w:sz="0" w:space="0" w:color="auto"/>
        <w:left w:val="none" w:sz="0" w:space="0" w:color="auto"/>
        <w:bottom w:val="none" w:sz="0" w:space="0" w:color="auto"/>
        <w:right w:val="none" w:sz="0" w:space="0" w:color="auto"/>
      </w:divBdr>
    </w:div>
    <w:div w:id="2060860215">
      <w:bodyDiv w:val="1"/>
      <w:marLeft w:val="0"/>
      <w:marRight w:val="0"/>
      <w:marTop w:val="0"/>
      <w:marBottom w:val="0"/>
      <w:divBdr>
        <w:top w:val="none" w:sz="0" w:space="0" w:color="auto"/>
        <w:left w:val="none" w:sz="0" w:space="0" w:color="auto"/>
        <w:bottom w:val="none" w:sz="0" w:space="0" w:color="auto"/>
        <w:right w:val="none" w:sz="0" w:space="0" w:color="auto"/>
      </w:divBdr>
    </w:div>
    <w:div w:id="214318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1528</Words>
  <Characters>9523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2023080635+2023061878_x000d_
SPC pkt. 6.4 tilføjelse af opbevaring ikke over 25 grader C._x000d_
SPC pkt. 3. specificere udeseende af tabletterne. Tilføjelse af farve.</dc:description>
  <cp:lastModifiedBy>Kristine Skov Hansen</cp:lastModifiedBy>
  <cp:revision>2</cp:revision>
  <dcterms:created xsi:type="dcterms:W3CDTF">2023-08-21T08:33:00Z</dcterms:created>
  <dcterms:modified xsi:type="dcterms:W3CDTF">2023-08-21T08:33:00Z</dcterms:modified>
</cp:coreProperties>
</file>