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3D718" w14:textId="77777777" w:rsidR="008203A8" w:rsidRPr="008F49E1" w:rsidRDefault="008203A8" w:rsidP="008203A8">
      <w:pPr>
        <w:rPr>
          <w:sz w:val="24"/>
          <w:szCs w:val="24"/>
        </w:rPr>
      </w:pPr>
      <w:bookmarkStart w:id="0" w:name="_GoBack"/>
      <w:bookmarkEnd w:id="0"/>
      <w:r w:rsidRPr="005B0036">
        <w:rPr>
          <w:noProof/>
          <w:sz w:val="24"/>
          <w:szCs w:val="24"/>
          <w:lang w:eastAsia="da-DK"/>
        </w:rPr>
        <w:drawing>
          <wp:inline distT="0" distB="0" distL="0" distR="0" wp14:anchorId="770EF388" wp14:editId="13A191C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77FB7E4" w14:textId="77777777" w:rsidR="008203A8" w:rsidRDefault="008203A8" w:rsidP="008203A8">
      <w:pPr>
        <w:rPr>
          <w:sz w:val="24"/>
          <w:szCs w:val="24"/>
        </w:rPr>
      </w:pPr>
    </w:p>
    <w:p w14:paraId="59BE8F8D" w14:textId="4CFB84FD" w:rsidR="008203A8" w:rsidRPr="00406EE7" w:rsidRDefault="008203A8" w:rsidP="008203A8">
      <w:pPr>
        <w:tabs>
          <w:tab w:val="right" w:pos="9356"/>
        </w:tabs>
        <w:rPr>
          <w:b/>
          <w:sz w:val="24"/>
          <w:szCs w:val="24"/>
        </w:rPr>
      </w:pPr>
      <w:r>
        <w:rPr>
          <w:b/>
          <w:sz w:val="24"/>
          <w:szCs w:val="24"/>
        </w:rPr>
        <w:tab/>
      </w:r>
      <w:r w:rsidR="00025958">
        <w:rPr>
          <w:b/>
          <w:sz w:val="24"/>
          <w:szCs w:val="24"/>
        </w:rPr>
        <w:t>5. september 2025</w:t>
      </w:r>
    </w:p>
    <w:p w14:paraId="7E95F95F" w14:textId="77777777" w:rsidR="008203A8" w:rsidRDefault="008203A8" w:rsidP="008203A8">
      <w:pPr>
        <w:rPr>
          <w:sz w:val="24"/>
          <w:szCs w:val="24"/>
        </w:rPr>
      </w:pPr>
    </w:p>
    <w:p w14:paraId="5A8CB9F4" w14:textId="77777777" w:rsidR="008203A8" w:rsidRDefault="008203A8" w:rsidP="008203A8">
      <w:pPr>
        <w:jc w:val="center"/>
        <w:rPr>
          <w:b/>
          <w:sz w:val="24"/>
          <w:szCs w:val="24"/>
        </w:rPr>
      </w:pPr>
    </w:p>
    <w:p w14:paraId="63C6BD00" w14:textId="77777777" w:rsidR="008203A8" w:rsidRPr="00406EE7" w:rsidRDefault="008203A8" w:rsidP="008203A8">
      <w:pPr>
        <w:jc w:val="center"/>
        <w:rPr>
          <w:b/>
          <w:sz w:val="24"/>
          <w:szCs w:val="24"/>
        </w:rPr>
      </w:pPr>
      <w:r w:rsidRPr="00406EE7">
        <w:rPr>
          <w:b/>
          <w:sz w:val="24"/>
          <w:szCs w:val="24"/>
        </w:rPr>
        <w:t>PRODUKTRESUMÉ</w:t>
      </w:r>
    </w:p>
    <w:p w14:paraId="5A4D9066" w14:textId="77777777" w:rsidR="008203A8" w:rsidRPr="00406EE7" w:rsidRDefault="008203A8" w:rsidP="008203A8">
      <w:pPr>
        <w:jc w:val="center"/>
        <w:rPr>
          <w:b/>
          <w:sz w:val="24"/>
          <w:szCs w:val="24"/>
        </w:rPr>
      </w:pPr>
    </w:p>
    <w:p w14:paraId="6CA98C5E" w14:textId="77777777" w:rsidR="008203A8" w:rsidRPr="00406EE7" w:rsidRDefault="008203A8" w:rsidP="008203A8">
      <w:pPr>
        <w:jc w:val="center"/>
        <w:rPr>
          <w:b/>
          <w:sz w:val="24"/>
          <w:szCs w:val="24"/>
        </w:rPr>
      </w:pPr>
      <w:r w:rsidRPr="00406EE7">
        <w:rPr>
          <w:b/>
          <w:sz w:val="24"/>
          <w:szCs w:val="24"/>
        </w:rPr>
        <w:t>for</w:t>
      </w:r>
    </w:p>
    <w:p w14:paraId="3F7AE0E5" w14:textId="77777777" w:rsidR="008203A8" w:rsidRPr="00406EE7" w:rsidRDefault="008203A8" w:rsidP="008203A8">
      <w:pPr>
        <w:jc w:val="center"/>
        <w:rPr>
          <w:b/>
          <w:sz w:val="24"/>
          <w:szCs w:val="24"/>
        </w:rPr>
      </w:pPr>
    </w:p>
    <w:p w14:paraId="681276A6" w14:textId="77777777" w:rsidR="008203A8" w:rsidRPr="00565A74" w:rsidRDefault="00414447" w:rsidP="008203A8">
      <w:pPr>
        <w:jc w:val="center"/>
        <w:rPr>
          <w:b/>
          <w:sz w:val="24"/>
          <w:szCs w:val="24"/>
        </w:rPr>
      </w:pPr>
      <w:r>
        <w:rPr>
          <w:b/>
          <w:sz w:val="24"/>
          <w:szCs w:val="24"/>
        </w:rPr>
        <w:t>Lyncoo, pulver til anvendelse i drikkevand</w:t>
      </w:r>
    </w:p>
    <w:p w14:paraId="275EA6C2" w14:textId="77777777" w:rsidR="008203A8" w:rsidRPr="00406EE7" w:rsidRDefault="008203A8" w:rsidP="008203A8">
      <w:pPr>
        <w:jc w:val="both"/>
        <w:rPr>
          <w:sz w:val="24"/>
          <w:szCs w:val="24"/>
        </w:rPr>
      </w:pPr>
    </w:p>
    <w:p w14:paraId="75301BE4" w14:textId="77777777" w:rsidR="008203A8" w:rsidRDefault="008203A8" w:rsidP="008203A8">
      <w:pPr>
        <w:jc w:val="both"/>
        <w:rPr>
          <w:sz w:val="24"/>
          <w:szCs w:val="24"/>
        </w:rPr>
      </w:pPr>
    </w:p>
    <w:p w14:paraId="51AAFB9A" w14:textId="77777777" w:rsidR="008203A8" w:rsidRPr="00406EE7" w:rsidRDefault="008203A8" w:rsidP="008203A8">
      <w:pPr>
        <w:jc w:val="both"/>
        <w:rPr>
          <w:sz w:val="24"/>
          <w:szCs w:val="24"/>
        </w:rPr>
      </w:pPr>
    </w:p>
    <w:p w14:paraId="278333DD"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6F6974DB" w14:textId="259FAA5F" w:rsidR="008203A8" w:rsidRPr="00406EE7" w:rsidRDefault="00766F98" w:rsidP="008203A8">
      <w:pPr>
        <w:ind w:left="851"/>
        <w:rPr>
          <w:sz w:val="24"/>
          <w:szCs w:val="24"/>
        </w:rPr>
      </w:pPr>
      <w:r>
        <w:rPr>
          <w:sz w:val="24"/>
          <w:szCs w:val="24"/>
        </w:rPr>
        <w:t>34213</w:t>
      </w:r>
    </w:p>
    <w:p w14:paraId="3BB4F204" w14:textId="77777777" w:rsidR="008203A8" w:rsidRPr="00406EE7" w:rsidRDefault="008203A8" w:rsidP="008203A8">
      <w:pPr>
        <w:ind w:left="851"/>
        <w:rPr>
          <w:sz w:val="24"/>
          <w:szCs w:val="24"/>
        </w:rPr>
      </w:pPr>
    </w:p>
    <w:p w14:paraId="27B5520E"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7219AB50" w14:textId="72169C54" w:rsidR="008203A8" w:rsidRDefault="00766F98" w:rsidP="008203A8">
      <w:pPr>
        <w:ind w:left="851"/>
        <w:rPr>
          <w:sz w:val="24"/>
          <w:szCs w:val="24"/>
        </w:rPr>
      </w:pPr>
      <w:r>
        <w:rPr>
          <w:sz w:val="24"/>
          <w:szCs w:val="24"/>
        </w:rPr>
        <w:t>Lyncoo</w:t>
      </w:r>
    </w:p>
    <w:p w14:paraId="5DCE2029" w14:textId="77777777" w:rsidR="008203A8" w:rsidRDefault="008203A8" w:rsidP="008203A8">
      <w:pPr>
        <w:ind w:left="851"/>
        <w:rPr>
          <w:sz w:val="24"/>
          <w:szCs w:val="24"/>
        </w:rPr>
      </w:pPr>
    </w:p>
    <w:p w14:paraId="47B4A7BA" w14:textId="27E3D2AE" w:rsidR="008203A8" w:rsidRPr="00776C2C" w:rsidRDefault="008203A8" w:rsidP="008203A8">
      <w:pPr>
        <w:ind w:left="851"/>
        <w:rPr>
          <w:sz w:val="24"/>
          <w:szCs w:val="24"/>
        </w:rPr>
      </w:pPr>
      <w:r w:rsidRPr="00776C2C">
        <w:rPr>
          <w:sz w:val="24"/>
          <w:szCs w:val="24"/>
        </w:rPr>
        <w:t xml:space="preserve">Lægemiddelform: </w:t>
      </w:r>
      <w:r w:rsidR="00766F98">
        <w:rPr>
          <w:szCs w:val="22"/>
        </w:rPr>
        <w:t>Pulver til anvendelse i drikkevand.</w:t>
      </w:r>
    </w:p>
    <w:p w14:paraId="78935472" w14:textId="48E22CF7" w:rsidR="008203A8" w:rsidRPr="00776C2C" w:rsidRDefault="008203A8" w:rsidP="008203A8">
      <w:pPr>
        <w:ind w:left="851"/>
        <w:rPr>
          <w:sz w:val="24"/>
          <w:szCs w:val="24"/>
        </w:rPr>
      </w:pPr>
      <w:r w:rsidRPr="00776C2C">
        <w:rPr>
          <w:sz w:val="24"/>
          <w:szCs w:val="24"/>
        </w:rPr>
        <w:t xml:space="preserve">Styrke: </w:t>
      </w:r>
      <w:r w:rsidR="00766F98">
        <w:rPr>
          <w:sz w:val="24"/>
          <w:szCs w:val="24"/>
        </w:rPr>
        <w:t>400 mg/g</w:t>
      </w:r>
    </w:p>
    <w:p w14:paraId="471B9D5D" w14:textId="77777777" w:rsidR="008203A8" w:rsidRPr="00406EE7" w:rsidRDefault="008203A8" w:rsidP="008203A8">
      <w:pPr>
        <w:ind w:left="851"/>
        <w:rPr>
          <w:sz w:val="24"/>
          <w:szCs w:val="24"/>
        </w:rPr>
      </w:pPr>
    </w:p>
    <w:p w14:paraId="0970CDAF"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46F7AF93" w14:textId="77777777" w:rsidR="00832754" w:rsidRPr="00832754" w:rsidRDefault="00832754" w:rsidP="00832754">
      <w:pPr>
        <w:ind w:left="851"/>
        <w:rPr>
          <w:bCs/>
          <w:sz w:val="24"/>
          <w:szCs w:val="24"/>
        </w:rPr>
      </w:pPr>
      <w:r w:rsidRPr="00832754">
        <w:rPr>
          <w:bCs/>
          <w:sz w:val="24"/>
          <w:szCs w:val="24"/>
        </w:rPr>
        <w:t>1 gram indeholder:</w:t>
      </w:r>
    </w:p>
    <w:p w14:paraId="271781F5" w14:textId="77777777" w:rsidR="00832754" w:rsidRPr="00832754" w:rsidRDefault="00832754" w:rsidP="00832754">
      <w:pPr>
        <w:ind w:left="851"/>
        <w:rPr>
          <w:b/>
          <w:sz w:val="24"/>
          <w:szCs w:val="24"/>
        </w:rPr>
      </w:pPr>
    </w:p>
    <w:p w14:paraId="4BE14887" w14:textId="77777777" w:rsidR="00832754" w:rsidRPr="00832754" w:rsidRDefault="00832754" w:rsidP="00832754">
      <w:pPr>
        <w:ind w:left="851"/>
        <w:rPr>
          <w:b/>
          <w:sz w:val="24"/>
          <w:szCs w:val="24"/>
        </w:rPr>
      </w:pPr>
      <w:r w:rsidRPr="00832754">
        <w:rPr>
          <w:b/>
          <w:sz w:val="24"/>
          <w:szCs w:val="24"/>
        </w:rPr>
        <w:t>Aktivt stof:</w:t>
      </w:r>
    </w:p>
    <w:p w14:paraId="1CA8498C" w14:textId="1B799DDF" w:rsidR="00832754" w:rsidRPr="00832754" w:rsidRDefault="00832754" w:rsidP="00832754">
      <w:pPr>
        <w:ind w:left="851"/>
        <w:rPr>
          <w:sz w:val="24"/>
          <w:szCs w:val="24"/>
        </w:rPr>
      </w:pPr>
      <w:r w:rsidRPr="00832754">
        <w:rPr>
          <w:sz w:val="24"/>
          <w:szCs w:val="24"/>
        </w:rPr>
        <w:t>Lincomycin</w:t>
      </w:r>
      <w:r>
        <w:rPr>
          <w:sz w:val="24"/>
          <w:szCs w:val="24"/>
        </w:rPr>
        <w:t xml:space="preserve"> </w:t>
      </w:r>
      <w:r w:rsidRPr="00832754">
        <w:rPr>
          <w:sz w:val="24"/>
          <w:szCs w:val="24"/>
        </w:rPr>
        <w:t>400 mg (svarende til 453,6 mg lincomycinhydrochlorid)</w:t>
      </w:r>
      <w:r>
        <w:rPr>
          <w:sz w:val="24"/>
          <w:szCs w:val="24"/>
        </w:rPr>
        <w:t>.</w:t>
      </w:r>
    </w:p>
    <w:p w14:paraId="7F1A45EA" w14:textId="77777777" w:rsidR="00832754" w:rsidRPr="00832754" w:rsidRDefault="00832754" w:rsidP="00832754">
      <w:pPr>
        <w:ind w:left="851"/>
        <w:rPr>
          <w:iCs/>
          <w:sz w:val="24"/>
          <w:szCs w:val="24"/>
        </w:rPr>
      </w:pPr>
    </w:p>
    <w:p w14:paraId="2DF91BD8" w14:textId="77777777" w:rsidR="00832754" w:rsidRPr="00832754" w:rsidRDefault="00832754" w:rsidP="00832754">
      <w:pPr>
        <w:ind w:left="851"/>
        <w:rPr>
          <w:sz w:val="24"/>
          <w:szCs w:val="24"/>
        </w:rPr>
      </w:pPr>
      <w:r w:rsidRPr="00832754">
        <w:rPr>
          <w:b/>
          <w:sz w:val="24"/>
          <w:szCs w:val="24"/>
        </w:rPr>
        <w:t>Hjælpestof:</w:t>
      </w:r>
    </w:p>
    <w:p w14:paraId="48ADEE6E" w14:textId="77777777" w:rsidR="00832754" w:rsidRPr="00832754" w:rsidRDefault="00832754" w:rsidP="00832754">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tblGrid>
      <w:tr w:rsidR="00832754" w:rsidRPr="00832754" w14:paraId="5D7D4933" w14:textId="77777777" w:rsidTr="00832754">
        <w:tc>
          <w:tcPr>
            <w:tcW w:w="7371" w:type="dxa"/>
            <w:tcBorders>
              <w:top w:val="single" w:sz="4" w:space="0" w:color="000000"/>
              <w:left w:val="single" w:sz="4" w:space="0" w:color="000000"/>
              <w:bottom w:val="single" w:sz="4" w:space="0" w:color="000000"/>
              <w:right w:val="single" w:sz="4" w:space="0" w:color="000000"/>
            </w:tcBorders>
            <w:vAlign w:val="center"/>
            <w:hideMark/>
          </w:tcPr>
          <w:p w14:paraId="53A0DE4E" w14:textId="77777777" w:rsidR="00832754" w:rsidRPr="00832754" w:rsidRDefault="00832754" w:rsidP="00832754">
            <w:pPr>
              <w:ind w:left="33"/>
              <w:rPr>
                <w:b/>
                <w:bCs/>
                <w:iCs/>
                <w:sz w:val="24"/>
                <w:szCs w:val="24"/>
              </w:rPr>
            </w:pPr>
            <w:r w:rsidRPr="00832754">
              <w:rPr>
                <w:b/>
                <w:bCs/>
                <w:iCs/>
                <w:sz w:val="24"/>
                <w:szCs w:val="24"/>
              </w:rPr>
              <w:t>Kvalitativ sammensætning af hjælpestoffer og andre bestanddele</w:t>
            </w:r>
          </w:p>
        </w:tc>
      </w:tr>
      <w:tr w:rsidR="00832754" w:rsidRPr="00832754" w14:paraId="5C21C0B0" w14:textId="77777777" w:rsidTr="00832754">
        <w:tc>
          <w:tcPr>
            <w:tcW w:w="7371" w:type="dxa"/>
            <w:tcBorders>
              <w:top w:val="single" w:sz="4" w:space="0" w:color="000000"/>
              <w:left w:val="single" w:sz="4" w:space="0" w:color="000000"/>
              <w:bottom w:val="single" w:sz="4" w:space="0" w:color="000000"/>
              <w:right w:val="single" w:sz="4" w:space="0" w:color="000000"/>
            </w:tcBorders>
            <w:vAlign w:val="center"/>
            <w:hideMark/>
          </w:tcPr>
          <w:p w14:paraId="2A6E14D4" w14:textId="77777777" w:rsidR="00832754" w:rsidRPr="00832754" w:rsidRDefault="00832754" w:rsidP="00832754">
            <w:pPr>
              <w:ind w:left="33"/>
              <w:rPr>
                <w:iCs/>
                <w:sz w:val="24"/>
                <w:szCs w:val="24"/>
              </w:rPr>
            </w:pPr>
            <w:r w:rsidRPr="00832754">
              <w:rPr>
                <w:iCs/>
                <w:sz w:val="24"/>
                <w:szCs w:val="24"/>
              </w:rPr>
              <w:t>Lactosemonohydrat</w:t>
            </w:r>
          </w:p>
        </w:tc>
      </w:tr>
    </w:tbl>
    <w:p w14:paraId="15E9F835" w14:textId="77777777" w:rsidR="00832754" w:rsidRPr="00832754" w:rsidRDefault="00832754" w:rsidP="00832754">
      <w:pPr>
        <w:ind w:left="851"/>
        <w:rPr>
          <w:sz w:val="24"/>
          <w:szCs w:val="24"/>
        </w:rPr>
      </w:pPr>
    </w:p>
    <w:p w14:paraId="4BE3BBAE" w14:textId="77777777" w:rsidR="00832754" w:rsidRPr="00832754" w:rsidRDefault="00832754" w:rsidP="00832754">
      <w:pPr>
        <w:ind w:left="851"/>
        <w:rPr>
          <w:sz w:val="24"/>
          <w:szCs w:val="24"/>
        </w:rPr>
      </w:pPr>
      <w:r w:rsidRPr="00832754">
        <w:rPr>
          <w:sz w:val="24"/>
          <w:szCs w:val="24"/>
        </w:rPr>
        <w:t xml:space="preserve">Fint, hvidt pulver. </w:t>
      </w:r>
    </w:p>
    <w:p w14:paraId="6222BFB7" w14:textId="77777777" w:rsidR="008203A8" w:rsidRDefault="008203A8" w:rsidP="008203A8">
      <w:pPr>
        <w:ind w:left="851"/>
        <w:rPr>
          <w:sz w:val="24"/>
          <w:szCs w:val="24"/>
        </w:rPr>
      </w:pPr>
    </w:p>
    <w:p w14:paraId="6A21AB57" w14:textId="77777777" w:rsidR="008203A8" w:rsidRPr="008509BB" w:rsidRDefault="008203A8" w:rsidP="008203A8">
      <w:pPr>
        <w:ind w:left="851"/>
        <w:rPr>
          <w:sz w:val="24"/>
          <w:szCs w:val="24"/>
        </w:rPr>
      </w:pPr>
    </w:p>
    <w:p w14:paraId="28B71CF9"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13DF334F" w14:textId="77777777" w:rsidR="008203A8" w:rsidRPr="00406EE7" w:rsidRDefault="008203A8" w:rsidP="008203A8">
      <w:pPr>
        <w:tabs>
          <w:tab w:val="left" w:pos="851"/>
        </w:tabs>
        <w:ind w:left="851"/>
        <w:rPr>
          <w:sz w:val="24"/>
          <w:szCs w:val="24"/>
        </w:rPr>
      </w:pPr>
    </w:p>
    <w:p w14:paraId="74C00FAC"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07263F9C" w14:textId="6601EB1F" w:rsidR="008203A8" w:rsidRDefault="00832754" w:rsidP="008203A8">
      <w:pPr>
        <w:ind w:left="851"/>
        <w:rPr>
          <w:sz w:val="24"/>
          <w:szCs w:val="24"/>
        </w:rPr>
      </w:pPr>
      <w:r>
        <w:rPr>
          <w:sz w:val="24"/>
          <w:szCs w:val="24"/>
        </w:rPr>
        <w:t>Svin</w:t>
      </w:r>
    </w:p>
    <w:p w14:paraId="72A5F8EC" w14:textId="32F92992" w:rsidR="00832754" w:rsidRPr="00406EE7" w:rsidRDefault="00832754" w:rsidP="008203A8">
      <w:pPr>
        <w:ind w:left="851"/>
        <w:rPr>
          <w:sz w:val="24"/>
          <w:szCs w:val="24"/>
        </w:rPr>
      </w:pPr>
      <w:r>
        <w:rPr>
          <w:sz w:val="24"/>
          <w:szCs w:val="24"/>
        </w:rPr>
        <w:t>Kylling</w:t>
      </w:r>
    </w:p>
    <w:p w14:paraId="6162FC8A" w14:textId="77777777" w:rsidR="008203A8" w:rsidRPr="00406EE7" w:rsidRDefault="008203A8" w:rsidP="008203A8">
      <w:pPr>
        <w:ind w:left="851"/>
        <w:rPr>
          <w:sz w:val="24"/>
          <w:szCs w:val="24"/>
        </w:rPr>
      </w:pPr>
    </w:p>
    <w:p w14:paraId="2D7F352B"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6C83AFF7" w14:textId="77777777" w:rsidR="006B3FF9" w:rsidRDefault="006B3FF9" w:rsidP="006B3FF9">
      <w:pPr>
        <w:pStyle w:val="Sidehoved"/>
        <w:ind w:left="851"/>
        <w:rPr>
          <w:szCs w:val="24"/>
          <w:u w:val="single"/>
        </w:rPr>
      </w:pPr>
      <w:bookmarkStart w:id="1" w:name="_Hlk168390252"/>
    </w:p>
    <w:p w14:paraId="05D2DAF3" w14:textId="27907921" w:rsidR="006B3FF9" w:rsidRPr="006B3FF9" w:rsidRDefault="006B3FF9" w:rsidP="006B3FF9">
      <w:pPr>
        <w:pStyle w:val="Sidehoved"/>
        <w:ind w:left="851"/>
        <w:rPr>
          <w:szCs w:val="24"/>
          <w:u w:val="single"/>
        </w:rPr>
      </w:pPr>
      <w:r w:rsidRPr="006B3FF9">
        <w:rPr>
          <w:szCs w:val="24"/>
          <w:u w:val="single"/>
        </w:rPr>
        <w:t>Svin</w:t>
      </w:r>
    </w:p>
    <w:p w14:paraId="05265A9F" w14:textId="77777777" w:rsidR="006B3FF9" w:rsidRPr="006B3FF9" w:rsidRDefault="006B3FF9" w:rsidP="006B3FF9">
      <w:pPr>
        <w:pStyle w:val="Sidehoved"/>
        <w:ind w:left="851"/>
        <w:rPr>
          <w:szCs w:val="24"/>
        </w:rPr>
      </w:pPr>
      <w:r w:rsidRPr="006B3FF9">
        <w:rPr>
          <w:szCs w:val="24"/>
        </w:rPr>
        <w:t xml:space="preserve">Til behandling og metafylakse af enzootisk pneumoni forårsaget af </w:t>
      </w:r>
      <w:r w:rsidRPr="006B3FF9">
        <w:rPr>
          <w:i/>
          <w:iCs/>
          <w:szCs w:val="24"/>
        </w:rPr>
        <w:t>Mycoplasma hyopneumoniae</w:t>
      </w:r>
      <w:r w:rsidRPr="006B3FF9">
        <w:rPr>
          <w:szCs w:val="24"/>
        </w:rPr>
        <w:t>.</w:t>
      </w:r>
    </w:p>
    <w:p w14:paraId="2B6F3E09" w14:textId="77777777" w:rsidR="006B3FF9" w:rsidRPr="006B3FF9" w:rsidRDefault="006B3FF9" w:rsidP="006B3FF9">
      <w:pPr>
        <w:pStyle w:val="Sidehoved"/>
        <w:ind w:left="851"/>
        <w:rPr>
          <w:szCs w:val="24"/>
        </w:rPr>
      </w:pPr>
      <w:r w:rsidRPr="006B3FF9">
        <w:rPr>
          <w:szCs w:val="24"/>
        </w:rPr>
        <w:lastRenderedPageBreak/>
        <w:t xml:space="preserve">Tilstedeværelse af sygdommen i besætningen skal være fastslået, før veterinærlægemidlet anvendes. </w:t>
      </w:r>
    </w:p>
    <w:p w14:paraId="65ABA28E" w14:textId="77777777" w:rsidR="006B3FF9" w:rsidRPr="006B3FF9" w:rsidRDefault="006B3FF9" w:rsidP="006B3FF9">
      <w:pPr>
        <w:pStyle w:val="Sidehoved"/>
        <w:ind w:left="851"/>
        <w:rPr>
          <w:szCs w:val="24"/>
          <w:u w:val="single"/>
        </w:rPr>
      </w:pPr>
    </w:p>
    <w:p w14:paraId="0487FFC6" w14:textId="77777777" w:rsidR="006B3FF9" w:rsidRPr="006B3FF9" w:rsidRDefault="006B3FF9" w:rsidP="006B3FF9">
      <w:pPr>
        <w:pStyle w:val="Sidehoved"/>
        <w:ind w:left="851"/>
        <w:rPr>
          <w:szCs w:val="24"/>
          <w:u w:val="single"/>
        </w:rPr>
      </w:pPr>
      <w:r w:rsidRPr="006B3FF9">
        <w:rPr>
          <w:szCs w:val="24"/>
          <w:u w:val="single"/>
        </w:rPr>
        <w:t>Kyllinger</w:t>
      </w:r>
    </w:p>
    <w:p w14:paraId="706C0EC4" w14:textId="77777777" w:rsidR="006B3FF9" w:rsidRPr="006B3FF9" w:rsidRDefault="006B3FF9" w:rsidP="006B3FF9">
      <w:pPr>
        <w:pStyle w:val="Sidehoved"/>
        <w:ind w:left="851"/>
        <w:rPr>
          <w:szCs w:val="24"/>
        </w:rPr>
      </w:pPr>
      <w:r w:rsidRPr="006B3FF9">
        <w:rPr>
          <w:szCs w:val="24"/>
        </w:rPr>
        <w:t xml:space="preserve">Til behandling og metafylakse af nekrotisk enteritis forårsaget af </w:t>
      </w:r>
      <w:r w:rsidRPr="006B3FF9">
        <w:rPr>
          <w:i/>
          <w:iCs/>
          <w:szCs w:val="24"/>
        </w:rPr>
        <w:t>Clostridium perfringens</w:t>
      </w:r>
      <w:r w:rsidRPr="006B3FF9">
        <w:rPr>
          <w:szCs w:val="24"/>
        </w:rPr>
        <w:t>.</w:t>
      </w:r>
    </w:p>
    <w:bookmarkEnd w:id="1"/>
    <w:p w14:paraId="7C7F6C1C" w14:textId="77777777" w:rsidR="006B3FF9" w:rsidRPr="006B3FF9" w:rsidRDefault="006B3FF9" w:rsidP="006B3FF9">
      <w:pPr>
        <w:pStyle w:val="Sidehoved"/>
        <w:ind w:left="851"/>
        <w:rPr>
          <w:szCs w:val="24"/>
        </w:rPr>
      </w:pPr>
      <w:r w:rsidRPr="006B3FF9">
        <w:rPr>
          <w:szCs w:val="24"/>
        </w:rPr>
        <w:t xml:space="preserve">Tilstedeværelse af sygdommen i flokken skal være fastslået, før veterinærlægemidlet anvendes. </w:t>
      </w:r>
    </w:p>
    <w:p w14:paraId="77FA4DF0" w14:textId="77777777" w:rsidR="008203A8" w:rsidRDefault="008203A8" w:rsidP="008203A8">
      <w:pPr>
        <w:pStyle w:val="Sidehoved"/>
        <w:ind w:left="851"/>
        <w:rPr>
          <w:szCs w:val="24"/>
        </w:rPr>
      </w:pPr>
    </w:p>
    <w:p w14:paraId="588CF14A"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4EBA939C" w14:textId="77777777" w:rsidR="006B3FF9" w:rsidRPr="006B3FF9" w:rsidRDefault="006B3FF9" w:rsidP="006B3FF9">
      <w:pPr>
        <w:pStyle w:val="Sidehoved"/>
        <w:ind w:left="851"/>
        <w:rPr>
          <w:szCs w:val="24"/>
        </w:rPr>
      </w:pPr>
      <w:r w:rsidRPr="006B3FF9">
        <w:rPr>
          <w:szCs w:val="24"/>
        </w:rPr>
        <w:t>Må ikke anvendes i tilfælde af overfølsomhed over for det aktive stof eller over for et eller flere af hjælpestofferne.</w:t>
      </w:r>
    </w:p>
    <w:p w14:paraId="66BD960B" w14:textId="77777777" w:rsidR="006B3FF9" w:rsidRPr="006B3FF9" w:rsidRDefault="006B3FF9" w:rsidP="006B3FF9">
      <w:pPr>
        <w:pStyle w:val="Sidehoved"/>
        <w:ind w:left="851"/>
        <w:rPr>
          <w:szCs w:val="24"/>
        </w:rPr>
      </w:pPr>
      <w:r w:rsidRPr="006B3FF9">
        <w:rPr>
          <w:szCs w:val="24"/>
        </w:rPr>
        <w:t>Lad ikke kaniner, hamstere, marsvin, chinchillaer, heste eller drøvtyggere få adgang til drikkevand eller foder, der indeholder lincomycin, da det kan forårsage alvorlige gastrointestinale bivirkninger.</w:t>
      </w:r>
    </w:p>
    <w:p w14:paraId="1232240D" w14:textId="77777777" w:rsidR="006B3FF9" w:rsidRPr="006B3FF9" w:rsidRDefault="006B3FF9" w:rsidP="006B3FF9">
      <w:pPr>
        <w:pStyle w:val="Sidehoved"/>
        <w:ind w:left="851"/>
        <w:rPr>
          <w:szCs w:val="24"/>
        </w:rPr>
      </w:pPr>
      <w:r w:rsidRPr="006B3FF9">
        <w:rPr>
          <w:szCs w:val="24"/>
        </w:rPr>
        <w:t>Må ikke anvendes i tilfælde af kendt resistens over for lincosamider.</w:t>
      </w:r>
    </w:p>
    <w:p w14:paraId="289DCA76" w14:textId="77777777" w:rsidR="006B3FF9" w:rsidRPr="006B3FF9" w:rsidRDefault="006B3FF9" w:rsidP="006B3FF9">
      <w:pPr>
        <w:pStyle w:val="Sidehoved"/>
        <w:ind w:left="851"/>
        <w:rPr>
          <w:szCs w:val="24"/>
        </w:rPr>
      </w:pPr>
      <w:r w:rsidRPr="006B3FF9">
        <w:rPr>
          <w:szCs w:val="24"/>
        </w:rPr>
        <w:t>Må ikke anvendes i tilfælde af nedsat leverfunktion.</w:t>
      </w:r>
    </w:p>
    <w:p w14:paraId="63E2F5F2" w14:textId="77777777" w:rsidR="008203A8" w:rsidRPr="00406EE7" w:rsidRDefault="008203A8" w:rsidP="008203A8">
      <w:pPr>
        <w:pStyle w:val="Sidehoved"/>
        <w:tabs>
          <w:tab w:val="clear" w:pos="4819"/>
        </w:tabs>
        <w:ind w:left="851"/>
        <w:rPr>
          <w:szCs w:val="24"/>
        </w:rPr>
      </w:pPr>
    </w:p>
    <w:p w14:paraId="150239E1"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68725A4B" w14:textId="77777777" w:rsidR="006B3FF9" w:rsidRPr="006B3FF9" w:rsidRDefault="006B3FF9" w:rsidP="006B3FF9">
      <w:pPr>
        <w:pStyle w:val="Sidehoved"/>
        <w:ind w:left="851"/>
        <w:rPr>
          <w:szCs w:val="24"/>
        </w:rPr>
      </w:pPr>
      <w:r w:rsidRPr="006B3FF9">
        <w:rPr>
          <w:szCs w:val="24"/>
        </w:rPr>
        <w:t xml:space="preserve">Dyrenes indtagelse af medicineret drikkevand kan påvirkes af sygdommens sværhedsgrad. I tilfælde af utilstrækkeligt vandindtag bør svinene behandles parenteralt. </w:t>
      </w:r>
    </w:p>
    <w:p w14:paraId="05FED022" w14:textId="77777777" w:rsidR="006B3FF9" w:rsidRPr="006B3FF9" w:rsidRDefault="006B3FF9" w:rsidP="006B3FF9">
      <w:pPr>
        <w:pStyle w:val="Sidehoved"/>
        <w:ind w:left="851"/>
        <w:rPr>
          <w:szCs w:val="24"/>
        </w:rPr>
      </w:pPr>
      <w:r w:rsidRPr="006B3FF9">
        <w:rPr>
          <w:szCs w:val="24"/>
        </w:rPr>
        <w:t xml:space="preserve">Der er vist krydsresistens mellem </w:t>
      </w:r>
      <w:bookmarkStart w:id="2" w:name="_Hlk192852330"/>
      <w:r w:rsidRPr="006B3FF9">
        <w:rPr>
          <w:szCs w:val="24"/>
        </w:rPr>
        <w:t>lincomycin og forskellige antimikrobielle midler som f.eks. andre lincosamider, makrolider og streptogramin B antibiotika. Anvendelse af veterinærlægemidlet bør nøje overvejes, hvis følsomhedstest har vist resistens over for lincosamider, makrolider og streptogramin B, da veterinærlægemidlets virkning kan være nedsat.</w:t>
      </w:r>
      <w:bookmarkEnd w:id="2"/>
    </w:p>
    <w:p w14:paraId="0BC3EBD5" w14:textId="77777777" w:rsidR="008203A8" w:rsidRPr="00406EE7" w:rsidRDefault="008203A8" w:rsidP="008203A8">
      <w:pPr>
        <w:pStyle w:val="Sidehoved"/>
        <w:tabs>
          <w:tab w:val="clear" w:pos="4819"/>
        </w:tabs>
        <w:ind w:left="851"/>
        <w:rPr>
          <w:szCs w:val="24"/>
        </w:rPr>
      </w:pPr>
    </w:p>
    <w:p w14:paraId="763B06C5"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517F9CD7" w14:textId="77777777" w:rsidR="008203A8" w:rsidRPr="002374DA" w:rsidRDefault="008203A8" w:rsidP="008203A8">
      <w:pPr>
        <w:tabs>
          <w:tab w:val="left" w:pos="851"/>
        </w:tabs>
        <w:ind w:left="851"/>
        <w:rPr>
          <w:sz w:val="24"/>
          <w:szCs w:val="24"/>
        </w:rPr>
      </w:pPr>
    </w:p>
    <w:p w14:paraId="27B0C5E4"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4277B135" w14:textId="77777777" w:rsidR="00491D56" w:rsidRPr="00491D56" w:rsidRDefault="00491D56" w:rsidP="00491D56">
      <w:pPr>
        <w:tabs>
          <w:tab w:val="left" w:pos="851"/>
        </w:tabs>
        <w:ind w:left="851"/>
        <w:rPr>
          <w:sz w:val="24"/>
          <w:szCs w:val="24"/>
        </w:rPr>
      </w:pPr>
      <w:r w:rsidRPr="00491D56">
        <w:rPr>
          <w:sz w:val="24"/>
          <w:szCs w:val="24"/>
        </w:rPr>
        <w:t xml:space="preserve">Anvendelse af veterinærlægemidlet skal baseres på identificering og følsomhedstest af målpatogen(er). </w:t>
      </w:r>
      <w:bookmarkStart w:id="3" w:name="_Hlk201676652"/>
      <w:r w:rsidRPr="00491D56">
        <w:rPr>
          <w:sz w:val="24"/>
          <w:szCs w:val="24"/>
        </w:rPr>
        <w:t xml:space="preserve">Følsomheden af </w:t>
      </w:r>
      <w:r w:rsidRPr="00491D56">
        <w:rPr>
          <w:i/>
          <w:iCs/>
          <w:sz w:val="24"/>
          <w:szCs w:val="24"/>
        </w:rPr>
        <w:t>Mycoplasma hyopneumoniae</w:t>
      </w:r>
      <w:r w:rsidRPr="00491D56">
        <w:rPr>
          <w:sz w:val="24"/>
          <w:szCs w:val="24"/>
        </w:rPr>
        <w:t xml:space="preserve"> over for antimikrobielle stoffer er vanskelig at teste </w:t>
      </w:r>
      <w:r w:rsidRPr="00491D56">
        <w:rPr>
          <w:i/>
          <w:iCs/>
          <w:sz w:val="24"/>
          <w:szCs w:val="24"/>
        </w:rPr>
        <w:t>in vitro</w:t>
      </w:r>
      <w:r w:rsidRPr="00491D56">
        <w:rPr>
          <w:sz w:val="24"/>
          <w:szCs w:val="24"/>
        </w:rPr>
        <w:t xml:space="preserve"> på grund af tekniske begrænsninger. </w:t>
      </w:r>
      <w:bookmarkEnd w:id="3"/>
      <w:r w:rsidRPr="00491D56">
        <w:rPr>
          <w:sz w:val="24"/>
          <w:szCs w:val="24"/>
        </w:rPr>
        <w:t xml:space="preserve">Derudover mangler man kliniske breakpoints for både </w:t>
      </w:r>
      <w:r w:rsidRPr="00491D56">
        <w:rPr>
          <w:i/>
          <w:iCs/>
          <w:sz w:val="24"/>
          <w:szCs w:val="24"/>
        </w:rPr>
        <w:t>M. hyopneumoniae</w:t>
      </w:r>
      <w:r w:rsidRPr="00491D56">
        <w:rPr>
          <w:sz w:val="24"/>
          <w:szCs w:val="24"/>
        </w:rPr>
        <w:t xml:space="preserve"> og </w:t>
      </w:r>
      <w:r w:rsidRPr="00491D56">
        <w:rPr>
          <w:i/>
          <w:iCs/>
          <w:sz w:val="24"/>
          <w:szCs w:val="24"/>
        </w:rPr>
        <w:t>C. perfringens</w:t>
      </w:r>
      <w:r w:rsidRPr="00491D56">
        <w:rPr>
          <w:sz w:val="24"/>
          <w:szCs w:val="24"/>
        </w:rPr>
        <w:t>. Hvis førnævnte ikke er muligt, bør behandlingen baseres på epidemiologisk information og viden om følsomheden hos målbakterier på bedriftsniveau eller lokalt/regionalt niveau.</w:t>
      </w:r>
    </w:p>
    <w:p w14:paraId="04D627E8" w14:textId="77777777" w:rsidR="00491D56" w:rsidRPr="00491D56" w:rsidRDefault="00491D56" w:rsidP="00491D56">
      <w:pPr>
        <w:tabs>
          <w:tab w:val="left" w:pos="851"/>
        </w:tabs>
        <w:ind w:left="851"/>
        <w:rPr>
          <w:sz w:val="24"/>
          <w:szCs w:val="24"/>
        </w:rPr>
      </w:pPr>
      <w:r w:rsidRPr="00491D56">
        <w:rPr>
          <w:sz w:val="24"/>
          <w:szCs w:val="24"/>
        </w:rPr>
        <w:t xml:space="preserve">Brug af veterinærlægemidlet skal ske i overensstemmelse med officielle nationale og regionale retningslinjer for anvendelse af antimikrobielle midler. Hvis følsomhedstest antyder en sandsynlig effekt, bør der anvendes et antibiotikum med en lavere risiko for antimikrobiel resistens (lavere AMEG-kategori) til førstevalgsbehandling. </w:t>
      </w:r>
    </w:p>
    <w:p w14:paraId="26C5A71B" w14:textId="77777777" w:rsidR="00491D56" w:rsidRPr="00491D56" w:rsidRDefault="00491D56" w:rsidP="00491D56">
      <w:pPr>
        <w:tabs>
          <w:tab w:val="left" w:pos="851"/>
        </w:tabs>
        <w:ind w:left="851"/>
        <w:rPr>
          <w:sz w:val="24"/>
          <w:szCs w:val="24"/>
        </w:rPr>
      </w:pPr>
      <w:r w:rsidRPr="00491D56">
        <w:rPr>
          <w:sz w:val="24"/>
          <w:szCs w:val="24"/>
        </w:rPr>
        <w:t>Langvarig eller gentagen brug af veterinærlægemidlet bør undgås ved at forbedre håndteringspraksis og ved grundig rengøring og desinfektion.</w:t>
      </w:r>
    </w:p>
    <w:p w14:paraId="07A876A7" w14:textId="77777777" w:rsidR="00491D56" w:rsidRPr="00491D56" w:rsidRDefault="00491D56" w:rsidP="00491D56">
      <w:pPr>
        <w:tabs>
          <w:tab w:val="left" w:pos="851"/>
        </w:tabs>
        <w:ind w:left="851"/>
        <w:rPr>
          <w:sz w:val="24"/>
          <w:szCs w:val="24"/>
        </w:rPr>
      </w:pPr>
      <w:r w:rsidRPr="00491D56">
        <w:rPr>
          <w:sz w:val="24"/>
          <w:szCs w:val="24"/>
        </w:rPr>
        <w:t>Antimikrobielle midler bør kun anvendes som metafylakse, når risikoen for spredning af en infektion eller infektionssygdom i flokken er høj, og hvis der ikke forefindes andre passende alternativer.</w:t>
      </w:r>
    </w:p>
    <w:p w14:paraId="168B324B" w14:textId="77777777" w:rsidR="008203A8" w:rsidRPr="00406EE7" w:rsidRDefault="008203A8" w:rsidP="008203A8">
      <w:pPr>
        <w:tabs>
          <w:tab w:val="left" w:pos="851"/>
        </w:tabs>
        <w:ind w:left="851"/>
        <w:rPr>
          <w:sz w:val="24"/>
          <w:szCs w:val="24"/>
        </w:rPr>
      </w:pPr>
    </w:p>
    <w:p w14:paraId="751536D1"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6D41C232" w14:textId="77777777" w:rsidR="00491D56" w:rsidRPr="00491D56" w:rsidRDefault="00491D56" w:rsidP="00491D56">
      <w:pPr>
        <w:tabs>
          <w:tab w:val="left" w:pos="851"/>
        </w:tabs>
        <w:ind w:left="851"/>
        <w:rPr>
          <w:sz w:val="24"/>
          <w:szCs w:val="24"/>
        </w:rPr>
      </w:pPr>
      <w:r w:rsidRPr="00491D56">
        <w:rPr>
          <w:sz w:val="24"/>
          <w:szCs w:val="24"/>
        </w:rPr>
        <w:t>Dette veterinærlægemiddel indeholder lincomycin og lactosemonohydrat, som begge kan forårsage allergiske reaktioner hos nogle personer. Ved overfølsomhed over for lincomycin, andre lincosamider eller over for lactosemonohydrat bør kontakt med veterinærlægemidlet undgås.</w:t>
      </w:r>
    </w:p>
    <w:p w14:paraId="0EC3E2CA" w14:textId="77777777" w:rsidR="00491D56" w:rsidRPr="00491D56" w:rsidRDefault="00491D56" w:rsidP="00491D56">
      <w:pPr>
        <w:tabs>
          <w:tab w:val="left" w:pos="851"/>
        </w:tabs>
        <w:ind w:left="851"/>
        <w:rPr>
          <w:sz w:val="24"/>
          <w:szCs w:val="24"/>
        </w:rPr>
      </w:pPr>
      <w:r w:rsidRPr="00491D56">
        <w:rPr>
          <w:sz w:val="24"/>
          <w:szCs w:val="24"/>
        </w:rPr>
        <w:lastRenderedPageBreak/>
        <w:t xml:space="preserve">Der skal udvises forsigtighed for ikke at indånde pulverstøv. </w:t>
      </w:r>
    </w:p>
    <w:p w14:paraId="0BE02525" w14:textId="77777777" w:rsidR="00491D56" w:rsidRPr="00491D56" w:rsidRDefault="00491D56" w:rsidP="00491D56">
      <w:pPr>
        <w:tabs>
          <w:tab w:val="left" w:pos="851"/>
        </w:tabs>
        <w:ind w:left="851"/>
        <w:rPr>
          <w:sz w:val="24"/>
          <w:szCs w:val="24"/>
        </w:rPr>
      </w:pPr>
      <w:r w:rsidRPr="00491D56">
        <w:rPr>
          <w:sz w:val="24"/>
          <w:szCs w:val="24"/>
        </w:rPr>
        <w:t>Kontakt med hud og øjne skal undgås.</w:t>
      </w:r>
    </w:p>
    <w:p w14:paraId="30FDB40A" w14:textId="77777777" w:rsidR="00491D56" w:rsidRPr="00491D56" w:rsidRDefault="00491D56" w:rsidP="00491D56">
      <w:pPr>
        <w:tabs>
          <w:tab w:val="left" w:pos="851"/>
        </w:tabs>
        <w:ind w:left="851"/>
        <w:rPr>
          <w:sz w:val="24"/>
          <w:szCs w:val="24"/>
        </w:rPr>
      </w:pPr>
      <w:r w:rsidRPr="00491D56">
        <w:rPr>
          <w:sz w:val="24"/>
          <w:szCs w:val="24"/>
        </w:rPr>
        <w:t>Personligt beskyttelsesudstyr i form af en godkendt støvmaske (enten en engangshalvmaskerespirator, som overholder den europæiske standard EN149, eller en flergangsrespirator, som overholder europæisk standard EN140, med et filter, der overholder EN143), beskyttelseshandsker og sikkerhedsbriller bør anvendes ved håndtering af veterinærlægemidlet. Hvis der opstår vejrtrækningsbesvær efter eksponering, skal der straks søges lægehjælp og denne advarsel bør vises til lægen.</w:t>
      </w:r>
    </w:p>
    <w:p w14:paraId="0FF0B4EF" w14:textId="77777777" w:rsidR="00491D56" w:rsidRPr="00491D56" w:rsidRDefault="00491D56" w:rsidP="00491D56">
      <w:pPr>
        <w:tabs>
          <w:tab w:val="left" w:pos="851"/>
        </w:tabs>
        <w:ind w:left="851"/>
        <w:rPr>
          <w:sz w:val="24"/>
          <w:szCs w:val="24"/>
        </w:rPr>
      </w:pPr>
      <w:r w:rsidRPr="00491D56">
        <w:rPr>
          <w:sz w:val="24"/>
          <w:szCs w:val="24"/>
        </w:rPr>
        <w:t>I tilfælde af utilsigtet kontakt med hud, øjne eller slimhinder skylles det berørte område med store mængder rent vand.</w:t>
      </w:r>
    </w:p>
    <w:p w14:paraId="2059EB60" w14:textId="77777777" w:rsidR="00491D56" w:rsidRPr="00491D56" w:rsidRDefault="00491D56" w:rsidP="00491D56">
      <w:pPr>
        <w:tabs>
          <w:tab w:val="left" w:pos="851"/>
        </w:tabs>
        <w:ind w:left="851"/>
        <w:rPr>
          <w:sz w:val="24"/>
          <w:szCs w:val="24"/>
        </w:rPr>
      </w:pPr>
      <w:r w:rsidRPr="00491D56">
        <w:rPr>
          <w:sz w:val="24"/>
          <w:szCs w:val="24"/>
        </w:rPr>
        <w:t>Hvis der efter eksponering opstår symptomer som f.eks. hududslæt eller vedvarende øjenirritation, skal der straks søges lægehjælp, og indlægssedlen eller etiketten bør vises til lægen.</w:t>
      </w:r>
    </w:p>
    <w:p w14:paraId="34A77E58" w14:textId="77777777" w:rsidR="00491D56" w:rsidRPr="00491D56" w:rsidRDefault="00491D56" w:rsidP="00491D56">
      <w:pPr>
        <w:tabs>
          <w:tab w:val="left" w:pos="851"/>
        </w:tabs>
        <w:ind w:left="851"/>
        <w:rPr>
          <w:sz w:val="24"/>
          <w:szCs w:val="24"/>
        </w:rPr>
      </w:pPr>
      <w:r w:rsidRPr="00491D56">
        <w:rPr>
          <w:sz w:val="24"/>
          <w:szCs w:val="24"/>
        </w:rPr>
        <w:t>Vask hænder og eventuelt eksponeret hud med vand og sæbe straks efter anvendelse.</w:t>
      </w:r>
    </w:p>
    <w:p w14:paraId="18A6BFDA" w14:textId="77777777" w:rsidR="00491D56" w:rsidRPr="00491D56" w:rsidRDefault="00491D56" w:rsidP="00491D56">
      <w:pPr>
        <w:tabs>
          <w:tab w:val="left" w:pos="851"/>
        </w:tabs>
        <w:ind w:left="851"/>
        <w:rPr>
          <w:sz w:val="24"/>
          <w:szCs w:val="24"/>
        </w:rPr>
      </w:pPr>
      <w:r w:rsidRPr="00491D56">
        <w:rPr>
          <w:sz w:val="24"/>
          <w:szCs w:val="24"/>
        </w:rPr>
        <w:t>Du må ikke spise, drikke eller ryge under håndtering af veterinærlægemidlet. I tilfælde af utilsigtet indtagelse skal der straks søges lægehjælp, og indlægssedlen eller etiketten bør vises til lægen.</w:t>
      </w:r>
    </w:p>
    <w:p w14:paraId="6E4D3A33" w14:textId="77777777" w:rsidR="008203A8" w:rsidRDefault="008203A8" w:rsidP="008203A8">
      <w:pPr>
        <w:tabs>
          <w:tab w:val="left" w:pos="851"/>
        </w:tabs>
        <w:ind w:left="851"/>
        <w:rPr>
          <w:sz w:val="24"/>
          <w:szCs w:val="24"/>
        </w:rPr>
      </w:pPr>
    </w:p>
    <w:p w14:paraId="23BEA520"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12E9DB26" w14:textId="77777777" w:rsidR="00491D56" w:rsidRPr="00491D56" w:rsidRDefault="00491D56" w:rsidP="00491D56">
      <w:pPr>
        <w:tabs>
          <w:tab w:val="left" w:pos="851"/>
        </w:tabs>
        <w:ind w:left="851"/>
        <w:rPr>
          <w:sz w:val="24"/>
          <w:szCs w:val="24"/>
        </w:rPr>
      </w:pPr>
      <w:r w:rsidRPr="00491D56">
        <w:rPr>
          <w:sz w:val="24"/>
          <w:szCs w:val="24"/>
        </w:rPr>
        <w:t>Ikke relevant.</w:t>
      </w:r>
    </w:p>
    <w:p w14:paraId="755BE064" w14:textId="77777777" w:rsidR="008203A8" w:rsidRPr="00406EE7" w:rsidRDefault="008203A8" w:rsidP="008203A8">
      <w:pPr>
        <w:tabs>
          <w:tab w:val="left" w:pos="851"/>
        </w:tabs>
        <w:ind w:left="851"/>
        <w:rPr>
          <w:sz w:val="24"/>
          <w:szCs w:val="24"/>
        </w:rPr>
      </w:pPr>
    </w:p>
    <w:p w14:paraId="034BD61B"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6A803A30" w14:textId="77777777" w:rsidR="00491D56" w:rsidRDefault="00491D56" w:rsidP="00491D56">
      <w:pPr>
        <w:tabs>
          <w:tab w:val="left" w:pos="851"/>
        </w:tabs>
        <w:ind w:left="851"/>
        <w:rPr>
          <w:sz w:val="24"/>
          <w:szCs w:val="24"/>
          <w:u w:val="single"/>
        </w:rPr>
      </w:pPr>
    </w:p>
    <w:p w14:paraId="0889FE09" w14:textId="54453122" w:rsidR="00491D56" w:rsidRPr="00491D56" w:rsidRDefault="00491D56" w:rsidP="00491D56">
      <w:pPr>
        <w:tabs>
          <w:tab w:val="left" w:pos="851"/>
        </w:tabs>
        <w:ind w:left="851"/>
        <w:rPr>
          <w:sz w:val="24"/>
          <w:szCs w:val="24"/>
          <w:u w:val="single"/>
        </w:rPr>
      </w:pPr>
      <w:r w:rsidRPr="00491D56">
        <w:rPr>
          <w:sz w:val="24"/>
          <w:szCs w:val="24"/>
          <w:u w:val="single"/>
        </w:rPr>
        <w:t>Svin</w:t>
      </w:r>
    </w:p>
    <w:p w14:paraId="30E34389" w14:textId="77777777" w:rsidR="00491D56" w:rsidRPr="00491D56" w:rsidRDefault="00491D56" w:rsidP="00491D56">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491D56" w:rsidRPr="00491D56" w14:paraId="7430C8AE" w14:textId="77777777" w:rsidTr="00491D56">
        <w:tc>
          <w:tcPr>
            <w:tcW w:w="2266" w:type="pct"/>
            <w:tcBorders>
              <w:top w:val="single" w:sz="4" w:space="0" w:color="auto"/>
              <w:left w:val="single" w:sz="4" w:space="0" w:color="auto"/>
              <w:bottom w:val="single" w:sz="4" w:space="0" w:color="auto"/>
              <w:right w:val="single" w:sz="4" w:space="0" w:color="auto"/>
            </w:tcBorders>
            <w:hideMark/>
          </w:tcPr>
          <w:p w14:paraId="19A2B550" w14:textId="77777777" w:rsidR="00491D56" w:rsidRPr="00491D56" w:rsidRDefault="00491D56" w:rsidP="00491D56">
            <w:pPr>
              <w:ind w:left="33"/>
              <w:rPr>
                <w:sz w:val="24"/>
                <w:szCs w:val="24"/>
              </w:rPr>
            </w:pPr>
            <w:r w:rsidRPr="00491D56">
              <w:rPr>
                <w:sz w:val="24"/>
                <w:szCs w:val="24"/>
              </w:rPr>
              <w:t>Sjælden</w:t>
            </w:r>
          </w:p>
          <w:p w14:paraId="1212900A" w14:textId="77777777" w:rsidR="00491D56" w:rsidRPr="00491D56" w:rsidRDefault="00491D56" w:rsidP="00491D56">
            <w:pPr>
              <w:ind w:left="33"/>
              <w:rPr>
                <w:sz w:val="24"/>
                <w:szCs w:val="24"/>
              </w:rPr>
            </w:pPr>
            <w:r w:rsidRPr="00491D56">
              <w:rPr>
                <w:sz w:val="24"/>
                <w:szCs w:val="24"/>
              </w:rPr>
              <w:t>(1 til 10 dyr ud af 10.000 behandlede dyr):</w:t>
            </w:r>
          </w:p>
        </w:tc>
        <w:tc>
          <w:tcPr>
            <w:tcW w:w="2734" w:type="pct"/>
            <w:tcBorders>
              <w:top w:val="single" w:sz="4" w:space="0" w:color="auto"/>
              <w:left w:val="single" w:sz="4" w:space="0" w:color="auto"/>
              <w:bottom w:val="single" w:sz="4" w:space="0" w:color="auto"/>
              <w:right w:val="single" w:sz="4" w:space="0" w:color="auto"/>
            </w:tcBorders>
            <w:hideMark/>
          </w:tcPr>
          <w:p w14:paraId="6D2C782B" w14:textId="77777777" w:rsidR="00491D56" w:rsidRPr="00491D56" w:rsidRDefault="00491D56" w:rsidP="00491D56">
            <w:pPr>
              <w:rPr>
                <w:sz w:val="24"/>
                <w:szCs w:val="24"/>
              </w:rPr>
            </w:pPr>
            <w:r w:rsidRPr="00491D56">
              <w:rPr>
                <w:sz w:val="24"/>
                <w:szCs w:val="24"/>
              </w:rPr>
              <w:t>Irritabilitet</w:t>
            </w:r>
            <w:r w:rsidRPr="00491D56">
              <w:rPr>
                <w:sz w:val="24"/>
                <w:szCs w:val="24"/>
                <w:vertAlign w:val="superscript"/>
              </w:rPr>
              <w:t>1, 2</w:t>
            </w:r>
          </w:p>
          <w:p w14:paraId="5E0AEDB9" w14:textId="77777777" w:rsidR="00491D56" w:rsidRPr="00491D56" w:rsidRDefault="00491D56" w:rsidP="00491D56">
            <w:pPr>
              <w:rPr>
                <w:sz w:val="24"/>
                <w:szCs w:val="24"/>
                <w:vertAlign w:val="superscript"/>
              </w:rPr>
            </w:pPr>
            <w:r w:rsidRPr="00491D56">
              <w:rPr>
                <w:sz w:val="24"/>
                <w:szCs w:val="24"/>
              </w:rPr>
              <w:t>Diarré</w:t>
            </w:r>
            <w:r w:rsidRPr="00491D56">
              <w:rPr>
                <w:sz w:val="24"/>
                <w:szCs w:val="24"/>
                <w:vertAlign w:val="superscript"/>
              </w:rPr>
              <w:t>3</w:t>
            </w:r>
          </w:p>
          <w:p w14:paraId="644EC5D2" w14:textId="77777777" w:rsidR="00491D56" w:rsidRPr="00491D56" w:rsidRDefault="00491D56" w:rsidP="00491D56">
            <w:pPr>
              <w:rPr>
                <w:sz w:val="24"/>
                <w:szCs w:val="24"/>
              </w:rPr>
            </w:pPr>
            <w:r w:rsidRPr="00491D56">
              <w:rPr>
                <w:sz w:val="24"/>
                <w:szCs w:val="24"/>
              </w:rPr>
              <w:t>Overfølsomhedsreaktion, Analødemer (hævelse)</w:t>
            </w:r>
            <w:r w:rsidRPr="00491D56">
              <w:rPr>
                <w:sz w:val="24"/>
                <w:szCs w:val="24"/>
                <w:vertAlign w:val="superscript"/>
              </w:rPr>
              <w:t>3, 4</w:t>
            </w:r>
          </w:p>
          <w:p w14:paraId="3D07ED8B" w14:textId="77777777" w:rsidR="00491D56" w:rsidRPr="00491D56" w:rsidRDefault="00491D56" w:rsidP="00491D56">
            <w:pPr>
              <w:rPr>
                <w:iCs/>
                <w:sz w:val="24"/>
                <w:szCs w:val="24"/>
              </w:rPr>
            </w:pPr>
            <w:bookmarkStart w:id="4" w:name="_Hlk175293859"/>
            <w:r w:rsidRPr="00491D56">
              <w:rPr>
                <w:sz w:val="24"/>
                <w:szCs w:val="24"/>
              </w:rPr>
              <w:t>Rødme på huden</w:t>
            </w:r>
            <w:bookmarkEnd w:id="4"/>
            <w:r w:rsidRPr="00491D56">
              <w:rPr>
                <w:sz w:val="24"/>
                <w:szCs w:val="24"/>
                <w:vertAlign w:val="superscript"/>
              </w:rPr>
              <w:t>1</w:t>
            </w:r>
          </w:p>
        </w:tc>
      </w:tr>
    </w:tbl>
    <w:p w14:paraId="0E8FBD97" w14:textId="77777777" w:rsidR="00491D56" w:rsidRPr="00491D56" w:rsidRDefault="00491D56" w:rsidP="00491D56">
      <w:pPr>
        <w:tabs>
          <w:tab w:val="left" w:pos="851"/>
        </w:tabs>
        <w:ind w:left="851"/>
        <w:rPr>
          <w:sz w:val="20"/>
        </w:rPr>
      </w:pPr>
      <w:r w:rsidRPr="00491D56">
        <w:rPr>
          <w:sz w:val="20"/>
          <w:vertAlign w:val="superscript"/>
        </w:rPr>
        <w:t xml:space="preserve">1 </w:t>
      </w:r>
      <w:r w:rsidRPr="00491D56">
        <w:rPr>
          <w:sz w:val="20"/>
        </w:rPr>
        <w:t>Sædvanligvis selvkorrigerende inden for 5-8 dage uden seponering af lincomycin-behandlingen.</w:t>
      </w:r>
    </w:p>
    <w:p w14:paraId="3B68FF6E" w14:textId="77777777" w:rsidR="00491D56" w:rsidRPr="00491D56" w:rsidRDefault="00491D56" w:rsidP="00491D56">
      <w:pPr>
        <w:tabs>
          <w:tab w:val="left" w:pos="851"/>
        </w:tabs>
        <w:ind w:left="851"/>
        <w:rPr>
          <w:sz w:val="20"/>
        </w:rPr>
      </w:pPr>
      <w:r w:rsidRPr="00491D56">
        <w:rPr>
          <w:sz w:val="20"/>
          <w:vertAlign w:val="superscript"/>
        </w:rPr>
        <w:t xml:space="preserve">2 </w:t>
      </w:r>
      <w:r w:rsidRPr="00491D56">
        <w:rPr>
          <w:sz w:val="20"/>
        </w:rPr>
        <w:t>Mild, adfærdsmæssig.</w:t>
      </w:r>
    </w:p>
    <w:p w14:paraId="461BF3EE" w14:textId="77777777" w:rsidR="00491D56" w:rsidRPr="00491D56" w:rsidRDefault="00491D56" w:rsidP="00491D56">
      <w:pPr>
        <w:tabs>
          <w:tab w:val="left" w:pos="851"/>
        </w:tabs>
        <w:ind w:left="851"/>
        <w:rPr>
          <w:sz w:val="20"/>
        </w:rPr>
      </w:pPr>
      <w:r w:rsidRPr="00491D56">
        <w:rPr>
          <w:sz w:val="20"/>
          <w:vertAlign w:val="superscript"/>
        </w:rPr>
        <w:t xml:space="preserve">3 </w:t>
      </w:r>
      <w:r w:rsidRPr="00491D56">
        <w:rPr>
          <w:sz w:val="20"/>
        </w:rPr>
        <w:t>Inden for de første 2 dage efter behandlingsstart.</w:t>
      </w:r>
    </w:p>
    <w:p w14:paraId="3969CA8D" w14:textId="77777777" w:rsidR="00491D56" w:rsidRPr="00491D56" w:rsidRDefault="00491D56" w:rsidP="00491D56">
      <w:pPr>
        <w:tabs>
          <w:tab w:val="left" w:pos="851"/>
        </w:tabs>
        <w:ind w:left="851"/>
        <w:rPr>
          <w:sz w:val="20"/>
        </w:rPr>
      </w:pPr>
      <w:r w:rsidRPr="00491D56">
        <w:rPr>
          <w:sz w:val="20"/>
          <w:vertAlign w:val="superscript"/>
        </w:rPr>
        <w:t>4</w:t>
      </w:r>
      <w:r w:rsidRPr="00491D56">
        <w:rPr>
          <w:sz w:val="20"/>
        </w:rPr>
        <w:t xml:space="preserve"> Mild.</w:t>
      </w:r>
    </w:p>
    <w:p w14:paraId="2A8C5BF0" w14:textId="77777777" w:rsidR="00491D56" w:rsidRPr="00491D56" w:rsidRDefault="00491D56" w:rsidP="00491D56">
      <w:pPr>
        <w:tabs>
          <w:tab w:val="left" w:pos="851"/>
        </w:tabs>
        <w:ind w:left="851"/>
        <w:rPr>
          <w:sz w:val="24"/>
          <w:szCs w:val="24"/>
        </w:rPr>
      </w:pPr>
    </w:p>
    <w:p w14:paraId="65AFE26C" w14:textId="7CC759FA" w:rsidR="00491D56" w:rsidRPr="00491D56" w:rsidRDefault="00491D56" w:rsidP="00491D56">
      <w:pPr>
        <w:tabs>
          <w:tab w:val="left" w:pos="851"/>
        </w:tabs>
        <w:ind w:left="851"/>
        <w:rPr>
          <w:sz w:val="24"/>
          <w:szCs w:val="24"/>
          <w:u w:val="single"/>
        </w:rPr>
      </w:pPr>
      <w:r w:rsidRPr="00491D56">
        <w:rPr>
          <w:sz w:val="24"/>
          <w:szCs w:val="24"/>
          <w:u w:val="single"/>
        </w:rPr>
        <w:t>Kyllinger</w:t>
      </w:r>
    </w:p>
    <w:p w14:paraId="278E3A14" w14:textId="77777777" w:rsidR="00491D56" w:rsidRPr="00491D56" w:rsidRDefault="00491D56" w:rsidP="00491D56">
      <w:pPr>
        <w:tabs>
          <w:tab w:val="left" w:pos="851"/>
        </w:tabs>
        <w:ind w:left="851"/>
        <w:rPr>
          <w:sz w:val="24"/>
          <w:szCs w:val="24"/>
        </w:rPr>
      </w:pPr>
      <w:r w:rsidRPr="00491D56">
        <w:rPr>
          <w:sz w:val="24"/>
          <w:szCs w:val="24"/>
        </w:rPr>
        <w:t>Ingen kendte.</w:t>
      </w:r>
    </w:p>
    <w:p w14:paraId="1656D9E0" w14:textId="77777777" w:rsidR="00491D56" w:rsidRPr="00491D56" w:rsidRDefault="00491D56" w:rsidP="00491D56">
      <w:pPr>
        <w:tabs>
          <w:tab w:val="left" w:pos="851"/>
        </w:tabs>
        <w:ind w:left="851"/>
        <w:rPr>
          <w:sz w:val="24"/>
          <w:szCs w:val="24"/>
        </w:rPr>
      </w:pPr>
      <w:bookmarkStart w:id="5" w:name="_Hlk66891708"/>
    </w:p>
    <w:p w14:paraId="1CF11A3A" w14:textId="77777777" w:rsidR="00491D56" w:rsidRPr="00491D56" w:rsidRDefault="00491D56" w:rsidP="00491D56">
      <w:pPr>
        <w:tabs>
          <w:tab w:val="left" w:pos="851"/>
        </w:tabs>
        <w:ind w:left="851"/>
        <w:rPr>
          <w:sz w:val="24"/>
          <w:szCs w:val="24"/>
        </w:rPr>
      </w:pPr>
      <w:r w:rsidRPr="00491D56">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bookmarkEnd w:id="5"/>
    <w:p w14:paraId="28865CEA" w14:textId="77777777" w:rsidR="008203A8" w:rsidRPr="00406EE7" w:rsidRDefault="008203A8" w:rsidP="008203A8">
      <w:pPr>
        <w:tabs>
          <w:tab w:val="left" w:pos="851"/>
        </w:tabs>
        <w:ind w:left="851"/>
        <w:rPr>
          <w:sz w:val="24"/>
          <w:szCs w:val="24"/>
        </w:rPr>
      </w:pPr>
    </w:p>
    <w:p w14:paraId="45A73C2C"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4AE5AE7F" w14:textId="77777777" w:rsidR="00C53A0D" w:rsidRPr="00C53A0D" w:rsidRDefault="00C53A0D" w:rsidP="00C53A0D">
      <w:pPr>
        <w:tabs>
          <w:tab w:val="left" w:pos="851"/>
        </w:tabs>
        <w:ind w:left="851"/>
        <w:rPr>
          <w:sz w:val="24"/>
          <w:szCs w:val="24"/>
        </w:rPr>
      </w:pPr>
      <w:r w:rsidRPr="00C53A0D">
        <w:rPr>
          <w:sz w:val="24"/>
          <w:szCs w:val="24"/>
        </w:rPr>
        <w:t>Veterinærlægemidlets sikkerhed under drægtighed, diegivning og æglægning er ikke fastlagt.</w:t>
      </w:r>
    </w:p>
    <w:p w14:paraId="68640CBC" w14:textId="77777777" w:rsidR="00C53A0D" w:rsidRPr="00C53A0D" w:rsidRDefault="00C53A0D" w:rsidP="00C53A0D">
      <w:pPr>
        <w:tabs>
          <w:tab w:val="left" w:pos="851"/>
        </w:tabs>
        <w:ind w:left="851"/>
        <w:rPr>
          <w:sz w:val="24"/>
          <w:szCs w:val="24"/>
        </w:rPr>
      </w:pPr>
    </w:p>
    <w:p w14:paraId="614976E4" w14:textId="3FAEAA6F" w:rsidR="00C53A0D" w:rsidRPr="00C53A0D" w:rsidRDefault="00C53A0D" w:rsidP="00C53A0D">
      <w:pPr>
        <w:tabs>
          <w:tab w:val="left" w:pos="851"/>
        </w:tabs>
        <w:ind w:left="851"/>
        <w:rPr>
          <w:sz w:val="24"/>
          <w:szCs w:val="24"/>
        </w:rPr>
      </w:pPr>
      <w:r w:rsidRPr="00C53A0D">
        <w:rPr>
          <w:sz w:val="24"/>
          <w:szCs w:val="24"/>
          <w:u w:val="single"/>
        </w:rPr>
        <w:t>Drægtighed og diegivning</w:t>
      </w:r>
    </w:p>
    <w:p w14:paraId="5A62E690" w14:textId="77777777" w:rsidR="00C53A0D" w:rsidRPr="00C53A0D" w:rsidRDefault="00C53A0D" w:rsidP="00C53A0D">
      <w:pPr>
        <w:tabs>
          <w:tab w:val="left" w:pos="851"/>
        </w:tabs>
        <w:ind w:left="851"/>
        <w:rPr>
          <w:sz w:val="24"/>
          <w:szCs w:val="24"/>
        </w:rPr>
      </w:pPr>
      <w:r w:rsidRPr="00C53A0D">
        <w:rPr>
          <w:sz w:val="24"/>
          <w:szCs w:val="24"/>
        </w:rPr>
        <w:t>Laboratorieundersøgelser af rotter har ikke afsløret teratogene virkninger, men der er rapporteret føtotoksiske virkninger.</w:t>
      </w:r>
    </w:p>
    <w:p w14:paraId="1F340512" w14:textId="77777777" w:rsidR="00C53A0D" w:rsidRPr="00C53A0D" w:rsidRDefault="00C53A0D" w:rsidP="00C53A0D">
      <w:pPr>
        <w:tabs>
          <w:tab w:val="left" w:pos="851"/>
        </w:tabs>
        <w:ind w:left="851"/>
        <w:rPr>
          <w:sz w:val="24"/>
          <w:szCs w:val="24"/>
        </w:rPr>
      </w:pPr>
      <w:r w:rsidRPr="00C53A0D">
        <w:rPr>
          <w:sz w:val="24"/>
          <w:szCs w:val="24"/>
        </w:rPr>
        <w:t>Må kun anvendes i overensstemmelse med den ansvarlige dyrlæges vurdering af benefit/risk-forholdet.</w:t>
      </w:r>
    </w:p>
    <w:p w14:paraId="4051B12D" w14:textId="77777777" w:rsidR="008203A8" w:rsidRPr="00406EE7" w:rsidRDefault="008203A8" w:rsidP="008203A8">
      <w:pPr>
        <w:tabs>
          <w:tab w:val="left" w:pos="851"/>
        </w:tabs>
        <w:ind w:left="851"/>
        <w:rPr>
          <w:sz w:val="24"/>
          <w:szCs w:val="24"/>
        </w:rPr>
      </w:pPr>
    </w:p>
    <w:p w14:paraId="1906EDA8"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24DD1566" w14:textId="77777777" w:rsidR="00C53A0D" w:rsidRPr="00C53A0D" w:rsidRDefault="00C53A0D" w:rsidP="00C53A0D">
      <w:pPr>
        <w:tabs>
          <w:tab w:val="left" w:pos="851"/>
        </w:tabs>
        <w:ind w:left="851"/>
        <w:rPr>
          <w:sz w:val="24"/>
          <w:szCs w:val="24"/>
        </w:rPr>
      </w:pPr>
      <w:r w:rsidRPr="00C53A0D">
        <w:rPr>
          <w:sz w:val="24"/>
          <w:szCs w:val="24"/>
        </w:rPr>
        <w:t>Der kan forekomme antagonisme mellem lincomycin og makrolider som f.eks. erythromycin og andre bakteriedræbende antibiotika. Samtidig anvendelse frarådes derfor på grund af kompetitiv binding ved 50S ribosomal subunit i bakteriecellen.</w:t>
      </w:r>
    </w:p>
    <w:p w14:paraId="508AA71F" w14:textId="77777777" w:rsidR="00C53A0D" w:rsidRPr="00C53A0D" w:rsidRDefault="00C53A0D" w:rsidP="00C53A0D">
      <w:pPr>
        <w:tabs>
          <w:tab w:val="left" w:pos="851"/>
        </w:tabs>
        <w:ind w:left="851"/>
        <w:rPr>
          <w:sz w:val="24"/>
          <w:szCs w:val="24"/>
        </w:rPr>
      </w:pPr>
      <w:r w:rsidRPr="00C53A0D">
        <w:rPr>
          <w:sz w:val="24"/>
          <w:szCs w:val="24"/>
        </w:rPr>
        <w:t>Lincomycins biotilgængelighed kan være nedsat ved samtidig anvendelse af gastriske antacida eller aktivt kul, pectin eller kaolin.</w:t>
      </w:r>
    </w:p>
    <w:p w14:paraId="723A2B86" w14:textId="77777777" w:rsidR="00C53A0D" w:rsidRPr="00C53A0D" w:rsidRDefault="00C53A0D" w:rsidP="00C53A0D">
      <w:pPr>
        <w:tabs>
          <w:tab w:val="left" w:pos="851"/>
        </w:tabs>
        <w:ind w:left="851"/>
        <w:rPr>
          <w:sz w:val="24"/>
          <w:szCs w:val="24"/>
        </w:rPr>
      </w:pPr>
      <w:r w:rsidRPr="00C53A0D">
        <w:rPr>
          <w:sz w:val="24"/>
          <w:szCs w:val="24"/>
        </w:rPr>
        <w:t>Lincomycin kan forstærke den neuromuskulære virkning ved anæstetika og muskelrelaksantia.</w:t>
      </w:r>
    </w:p>
    <w:p w14:paraId="2F57AD35" w14:textId="77777777" w:rsidR="008203A8" w:rsidRPr="00406EE7" w:rsidRDefault="008203A8" w:rsidP="008203A8">
      <w:pPr>
        <w:tabs>
          <w:tab w:val="left" w:pos="851"/>
        </w:tabs>
        <w:ind w:left="851"/>
        <w:rPr>
          <w:sz w:val="24"/>
          <w:szCs w:val="24"/>
        </w:rPr>
      </w:pPr>
    </w:p>
    <w:p w14:paraId="519C9C7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313C106A" w14:textId="77777777" w:rsidR="00C53A0D" w:rsidRPr="00C53A0D" w:rsidRDefault="00C53A0D" w:rsidP="00C53A0D">
      <w:pPr>
        <w:tabs>
          <w:tab w:val="left" w:pos="1304"/>
        </w:tabs>
        <w:ind w:left="851"/>
        <w:rPr>
          <w:sz w:val="24"/>
          <w:szCs w:val="24"/>
        </w:rPr>
      </w:pPr>
      <w:r w:rsidRPr="00C53A0D">
        <w:rPr>
          <w:sz w:val="24"/>
          <w:szCs w:val="24"/>
        </w:rPr>
        <w:t>Til anvendelse i drikkevand.</w:t>
      </w:r>
    </w:p>
    <w:p w14:paraId="684E8E25" w14:textId="77777777" w:rsidR="00C53A0D" w:rsidRPr="00C53A0D" w:rsidRDefault="00C53A0D" w:rsidP="00C53A0D">
      <w:pPr>
        <w:tabs>
          <w:tab w:val="left" w:pos="1304"/>
        </w:tabs>
        <w:ind w:left="851"/>
        <w:rPr>
          <w:sz w:val="24"/>
          <w:szCs w:val="24"/>
        </w:rPr>
      </w:pPr>
    </w:p>
    <w:p w14:paraId="28B000E7" w14:textId="77777777" w:rsidR="00C53A0D" w:rsidRPr="00C53A0D" w:rsidRDefault="00C53A0D" w:rsidP="00C53A0D">
      <w:pPr>
        <w:tabs>
          <w:tab w:val="left" w:pos="1304"/>
        </w:tabs>
        <w:ind w:left="851"/>
        <w:rPr>
          <w:sz w:val="24"/>
          <w:szCs w:val="24"/>
        </w:rPr>
      </w:pPr>
      <w:r w:rsidRPr="00C53A0D">
        <w:rPr>
          <w:sz w:val="24"/>
          <w:szCs w:val="24"/>
        </w:rPr>
        <w:t>Den anbefalede dosering er:</w:t>
      </w:r>
    </w:p>
    <w:p w14:paraId="031F6122" w14:textId="77777777" w:rsidR="00C53A0D" w:rsidRPr="00C53A0D" w:rsidRDefault="00C53A0D" w:rsidP="00C53A0D">
      <w:pPr>
        <w:tabs>
          <w:tab w:val="left" w:pos="1304"/>
        </w:tabs>
        <w:ind w:left="851"/>
        <w:rPr>
          <w:sz w:val="24"/>
          <w:szCs w:val="24"/>
        </w:rPr>
      </w:pPr>
    </w:p>
    <w:p w14:paraId="65DE0634" w14:textId="3DF9F47A" w:rsidR="00C53A0D" w:rsidRPr="00C53A0D" w:rsidRDefault="00C53A0D" w:rsidP="00C53A0D">
      <w:pPr>
        <w:autoSpaceDE w:val="0"/>
        <w:autoSpaceDN w:val="0"/>
        <w:adjustRightInd w:val="0"/>
        <w:ind w:left="851"/>
        <w:rPr>
          <w:sz w:val="24"/>
          <w:szCs w:val="24"/>
        </w:rPr>
      </w:pPr>
      <w:r w:rsidRPr="00C53A0D">
        <w:rPr>
          <w:sz w:val="24"/>
          <w:szCs w:val="24"/>
          <w:u w:val="single"/>
        </w:rPr>
        <w:t>Svin</w:t>
      </w:r>
    </w:p>
    <w:p w14:paraId="11A0E338" w14:textId="77777777" w:rsidR="00C53A0D" w:rsidRPr="00C53A0D" w:rsidRDefault="00C53A0D" w:rsidP="00C53A0D">
      <w:pPr>
        <w:autoSpaceDE w:val="0"/>
        <w:autoSpaceDN w:val="0"/>
        <w:adjustRightInd w:val="0"/>
        <w:ind w:left="851"/>
        <w:rPr>
          <w:sz w:val="24"/>
          <w:szCs w:val="24"/>
        </w:rPr>
      </w:pPr>
      <w:r w:rsidRPr="00C53A0D">
        <w:rPr>
          <w:sz w:val="24"/>
          <w:szCs w:val="24"/>
        </w:rPr>
        <w:t>Enzootisk pneumoni: 10 mg lincomycin pr. kg legemsvægt (svarende til 25 mg veterinærlægemiddel pr. kg legemsvægt) i 21 på hinanden følgende dage.</w:t>
      </w:r>
    </w:p>
    <w:p w14:paraId="64399C28" w14:textId="77777777" w:rsidR="00C53A0D" w:rsidRPr="00C53A0D" w:rsidRDefault="00C53A0D" w:rsidP="00C53A0D">
      <w:pPr>
        <w:autoSpaceDE w:val="0"/>
        <w:autoSpaceDN w:val="0"/>
        <w:adjustRightInd w:val="0"/>
        <w:ind w:left="851"/>
        <w:rPr>
          <w:sz w:val="24"/>
          <w:szCs w:val="24"/>
        </w:rPr>
      </w:pPr>
    </w:p>
    <w:p w14:paraId="112888F2" w14:textId="3924B886" w:rsidR="00C53A0D" w:rsidRPr="00C53A0D" w:rsidRDefault="00C53A0D" w:rsidP="00C53A0D">
      <w:pPr>
        <w:autoSpaceDE w:val="0"/>
        <w:autoSpaceDN w:val="0"/>
        <w:adjustRightInd w:val="0"/>
        <w:ind w:left="851"/>
        <w:rPr>
          <w:sz w:val="24"/>
          <w:szCs w:val="24"/>
        </w:rPr>
      </w:pPr>
      <w:r w:rsidRPr="00C53A0D">
        <w:rPr>
          <w:sz w:val="24"/>
          <w:szCs w:val="24"/>
          <w:u w:val="single"/>
        </w:rPr>
        <w:t>Kyllinger</w:t>
      </w:r>
    </w:p>
    <w:p w14:paraId="5B1A5A4B" w14:textId="77777777" w:rsidR="00C53A0D" w:rsidRPr="00C53A0D" w:rsidRDefault="00C53A0D" w:rsidP="00C53A0D">
      <w:pPr>
        <w:autoSpaceDE w:val="0"/>
        <w:autoSpaceDN w:val="0"/>
        <w:adjustRightInd w:val="0"/>
        <w:ind w:left="851"/>
        <w:rPr>
          <w:sz w:val="24"/>
          <w:szCs w:val="24"/>
        </w:rPr>
      </w:pPr>
      <w:r w:rsidRPr="00C53A0D">
        <w:rPr>
          <w:sz w:val="24"/>
          <w:szCs w:val="24"/>
        </w:rPr>
        <w:t>Nekrotisk enteritis: 5 mg lincomycin pr. kg legemsvægt (svarende til 12,5 mg veterinærlægemiddel pr. kg legemsvægt) i 7 på hinanden følgende dage.</w:t>
      </w:r>
    </w:p>
    <w:p w14:paraId="1D06D9CC" w14:textId="77777777" w:rsidR="00C53A0D" w:rsidRPr="00C53A0D" w:rsidRDefault="00C53A0D" w:rsidP="00C53A0D">
      <w:pPr>
        <w:tabs>
          <w:tab w:val="left" w:pos="1304"/>
        </w:tabs>
        <w:ind w:left="851"/>
        <w:rPr>
          <w:sz w:val="24"/>
          <w:szCs w:val="24"/>
        </w:rPr>
      </w:pPr>
    </w:p>
    <w:p w14:paraId="2ADE25D3" w14:textId="77777777" w:rsidR="00C53A0D" w:rsidRPr="00C53A0D" w:rsidRDefault="00C53A0D" w:rsidP="00C53A0D">
      <w:pPr>
        <w:tabs>
          <w:tab w:val="left" w:pos="1304"/>
        </w:tabs>
        <w:ind w:left="851"/>
        <w:rPr>
          <w:sz w:val="24"/>
          <w:szCs w:val="24"/>
        </w:rPr>
      </w:pPr>
      <w:r w:rsidRPr="00C53A0D">
        <w:rPr>
          <w:sz w:val="24"/>
          <w:szCs w:val="24"/>
        </w:rPr>
        <w:t>For at sikre korrekt dosering bør legemsvægten bestemmes så nøjagtigt som muligt.</w:t>
      </w:r>
    </w:p>
    <w:p w14:paraId="275DEAC4" w14:textId="77777777" w:rsidR="00C53A0D" w:rsidRPr="00C53A0D" w:rsidRDefault="00C53A0D" w:rsidP="00C53A0D">
      <w:pPr>
        <w:tabs>
          <w:tab w:val="left" w:pos="1304"/>
        </w:tabs>
        <w:ind w:left="851"/>
        <w:rPr>
          <w:sz w:val="24"/>
          <w:szCs w:val="24"/>
        </w:rPr>
      </w:pPr>
      <w:r w:rsidRPr="00C53A0D">
        <w:rPr>
          <w:sz w:val="24"/>
          <w:szCs w:val="24"/>
        </w:rPr>
        <w:t>Indtagelsen af medicineret vand afhænger af dyrenes kliniske tilstand. For at opnå den korrekte dosering kan det være nødvendigt at justere koncentrationen af lincomycin i overensstemmelse hermed.</w:t>
      </w:r>
    </w:p>
    <w:p w14:paraId="5904363F" w14:textId="77777777" w:rsidR="00C53A0D" w:rsidRPr="00C53A0D" w:rsidRDefault="00C53A0D" w:rsidP="00C53A0D">
      <w:pPr>
        <w:tabs>
          <w:tab w:val="left" w:pos="1304"/>
        </w:tabs>
        <w:ind w:left="851"/>
        <w:rPr>
          <w:sz w:val="24"/>
          <w:szCs w:val="24"/>
        </w:rPr>
      </w:pPr>
      <w:r w:rsidRPr="00C53A0D">
        <w:rPr>
          <w:sz w:val="24"/>
          <w:szCs w:val="24"/>
        </w:rPr>
        <w:t>Det anbefales at anvende passende kalibreret måleudstyr.</w:t>
      </w:r>
    </w:p>
    <w:p w14:paraId="11A1EEF3" w14:textId="77777777" w:rsidR="00C53A0D" w:rsidRPr="00C53A0D" w:rsidRDefault="00C53A0D" w:rsidP="00C53A0D">
      <w:pPr>
        <w:tabs>
          <w:tab w:val="left" w:pos="1304"/>
        </w:tabs>
        <w:ind w:left="851"/>
        <w:rPr>
          <w:sz w:val="24"/>
          <w:szCs w:val="24"/>
        </w:rPr>
      </w:pPr>
    </w:p>
    <w:p w14:paraId="0C588E83" w14:textId="77777777" w:rsidR="00C53A0D" w:rsidRPr="00C53A0D" w:rsidRDefault="00C53A0D" w:rsidP="00C53A0D">
      <w:pPr>
        <w:ind w:left="851"/>
        <w:rPr>
          <w:noProof/>
          <w:sz w:val="24"/>
          <w:szCs w:val="24"/>
        </w:rPr>
      </w:pPr>
      <w:r w:rsidRPr="00C53A0D">
        <w:rPr>
          <w:sz w:val="24"/>
          <w:szCs w:val="24"/>
        </w:rPr>
        <w:t>Vandindtagelsen bør overvåges med hyppige mellemrum.</w:t>
      </w:r>
    </w:p>
    <w:p w14:paraId="3C5FEDD7" w14:textId="77777777" w:rsidR="00C53A0D" w:rsidRPr="00C53A0D" w:rsidRDefault="00C53A0D" w:rsidP="00C53A0D">
      <w:pPr>
        <w:ind w:left="851"/>
        <w:rPr>
          <w:noProof/>
          <w:sz w:val="24"/>
          <w:szCs w:val="24"/>
        </w:rPr>
      </w:pPr>
    </w:p>
    <w:p w14:paraId="47341810" w14:textId="77777777" w:rsidR="00C53A0D" w:rsidRPr="00C53A0D" w:rsidRDefault="00C53A0D" w:rsidP="00C53A0D">
      <w:pPr>
        <w:tabs>
          <w:tab w:val="left" w:pos="1304"/>
        </w:tabs>
        <w:ind w:left="851"/>
        <w:rPr>
          <w:sz w:val="24"/>
          <w:szCs w:val="24"/>
        </w:rPr>
      </w:pPr>
      <w:r w:rsidRPr="00C53A0D">
        <w:rPr>
          <w:sz w:val="24"/>
          <w:szCs w:val="24"/>
        </w:rPr>
        <w:t>Baseret på den anbefalede dosis, antallet af dyr, der skal behandles, samt disses legemsvægt bør den nøjagtige daglige koncentration af veterinærlægemidlet beregnes efter følgende formel:</w:t>
      </w:r>
    </w:p>
    <w:p w14:paraId="7A162F3A" w14:textId="77777777" w:rsidR="00C53A0D" w:rsidRDefault="00C53A0D" w:rsidP="00C53A0D">
      <w:pPr>
        <w:tabs>
          <w:tab w:val="left" w:pos="1304"/>
        </w:tabs>
      </w:pPr>
    </w:p>
    <w:tbl>
      <w:tblPr>
        <w:tblW w:w="9071" w:type="dxa"/>
        <w:tblInd w:w="709" w:type="dxa"/>
        <w:tblBorders>
          <w:insideH w:val="single" w:sz="4" w:space="0" w:color="auto"/>
        </w:tblBorders>
        <w:tblLook w:val="01E0" w:firstRow="1" w:lastRow="1" w:firstColumn="1" w:lastColumn="1" w:noHBand="0" w:noVBand="0"/>
      </w:tblPr>
      <w:tblGrid>
        <w:gridCol w:w="3039"/>
        <w:gridCol w:w="562"/>
        <w:gridCol w:w="2786"/>
        <w:gridCol w:w="2684"/>
      </w:tblGrid>
      <w:tr w:rsidR="00C53A0D" w14:paraId="4F625C28" w14:textId="77777777" w:rsidTr="00C53A0D">
        <w:trPr>
          <w:trHeight w:val="315"/>
        </w:trPr>
        <w:tc>
          <w:tcPr>
            <w:tcW w:w="3039" w:type="dxa"/>
            <w:tcBorders>
              <w:top w:val="nil"/>
              <w:left w:val="nil"/>
              <w:bottom w:val="single" w:sz="4" w:space="0" w:color="auto"/>
              <w:right w:val="nil"/>
            </w:tcBorders>
            <w:vAlign w:val="bottom"/>
            <w:hideMark/>
          </w:tcPr>
          <w:p w14:paraId="401EBB48" w14:textId="77777777" w:rsidR="00C53A0D" w:rsidRDefault="00C53A0D">
            <w:pPr>
              <w:tabs>
                <w:tab w:val="left" w:pos="1304"/>
              </w:tabs>
              <w:rPr>
                <w:szCs w:val="22"/>
              </w:rPr>
            </w:pPr>
            <w:r>
              <w:rPr>
                <w:szCs w:val="22"/>
              </w:rPr>
              <w:t>mg veterinærlægemiddel / kg legemsvægt pr. dag</w:t>
            </w:r>
          </w:p>
        </w:tc>
        <w:tc>
          <w:tcPr>
            <w:tcW w:w="562" w:type="dxa"/>
            <w:tcBorders>
              <w:top w:val="nil"/>
              <w:left w:val="nil"/>
              <w:bottom w:val="single" w:sz="4" w:space="0" w:color="auto"/>
              <w:right w:val="nil"/>
            </w:tcBorders>
            <w:vAlign w:val="bottom"/>
          </w:tcPr>
          <w:p w14:paraId="760392B1" w14:textId="77777777" w:rsidR="00C53A0D" w:rsidRDefault="00C53A0D">
            <w:pPr>
              <w:tabs>
                <w:tab w:val="left" w:pos="1304"/>
              </w:tabs>
              <w:rPr>
                <w:szCs w:val="22"/>
              </w:rPr>
            </w:pPr>
          </w:p>
          <w:p w14:paraId="021F92D4" w14:textId="77777777" w:rsidR="00C53A0D" w:rsidRDefault="00C53A0D">
            <w:pPr>
              <w:tabs>
                <w:tab w:val="left" w:pos="1304"/>
              </w:tabs>
              <w:rPr>
                <w:szCs w:val="22"/>
              </w:rPr>
            </w:pPr>
            <w:r>
              <w:rPr>
                <w:szCs w:val="22"/>
              </w:rPr>
              <w:t>X</w:t>
            </w:r>
          </w:p>
        </w:tc>
        <w:tc>
          <w:tcPr>
            <w:tcW w:w="2786" w:type="dxa"/>
            <w:tcBorders>
              <w:top w:val="nil"/>
              <w:left w:val="nil"/>
              <w:bottom w:val="single" w:sz="4" w:space="0" w:color="auto"/>
              <w:right w:val="nil"/>
            </w:tcBorders>
            <w:vAlign w:val="bottom"/>
            <w:hideMark/>
          </w:tcPr>
          <w:p w14:paraId="105092AE" w14:textId="77777777" w:rsidR="00C53A0D" w:rsidRDefault="00C53A0D">
            <w:pPr>
              <w:tabs>
                <w:tab w:val="left" w:pos="1304"/>
              </w:tabs>
              <w:rPr>
                <w:szCs w:val="22"/>
              </w:rPr>
            </w:pPr>
            <w:r>
              <w:rPr>
                <w:szCs w:val="22"/>
              </w:rPr>
              <w:t>gennemsnitlig legemsvægt (kg) på dyr der skal behandles</w:t>
            </w:r>
          </w:p>
        </w:tc>
        <w:tc>
          <w:tcPr>
            <w:tcW w:w="2684" w:type="dxa"/>
            <w:vMerge w:val="restart"/>
            <w:vAlign w:val="bottom"/>
          </w:tcPr>
          <w:p w14:paraId="7E17D183" w14:textId="77777777" w:rsidR="00C53A0D" w:rsidRDefault="00C53A0D">
            <w:pPr>
              <w:tabs>
                <w:tab w:val="left" w:pos="1304"/>
              </w:tabs>
              <w:rPr>
                <w:szCs w:val="22"/>
              </w:rPr>
            </w:pPr>
          </w:p>
          <w:p w14:paraId="72CD7730" w14:textId="77777777" w:rsidR="00C53A0D" w:rsidRDefault="00C53A0D">
            <w:pPr>
              <w:tabs>
                <w:tab w:val="left" w:pos="1304"/>
              </w:tabs>
              <w:jc w:val="center"/>
              <w:rPr>
                <w:szCs w:val="22"/>
              </w:rPr>
            </w:pPr>
            <w:r>
              <w:rPr>
                <w:szCs w:val="22"/>
              </w:rPr>
              <w:t>= mg veterinærlægemiddel pr. liter drikkevand</w:t>
            </w:r>
          </w:p>
        </w:tc>
      </w:tr>
      <w:tr w:rsidR="00C53A0D" w14:paraId="1BD6F816" w14:textId="77777777" w:rsidTr="00C53A0D">
        <w:trPr>
          <w:trHeight w:val="641"/>
        </w:trPr>
        <w:tc>
          <w:tcPr>
            <w:tcW w:w="6387" w:type="dxa"/>
            <w:gridSpan w:val="3"/>
            <w:tcBorders>
              <w:top w:val="single" w:sz="4" w:space="0" w:color="auto"/>
              <w:left w:val="nil"/>
              <w:bottom w:val="nil"/>
              <w:right w:val="nil"/>
            </w:tcBorders>
            <w:vAlign w:val="bottom"/>
            <w:hideMark/>
          </w:tcPr>
          <w:p w14:paraId="0B763DC8" w14:textId="77777777" w:rsidR="00C53A0D" w:rsidRDefault="00C53A0D">
            <w:pPr>
              <w:tabs>
                <w:tab w:val="left" w:pos="1304"/>
              </w:tabs>
              <w:jc w:val="center"/>
              <w:rPr>
                <w:szCs w:val="22"/>
              </w:rPr>
            </w:pPr>
            <w:r>
              <w:rPr>
                <w:szCs w:val="22"/>
              </w:rPr>
              <w:t>Gennemsnitligt dagligt vandindtag (l/dyr)</w:t>
            </w:r>
          </w:p>
        </w:tc>
        <w:tc>
          <w:tcPr>
            <w:tcW w:w="0" w:type="auto"/>
            <w:vMerge/>
            <w:vAlign w:val="center"/>
            <w:hideMark/>
          </w:tcPr>
          <w:p w14:paraId="522CCD90" w14:textId="77777777" w:rsidR="00C53A0D" w:rsidRDefault="00C53A0D">
            <w:pPr>
              <w:rPr>
                <w:sz w:val="22"/>
                <w:szCs w:val="22"/>
              </w:rPr>
            </w:pPr>
          </w:p>
        </w:tc>
      </w:tr>
    </w:tbl>
    <w:p w14:paraId="20F8379D" w14:textId="77777777" w:rsidR="00C53A0D" w:rsidRPr="00C53A0D" w:rsidRDefault="00C53A0D" w:rsidP="00C53A0D">
      <w:pPr>
        <w:tabs>
          <w:tab w:val="left" w:pos="1304"/>
        </w:tabs>
        <w:ind w:left="851"/>
        <w:rPr>
          <w:sz w:val="24"/>
          <w:szCs w:val="24"/>
        </w:rPr>
      </w:pPr>
    </w:p>
    <w:p w14:paraId="087A0531" w14:textId="77777777" w:rsidR="00C53A0D" w:rsidRPr="00C53A0D" w:rsidRDefault="00C53A0D" w:rsidP="00C53A0D">
      <w:pPr>
        <w:autoSpaceDE w:val="0"/>
        <w:autoSpaceDN w:val="0"/>
        <w:adjustRightInd w:val="0"/>
        <w:ind w:left="851"/>
        <w:rPr>
          <w:sz w:val="24"/>
          <w:szCs w:val="24"/>
        </w:rPr>
      </w:pPr>
      <w:bookmarkStart w:id="6" w:name="_Hlk192853384"/>
      <w:r w:rsidRPr="00C53A0D">
        <w:rPr>
          <w:sz w:val="24"/>
          <w:szCs w:val="24"/>
        </w:rPr>
        <w:t xml:space="preserve">Det skal sikres, at veterinærlægemidlet er fuldstændigt opløst. </w:t>
      </w:r>
    </w:p>
    <w:p w14:paraId="4C25D815" w14:textId="1DDA2C7A" w:rsidR="00C53A0D" w:rsidRPr="00C53A0D" w:rsidRDefault="00C53A0D" w:rsidP="00C53A0D">
      <w:pPr>
        <w:autoSpaceDE w:val="0"/>
        <w:autoSpaceDN w:val="0"/>
        <w:adjustRightInd w:val="0"/>
        <w:ind w:left="851"/>
        <w:rPr>
          <w:sz w:val="24"/>
          <w:szCs w:val="24"/>
        </w:rPr>
      </w:pPr>
      <w:r w:rsidRPr="00C53A0D">
        <w:rPr>
          <w:sz w:val="24"/>
          <w:szCs w:val="24"/>
        </w:rPr>
        <w:t>Veterinærlægemidlets maksimale opløselighed i blødt/hårdt vand er 50 g/l ved 20</w:t>
      </w:r>
      <w:r>
        <w:rPr>
          <w:sz w:val="24"/>
          <w:szCs w:val="24"/>
        </w:rPr>
        <w:t xml:space="preserve"> </w:t>
      </w:r>
      <w:r w:rsidRPr="00C53A0D">
        <w:rPr>
          <w:sz w:val="24"/>
          <w:szCs w:val="24"/>
        </w:rPr>
        <w:t>°C og 15 g/l ved 5</w:t>
      </w:r>
      <w:r>
        <w:rPr>
          <w:sz w:val="24"/>
          <w:szCs w:val="24"/>
        </w:rPr>
        <w:t xml:space="preserve"> </w:t>
      </w:r>
      <w:r w:rsidRPr="00C53A0D">
        <w:rPr>
          <w:sz w:val="24"/>
          <w:szCs w:val="24"/>
        </w:rPr>
        <w:t xml:space="preserve">°C. </w:t>
      </w:r>
    </w:p>
    <w:p w14:paraId="62DF68B5" w14:textId="77777777" w:rsidR="00C53A0D" w:rsidRPr="00C53A0D" w:rsidRDefault="00C53A0D" w:rsidP="00C53A0D">
      <w:pPr>
        <w:autoSpaceDE w:val="0"/>
        <w:autoSpaceDN w:val="0"/>
        <w:adjustRightInd w:val="0"/>
        <w:ind w:left="851"/>
        <w:rPr>
          <w:sz w:val="24"/>
          <w:szCs w:val="24"/>
        </w:rPr>
      </w:pPr>
      <w:r w:rsidRPr="00C53A0D">
        <w:rPr>
          <w:sz w:val="24"/>
          <w:szCs w:val="24"/>
        </w:rPr>
        <w:t>Til stamopløsninger og ved anvendelse af en doseringsenhed skal der udvises forsigtighed for ikke at overskride den maksimale opløselighed, som kan opnås under de givne omstændigheder. Gennemstrømningshastigheden på doseringspumpen skal indstilles i forhold til koncentrationen af stamopløsningen og vandindtaget hos de dyr, der skal behandles.</w:t>
      </w:r>
    </w:p>
    <w:p w14:paraId="2FC0C1BE" w14:textId="77777777" w:rsidR="00C53A0D" w:rsidRPr="00C53A0D" w:rsidRDefault="00C53A0D" w:rsidP="00C53A0D">
      <w:pPr>
        <w:autoSpaceDE w:val="0"/>
        <w:autoSpaceDN w:val="0"/>
        <w:adjustRightInd w:val="0"/>
        <w:ind w:left="851"/>
        <w:rPr>
          <w:sz w:val="24"/>
          <w:szCs w:val="24"/>
        </w:rPr>
      </w:pPr>
      <w:bookmarkStart w:id="7" w:name="_Hlk176165624"/>
      <w:bookmarkEnd w:id="6"/>
      <w:r w:rsidRPr="00C53A0D">
        <w:rPr>
          <w:sz w:val="24"/>
          <w:szCs w:val="24"/>
        </w:rPr>
        <w:t>Det medicinerede vand bør være den eneste adgang til drikkevand i hele behandlingsperioden.</w:t>
      </w:r>
    </w:p>
    <w:p w14:paraId="10D575A3" w14:textId="77777777" w:rsidR="00C53A0D" w:rsidRPr="00C53A0D" w:rsidRDefault="00C53A0D" w:rsidP="00C53A0D">
      <w:pPr>
        <w:autoSpaceDE w:val="0"/>
        <w:autoSpaceDN w:val="0"/>
        <w:adjustRightInd w:val="0"/>
        <w:ind w:left="851"/>
        <w:rPr>
          <w:sz w:val="24"/>
          <w:szCs w:val="24"/>
        </w:rPr>
      </w:pPr>
    </w:p>
    <w:p w14:paraId="680E98FF" w14:textId="77777777" w:rsidR="00C53A0D" w:rsidRPr="00C53A0D" w:rsidRDefault="00C53A0D" w:rsidP="00C53A0D">
      <w:pPr>
        <w:autoSpaceDE w:val="0"/>
        <w:autoSpaceDN w:val="0"/>
        <w:adjustRightInd w:val="0"/>
        <w:ind w:left="851"/>
        <w:rPr>
          <w:sz w:val="24"/>
          <w:szCs w:val="24"/>
        </w:rPr>
      </w:pPr>
      <w:r w:rsidRPr="00C53A0D">
        <w:rPr>
          <w:sz w:val="24"/>
          <w:szCs w:val="24"/>
        </w:rPr>
        <w:t>Den daglige mængde skal tilsættes drikkevandet sådan at det sikres, at al medicinen vil blive indtaget inden for 24 timer</w:t>
      </w:r>
      <w:bookmarkStart w:id="8" w:name="_Hlk175217481"/>
      <w:bookmarkEnd w:id="7"/>
      <w:r w:rsidRPr="00C53A0D">
        <w:rPr>
          <w:sz w:val="24"/>
          <w:szCs w:val="24"/>
        </w:rPr>
        <w:t>. Der tilberedes friskt medicineret drikkevand 1 gang i døgnet. Der bør ikke være andre tilgængelige drikkevandskilder.</w:t>
      </w:r>
    </w:p>
    <w:bookmarkEnd w:id="8"/>
    <w:p w14:paraId="131063FA" w14:textId="77777777" w:rsidR="00C53A0D" w:rsidRPr="00C53A0D" w:rsidRDefault="00C53A0D" w:rsidP="00C53A0D">
      <w:pPr>
        <w:autoSpaceDE w:val="0"/>
        <w:autoSpaceDN w:val="0"/>
        <w:adjustRightInd w:val="0"/>
        <w:ind w:left="851"/>
        <w:rPr>
          <w:sz w:val="24"/>
          <w:szCs w:val="24"/>
        </w:rPr>
      </w:pPr>
      <w:r w:rsidRPr="00C53A0D">
        <w:rPr>
          <w:sz w:val="24"/>
          <w:szCs w:val="24"/>
        </w:rPr>
        <w:t>I slutningen af behandlingsperioden bør vandforsyningen rengøres på passende vis for at undgå, at der optages resterende mængder i subterapeutiske doser. </w:t>
      </w:r>
    </w:p>
    <w:p w14:paraId="76D83287" w14:textId="77777777" w:rsidR="00C53A0D" w:rsidRPr="00C53A0D" w:rsidRDefault="00C53A0D" w:rsidP="00C53A0D">
      <w:pPr>
        <w:autoSpaceDE w:val="0"/>
        <w:autoSpaceDN w:val="0"/>
        <w:adjustRightInd w:val="0"/>
        <w:ind w:left="851"/>
        <w:rPr>
          <w:sz w:val="24"/>
          <w:szCs w:val="24"/>
        </w:rPr>
      </w:pPr>
    </w:p>
    <w:p w14:paraId="5F175489" w14:textId="77777777" w:rsidR="00C53A0D" w:rsidRPr="00C53A0D" w:rsidRDefault="00C53A0D" w:rsidP="00C53A0D">
      <w:pPr>
        <w:tabs>
          <w:tab w:val="left" w:pos="1304"/>
        </w:tabs>
        <w:ind w:left="851"/>
        <w:rPr>
          <w:sz w:val="24"/>
          <w:szCs w:val="24"/>
        </w:rPr>
      </w:pPr>
      <w:r w:rsidRPr="00C53A0D">
        <w:rPr>
          <w:sz w:val="24"/>
          <w:szCs w:val="24"/>
        </w:rPr>
        <w:t>Se pkt. 5.1. for oplysninger om biocid forligelighed.</w:t>
      </w:r>
    </w:p>
    <w:p w14:paraId="04D0EAE0" w14:textId="77777777" w:rsidR="008203A8" w:rsidRPr="00C53A0D" w:rsidRDefault="008203A8" w:rsidP="00C53A0D">
      <w:pPr>
        <w:tabs>
          <w:tab w:val="left" w:pos="851"/>
        </w:tabs>
        <w:ind w:left="851"/>
        <w:rPr>
          <w:sz w:val="24"/>
          <w:szCs w:val="24"/>
        </w:rPr>
      </w:pPr>
    </w:p>
    <w:p w14:paraId="5DCF3B6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3852F41B" w14:textId="77777777" w:rsidR="00C53A0D" w:rsidRPr="00C53A0D" w:rsidRDefault="00C53A0D" w:rsidP="00C53A0D">
      <w:pPr>
        <w:tabs>
          <w:tab w:val="left" w:pos="851"/>
        </w:tabs>
        <w:ind w:left="851"/>
        <w:rPr>
          <w:sz w:val="24"/>
          <w:szCs w:val="24"/>
        </w:rPr>
      </w:pPr>
      <w:bookmarkStart w:id="9" w:name="_Hlk176165767"/>
      <w:r w:rsidRPr="00C53A0D">
        <w:rPr>
          <w:sz w:val="24"/>
          <w:szCs w:val="24"/>
        </w:rPr>
        <w:t>En dosis på over 10 mg lincomycin pr. kg legemsvægt kan medføre diarré og løs afføring hos svin. I tilfælde af en utilsigtet overdosis bør behandlingen afbrydes og genoptages ved den anbefalede dosis. Der findes ingen specifik antidot, behandlingen er symptomatisk.</w:t>
      </w:r>
      <w:bookmarkEnd w:id="9"/>
    </w:p>
    <w:p w14:paraId="3D9A33FE" w14:textId="77777777" w:rsidR="008203A8" w:rsidRDefault="008203A8" w:rsidP="008203A8">
      <w:pPr>
        <w:tabs>
          <w:tab w:val="left" w:pos="851"/>
        </w:tabs>
        <w:ind w:left="851"/>
        <w:rPr>
          <w:sz w:val="24"/>
          <w:szCs w:val="24"/>
        </w:rPr>
      </w:pPr>
    </w:p>
    <w:p w14:paraId="5FC97801"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04CFFA89" w14:textId="77777777" w:rsidR="00C53A0D" w:rsidRPr="00C53A0D" w:rsidRDefault="00C53A0D" w:rsidP="00C53A0D">
      <w:pPr>
        <w:tabs>
          <w:tab w:val="left" w:pos="851"/>
        </w:tabs>
        <w:ind w:left="851"/>
        <w:rPr>
          <w:sz w:val="24"/>
          <w:szCs w:val="24"/>
        </w:rPr>
      </w:pPr>
      <w:r w:rsidRPr="00C53A0D">
        <w:rPr>
          <w:sz w:val="24"/>
          <w:szCs w:val="24"/>
        </w:rPr>
        <w:t>Ikke relevant.</w:t>
      </w:r>
    </w:p>
    <w:p w14:paraId="5A71D395" w14:textId="77777777" w:rsidR="008203A8" w:rsidRPr="00406EE7" w:rsidRDefault="008203A8" w:rsidP="008203A8">
      <w:pPr>
        <w:tabs>
          <w:tab w:val="left" w:pos="851"/>
        </w:tabs>
        <w:ind w:left="851"/>
        <w:rPr>
          <w:sz w:val="24"/>
          <w:szCs w:val="24"/>
        </w:rPr>
      </w:pPr>
    </w:p>
    <w:p w14:paraId="5BCEEBD2"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5C287DB6" w14:textId="77777777" w:rsidR="00C53A0D" w:rsidRDefault="00C53A0D" w:rsidP="00C53A0D">
      <w:pPr>
        <w:pStyle w:val="Sidehoved"/>
        <w:ind w:left="851"/>
        <w:rPr>
          <w:szCs w:val="24"/>
        </w:rPr>
      </w:pPr>
    </w:p>
    <w:p w14:paraId="3E08BF1D" w14:textId="186BA44F" w:rsidR="00C53A0D" w:rsidRPr="00C53A0D" w:rsidRDefault="00C53A0D" w:rsidP="00C53A0D">
      <w:pPr>
        <w:pStyle w:val="Sidehoved"/>
        <w:ind w:left="851"/>
        <w:rPr>
          <w:szCs w:val="24"/>
          <w:u w:val="single"/>
        </w:rPr>
      </w:pPr>
      <w:r w:rsidRPr="00C53A0D">
        <w:rPr>
          <w:szCs w:val="24"/>
          <w:u w:val="single"/>
        </w:rPr>
        <w:t>Svin</w:t>
      </w:r>
    </w:p>
    <w:p w14:paraId="7098A256" w14:textId="77777777" w:rsidR="00C53A0D" w:rsidRPr="00C53A0D" w:rsidRDefault="00C53A0D" w:rsidP="00C53A0D">
      <w:pPr>
        <w:pStyle w:val="Sidehoved"/>
        <w:ind w:left="851"/>
        <w:rPr>
          <w:szCs w:val="24"/>
        </w:rPr>
      </w:pPr>
      <w:r w:rsidRPr="00C53A0D">
        <w:rPr>
          <w:szCs w:val="24"/>
        </w:rPr>
        <w:t>Slagtning: 1 dag.</w:t>
      </w:r>
    </w:p>
    <w:p w14:paraId="2A989F2D" w14:textId="77777777" w:rsidR="00C53A0D" w:rsidRPr="00C53A0D" w:rsidRDefault="00C53A0D" w:rsidP="00C53A0D">
      <w:pPr>
        <w:pStyle w:val="Sidehoved"/>
        <w:ind w:left="851"/>
        <w:rPr>
          <w:szCs w:val="24"/>
        </w:rPr>
      </w:pPr>
    </w:p>
    <w:p w14:paraId="3C1F4469" w14:textId="748B2178" w:rsidR="00C53A0D" w:rsidRPr="00C53A0D" w:rsidRDefault="00C53A0D" w:rsidP="00C53A0D">
      <w:pPr>
        <w:pStyle w:val="Sidehoved"/>
        <w:ind w:left="851"/>
        <w:rPr>
          <w:szCs w:val="24"/>
          <w:u w:val="single"/>
        </w:rPr>
      </w:pPr>
      <w:r w:rsidRPr="00C53A0D">
        <w:rPr>
          <w:szCs w:val="24"/>
          <w:u w:val="single"/>
        </w:rPr>
        <w:t>Kyllinger</w:t>
      </w:r>
    </w:p>
    <w:p w14:paraId="1690396D" w14:textId="77777777" w:rsidR="00C53A0D" w:rsidRPr="00C53A0D" w:rsidRDefault="00C53A0D" w:rsidP="00C53A0D">
      <w:pPr>
        <w:pStyle w:val="Sidehoved"/>
        <w:ind w:left="851"/>
        <w:rPr>
          <w:szCs w:val="24"/>
        </w:rPr>
      </w:pPr>
      <w:r w:rsidRPr="00C53A0D">
        <w:rPr>
          <w:szCs w:val="24"/>
        </w:rPr>
        <w:t>Slagtning: 5 dage.</w:t>
      </w:r>
    </w:p>
    <w:p w14:paraId="35F7D6CD" w14:textId="77777777" w:rsidR="00C53A0D" w:rsidRPr="00C53A0D" w:rsidRDefault="00C53A0D" w:rsidP="00C53A0D">
      <w:pPr>
        <w:pStyle w:val="Sidehoved"/>
        <w:ind w:left="851"/>
        <w:rPr>
          <w:szCs w:val="24"/>
        </w:rPr>
      </w:pPr>
      <w:r w:rsidRPr="00C53A0D">
        <w:rPr>
          <w:szCs w:val="24"/>
        </w:rPr>
        <w:t>Må ikke anvendes til fugle, hvis æg er bestemt til menneskeføde.</w:t>
      </w:r>
    </w:p>
    <w:p w14:paraId="3D61043F" w14:textId="77777777" w:rsidR="008203A8" w:rsidRPr="00406EE7" w:rsidRDefault="008203A8" w:rsidP="008203A8">
      <w:pPr>
        <w:pStyle w:val="Sidehoved"/>
        <w:tabs>
          <w:tab w:val="clear" w:pos="4819"/>
        </w:tabs>
        <w:ind w:left="851"/>
        <w:rPr>
          <w:szCs w:val="24"/>
        </w:rPr>
      </w:pPr>
    </w:p>
    <w:p w14:paraId="4DECB24A" w14:textId="77777777" w:rsidR="008203A8" w:rsidRPr="00406EE7" w:rsidRDefault="008203A8" w:rsidP="008203A8">
      <w:pPr>
        <w:tabs>
          <w:tab w:val="left" w:pos="851"/>
        </w:tabs>
        <w:ind w:left="851"/>
        <w:rPr>
          <w:sz w:val="24"/>
          <w:szCs w:val="24"/>
        </w:rPr>
      </w:pPr>
    </w:p>
    <w:p w14:paraId="0C808CB7" w14:textId="58B28324" w:rsidR="008203A8" w:rsidRPr="00C53A0D" w:rsidRDefault="008203A8" w:rsidP="008203A8">
      <w:pPr>
        <w:ind w:left="851" w:hanging="851"/>
        <w:rPr>
          <w:b/>
          <w:sz w:val="24"/>
          <w:szCs w:val="24"/>
        </w:rPr>
      </w:pPr>
      <w:r w:rsidRPr="00C53A0D">
        <w:rPr>
          <w:b/>
          <w:sz w:val="24"/>
          <w:szCs w:val="24"/>
        </w:rPr>
        <w:t>4.</w:t>
      </w:r>
      <w:r w:rsidRPr="00C53A0D">
        <w:rPr>
          <w:b/>
          <w:sz w:val="24"/>
          <w:szCs w:val="24"/>
        </w:rPr>
        <w:tab/>
        <w:t>FARMAKOLOGISKE OPLYSNINGER</w:t>
      </w:r>
    </w:p>
    <w:p w14:paraId="3AA2F510" w14:textId="77777777" w:rsidR="008203A8" w:rsidRPr="00C53A0D" w:rsidRDefault="008203A8" w:rsidP="008203A8">
      <w:pPr>
        <w:ind w:left="851"/>
        <w:rPr>
          <w:sz w:val="24"/>
          <w:szCs w:val="24"/>
        </w:rPr>
      </w:pPr>
    </w:p>
    <w:p w14:paraId="18A04394" w14:textId="77777777" w:rsidR="008203A8" w:rsidRPr="00C53A0D" w:rsidRDefault="008203A8" w:rsidP="008203A8">
      <w:pPr>
        <w:ind w:left="851" w:hanging="851"/>
        <w:rPr>
          <w:b/>
          <w:sz w:val="24"/>
          <w:szCs w:val="24"/>
        </w:rPr>
      </w:pPr>
      <w:r w:rsidRPr="00C53A0D">
        <w:rPr>
          <w:b/>
          <w:sz w:val="24"/>
          <w:szCs w:val="24"/>
        </w:rPr>
        <w:t>4.1</w:t>
      </w:r>
      <w:r w:rsidRPr="00C53A0D">
        <w:rPr>
          <w:b/>
          <w:sz w:val="24"/>
          <w:szCs w:val="24"/>
        </w:rPr>
        <w:tab/>
        <w:t>ATCvet-kode</w:t>
      </w:r>
    </w:p>
    <w:p w14:paraId="394495A3" w14:textId="77777777" w:rsidR="00C53A0D" w:rsidRPr="00C53A0D" w:rsidRDefault="00C53A0D" w:rsidP="00C53A0D">
      <w:pPr>
        <w:ind w:left="851"/>
        <w:rPr>
          <w:sz w:val="24"/>
          <w:szCs w:val="24"/>
          <w:lang w:val="fr-FR"/>
        </w:rPr>
      </w:pPr>
      <w:r w:rsidRPr="00C53A0D">
        <w:rPr>
          <w:sz w:val="24"/>
          <w:szCs w:val="24"/>
          <w:lang w:val="fr-FR"/>
        </w:rPr>
        <w:t>QJ01FF02</w:t>
      </w:r>
    </w:p>
    <w:p w14:paraId="47B5BCBB" w14:textId="77777777" w:rsidR="008203A8" w:rsidRPr="00C53A0D" w:rsidRDefault="008203A8" w:rsidP="008203A8">
      <w:pPr>
        <w:ind w:left="851"/>
        <w:rPr>
          <w:sz w:val="24"/>
          <w:szCs w:val="24"/>
        </w:rPr>
      </w:pPr>
    </w:p>
    <w:p w14:paraId="22162EC6" w14:textId="77777777" w:rsidR="008203A8" w:rsidRPr="00C53A0D" w:rsidRDefault="008203A8" w:rsidP="008203A8">
      <w:pPr>
        <w:tabs>
          <w:tab w:val="left" w:pos="851"/>
        </w:tabs>
        <w:ind w:left="851" w:hanging="851"/>
        <w:rPr>
          <w:b/>
          <w:sz w:val="24"/>
          <w:szCs w:val="24"/>
        </w:rPr>
      </w:pPr>
      <w:r w:rsidRPr="00C53A0D">
        <w:rPr>
          <w:b/>
          <w:sz w:val="24"/>
          <w:szCs w:val="24"/>
        </w:rPr>
        <w:t>4.2</w:t>
      </w:r>
      <w:r w:rsidRPr="00C53A0D">
        <w:rPr>
          <w:b/>
          <w:sz w:val="24"/>
          <w:szCs w:val="24"/>
        </w:rPr>
        <w:tab/>
        <w:t>Farmakodynamiske oplysninger</w:t>
      </w:r>
    </w:p>
    <w:p w14:paraId="4F17A988" w14:textId="77777777" w:rsidR="00C53A0D" w:rsidRPr="00C53A0D" w:rsidRDefault="00C53A0D" w:rsidP="00C53A0D">
      <w:pPr>
        <w:tabs>
          <w:tab w:val="left" w:pos="851"/>
        </w:tabs>
        <w:ind w:left="851"/>
        <w:rPr>
          <w:sz w:val="24"/>
          <w:szCs w:val="24"/>
        </w:rPr>
      </w:pPr>
      <w:r w:rsidRPr="00C53A0D">
        <w:rPr>
          <w:sz w:val="24"/>
          <w:szCs w:val="24"/>
        </w:rPr>
        <w:t xml:space="preserve">Lincomycin er et lincosamid antibiotikum, der produceres af </w:t>
      </w:r>
      <w:r w:rsidRPr="00C53A0D">
        <w:rPr>
          <w:i/>
          <w:iCs/>
          <w:sz w:val="24"/>
          <w:szCs w:val="24"/>
        </w:rPr>
        <w:t>Streptomyces lincolnensis</w:t>
      </w:r>
      <w:r w:rsidRPr="00C53A0D">
        <w:rPr>
          <w:sz w:val="24"/>
          <w:szCs w:val="24"/>
        </w:rPr>
        <w:t>, som hæmmer proteinsyntesen. Lincomycin binder til 50S subunit af det bakterielle ribosom tæt på peptidyl transfer centre og påvirker processen for forlængelse af peptidkæden ved at forårsage for tidlig dissociation af peptidyl-tRNA fra ribosomet.</w:t>
      </w:r>
    </w:p>
    <w:p w14:paraId="59CF98FA" w14:textId="77777777" w:rsidR="00C53A0D" w:rsidRPr="00C53A0D" w:rsidRDefault="00C53A0D" w:rsidP="00C53A0D">
      <w:pPr>
        <w:tabs>
          <w:tab w:val="left" w:pos="851"/>
        </w:tabs>
        <w:ind w:left="851"/>
        <w:rPr>
          <w:sz w:val="24"/>
          <w:szCs w:val="24"/>
        </w:rPr>
      </w:pPr>
    </w:p>
    <w:p w14:paraId="0C2C8F1B" w14:textId="77777777" w:rsidR="00C53A0D" w:rsidRPr="00C53A0D" w:rsidRDefault="00C53A0D" w:rsidP="00C53A0D">
      <w:pPr>
        <w:tabs>
          <w:tab w:val="left" w:pos="851"/>
        </w:tabs>
        <w:ind w:left="851"/>
        <w:rPr>
          <w:sz w:val="24"/>
          <w:szCs w:val="24"/>
        </w:rPr>
      </w:pPr>
      <w:r w:rsidRPr="00C53A0D">
        <w:rPr>
          <w:sz w:val="24"/>
          <w:szCs w:val="24"/>
        </w:rPr>
        <w:t>Lincomycin er aktivt mod visse gram-negative bakterier (</w:t>
      </w:r>
      <w:r w:rsidRPr="00C53A0D">
        <w:rPr>
          <w:i/>
          <w:iCs/>
          <w:sz w:val="24"/>
          <w:szCs w:val="24"/>
        </w:rPr>
        <w:t>Clostridium perfringens</w:t>
      </w:r>
      <w:r w:rsidRPr="00C53A0D">
        <w:rPr>
          <w:sz w:val="24"/>
          <w:szCs w:val="24"/>
        </w:rPr>
        <w:t>) og mycoplasmas (</w:t>
      </w:r>
      <w:r w:rsidRPr="00C53A0D">
        <w:rPr>
          <w:i/>
          <w:iCs/>
          <w:sz w:val="24"/>
          <w:szCs w:val="24"/>
        </w:rPr>
        <w:t>Mycoplasma hyopneumoniae</w:t>
      </w:r>
      <w:r w:rsidRPr="00C53A0D">
        <w:rPr>
          <w:sz w:val="24"/>
          <w:szCs w:val="24"/>
        </w:rPr>
        <w:t>).</w:t>
      </w:r>
    </w:p>
    <w:p w14:paraId="247AC1F2" w14:textId="77777777" w:rsidR="00C53A0D" w:rsidRPr="00C53A0D" w:rsidRDefault="00C53A0D" w:rsidP="00C53A0D">
      <w:pPr>
        <w:tabs>
          <w:tab w:val="left" w:pos="851"/>
        </w:tabs>
        <w:ind w:left="851"/>
        <w:rPr>
          <w:sz w:val="24"/>
          <w:szCs w:val="24"/>
        </w:rPr>
      </w:pPr>
      <w:r w:rsidRPr="00C53A0D">
        <w:rPr>
          <w:sz w:val="24"/>
          <w:szCs w:val="24"/>
        </w:rPr>
        <w:t>Selvom lincosamider generelt anses for at være bakteriostatiske stoffer, afhænger aktiviteten af organismens følsomhed og koncentrationen af det pågældende antibiotikum. Lincomycin kan enten være baktericidt eller bakteriostatisk.</w:t>
      </w:r>
    </w:p>
    <w:p w14:paraId="146F312A" w14:textId="77777777" w:rsidR="00C53A0D" w:rsidRPr="00C53A0D" w:rsidRDefault="00C53A0D" w:rsidP="00C53A0D">
      <w:pPr>
        <w:tabs>
          <w:tab w:val="left" w:pos="851"/>
        </w:tabs>
        <w:ind w:left="851"/>
        <w:rPr>
          <w:sz w:val="24"/>
          <w:szCs w:val="24"/>
        </w:rPr>
      </w:pPr>
      <w:r w:rsidRPr="00C53A0D">
        <w:rPr>
          <w:sz w:val="24"/>
          <w:szCs w:val="24"/>
        </w:rPr>
        <w:t xml:space="preserve">Resistensmekanismer over for lincomycin omfatter antibiotika efflux og inaktivering af lægemidlet samt den hyppigste mekanisme, som er modificering af target site ved hjælp af methylering eller mutation, hvilket forhindrer det antimikrobielle stof i at binde til dets ribosomale target. rRNA-methylaserne er kodet af forskellige erythromycin-resistente methylase (erm) gener, som kan genoverføres horisontalt. Denne mekanisme for modificering af target site kan overføre krydsresistens til makrolider, andre lincosamider </w:t>
      </w:r>
      <w:r w:rsidRPr="00C53A0D">
        <w:rPr>
          <w:sz w:val="24"/>
          <w:szCs w:val="24"/>
        </w:rPr>
        <w:lastRenderedPageBreak/>
        <w:t xml:space="preserve">og streptogramin B (dvs. MLSB-fænotype). Derudover kan resistensgener lokaliseres på plasmider eller transposoner som f.eks. vga-genet og cfr-genet (hvilket overfører krydsresistens mellem pleuromutiliner, oxazolidinoner, phenicoler, streptogramin A og lincosamider). Denne type resistens kan overføres mellem bakterier og bakteriearter. Mekanismen bag antimikrobiel resistens er forskellig for hver enkelt bakterieart. </w:t>
      </w:r>
    </w:p>
    <w:p w14:paraId="3948A4F6" w14:textId="77777777" w:rsidR="008203A8" w:rsidRPr="00C53A0D" w:rsidRDefault="008203A8" w:rsidP="008203A8">
      <w:pPr>
        <w:tabs>
          <w:tab w:val="left" w:pos="851"/>
        </w:tabs>
        <w:ind w:left="851"/>
        <w:rPr>
          <w:sz w:val="24"/>
          <w:szCs w:val="24"/>
        </w:rPr>
      </w:pPr>
    </w:p>
    <w:p w14:paraId="32ED4E94" w14:textId="77777777" w:rsidR="008203A8" w:rsidRPr="00C53A0D" w:rsidRDefault="008203A8" w:rsidP="008203A8">
      <w:pPr>
        <w:tabs>
          <w:tab w:val="left" w:pos="851"/>
        </w:tabs>
        <w:ind w:left="851" w:hanging="851"/>
        <w:rPr>
          <w:b/>
          <w:sz w:val="24"/>
          <w:szCs w:val="24"/>
        </w:rPr>
      </w:pPr>
      <w:r w:rsidRPr="00C53A0D">
        <w:rPr>
          <w:b/>
          <w:sz w:val="24"/>
          <w:szCs w:val="24"/>
        </w:rPr>
        <w:t>4.3</w:t>
      </w:r>
      <w:r w:rsidRPr="00C53A0D">
        <w:rPr>
          <w:b/>
          <w:sz w:val="24"/>
          <w:szCs w:val="24"/>
        </w:rPr>
        <w:tab/>
        <w:t>Farmakokinetiske oplysninger</w:t>
      </w:r>
    </w:p>
    <w:p w14:paraId="2040B41F" w14:textId="77777777" w:rsidR="00911FF3" w:rsidRPr="00911FF3" w:rsidRDefault="00911FF3" w:rsidP="00911FF3">
      <w:pPr>
        <w:tabs>
          <w:tab w:val="left" w:pos="851"/>
        </w:tabs>
        <w:ind w:left="851"/>
        <w:rPr>
          <w:sz w:val="24"/>
          <w:szCs w:val="24"/>
        </w:rPr>
      </w:pPr>
      <w:r w:rsidRPr="00911FF3">
        <w:rPr>
          <w:sz w:val="24"/>
          <w:szCs w:val="24"/>
        </w:rPr>
        <w:t>Hos svin absorberes lincomycin hurtigt efter oral administration. En enkelt oral administration af lincomycinhydrochlorid ved et dosisniveau på ca. 22, 55 og 100 mg/kg legemsvægt hos svin medførte dosisrelaterede serumkoncentrationer for lincomycin, der kunne detekteres i 24-36 timer efter administration. Maksimal serumkoncentration blev observeret ved 4 timer efter dosering. Lignende resultater blev observeret efter orale enkeltdoser på 4,4 og 11,0 mg/kg legemsvægt hos svin. Koncentrationerne var detekterbare i 12-16 timer med maksimalkoncentration efter 4 timer. En enkelt oral dosis på 10 mg/kg legemsvægt blev administrereret til svin for at bestemme biotilgængeligheden. Oral absorption af lincomycin blev konstateret til at være 53 % ± 19 %.</w:t>
      </w:r>
    </w:p>
    <w:p w14:paraId="6D4AD503" w14:textId="77777777" w:rsidR="00911FF3" w:rsidRPr="00911FF3" w:rsidRDefault="00911FF3" w:rsidP="00911FF3">
      <w:pPr>
        <w:tabs>
          <w:tab w:val="left" w:pos="851"/>
        </w:tabs>
        <w:ind w:left="851"/>
        <w:rPr>
          <w:sz w:val="24"/>
          <w:szCs w:val="24"/>
        </w:rPr>
      </w:pPr>
      <w:r w:rsidRPr="00911FF3">
        <w:rPr>
          <w:sz w:val="24"/>
          <w:szCs w:val="24"/>
        </w:rPr>
        <w:t>Gentagen dosering til svin med daglige orale doser på 22 mg lincomycin/kg legemsvægt i 3 dage viste ingen tegn på akkumulering af lincomycin i arten. Der sås ingen detekterbare serumkoncentrationer af antibiotika 24 timer efter administration.</w:t>
      </w:r>
    </w:p>
    <w:p w14:paraId="6ADAC66E" w14:textId="77777777" w:rsidR="00911FF3" w:rsidRPr="00911FF3" w:rsidRDefault="00911FF3" w:rsidP="00911FF3">
      <w:pPr>
        <w:tabs>
          <w:tab w:val="left" w:pos="851"/>
        </w:tabs>
        <w:ind w:left="851"/>
        <w:rPr>
          <w:sz w:val="24"/>
          <w:szCs w:val="24"/>
        </w:rPr>
      </w:pPr>
      <w:r w:rsidRPr="00911FF3">
        <w:rPr>
          <w:sz w:val="24"/>
          <w:szCs w:val="24"/>
        </w:rPr>
        <w:t>Lincomycin krydser mave-tarmvæggen og fordeles derfor til alle væv, især lunger og ledhuler; fordelingsvolumen er ca. 1 liter. Eliminationshalveringstiden for lincomycin er mere end 3 timer. Ca. 50 % af lincomycin metaboliseres i leveren. Lincomycin gennemgår enterohepatisk cirkulation. Lincomycin udskilles uændret eller som forskellige metabolitter i galde og urin. Der kan observeres høje koncentrationer af den aktive form i tarmene.</w:t>
      </w:r>
    </w:p>
    <w:p w14:paraId="65FB4AFE" w14:textId="77777777" w:rsidR="00911FF3" w:rsidRPr="00911FF3" w:rsidRDefault="00911FF3" w:rsidP="00911FF3">
      <w:pPr>
        <w:tabs>
          <w:tab w:val="left" w:pos="851"/>
        </w:tabs>
        <w:ind w:left="851"/>
        <w:rPr>
          <w:sz w:val="24"/>
          <w:szCs w:val="24"/>
        </w:rPr>
      </w:pPr>
      <w:r w:rsidRPr="00911FF3">
        <w:rPr>
          <w:sz w:val="24"/>
          <w:szCs w:val="24"/>
        </w:rPr>
        <w:t>Kyllinger fik administreret lincomycinhydrochlorid i drikkevandet i forholdet ca. 34 mg/liter (5,1-6,6 mg/kg legemsvægt) i 7 dage. Metabolitterne udgjorde mere end 75 % af den totale restmængde i leveren. Umetaboliseret lincomycin faldt med en anelse hurtigere halveringstid (t½ = 5,8 timer) end total restmængde. Lincomycin og en ukendt metabolit udgjorde &gt;50 % af restmængden i muskler ved 0 timer. Fæces indeholdt primært umetaboliseret lincomycin (60-85%) under behandlingen.</w:t>
      </w:r>
    </w:p>
    <w:p w14:paraId="0A965792" w14:textId="77777777" w:rsidR="008203A8" w:rsidRPr="00406EE7" w:rsidRDefault="008203A8" w:rsidP="008203A8">
      <w:pPr>
        <w:tabs>
          <w:tab w:val="left" w:pos="851"/>
        </w:tabs>
        <w:ind w:left="851"/>
        <w:rPr>
          <w:sz w:val="24"/>
          <w:szCs w:val="24"/>
        </w:rPr>
      </w:pPr>
    </w:p>
    <w:p w14:paraId="44AA34C3" w14:textId="77777777" w:rsidR="008203A8" w:rsidRPr="00406EE7" w:rsidRDefault="008203A8" w:rsidP="008203A8">
      <w:pPr>
        <w:rPr>
          <w:b/>
          <w:sz w:val="24"/>
          <w:szCs w:val="24"/>
        </w:rPr>
      </w:pPr>
      <w:r w:rsidRPr="00406EE7">
        <w:rPr>
          <w:b/>
          <w:sz w:val="24"/>
          <w:szCs w:val="24"/>
        </w:rPr>
        <w:t>Milj</w:t>
      </w:r>
      <w:r>
        <w:rPr>
          <w:b/>
          <w:sz w:val="24"/>
          <w:szCs w:val="24"/>
        </w:rPr>
        <w:t>øoplysninger</w:t>
      </w:r>
    </w:p>
    <w:p w14:paraId="6C0237E7" w14:textId="77777777" w:rsidR="00911FF3" w:rsidRDefault="00911FF3" w:rsidP="00911FF3">
      <w:pPr>
        <w:tabs>
          <w:tab w:val="left" w:pos="1304"/>
        </w:tabs>
        <w:rPr>
          <w:sz w:val="22"/>
          <w:szCs w:val="22"/>
        </w:rPr>
      </w:pPr>
      <w:r>
        <w:rPr>
          <w:szCs w:val="22"/>
        </w:rPr>
        <w:t>Lincomycin er kendt at være toksisk for terrestriske planter, cyanobakterier og grundvandsbakterier.</w:t>
      </w:r>
    </w:p>
    <w:p w14:paraId="134543DD" w14:textId="77777777" w:rsidR="008203A8" w:rsidRPr="00406EE7" w:rsidRDefault="008203A8" w:rsidP="008203A8">
      <w:pPr>
        <w:ind w:left="851"/>
        <w:rPr>
          <w:sz w:val="24"/>
          <w:szCs w:val="24"/>
        </w:rPr>
      </w:pPr>
    </w:p>
    <w:p w14:paraId="6349375F" w14:textId="77777777" w:rsidR="008203A8" w:rsidRPr="00406EE7" w:rsidRDefault="008203A8" w:rsidP="008203A8">
      <w:pPr>
        <w:tabs>
          <w:tab w:val="left" w:pos="851"/>
        </w:tabs>
        <w:ind w:left="851"/>
        <w:rPr>
          <w:sz w:val="24"/>
          <w:szCs w:val="24"/>
        </w:rPr>
      </w:pPr>
    </w:p>
    <w:p w14:paraId="0ADE194C"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057D2DAA" w14:textId="77777777" w:rsidR="008203A8" w:rsidRPr="00406EE7" w:rsidRDefault="008203A8" w:rsidP="008203A8">
      <w:pPr>
        <w:tabs>
          <w:tab w:val="left" w:pos="851"/>
        </w:tabs>
        <w:ind w:left="851"/>
        <w:rPr>
          <w:sz w:val="24"/>
          <w:szCs w:val="24"/>
        </w:rPr>
      </w:pPr>
    </w:p>
    <w:p w14:paraId="2E4D76F3"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0AD5C6F6" w14:textId="77777777" w:rsidR="00911FF3" w:rsidRPr="00911FF3" w:rsidRDefault="00911FF3" w:rsidP="00911FF3">
      <w:pPr>
        <w:tabs>
          <w:tab w:val="left" w:pos="851"/>
        </w:tabs>
        <w:ind w:left="851"/>
        <w:rPr>
          <w:bCs/>
          <w:sz w:val="24"/>
          <w:szCs w:val="24"/>
        </w:rPr>
      </w:pPr>
      <w:r w:rsidRPr="00911FF3">
        <w:rPr>
          <w:bCs/>
          <w:sz w:val="24"/>
          <w:szCs w:val="24"/>
        </w:rPr>
        <w:t>Må ikke blandes med andre veterinærlægemidler.</w:t>
      </w:r>
    </w:p>
    <w:p w14:paraId="463E9206" w14:textId="77777777" w:rsidR="00911FF3" w:rsidRPr="00911FF3" w:rsidRDefault="00911FF3" w:rsidP="00911FF3">
      <w:pPr>
        <w:tabs>
          <w:tab w:val="left" w:pos="851"/>
        </w:tabs>
        <w:ind w:left="851"/>
        <w:rPr>
          <w:sz w:val="24"/>
          <w:szCs w:val="24"/>
        </w:rPr>
      </w:pPr>
    </w:p>
    <w:p w14:paraId="6974D508" w14:textId="77777777" w:rsidR="00911FF3" w:rsidRPr="00911FF3" w:rsidRDefault="00911FF3" w:rsidP="00911FF3">
      <w:pPr>
        <w:tabs>
          <w:tab w:val="left" w:pos="851"/>
        </w:tabs>
        <w:ind w:left="851"/>
        <w:rPr>
          <w:b/>
          <w:sz w:val="24"/>
          <w:szCs w:val="24"/>
        </w:rPr>
      </w:pPr>
      <w:r w:rsidRPr="00911FF3">
        <w:rPr>
          <w:sz w:val="24"/>
          <w:szCs w:val="24"/>
        </w:rPr>
        <w:t>Dette veterinærlægemiddel kan administreres i drikkevand, der indeholder hydrogenperoxid i en koncentration på højst 35 ppm, men det må ikke administreres i drikkevand, der indeholder chlor, da det aktive stof lincomycin nedbrydes meget hurtigt ved tilstedeværelse af chlor.</w:t>
      </w:r>
    </w:p>
    <w:p w14:paraId="5F74DC49" w14:textId="77777777" w:rsidR="008203A8" w:rsidRPr="00406EE7" w:rsidRDefault="008203A8" w:rsidP="008203A8">
      <w:pPr>
        <w:tabs>
          <w:tab w:val="left" w:pos="851"/>
        </w:tabs>
        <w:ind w:left="851"/>
        <w:rPr>
          <w:sz w:val="24"/>
          <w:szCs w:val="24"/>
        </w:rPr>
      </w:pPr>
    </w:p>
    <w:p w14:paraId="2133D17C"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11EB13F8" w14:textId="3B4A7C17" w:rsidR="00911FF3" w:rsidRDefault="00911FF3" w:rsidP="00911FF3">
      <w:pPr>
        <w:tabs>
          <w:tab w:val="left" w:pos="851"/>
        </w:tabs>
        <w:ind w:left="851"/>
        <w:rPr>
          <w:sz w:val="24"/>
          <w:szCs w:val="24"/>
        </w:rPr>
      </w:pPr>
      <w:r w:rsidRPr="00911FF3">
        <w:rPr>
          <w:sz w:val="24"/>
          <w:szCs w:val="24"/>
        </w:rPr>
        <w:t>Opbevaringstid for veterinærlægemidlet i salgspakning: 2 år.</w:t>
      </w:r>
    </w:p>
    <w:p w14:paraId="3387411E" w14:textId="77777777" w:rsidR="00911FF3" w:rsidRPr="00911FF3" w:rsidRDefault="00911FF3" w:rsidP="00911FF3">
      <w:pPr>
        <w:tabs>
          <w:tab w:val="left" w:pos="851"/>
        </w:tabs>
        <w:ind w:left="851"/>
        <w:rPr>
          <w:sz w:val="24"/>
          <w:szCs w:val="24"/>
        </w:rPr>
      </w:pPr>
    </w:p>
    <w:p w14:paraId="0269C446" w14:textId="77777777" w:rsidR="00911FF3" w:rsidRPr="00911FF3" w:rsidRDefault="00911FF3" w:rsidP="00911FF3">
      <w:pPr>
        <w:tabs>
          <w:tab w:val="left" w:pos="851"/>
        </w:tabs>
        <w:ind w:left="851"/>
        <w:rPr>
          <w:sz w:val="24"/>
          <w:szCs w:val="24"/>
        </w:rPr>
      </w:pPr>
      <w:r w:rsidRPr="00911FF3">
        <w:rPr>
          <w:sz w:val="24"/>
          <w:szCs w:val="24"/>
        </w:rPr>
        <w:t>Opbevaringstid efter første åbning af den indre emballage:</w:t>
      </w:r>
    </w:p>
    <w:p w14:paraId="2E9B673B" w14:textId="77777777" w:rsidR="00911FF3" w:rsidRPr="00911FF3" w:rsidRDefault="00911FF3" w:rsidP="00911FF3">
      <w:pPr>
        <w:tabs>
          <w:tab w:val="left" w:pos="851"/>
        </w:tabs>
        <w:ind w:left="851"/>
        <w:rPr>
          <w:sz w:val="24"/>
          <w:szCs w:val="24"/>
        </w:rPr>
      </w:pPr>
      <w:r w:rsidRPr="00911FF3">
        <w:rPr>
          <w:sz w:val="24"/>
          <w:szCs w:val="24"/>
        </w:rPr>
        <w:t>150 g brev: 7 dage.</w:t>
      </w:r>
    </w:p>
    <w:p w14:paraId="1AD405F3" w14:textId="66D9EFAB" w:rsidR="00911FF3" w:rsidRDefault="00911FF3" w:rsidP="00911FF3">
      <w:pPr>
        <w:tabs>
          <w:tab w:val="left" w:pos="851"/>
        </w:tabs>
        <w:ind w:left="851"/>
        <w:rPr>
          <w:sz w:val="24"/>
          <w:szCs w:val="24"/>
        </w:rPr>
      </w:pPr>
      <w:r w:rsidRPr="00911FF3">
        <w:rPr>
          <w:sz w:val="24"/>
          <w:szCs w:val="24"/>
        </w:rPr>
        <w:t>1 kg pose og 5 kg pose: 21 dage.</w:t>
      </w:r>
    </w:p>
    <w:p w14:paraId="51CC4FCE" w14:textId="77777777" w:rsidR="00911FF3" w:rsidRPr="00911FF3" w:rsidRDefault="00911FF3" w:rsidP="00911FF3">
      <w:pPr>
        <w:tabs>
          <w:tab w:val="left" w:pos="851"/>
        </w:tabs>
        <w:ind w:left="851"/>
        <w:rPr>
          <w:sz w:val="24"/>
          <w:szCs w:val="24"/>
        </w:rPr>
      </w:pPr>
    </w:p>
    <w:p w14:paraId="52F4F8A5" w14:textId="77777777" w:rsidR="00911FF3" w:rsidRPr="00911FF3" w:rsidRDefault="00911FF3" w:rsidP="00911FF3">
      <w:pPr>
        <w:tabs>
          <w:tab w:val="left" w:pos="851"/>
        </w:tabs>
        <w:ind w:left="851"/>
        <w:rPr>
          <w:sz w:val="24"/>
          <w:szCs w:val="24"/>
        </w:rPr>
      </w:pPr>
      <w:r w:rsidRPr="00911FF3">
        <w:rPr>
          <w:sz w:val="24"/>
          <w:szCs w:val="24"/>
        </w:rPr>
        <w:t>Opbevaringstid efter opløsning i drikkevand ifølge anvisning: 24 timer.</w:t>
      </w:r>
    </w:p>
    <w:p w14:paraId="5F466387" w14:textId="77777777" w:rsidR="008203A8" w:rsidRPr="00406EE7" w:rsidRDefault="008203A8" w:rsidP="008203A8">
      <w:pPr>
        <w:tabs>
          <w:tab w:val="left" w:pos="851"/>
        </w:tabs>
        <w:ind w:left="851"/>
        <w:rPr>
          <w:sz w:val="24"/>
          <w:szCs w:val="24"/>
        </w:rPr>
      </w:pPr>
    </w:p>
    <w:p w14:paraId="2A6514CD"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04830E9D" w14:textId="77777777" w:rsidR="005F40B5" w:rsidRPr="005F40B5" w:rsidRDefault="005F40B5" w:rsidP="005F40B5">
      <w:pPr>
        <w:tabs>
          <w:tab w:val="left" w:pos="851"/>
        </w:tabs>
        <w:ind w:left="851"/>
        <w:rPr>
          <w:sz w:val="24"/>
          <w:szCs w:val="24"/>
        </w:rPr>
      </w:pPr>
      <w:r w:rsidRPr="005F40B5">
        <w:rPr>
          <w:sz w:val="24"/>
          <w:szCs w:val="24"/>
        </w:rPr>
        <w:t>Der er ingen særlige krav vedrørende opbevaringsforhold for dette veterinærlægemiddel.</w:t>
      </w:r>
    </w:p>
    <w:p w14:paraId="4349F44F" w14:textId="77777777" w:rsidR="008203A8" w:rsidRPr="00406EE7" w:rsidRDefault="008203A8" w:rsidP="008203A8">
      <w:pPr>
        <w:tabs>
          <w:tab w:val="left" w:pos="851"/>
        </w:tabs>
        <w:ind w:left="851"/>
        <w:rPr>
          <w:sz w:val="24"/>
          <w:szCs w:val="24"/>
        </w:rPr>
      </w:pPr>
    </w:p>
    <w:p w14:paraId="072E4F26"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3D1BDB5D" w14:textId="77777777" w:rsidR="005F40B5" w:rsidRPr="005F40B5" w:rsidRDefault="005F40B5" w:rsidP="005F40B5">
      <w:pPr>
        <w:tabs>
          <w:tab w:val="left" w:pos="851"/>
        </w:tabs>
        <w:ind w:left="851"/>
        <w:rPr>
          <w:sz w:val="24"/>
          <w:szCs w:val="24"/>
        </w:rPr>
      </w:pPr>
      <w:r w:rsidRPr="005F40B5">
        <w:rPr>
          <w:sz w:val="24"/>
          <w:szCs w:val="24"/>
        </w:rPr>
        <w:t xml:space="preserve">150 g varmeforseglet brev (3-lagsfolie af </w:t>
      </w:r>
      <w:bookmarkStart w:id="10" w:name="_Hlk192853748"/>
      <w:r w:rsidRPr="005F40B5">
        <w:rPr>
          <w:sz w:val="24"/>
          <w:szCs w:val="24"/>
        </w:rPr>
        <w:t>lav-densitetspolyethylen/aluminium/polyester</w:t>
      </w:r>
      <w:bookmarkEnd w:id="10"/>
      <w:r w:rsidRPr="005F40B5">
        <w:rPr>
          <w:sz w:val="24"/>
          <w:szCs w:val="24"/>
        </w:rPr>
        <w:t>)</w:t>
      </w:r>
    </w:p>
    <w:p w14:paraId="70BB5E17" w14:textId="410BB815" w:rsidR="005F40B5" w:rsidRPr="005F40B5" w:rsidRDefault="005F40B5" w:rsidP="005F40B5">
      <w:pPr>
        <w:tabs>
          <w:tab w:val="left" w:pos="851"/>
        </w:tabs>
        <w:ind w:left="851"/>
        <w:rPr>
          <w:sz w:val="24"/>
          <w:szCs w:val="24"/>
        </w:rPr>
      </w:pPr>
      <w:bookmarkStart w:id="11" w:name="_Hlk192853760"/>
      <w:r w:rsidRPr="005F40B5">
        <w:rPr>
          <w:sz w:val="24"/>
          <w:szCs w:val="24"/>
        </w:rPr>
        <w:t>1 kg varmeforseglet pose (4-lagsfolie af lav-densitetspolyethylen/polyamid/alumini</w:t>
      </w:r>
      <w:r>
        <w:rPr>
          <w:sz w:val="24"/>
          <w:szCs w:val="24"/>
        </w:rPr>
        <w:softHyphen/>
      </w:r>
      <w:r w:rsidRPr="005F40B5">
        <w:rPr>
          <w:sz w:val="24"/>
          <w:szCs w:val="24"/>
        </w:rPr>
        <w:t>um/polyester</w:t>
      </w:r>
      <w:bookmarkEnd w:id="11"/>
      <w:r w:rsidRPr="005F40B5">
        <w:rPr>
          <w:sz w:val="24"/>
          <w:szCs w:val="24"/>
        </w:rPr>
        <w:t>)</w:t>
      </w:r>
    </w:p>
    <w:p w14:paraId="5F159A5B" w14:textId="77777777" w:rsidR="005F40B5" w:rsidRPr="005F40B5" w:rsidRDefault="005F40B5" w:rsidP="005F40B5">
      <w:pPr>
        <w:tabs>
          <w:tab w:val="left" w:pos="851"/>
        </w:tabs>
        <w:ind w:left="851"/>
        <w:rPr>
          <w:sz w:val="24"/>
          <w:szCs w:val="24"/>
        </w:rPr>
      </w:pPr>
      <w:bookmarkStart w:id="12" w:name="_Hlk192853782"/>
      <w:r w:rsidRPr="005F40B5">
        <w:rPr>
          <w:sz w:val="24"/>
          <w:szCs w:val="24"/>
        </w:rPr>
        <w:t>5 kg varmeforseglet pose (3-lagsfolie af lav-densitetpolyethylen/aluminium/polyamid)</w:t>
      </w:r>
    </w:p>
    <w:bookmarkEnd w:id="12"/>
    <w:p w14:paraId="5ACF7497" w14:textId="77777777" w:rsidR="005F40B5" w:rsidRPr="005F40B5" w:rsidRDefault="005F40B5" w:rsidP="005F40B5">
      <w:pPr>
        <w:tabs>
          <w:tab w:val="left" w:pos="851"/>
        </w:tabs>
        <w:ind w:left="851"/>
        <w:rPr>
          <w:sz w:val="24"/>
          <w:szCs w:val="24"/>
        </w:rPr>
      </w:pPr>
    </w:p>
    <w:p w14:paraId="63B8B565" w14:textId="77777777" w:rsidR="005F40B5" w:rsidRPr="005F40B5" w:rsidRDefault="005F40B5" w:rsidP="005F40B5">
      <w:pPr>
        <w:tabs>
          <w:tab w:val="left" w:pos="851"/>
        </w:tabs>
        <w:ind w:left="851"/>
        <w:rPr>
          <w:sz w:val="24"/>
          <w:szCs w:val="24"/>
        </w:rPr>
      </w:pPr>
      <w:r w:rsidRPr="005F40B5">
        <w:rPr>
          <w:sz w:val="24"/>
          <w:szCs w:val="24"/>
        </w:rPr>
        <w:t>Ikke alle pakningsstørrelser er nødvendigvis markedsført.</w:t>
      </w:r>
    </w:p>
    <w:p w14:paraId="72397F64" w14:textId="77777777" w:rsidR="008203A8" w:rsidRPr="00406EE7" w:rsidRDefault="008203A8" w:rsidP="008203A8">
      <w:pPr>
        <w:tabs>
          <w:tab w:val="left" w:pos="851"/>
        </w:tabs>
        <w:ind w:left="851"/>
        <w:rPr>
          <w:sz w:val="24"/>
          <w:szCs w:val="24"/>
        </w:rPr>
      </w:pPr>
    </w:p>
    <w:p w14:paraId="22D92022"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52E1A2D5" w14:textId="77777777" w:rsidR="005F40B5" w:rsidRPr="005F40B5" w:rsidRDefault="005F40B5" w:rsidP="005F40B5">
      <w:pPr>
        <w:tabs>
          <w:tab w:val="left" w:pos="851"/>
        </w:tabs>
        <w:ind w:left="851"/>
        <w:rPr>
          <w:sz w:val="24"/>
          <w:szCs w:val="24"/>
        </w:rPr>
      </w:pPr>
      <w:r w:rsidRPr="005F40B5">
        <w:rPr>
          <w:sz w:val="24"/>
          <w:szCs w:val="24"/>
        </w:rPr>
        <w:t>Lægemidler må ikke bortskaffes sammen med spildevand eller husholdningsaffald.</w:t>
      </w:r>
    </w:p>
    <w:p w14:paraId="3530A8E2" w14:textId="77777777" w:rsidR="005F40B5" w:rsidRPr="005F40B5" w:rsidRDefault="005F40B5" w:rsidP="005F40B5">
      <w:pPr>
        <w:tabs>
          <w:tab w:val="left" w:pos="851"/>
        </w:tabs>
        <w:ind w:left="851"/>
        <w:rPr>
          <w:sz w:val="24"/>
          <w:szCs w:val="24"/>
        </w:rPr>
      </w:pPr>
    </w:p>
    <w:p w14:paraId="26CBC856" w14:textId="77777777" w:rsidR="005F40B5" w:rsidRPr="005F40B5" w:rsidRDefault="005F40B5" w:rsidP="005F40B5">
      <w:pPr>
        <w:tabs>
          <w:tab w:val="left" w:pos="851"/>
        </w:tabs>
        <w:ind w:left="851"/>
        <w:rPr>
          <w:i/>
          <w:sz w:val="24"/>
          <w:szCs w:val="24"/>
        </w:rPr>
      </w:pPr>
      <w:r w:rsidRPr="005F40B5">
        <w:rPr>
          <w:sz w:val="24"/>
          <w:szCs w:val="24"/>
        </w:rPr>
        <w:t>Dette veterinærlægemiddel må ikke udledes i vandløb, da lincomycin kan være farligt for fisk og andre vandorganismer.</w:t>
      </w:r>
    </w:p>
    <w:p w14:paraId="72D143BC" w14:textId="77777777" w:rsidR="005F40B5" w:rsidRPr="005F40B5" w:rsidRDefault="005F40B5" w:rsidP="005F40B5">
      <w:pPr>
        <w:tabs>
          <w:tab w:val="left" w:pos="851"/>
        </w:tabs>
        <w:ind w:left="851"/>
        <w:rPr>
          <w:sz w:val="24"/>
          <w:szCs w:val="24"/>
        </w:rPr>
      </w:pPr>
    </w:p>
    <w:p w14:paraId="612081D9" w14:textId="77777777" w:rsidR="005F40B5" w:rsidRPr="005F40B5" w:rsidRDefault="005F40B5" w:rsidP="005F40B5">
      <w:pPr>
        <w:tabs>
          <w:tab w:val="left" w:pos="851"/>
        </w:tabs>
        <w:ind w:left="851"/>
        <w:rPr>
          <w:sz w:val="24"/>
          <w:szCs w:val="24"/>
        </w:rPr>
      </w:pPr>
      <w:r w:rsidRPr="005F40B5">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F43E5A7" w14:textId="77777777" w:rsidR="008203A8" w:rsidRDefault="008203A8" w:rsidP="008203A8">
      <w:pPr>
        <w:tabs>
          <w:tab w:val="left" w:pos="851"/>
        </w:tabs>
        <w:ind w:left="851"/>
        <w:rPr>
          <w:sz w:val="24"/>
          <w:szCs w:val="24"/>
        </w:rPr>
      </w:pPr>
    </w:p>
    <w:p w14:paraId="0ACE04EC" w14:textId="77777777" w:rsidR="008203A8" w:rsidRPr="00070728" w:rsidRDefault="008203A8" w:rsidP="008203A8">
      <w:pPr>
        <w:tabs>
          <w:tab w:val="left" w:pos="851"/>
        </w:tabs>
        <w:ind w:left="851"/>
        <w:rPr>
          <w:sz w:val="24"/>
          <w:szCs w:val="24"/>
        </w:rPr>
      </w:pPr>
    </w:p>
    <w:p w14:paraId="1C9F8FA1"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158CC60D" w14:textId="5B73E9C2" w:rsidR="005F40B5" w:rsidRPr="00025958" w:rsidRDefault="005F40B5" w:rsidP="005F40B5">
      <w:pPr>
        <w:tabs>
          <w:tab w:val="left" w:pos="851"/>
        </w:tabs>
        <w:ind w:left="851"/>
        <w:rPr>
          <w:sz w:val="24"/>
          <w:szCs w:val="24"/>
        </w:rPr>
      </w:pPr>
      <w:r w:rsidRPr="00025958">
        <w:rPr>
          <w:sz w:val="24"/>
          <w:szCs w:val="24"/>
        </w:rPr>
        <w:t>Endectovet EOOD</w:t>
      </w:r>
    </w:p>
    <w:p w14:paraId="5496A189" w14:textId="77BCA4A9" w:rsidR="005F40B5" w:rsidRPr="00A874DB" w:rsidRDefault="005F40B5" w:rsidP="005F40B5">
      <w:pPr>
        <w:tabs>
          <w:tab w:val="left" w:pos="851"/>
        </w:tabs>
        <w:ind w:left="851"/>
        <w:rPr>
          <w:iCs/>
          <w:sz w:val="24"/>
          <w:szCs w:val="24"/>
          <w:lang w:val="en-US"/>
        </w:rPr>
      </w:pPr>
      <w:r w:rsidRPr="00A874DB">
        <w:rPr>
          <w:iCs/>
          <w:sz w:val="24"/>
          <w:szCs w:val="24"/>
          <w:lang w:val="en-US"/>
        </w:rPr>
        <w:t>Mihail Takev Street</w:t>
      </w:r>
      <w:r w:rsidR="00A874DB" w:rsidRPr="00A874DB">
        <w:rPr>
          <w:iCs/>
          <w:sz w:val="24"/>
          <w:szCs w:val="24"/>
          <w:lang w:val="en-US"/>
        </w:rPr>
        <w:t xml:space="preserve"> 1</w:t>
      </w:r>
      <w:r w:rsidR="00A874DB">
        <w:rPr>
          <w:iCs/>
          <w:sz w:val="24"/>
          <w:szCs w:val="24"/>
          <w:lang w:val="en-US"/>
        </w:rPr>
        <w:t>08</w:t>
      </w:r>
    </w:p>
    <w:p w14:paraId="3D14EC97" w14:textId="49E1C1A6" w:rsidR="005F40B5" w:rsidRPr="00A874DB" w:rsidRDefault="005F40B5" w:rsidP="005F40B5">
      <w:pPr>
        <w:tabs>
          <w:tab w:val="left" w:pos="851"/>
        </w:tabs>
        <w:ind w:left="851"/>
        <w:rPr>
          <w:iCs/>
          <w:sz w:val="24"/>
          <w:szCs w:val="24"/>
          <w:lang w:val="en-US"/>
        </w:rPr>
      </w:pPr>
      <w:r w:rsidRPr="00A874DB">
        <w:rPr>
          <w:iCs/>
          <w:sz w:val="24"/>
          <w:szCs w:val="24"/>
          <w:lang w:val="en-US"/>
        </w:rPr>
        <w:t>Floor 2, Apartment 3</w:t>
      </w:r>
    </w:p>
    <w:p w14:paraId="31BFE32E" w14:textId="384A1B77" w:rsidR="005F40B5" w:rsidRPr="00025958" w:rsidRDefault="005F40B5" w:rsidP="005F40B5">
      <w:pPr>
        <w:tabs>
          <w:tab w:val="left" w:pos="851"/>
        </w:tabs>
        <w:ind w:left="851"/>
        <w:rPr>
          <w:iCs/>
          <w:sz w:val="24"/>
          <w:szCs w:val="24"/>
        </w:rPr>
      </w:pPr>
      <w:r w:rsidRPr="00025958">
        <w:rPr>
          <w:iCs/>
          <w:sz w:val="24"/>
          <w:szCs w:val="24"/>
        </w:rPr>
        <w:t>4550 Peshtera</w:t>
      </w:r>
      <w:r w:rsidR="00A874DB" w:rsidRPr="00025958">
        <w:rPr>
          <w:iCs/>
          <w:sz w:val="24"/>
          <w:szCs w:val="24"/>
        </w:rPr>
        <w:t>, Region Pazardzhik</w:t>
      </w:r>
    </w:p>
    <w:p w14:paraId="297B3075" w14:textId="77777777" w:rsidR="005F40B5" w:rsidRPr="005F40B5" w:rsidRDefault="005F40B5" w:rsidP="005F40B5">
      <w:pPr>
        <w:tabs>
          <w:tab w:val="left" w:pos="851"/>
        </w:tabs>
        <w:ind w:left="851"/>
        <w:rPr>
          <w:iCs/>
          <w:sz w:val="24"/>
          <w:szCs w:val="24"/>
        </w:rPr>
      </w:pPr>
      <w:r w:rsidRPr="005F40B5">
        <w:rPr>
          <w:iCs/>
          <w:sz w:val="24"/>
          <w:szCs w:val="24"/>
        </w:rPr>
        <w:t>Bulgarien</w:t>
      </w:r>
    </w:p>
    <w:p w14:paraId="65F28113" w14:textId="77777777" w:rsidR="008203A8" w:rsidRDefault="008203A8" w:rsidP="008203A8">
      <w:pPr>
        <w:tabs>
          <w:tab w:val="left" w:pos="851"/>
        </w:tabs>
        <w:ind w:left="851"/>
        <w:rPr>
          <w:sz w:val="24"/>
          <w:szCs w:val="24"/>
        </w:rPr>
      </w:pPr>
    </w:p>
    <w:p w14:paraId="24F53FFE"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6FA4A925" w14:textId="53D4DBFE" w:rsidR="008203A8" w:rsidRPr="00406EE7" w:rsidRDefault="007457E3" w:rsidP="008203A8">
      <w:pPr>
        <w:tabs>
          <w:tab w:val="left" w:pos="851"/>
        </w:tabs>
        <w:ind w:left="851"/>
        <w:rPr>
          <w:sz w:val="24"/>
          <w:szCs w:val="24"/>
        </w:rPr>
      </w:pPr>
      <w:r>
        <w:rPr>
          <w:sz w:val="24"/>
          <w:szCs w:val="24"/>
        </w:rPr>
        <w:t>72499</w:t>
      </w:r>
    </w:p>
    <w:p w14:paraId="1AF9E149" w14:textId="77777777" w:rsidR="008203A8" w:rsidRPr="00406EE7" w:rsidRDefault="008203A8" w:rsidP="008203A8">
      <w:pPr>
        <w:tabs>
          <w:tab w:val="left" w:pos="851"/>
        </w:tabs>
        <w:ind w:left="851"/>
        <w:rPr>
          <w:sz w:val="24"/>
          <w:szCs w:val="24"/>
        </w:rPr>
      </w:pPr>
    </w:p>
    <w:p w14:paraId="7F447645"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007A4396" w14:textId="4AB60C17" w:rsidR="008203A8" w:rsidRPr="00406EE7" w:rsidRDefault="00025958" w:rsidP="008203A8">
      <w:pPr>
        <w:tabs>
          <w:tab w:val="left" w:pos="851"/>
        </w:tabs>
        <w:ind w:left="851"/>
        <w:rPr>
          <w:sz w:val="24"/>
          <w:szCs w:val="24"/>
        </w:rPr>
      </w:pPr>
      <w:r>
        <w:rPr>
          <w:sz w:val="24"/>
          <w:szCs w:val="24"/>
        </w:rPr>
        <w:t>5. september 2025</w:t>
      </w:r>
    </w:p>
    <w:p w14:paraId="6D7F712F" w14:textId="77777777" w:rsidR="008203A8" w:rsidRPr="00406EE7" w:rsidRDefault="008203A8" w:rsidP="008203A8">
      <w:pPr>
        <w:tabs>
          <w:tab w:val="left" w:pos="851"/>
        </w:tabs>
        <w:ind w:left="851"/>
        <w:rPr>
          <w:sz w:val="24"/>
          <w:szCs w:val="24"/>
        </w:rPr>
      </w:pPr>
    </w:p>
    <w:p w14:paraId="4D2611E9"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4889E3FF" w14:textId="063FC2CB" w:rsidR="008203A8" w:rsidRPr="00406EE7" w:rsidRDefault="007457E3" w:rsidP="008203A8">
      <w:pPr>
        <w:tabs>
          <w:tab w:val="left" w:pos="851"/>
        </w:tabs>
        <w:ind w:left="851"/>
        <w:rPr>
          <w:sz w:val="24"/>
          <w:szCs w:val="24"/>
        </w:rPr>
      </w:pPr>
      <w:r>
        <w:rPr>
          <w:sz w:val="24"/>
          <w:szCs w:val="24"/>
        </w:rPr>
        <w:t>-</w:t>
      </w:r>
    </w:p>
    <w:p w14:paraId="6CFC8AFF" w14:textId="77777777" w:rsidR="008203A8" w:rsidRPr="00406EE7" w:rsidRDefault="008203A8" w:rsidP="008203A8">
      <w:pPr>
        <w:tabs>
          <w:tab w:val="left" w:pos="851"/>
        </w:tabs>
        <w:ind w:left="851"/>
        <w:rPr>
          <w:sz w:val="24"/>
          <w:szCs w:val="24"/>
        </w:rPr>
      </w:pPr>
    </w:p>
    <w:p w14:paraId="2F6D3EEA"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0D136E9A" w14:textId="4BFF772B" w:rsidR="008203A8" w:rsidRDefault="007457E3" w:rsidP="008203A8">
      <w:pPr>
        <w:pStyle w:val="Sidehoved"/>
        <w:tabs>
          <w:tab w:val="clear" w:pos="4819"/>
          <w:tab w:val="left" w:pos="851"/>
        </w:tabs>
        <w:ind w:left="851"/>
        <w:rPr>
          <w:szCs w:val="24"/>
        </w:rPr>
      </w:pPr>
      <w:r>
        <w:rPr>
          <w:szCs w:val="24"/>
        </w:rPr>
        <w:t>BP</w:t>
      </w:r>
    </w:p>
    <w:p w14:paraId="228B960C" w14:textId="0D363615" w:rsidR="007457E3" w:rsidRDefault="007457E3" w:rsidP="008203A8">
      <w:pPr>
        <w:pStyle w:val="Sidehoved"/>
        <w:tabs>
          <w:tab w:val="clear" w:pos="4819"/>
          <w:tab w:val="left" w:pos="851"/>
        </w:tabs>
        <w:ind w:left="851"/>
        <w:rPr>
          <w:szCs w:val="24"/>
        </w:rPr>
      </w:pPr>
    </w:p>
    <w:p w14:paraId="3D86CA62" w14:textId="6829BDAB" w:rsidR="0003527F" w:rsidRPr="00025958" w:rsidRDefault="007457E3" w:rsidP="00025958">
      <w:pPr>
        <w:pStyle w:val="Sidehoved"/>
        <w:tabs>
          <w:tab w:val="left" w:pos="851"/>
        </w:tabs>
        <w:ind w:left="851"/>
        <w:rPr>
          <w:szCs w:val="24"/>
        </w:rPr>
      </w:pPr>
      <w:bookmarkStart w:id="13" w:name="_Hlk73467306"/>
      <w:r w:rsidRPr="007457E3">
        <w:rPr>
          <w:szCs w:val="24"/>
        </w:rPr>
        <w:t>Der findes detaljerede oplysninger om dette veterinærlægemiddel i EU-lægemiddeldatabasen (</w:t>
      </w:r>
      <w:hyperlink r:id="rId8" w:history="1">
        <w:r w:rsidRPr="007457E3">
          <w:rPr>
            <w:rStyle w:val="Hyperlink"/>
            <w:szCs w:val="24"/>
          </w:rPr>
          <w:t>https://medicines.health.europa.eu/veterinary</w:t>
        </w:r>
      </w:hyperlink>
      <w:r w:rsidRPr="007457E3">
        <w:rPr>
          <w:szCs w:val="24"/>
        </w:rPr>
        <w:t>).</w:t>
      </w:r>
      <w:bookmarkEnd w:id="13"/>
    </w:p>
    <w:sectPr w:rsidR="0003527F" w:rsidRPr="00025958"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80DC" w14:textId="77777777" w:rsidR="00414447" w:rsidRDefault="00414447">
      <w:r>
        <w:separator/>
      </w:r>
    </w:p>
  </w:endnote>
  <w:endnote w:type="continuationSeparator" w:id="0">
    <w:p w14:paraId="3F102DD4" w14:textId="77777777" w:rsidR="00414447" w:rsidRDefault="0041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15D4" w14:textId="77777777" w:rsidR="004A62CC" w:rsidRDefault="004A62CC">
    <w:pPr>
      <w:pStyle w:val="Sidefod"/>
      <w:pBdr>
        <w:bottom w:val="single" w:sz="6" w:space="1" w:color="auto"/>
      </w:pBdr>
      <w:tabs>
        <w:tab w:val="clear" w:pos="4819"/>
        <w:tab w:val="left" w:pos="8647"/>
      </w:tabs>
      <w:rPr>
        <w:i/>
        <w:snapToGrid w:val="0"/>
        <w:sz w:val="18"/>
      </w:rPr>
    </w:pPr>
  </w:p>
  <w:p w14:paraId="537F336A" w14:textId="77777777" w:rsidR="004A62CC" w:rsidRDefault="004A62CC">
    <w:pPr>
      <w:pStyle w:val="Sidefod"/>
      <w:tabs>
        <w:tab w:val="clear" w:pos="4819"/>
        <w:tab w:val="left" w:pos="8647"/>
      </w:tabs>
      <w:rPr>
        <w:i/>
        <w:snapToGrid w:val="0"/>
        <w:sz w:val="18"/>
      </w:rPr>
    </w:pPr>
  </w:p>
  <w:p w14:paraId="51E45BB3" w14:textId="2615D800"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B3FF9">
      <w:rPr>
        <w:i/>
        <w:noProof/>
        <w:snapToGrid w:val="0"/>
        <w:sz w:val="18"/>
      </w:rPr>
      <w:t>Lyncoo, pulver til anvendelse i drikkevand 400 mg-g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8448" w14:textId="77777777" w:rsidR="004A62CC" w:rsidRDefault="004A62CC">
    <w:pPr>
      <w:pStyle w:val="Sidefod"/>
      <w:pBdr>
        <w:bottom w:val="single" w:sz="6" w:space="1" w:color="auto"/>
      </w:pBdr>
      <w:tabs>
        <w:tab w:val="clear" w:pos="4819"/>
        <w:tab w:val="left" w:pos="8647"/>
      </w:tabs>
      <w:rPr>
        <w:i/>
        <w:snapToGrid w:val="0"/>
        <w:sz w:val="18"/>
      </w:rPr>
    </w:pPr>
  </w:p>
  <w:p w14:paraId="18749AFF" w14:textId="77777777" w:rsidR="004A62CC" w:rsidRDefault="004A62CC">
    <w:pPr>
      <w:pStyle w:val="Sidefod"/>
      <w:tabs>
        <w:tab w:val="clear" w:pos="4819"/>
        <w:tab w:val="left" w:pos="8647"/>
      </w:tabs>
      <w:rPr>
        <w:i/>
        <w:snapToGrid w:val="0"/>
        <w:sz w:val="18"/>
      </w:rPr>
    </w:pPr>
  </w:p>
  <w:p w14:paraId="4C6ADE23" w14:textId="051FC8A1"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6B3FF9">
      <w:rPr>
        <w:i/>
        <w:noProof/>
        <w:snapToGrid w:val="0"/>
        <w:sz w:val="18"/>
      </w:rPr>
      <w:t>Lyncoo, pulver til anvendelse i drikkevand 400 mg-g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8D15" w14:textId="77777777" w:rsidR="00414447" w:rsidRDefault="00414447">
      <w:r>
        <w:separator/>
      </w:r>
    </w:p>
  </w:footnote>
  <w:footnote w:type="continuationSeparator" w:id="0">
    <w:p w14:paraId="5DEB32B7" w14:textId="77777777" w:rsidR="00414447" w:rsidRDefault="0041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9740"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9138"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47"/>
    <w:rsid w:val="000241E8"/>
    <w:rsid w:val="0002595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4447"/>
    <w:rsid w:val="00415D7C"/>
    <w:rsid w:val="00417225"/>
    <w:rsid w:val="00451FEF"/>
    <w:rsid w:val="00491D56"/>
    <w:rsid w:val="004A62CC"/>
    <w:rsid w:val="004C733C"/>
    <w:rsid w:val="00514C36"/>
    <w:rsid w:val="00565A74"/>
    <w:rsid w:val="005B0036"/>
    <w:rsid w:val="005D1DAA"/>
    <w:rsid w:val="005E336B"/>
    <w:rsid w:val="005F40B5"/>
    <w:rsid w:val="005F5831"/>
    <w:rsid w:val="00601E64"/>
    <w:rsid w:val="0061389F"/>
    <w:rsid w:val="00614110"/>
    <w:rsid w:val="00627236"/>
    <w:rsid w:val="00633A39"/>
    <w:rsid w:val="00646A5F"/>
    <w:rsid w:val="00662012"/>
    <w:rsid w:val="00666B01"/>
    <w:rsid w:val="00687CE3"/>
    <w:rsid w:val="00696BF6"/>
    <w:rsid w:val="006B1539"/>
    <w:rsid w:val="006B3FF9"/>
    <w:rsid w:val="006C2FE7"/>
    <w:rsid w:val="006F0D27"/>
    <w:rsid w:val="006F5621"/>
    <w:rsid w:val="00701164"/>
    <w:rsid w:val="0071651B"/>
    <w:rsid w:val="00734E54"/>
    <w:rsid w:val="007457E3"/>
    <w:rsid w:val="00750478"/>
    <w:rsid w:val="00751513"/>
    <w:rsid w:val="007564C7"/>
    <w:rsid w:val="00766F98"/>
    <w:rsid w:val="00776C2C"/>
    <w:rsid w:val="00781329"/>
    <w:rsid w:val="007A684C"/>
    <w:rsid w:val="007C688A"/>
    <w:rsid w:val="007E2A00"/>
    <w:rsid w:val="008010F2"/>
    <w:rsid w:val="00805902"/>
    <w:rsid w:val="00813E75"/>
    <w:rsid w:val="0081533D"/>
    <w:rsid w:val="008203A8"/>
    <w:rsid w:val="00832754"/>
    <w:rsid w:val="008509BB"/>
    <w:rsid w:val="00851D7F"/>
    <w:rsid w:val="008803C5"/>
    <w:rsid w:val="008E4866"/>
    <w:rsid w:val="00911FF3"/>
    <w:rsid w:val="009202AE"/>
    <w:rsid w:val="00942FB8"/>
    <w:rsid w:val="00960F5F"/>
    <w:rsid w:val="00967486"/>
    <w:rsid w:val="009D66C6"/>
    <w:rsid w:val="009E300C"/>
    <w:rsid w:val="009E5184"/>
    <w:rsid w:val="009F1F5E"/>
    <w:rsid w:val="00A31E52"/>
    <w:rsid w:val="00A74A8A"/>
    <w:rsid w:val="00A85606"/>
    <w:rsid w:val="00A86C63"/>
    <w:rsid w:val="00A874DB"/>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53A0D"/>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1F5D"/>
  <w15:chartTrackingRefBased/>
  <w15:docId w15:val="{D58D3A18-97B0-41DD-B89F-7655ED7D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aliases w:val="Kommentarer"/>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7457E3"/>
    <w:rPr>
      <w:color w:val="0563C1" w:themeColor="hyperlink"/>
      <w:u w:val="single"/>
    </w:rPr>
  </w:style>
  <w:style w:type="character" w:styleId="Ulstomtale">
    <w:name w:val="Unresolved Mention"/>
    <w:basedOn w:val="Standardskrifttypeiafsnit"/>
    <w:uiPriority w:val="99"/>
    <w:semiHidden/>
    <w:unhideWhenUsed/>
    <w:rsid w:val="00745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00802970">
      <w:bodyDiv w:val="1"/>
      <w:marLeft w:val="0"/>
      <w:marRight w:val="0"/>
      <w:marTop w:val="0"/>
      <w:marBottom w:val="0"/>
      <w:divBdr>
        <w:top w:val="none" w:sz="0" w:space="0" w:color="auto"/>
        <w:left w:val="none" w:sz="0" w:space="0" w:color="auto"/>
        <w:bottom w:val="none" w:sz="0" w:space="0" w:color="auto"/>
        <w:right w:val="none" w:sz="0" w:space="0" w:color="auto"/>
      </w:divBdr>
    </w:div>
    <w:div w:id="16097392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8572571">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86277302">
      <w:bodyDiv w:val="1"/>
      <w:marLeft w:val="0"/>
      <w:marRight w:val="0"/>
      <w:marTop w:val="0"/>
      <w:marBottom w:val="0"/>
      <w:divBdr>
        <w:top w:val="none" w:sz="0" w:space="0" w:color="auto"/>
        <w:left w:val="none" w:sz="0" w:space="0" w:color="auto"/>
        <w:bottom w:val="none" w:sz="0" w:space="0" w:color="auto"/>
        <w:right w:val="none" w:sz="0" w:space="0" w:color="auto"/>
      </w:divBdr>
    </w:div>
    <w:div w:id="296954585">
      <w:bodyDiv w:val="1"/>
      <w:marLeft w:val="0"/>
      <w:marRight w:val="0"/>
      <w:marTop w:val="0"/>
      <w:marBottom w:val="0"/>
      <w:divBdr>
        <w:top w:val="none" w:sz="0" w:space="0" w:color="auto"/>
        <w:left w:val="none" w:sz="0" w:space="0" w:color="auto"/>
        <w:bottom w:val="none" w:sz="0" w:space="0" w:color="auto"/>
        <w:right w:val="none" w:sz="0" w:space="0" w:color="auto"/>
      </w:divBdr>
    </w:div>
    <w:div w:id="329216560">
      <w:bodyDiv w:val="1"/>
      <w:marLeft w:val="0"/>
      <w:marRight w:val="0"/>
      <w:marTop w:val="0"/>
      <w:marBottom w:val="0"/>
      <w:divBdr>
        <w:top w:val="none" w:sz="0" w:space="0" w:color="auto"/>
        <w:left w:val="none" w:sz="0" w:space="0" w:color="auto"/>
        <w:bottom w:val="none" w:sz="0" w:space="0" w:color="auto"/>
        <w:right w:val="none" w:sz="0" w:space="0" w:color="auto"/>
      </w:divBdr>
    </w:div>
    <w:div w:id="338116373">
      <w:bodyDiv w:val="1"/>
      <w:marLeft w:val="0"/>
      <w:marRight w:val="0"/>
      <w:marTop w:val="0"/>
      <w:marBottom w:val="0"/>
      <w:divBdr>
        <w:top w:val="none" w:sz="0" w:space="0" w:color="auto"/>
        <w:left w:val="none" w:sz="0" w:space="0" w:color="auto"/>
        <w:bottom w:val="none" w:sz="0" w:space="0" w:color="auto"/>
        <w:right w:val="none" w:sz="0" w:space="0" w:color="auto"/>
      </w:divBdr>
    </w:div>
    <w:div w:id="338168310">
      <w:bodyDiv w:val="1"/>
      <w:marLeft w:val="0"/>
      <w:marRight w:val="0"/>
      <w:marTop w:val="0"/>
      <w:marBottom w:val="0"/>
      <w:divBdr>
        <w:top w:val="none" w:sz="0" w:space="0" w:color="auto"/>
        <w:left w:val="none" w:sz="0" w:space="0" w:color="auto"/>
        <w:bottom w:val="none" w:sz="0" w:space="0" w:color="auto"/>
        <w:right w:val="none" w:sz="0" w:space="0" w:color="auto"/>
      </w:divBdr>
    </w:div>
    <w:div w:id="357585493">
      <w:bodyDiv w:val="1"/>
      <w:marLeft w:val="0"/>
      <w:marRight w:val="0"/>
      <w:marTop w:val="0"/>
      <w:marBottom w:val="0"/>
      <w:divBdr>
        <w:top w:val="none" w:sz="0" w:space="0" w:color="auto"/>
        <w:left w:val="none" w:sz="0" w:space="0" w:color="auto"/>
        <w:bottom w:val="none" w:sz="0" w:space="0" w:color="auto"/>
        <w:right w:val="none" w:sz="0" w:space="0" w:color="auto"/>
      </w:divBdr>
    </w:div>
    <w:div w:id="363100756">
      <w:bodyDiv w:val="1"/>
      <w:marLeft w:val="0"/>
      <w:marRight w:val="0"/>
      <w:marTop w:val="0"/>
      <w:marBottom w:val="0"/>
      <w:divBdr>
        <w:top w:val="none" w:sz="0" w:space="0" w:color="auto"/>
        <w:left w:val="none" w:sz="0" w:space="0" w:color="auto"/>
        <w:bottom w:val="none" w:sz="0" w:space="0" w:color="auto"/>
        <w:right w:val="none" w:sz="0" w:space="0" w:color="auto"/>
      </w:divBdr>
    </w:div>
    <w:div w:id="39154248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06942986">
      <w:bodyDiv w:val="1"/>
      <w:marLeft w:val="0"/>
      <w:marRight w:val="0"/>
      <w:marTop w:val="0"/>
      <w:marBottom w:val="0"/>
      <w:divBdr>
        <w:top w:val="none" w:sz="0" w:space="0" w:color="auto"/>
        <w:left w:val="none" w:sz="0" w:space="0" w:color="auto"/>
        <w:bottom w:val="none" w:sz="0" w:space="0" w:color="auto"/>
        <w:right w:val="none" w:sz="0" w:space="0" w:color="auto"/>
      </w:divBdr>
    </w:div>
    <w:div w:id="540244679">
      <w:bodyDiv w:val="1"/>
      <w:marLeft w:val="0"/>
      <w:marRight w:val="0"/>
      <w:marTop w:val="0"/>
      <w:marBottom w:val="0"/>
      <w:divBdr>
        <w:top w:val="none" w:sz="0" w:space="0" w:color="auto"/>
        <w:left w:val="none" w:sz="0" w:space="0" w:color="auto"/>
        <w:bottom w:val="none" w:sz="0" w:space="0" w:color="auto"/>
        <w:right w:val="none" w:sz="0" w:space="0" w:color="auto"/>
      </w:divBdr>
    </w:div>
    <w:div w:id="608316829">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24530748">
      <w:bodyDiv w:val="1"/>
      <w:marLeft w:val="0"/>
      <w:marRight w:val="0"/>
      <w:marTop w:val="0"/>
      <w:marBottom w:val="0"/>
      <w:divBdr>
        <w:top w:val="none" w:sz="0" w:space="0" w:color="auto"/>
        <w:left w:val="none" w:sz="0" w:space="0" w:color="auto"/>
        <w:bottom w:val="none" w:sz="0" w:space="0" w:color="auto"/>
        <w:right w:val="none" w:sz="0" w:space="0" w:color="auto"/>
      </w:divBdr>
    </w:div>
    <w:div w:id="734205352">
      <w:bodyDiv w:val="1"/>
      <w:marLeft w:val="0"/>
      <w:marRight w:val="0"/>
      <w:marTop w:val="0"/>
      <w:marBottom w:val="0"/>
      <w:divBdr>
        <w:top w:val="none" w:sz="0" w:space="0" w:color="auto"/>
        <w:left w:val="none" w:sz="0" w:space="0" w:color="auto"/>
        <w:bottom w:val="none" w:sz="0" w:space="0" w:color="auto"/>
        <w:right w:val="none" w:sz="0" w:space="0" w:color="auto"/>
      </w:divBdr>
    </w:div>
    <w:div w:id="762535301">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809439690">
      <w:bodyDiv w:val="1"/>
      <w:marLeft w:val="0"/>
      <w:marRight w:val="0"/>
      <w:marTop w:val="0"/>
      <w:marBottom w:val="0"/>
      <w:divBdr>
        <w:top w:val="none" w:sz="0" w:space="0" w:color="auto"/>
        <w:left w:val="none" w:sz="0" w:space="0" w:color="auto"/>
        <w:bottom w:val="none" w:sz="0" w:space="0" w:color="auto"/>
        <w:right w:val="none" w:sz="0" w:space="0" w:color="auto"/>
      </w:divBdr>
    </w:div>
    <w:div w:id="83495386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05531342">
      <w:bodyDiv w:val="1"/>
      <w:marLeft w:val="0"/>
      <w:marRight w:val="0"/>
      <w:marTop w:val="0"/>
      <w:marBottom w:val="0"/>
      <w:divBdr>
        <w:top w:val="none" w:sz="0" w:space="0" w:color="auto"/>
        <w:left w:val="none" w:sz="0" w:space="0" w:color="auto"/>
        <w:bottom w:val="none" w:sz="0" w:space="0" w:color="auto"/>
        <w:right w:val="none" w:sz="0" w:space="0" w:color="auto"/>
      </w:divBdr>
    </w:div>
    <w:div w:id="921332581">
      <w:bodyDiv w:val="1"/>
      <w:marLeft w:val="0"/>
      <w:marRight w:val="0"/>
      <w:marTop w:val="0"/>
      <w:marBottom w:val="0"/>
      <w:divBdr>
        <w:top w:val="none" w:sz="0" w:space="0" w:color="auto"/>
        <w:left w:val="none" w:sz="0" w:space="0" w:color="auto"/>
        <w:bottom w:val="none" w:sz="0" w:space="0" w:color="auto"/>
        <w:right w:val="none" w:sz="0" w:space="0" w:color="auto"/>
      </w:divBdr>
    </w:div>
    <w:div w:id="972826592">
      <w:bodyDiv w:val="1"/>
      <w:marLeft w:val="0"/>
      <w:marRight w:val="0"/>
      <w:marTop w:val="0"/>
      <w:marBottom w:val="0"/>
      <w:divBdr>
        <w:top w:val="none" w:sz="0" w:space="0" w:color="auto"/>
        <w:left w:val="none" w:sz="0" w:space="0" w:color="auto"/>
        <w:bottom w:val="none" w:sz="0" w:space="0" w:color="auto"/>
        <w:right w:val="none" w:sz="0" w:space="0" w:color="auto"/>
      </w:divBdr>
    </w:div>
    <w:div w:id="985934027">
      <w:bodyDiv w:val="1"/>
      <w:marLeft w:val="0"/>
      <w:marRight w:val="0"/>
      <w:marTop w:val="0"/>
      <w:marBottom w:val="0"/>
      <w:divBdr>
        <w:top w:val="none" w:sz="0" w:space="0" w:color="auto"/>
        <w:left w:val="none" w:sz="0" w:space="0" w:color="auto"/>
        <w:bottom w:val="none" w:sz="0" w:space="0" w:color="auto"/>
        <w:right w:val="none" w:sz="0" w:space="0" w:color="auto"/>
      </w:divBdr>
    </w:div>
    <w:div w:id="1000625347">
      <w:bodyDiv w:val="1"/>
      <w:marLeft w:val="0"/>
      <w:marRight w:val="0"/>
      <w:marTop w:val="0"/>
      <w:marBottom w:val="0"/>
      <w:divBdr>
        <w:top w:val="none" w:sz="0" w:space="0" w:color="auto"/>
        <w:left w:val="none" w:sz="0" w:space="0" w:color="auto"/>
        <w:bottom w:val="none" w:sz="0" w:space="0" w:color="auto"/>
        <w:right w:val="none" w:sz="0" w:space="0" w:color="auto"/>
      </w:divBdr>
    </w:div>
    <w:div w:id="1029064874">
      <w:bodyDiv w:val="1"/>
      <w:marLeft w:val="0"/>
      <w:marRight w:val="0"/>
      <w:marTop w:val="0"/>
      <w:marBottom w:val="0"/>
      <w:divBdr>
        <w:top w:val="none" w:sz="0" w:space="0" w:color="auto"/>
        <w:left w:val="none" w:sz="0" w:space="0" w:color="auto"/>
        <w:bottom w:val="none" w:sz="0" w:space="0" w:color="auto"/>
        <w:right w:val="none" w:sz="0" w:space="0" w:color="auto"/>
      </w:divBdr>
    </w:div>
    <w:div w:id="1096709136">
      <w:bodyDiv w:val="1"/>
      <w:marLeft w:val="0"/>
      <w:marRight w:val="0"/>
      <w:marTop w:val="0"/>
      <w:marBottom w:val="0"/>
      <w:divBdr>
        <w:top w:val="none" w:sz="0" w:space="0" w:color="auto"/>
        <w:left w:val="none" w:sz="0" w:space="0" w:color="auto"/>
        <w:bottom w:val="none" w:sz="0" w:space="0" w:color="auto"/>
        <w:right w:val="none" w:sz="0" w:space="0" w:color="auto"/>
      </w:divBdr>
    </w:div>
    <w:div w:id="1103650636">
      <w:bodyDiv w:val="1"/>
      <w:marLeft w:val="0"/>
      <w:marRight w:val="0"/>
      <w:marTop w:val="0"/>
      <w:marBottom w:val="0"/>
      <w:divBdr>
        <w:top w:val="none" w:sz="0" w:space="0" w:color="auto"/>
        <w:left w:val="none" w:sz="0" w:space="0" w:color="auto"/>
        <w:bottom w:val="none" w:sz="0" w:space="0" w:color="auto"/>
        <w:right w:val="none" w:sz="0" w:space="0" w:color="auto"/>
      </w:divBdr>
    </w:div>
    <w:div w:id="1133596282">
      <w:bodyDiv w:val="1"/>
      <w:marLeft w:val="0"/>
      <w:marRight w:val="0"/>
      <w:marTop w:val="0"/>
      <w:marBottom w:val="0"/>
      <w:divBdr>
        <w:top w:val="none" w:sz="0" w:space="0" w:color="auto"/>
        <w:left w:val="none" w:sz="0" w:space="0" w:color="auto"/>
        <w:bottom w:val="none" w:sz="0" w:space="0" w:color="auto"/>
        <w:right w:val="none" w:sz="0" w:space="0" w:color="auto"/>
      </w:divBdr>
    </w:div>
    <w:div w:id="1134056512">
      <w:bodyDiv w:val="1"/>
      <w:marLeft w:val="0"/>
      <w:marRight w:val="0"/>
      <w:marTop w:val="0"/>
      <w:marBottom w:val="0"/>
      <w:divBdr>
        <w:top w:val="none" w:sz="0" w:space="0" w:color="auto"/>
        <w:left w:val="none" w:sz="0" w:space="0" w:color="auto"/>
        <w:bottom w:val="none" w:sz="0" w:space="0" w:color="auto"/>
        <w:right w:val="none" w:sz="0" w:space="0" w:color="auto"/>
      </w:divBdr>
    </w:div>
    <w:div w:id="1140923764">
      <w:bodyDiv w:val="1"/>
      <w:marLeft w:val="0"/>
      <w:marRight w:val="0"/>
      <w:marTop w:val="0"/>
      <w:marBottom w:val="0"/>
      <w:divBdr>
        <w:top w:val="none" w:sz="0" w:space="0" w:color="auto"/>
        <w:left w:val="none" w:sz="0" w:space="0" w:color="auto"/>
        <w:bottom w:val="none" w:sz="0" w:space="0" w:color="auto"/>
        <w:right w:val="none" w:sz="0" w:space="0" w:color="auto"/>
      </w:divBdr>
    </w:div>
    <w:div w:id="1174536552">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5719578">
      <w:bodyDiv w:val="1"/>
      <w:marLeft w:val="0"/>
      <w:marRight w:val="0"/>
      <w:marTop w:val="0"/>
      <w:marBottom w:val="0"/>
      <w:divBdr>
        <w:top w:val="none" w:sz="0" w:space="0" w:color="auto"/>
        <w:left w:val="none" w:sz="0" w:space="0" w:color="auto"/>
        <w:bottom w:val="none" w:sz="0" w:space="0" w:color="auto"/>
        <w:right w:val="none" w:sz="0" w:space="0" w:color="auto"/>
      </w:divBdr>
    </w:div>
    <w:div w:id="1357536503">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9152599">
      <w:bodyDiv w:val="1"/>
      <w:marLeft w:val="0"/>
      <w:marRight w:val="0"/>
      <w:marTop w:val="0"/>
      <w:marBottom w:val="0"/>
      <w:divBdr>
        <w:top w:val="none" w:sz="0" w:space="0" w:color="auto"/>
        <w:left w:val="none" w:sz="0" w:space="0" w:color="auto"/>
        <w:bottom w:val="none" w:sz="0" w:space="0" w:color="auto"/>
        <w:right w:val="none" w:sz="0" w:space="0" w:color="auto"/>
      </w:divBdr>
    </w:div>
    <w:div w:id="1519466519">
      <w:bodyDiv w:val="1"/>
      <w:marLeft w:val="0"/>
      <w:marRight w:val="0"/>
      <w:marTop w:val="0"/>
      <w:marBottom w:val="0"/>
      <w:divBdr>
        <w:top w:val="none" w:sz="0" w:space="0" w:color="auto"/>
        <w:left w:val="none" w:sz="0" w:space="0" w:color="auto"/>
        <w:bottom w:val="none" w:sz="0" w:space="0" w:color="auto"/>
        <w:right w:val="none" w:sz="0" w:space="0" w:color="auto"/>
      </w:divBdr>
    </w:div>
    <w:div w:id="1537348175">
      <w:bodyDiv w:val="1"/>
      <w:marLeft w:val="0"/>
      <w:marRight w:val="0"/>
      <w:marTop w:val="0"/>
      <w:marBottom w:val="0"/>
      <w:divBdr>
        <w:top w:val="none" w:sz="0" w:space="0" w:color="auto"/>
        <w:left w:val="none" w:sz="0" w:space="0" w:color="auto"/>
        <w:bottom w:val="none" w:sz="0" w:space="0" w:color="auto"/>
        <w:right w:val="none" w:sz="0" w:space="0" w:color="auto"/>
      </w:divBdr>
    </w:div>
    <w:div w:id="1540169357">
      <w:bodyDiv w:val="1"/>
      <w:marLeft w:val="0"/>
      <w:marRight w:val="0"/>
      <w:marTop w:val="0"/>
      <w:marBottom w:val="0"/>
      <w:divBdr>
        <w:top w:val="none" w:sz="0" w:space="0" w:color="auto"/>
        <w:left w:val="none" w:sz="0" w:space="0" w:color="auto"/>
        <w:bottom w:val="none" w:sz="0" w:space="0" w:color="auto"/>
        <w:right w:val="none" w:sz="0" w:space="0" w:color="auto"/>
      </w:divBdr>
    </w:div>
    <w:div w:id="1544632803">
      <w:bodyDiv w:val="1"/>
      <w:marLeft w:val="0"/>
      <w:marRight w:val="0"/>
      <w:marTop w:val="0"/>
      <w:marBottom w:val="0"/>
      <w:divBdr>
        <w:top w:val="none" w:sz="0" w:space="0" w:color="auto"/>
        <w:left w:val="none" w:sz="0" w:space="0" w:color="auto"/>
        <w:bottom w:val="none" w:sz="0" w:space="0" w:color="auto"/>
        <w:right w:val="none" w:sz="0" w:space="0" w:color="auto"/>
      </w:divBdr>
    </w:div>
    <w:div w:id="1550915491">
      <w:bodyDiv w:val="1"/>
      <w:marLeft w:val="0"/>
      <w:marRight w:val="0"/>
      <w:marTop w:val="0"/>
      <w:marBottom w:val="0"/>
      <w:divBdr>
        <w:top w:val="none" w:sz="0" w:space="0" w:color="auto"/>
        <w:left w:val="none" w:sz="0" w:space="0" w:color="auto"/>
        <w:bottom w:val="none" w:sz="0" w:space="0" w:color="auto"/>
        <w:right w:val="none" w:sz="0" w:space="0" w:color="auto"/>
      </w:divBdr>
    </w:div>
    <w:div w:id="1560556300">
      <w:bodyDiv w:val="1"/>
      <w:marLeft w:val="0"/>
      <w:marRight w:val="0"/>
      <w:marTop w:val="0"/>
      <w:marBottom w:val="0"/>
      <w:divBdr>
        <w:top w:val="none" w:sz="0" w:space="0" w:color="auto"/>
        <w:left w:val="none" w:sz="0" w:space="0" w:color="auto"/>
        <w:bottom w:val="none" w:sz="0" w:space="0" w:color="auto"/>
        <w:right w:val="none" w:sz="0" w:space="0" w:color="auto"/>
      </w:divBdr>
    </w:div>
    <w:div w:id="1610426867">
      <w:bodyDiv w:val="1"/>
      <w:marLeft w:val="0"/>
      <w:marRight w:val="0"/>
      <w:marTop w:val="0"/>
      <w:marBottom w:val="0"/>
      <w:divBdr>
        <w:top w:val="none" w:sz="0" w:space="0" w:color="auto"/>
        <w:left w:val="none" w:sz="0" w:space="0" w:color="auto"/>
        <w:bottom w:val="none" w:sz="0" w:space="0" w:color="auto"/>
        <w:right w:val="none" w:sz="0" w:space="0" w:color="auto"/>
      </w:divBdr>
    </w:div>
    <w:div w:id="1622032969">
      <w:bodyDiv w:val="1"/>
      <w:marLeft w:val="0"/>
      <w:marRight w:val="0"/>
      <w:marTop w:val="0"/>
      <w:marBottom w:val="0"/>
      <w:divBdr>
        <w:top w:val="none" w:sz="0" w:space="0" w:color="auto"/>
        <w:left w:val="none" w:sz="0" w:space="0" w:color="auto"/>
        <w:bottom w:val="none" w:sz="0" w:space="0" w:color="auto"/>
        <w:right w:val="none" w:sz="0" w:space="0" w:color="auto"/>
      </w:divBdr>
    </w:div>
    <w:div w:id="1676029655">
      <w:bodyDiv w:val="1"/>
      <w:marLeft w:val="0"/>
      <w:marRight w:val="0"/>
      <w:marTop w:val="0"/>
      <w:marBottom w:val="0"/>
      <w:divBdr>
        <w:top w:val="none" w:sz="0" w:space="0" w:color="auto"/>
        <w:left w:val="none" w:sz="0" w:space="0" w:color="auto"/>
        <w:bottom w:val="none" w:sz="0" w:space="0" w:color="auto"/>
        <w:right w:val="none" w:sz="0" w:space="0" w:color="auto"/>
      </w:divBdr>
    </w:div>
    <w:div w:id="1883403492">
      <w:bodyDiv w:val="1"/>
      <w:marLeft w:val="0"/>
      <w:marRight w:val="0"/>
      <w:marTop w:val="0"/>
      <w:marBottom w:val="0"/>
      <w:divBdr>
        <w:top w:val="none" w:sz="0" w:space="0" w:color="auto"/>
        <w:left w:val="none" w:sz="0" w:space="0" w:color="auto"/>
        <w:bottom w:val="none" w:sz="0" w:space="0" w:color="auto"/>
        <w:right w:val="none" w:sz="0" w:space="0" w:color="auto"/>
      </w:divBdr>
    </w:div>
    <w:div w:id="1892111492">
      <w:bodyDiv w:val="1"/>
      <w:marLeft w:val="0"/>
      <w:marRight w:val="0"/>
      <w:marTop w:val="0"/>
      <w:marBottom w:val="0"/>
      <w:divBdr>
        <w:top w:val="none" w:sz="0" w:space="0" w:color="auto"/>
        <w:left w:val="none" w:sz="0" w:space="0" w:color="auto"/>
        <w:bottom w:val="none" w:sz="0" w:space="0" w:color="auto"/>
        <w:right w:val="none" w:sz="0" w:space="0" w:color="auto"/>
      </w:divBdr>
    </w:div>
    <w:div w:id="1917670639">
      <w:bodyDiv w:val="1"/>
      <w:marLeft w:val="0"/>
      <w:marRight w:val="0"/>
      <w:marTop w:val="0"/>
      <w:marBottom w:val="0"/>
      <w:divBdr>
        <w:top w:val="none" w:sz="0" w:space="0" w:color="auto"/>
        <w:left w:val="none" w:sz="0" w:space="0" w:color="auto"/>
        <w:bottom w:val="none" w:sz="0" w:space="0" w:color="auto"/>
        <w:right w:val="none" w:sz="0" w:space="0" w:color="auto"/>
      </w:divBdr>
    </w:div>
    <w:div w:id="1922250297">
      <w:bodyDiv w:val="1"/>
      <w:marLeft w:val="0"/>
      <w:marRight w:val="0"/>
      <w:marTop w:val="0"/>
      <w:marBottom w:val="0"/>
      <w:divBdr>
        <w:top w:val="none" w:sz="0" w:space="0" w:color="auto"/>
        <w:left w:val="none" w:sz="0" w:space="0" w:color="auto"/>
        <w:bottom w:val="none" w:sz="0" w:space="0" w:color="auto"/>
        <w:right w:val="none" w:sz="0" w:space="0" w:color="auto"/>
      </w:divBdr>
    </w:div>
    <w:div w:id="2003190862">
      <w:bodyDiv w:val="1"/>
      <w:marLeft w:val="0"/>
      <w:marRight w:val="0"/>
      <w:marTop w:val="0"/>
      <w:marBottom w:val="0"/>
      <w:divBdr>
        <w:top w:val="none" w:sz="0" w:space="0" w:color="auto"/>
        <w:left w:val="none" w:sz="0" w:space="0" w:color="auto"/>
        <w:bottom w:val="none" w:sz="0" w:space="0" w:color="auto"/>
        <w:right w:val="none" w:sz="0" w:space="0" w:color="auto"/>
      </w:divBdr>
    </w:div>
    <w:div w:id="2033142736">
      <w:bodyDiv w:val="1"/>
      <w:marLeft w:val="0"/>
      <w:marRight w:val="0"/>
      <w:marTop w:val="0"/>
      <w:marBottom w:val="0"/>
      <w:divBdr>
        <w:top w:val="none" w:sz="0" w:space="0" w:color="auto"/>
        <w:left w:val="none" w:sz="0" w:space="0" w:color="auto"/>
        <w:bottom w:val="none" w:sz="0" w:space="0" w:color="auto"/>
        <w:right w:val="none" w:sz="0" w:space="0" w:color="auto"/>
      </w:divBdr>
    </w:div>
    <w:div w:id="2081172769">
      <w:bodyDiv w:val="1"/>
      <w:marLeft w:val="0"/>
      <w:marRight w:val="0"/>
      <w:marTop w:val="0"/>
      <w:marBottom w:val="0"/>
      <w:divBdr>
        <w:top w:val="none" w:sz="0" w:space="0" w:color="auto"/>
        <w:left w:val="none" w:sz="0" w:space="0" w:color="auto"/>
        <w:bottom w:val="none" w:sz="0" w:space="0" w:color="auto"/>
        <w:right w:val="none" w:sz="0" w:space="0" w:color="auto"/>
      </w:divBdr>
    </w:div>
    <w:div w:id="20931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37</TotalTime>
  <Pages>7</Pages>
  <Words>1995</Words>
  <Characters>13643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2024092487 mt</dc:description>
  <cp:lastModifiedBy>Hanne Thy Iversen</cp:lastModifiedBy>
  <cp:revision>8</cp:revision>
  <cp:lastPrinted>2022-05-18T14:03:00Z</cp:lastPrinted>
  <dcterms:created xsi:type="dcterms:W3CDTF">2025-09-03T11:52:00Z</dcterms:created>
  <dcterms:modified xsi:type="dcterms:W3CDTF">2025-09-05T08:23:00Z</dcterms:modified>
</cp:coreProperties>
</file>