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FBC11" w14:textId="77777777" w:rsidR="005B0036" w:rsidRPr="004E626F" w:rsidRDefault="005B0036" w:rsidP="005B0036">
      <w:pPr>
        <w:rPr>
          <w:sz w:val="24"/>
          <w:szCs w:val="24"/>
        </w:rPr>
      </w:pPr>
      <w:r w:rsidRPr="004E626F">
        <w:rPr>
          <w:noProof/>
          <w:sz w:val="24"/>
          <w:szCs w:val="24"/>
          <w:lang w:eastAsia="da-DK"/>
        </w:rPr>
        <w:drawing>
          <wp:inline distT="0" distB="0" distL="0" distR="0" wp14:anchorId="2BB39613" wp14:editId="239126D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72ECEDC" w14:textId="77777777" w:rsidR="00C479BF" w:rsidRPr="004E626F" w:rsidRDefault="00C479BF" w:rsidP="005B0036">
      <w:pPr>
        <w:rPr>
          <w:sz w:val="24"/>
          <w:szCs w:val="24"/>
        </w:rPr>
      </w:pPr>
    </w:p>
    <w:p w14:paraId="7FCC85EB" w14:textId="232E966C" w:rsidR="005B0036" w:rsidRPr="000210F4" w:rsidRDefault="005B0036" w:rsidP="005B0036">
      <w:pPr>
        <w:tabs>
          <w:tab w:val="right" w:pos="9356"/>
        </w:tabs>
        <w:rPr>
          <w:b/>
          <w:sz w:val="24"/>
          <w:szCs w:val="24"/>
        </w:rPr>
      </w:pPr>
      <w:r w:rsidRPr="004E626F">
        <w:rPr>
          <w:b/>
          <w:sz w:val="24"/>
          <w:szCs w:val="24"/>
        </w:rPr>
        <w:tab/>
      </w:r>
      <w:r w:rsidR="00211E6D" w:rsidRPr="000210F4">
        <w:rPr>
          <w:b/>
          <w:sz w:val="24"/>
          <w:szCs w:val="24"/>
        </w:rPr>
        <w:t>2</w:t>
      </w:r>
      <w:r w:rsidR="004A07AA">
        <w:rPr>
          <w:b/>
          <w:sz w:val="24"/>
          <w:szCs w:val="24"/>
        </w:rPr>
        <w:t>2</w:t>
      </w:r>
      <w:r w:rsidR="006D16FE" w:rsidRPr="000210F4">
        <w:rPr>
          <w:b/>
          <w:sz w:val="24"/>
          <w:szCs w:val="24"/>
        </w:rPr>
        <w:t xml:space="preserve">. november </w:t>
      </w:r>
      <w:r w:rsidR="00CC53E6" w:rsidRPr="000210F4">
        <w:rPr>
          <w:b/>
          <w:sz w:val="24"/>
          <w:szCs w:val="24"/>
        </w:rPr>
        <w:t>202</w:t>
      </w:r>
      <w:r w:rsidR="00211E6D" w:rsidRPr="000210F4">
        <w:rPr>
          <w:b/>
          <w:sz w:val="24"/>
          <w:szCs w:val="24"/>
        </w:rPr>
        <w:t>4</w:t>
      </w:r>
    </w:p>
    <w:p w14:paraId="643A73BE" w14:textId="77777777" w:rsidR="005B0036" w:rsidRPr="000210F4" w:rsidRDefault="005B0036" w:rsidP="005B0036">
      <w:pPr>
        <w:rPr>
          <w:sz w:val="24"/>
          <w:szCs w:val="24"/>
        </w:rPr>
      </w:pPr>
    </w:p>
    <w:p w14:paraId="3177251A" w14:textId="326D0E9B" w:rsidR="005B0036" w:rsidRPr="000210F4" w:rsidRDefault="005B0036" w:rsidP="005B0036">
      <w:pPr>
        <w:rPr>
          <w:sz w:val="24"/>
          <w:szCs w:val="24"/>
        </w:rPr>
      </w:pPr>
    </w:p>
    <w:p w14:paraId="601B3CD7" w14:textId="77777777" w:rsidR="001E7C61" w:rsidRPr="000210F4" w:rsidRDefault="001E7C61" w:rsidP="005B0036">
      <w:pPr>
        <w:rPr>
          <w:sz w:val="24"/>
          <w:szCs w:val="24"/>
        </w:rPr>
      </w:pPr>
    </w:p>
    <w:p w14:paraId="75936354" w14:textId="77777777" w:rsidR="005B0036" w:rsidRPr="000210F4" w:rsidRDefault="005B0036" w:rsidP="005B0036">
      <w:pPr>
        <w:tabs>
          <w:tab w:val="left" w:pos="8222"/>
        </w:tabs>
        <w:jc w:val="center"/>
        <w:rPr>
          <w:b/>
          <w:sz w:val="24"/>
          <w:szCs w:val="24"/>
        </w:rPr>
      </w:pPr>
      <w:r w:rsidRPr="000210F4">
        <w:rPr>
          <w:b/>
          <w:sz w:val="24"/>
          <w:szCs w:val="24"/>
        </w:rPr>
        <w:t>PRODUKTRESUMÉ</w:t>
      </w:r>
    </w:p>
    <w:p w14:paraId="32568879" w14:textId="77777777" w:rsidR="005B0036" w:rsidRPr="000210F4" w:rsidRDefault="005B0036" w:rsidP="005B0036">
      <w:pPr>
        <w:tabs>
          <w:tab w:val="left" w:pos="8222"/>
        </w:tabs>
        <w:jc w:val="center"/>
        <w:rPr>
          <w:b/>
          <w:sz w:val="24"/>
          <w:szCs w:val="24"/>
        </w:rPr>
      </w:pPr>
    </w:p>
    <w:p w14:paraId="3CBE66A5" w14:textId="77777777" w:rsidR="005B0036" w:rsidRPr="000210F4" w:rsidRDefault="005B0036" w:rsidP="005B0036">
      <w:pPr>
        <w:tabs>
          <w:tab w:val="left" w:pos="8222"/>
        </w:tabs>
        <w:jc w:val="center"/>
        <w:rPr>
          <w:b/>
          <w:sz w:val="24"/>
          <w:szCs w:val="24"/>
        </w:rPr>
      </w:pPr>
      <w:r w:rsidRPr="000210F4">
        <w:rPr>
          <w:b/>
          <w:sz w:val="24"/>
          <w:szCs w:val="24"/>
        </w:rPr>
        <w:t>for</w:t>
      </w:r>
    </w:p>
    <w:p w14:paraId="6F7495DD" w14:textId="77777777" w:rsidR="005B0036" w:rsidRPr="000210F4" w:rsidRDefault="005B0036" w:rsidP="005B0036">
      <w:pPr>
        <w:tabs>
          <w:tab w:val="left" w:pos="8222"/>
        </w:tabs>
        <w:jc w:val="center"/>
        <w:rPr>
          <w:b/>
          <w:sz w:val="24"/>
          <w:szCs w:val="24"/>
        </w:rPr>
      </w:pPr>
    </w:p>
    <w:p w14:paraId="66A63BE4" w14:textId="5821B434" w:rsidR="005B0036" w:rsidRPr="000210F4" w:rsidRDefault="003557DF" w:rsidP="005B0036">
      <w:pPr>
        <w:tabs>
          <w:tab w:val="left" w:pos="8222"/>
        </w:tabs>
        <w:jc w:val="center"/>
        <w:rPr>
          <w:b/>
          <w:sz w:val="24"/>
          <w:szCs w:val="24"/>
        </w:rPr>
      </w:pPr>
      <w:proofErr w:type="spellStart"/>
      <w:r w:rsidRPr="000210F4">
        <w:rPr>
          <w:b/>
          <w:sz w:val="24"/>
          <w:szCs w:val="24"/>
        </w:rPr>
        <w:t>Macro</w:t>
      </w:r>
      <w:r w:rsidR="00E71BA8" w:rsidRPr="000210F4">
        <w:rPr>
          <w:b/>
          <w:sz w:val="24"/>
          <w:szCs w:val="24"/>
        </w:rPr>
        <w:t>syn</w:t>
      </w:r>
      <w:proofErr w:type="spellEnd"/>
      <w:r w:rsidR="00E71BA8" w:rsidRPr="000210F4">
        <w:rPr>
          <w:b/>
          <w:sz w:val="24"/>
          <w:szCs w:val="24"/>
        </w:rPr>
        <w:t>, injektionsvæske, opløsning</w:t>
      </w:r>
    </w:p>
    <w:p w14:paraId="1254765E" w14:textId="77777777" w:rsidR="005B0036" w:rsidRPr="000210F4" w:rsidRDefault="005B0036" w:rsidP="005B0036">
      <w:pPr>
        <w:tabs>
          <w:tab w:val="left" w:pos="8222"/>
        </w:tabs>
        <w:jc w:val="both"/>
        <w:rPr>
          <w:sz w:val="24"/>
          <w:szCs w:val="24"/>
        </w:rPr>
      </w:pPr>
    </w:p>
    <w:p w14:paraId="4D4DB423" w14:textId="77777777" w:rsidR="005B0036" w:rsidRPr="000210F4" w:rsidRDefault="005B0036" w:rsidP="005B0036">
      <w:pPr>
        <w:tabs>
          <w:tab w:val="left" w:pos="8222"/>
        </w:tabs>
        <w:jc w:val="both"/>
        <w:rPr>
          <w:sz w:val="24"/>
          <w:szCs w:val="24"/>
        </w:rPr>
      </w:pPr>
    </w:p>
    <w:p w14:paraId="39048133" w14:textId="77777777" w:rsidR="005B0036" w:rsidRPr="000210F4" w:rsidRDefault="005B0036" w:rsidP="005B0036">
      <w:pPr>
        <w:tabs>
          <w:tab w:val="left" w:pos="8222"/>
        </w:tabs>
        <w:ind w:left="851" w:hanging="851"/>
        <w:rPr>
          <w:b/>
          <w:sz w:val="24"/>
          <w:szCs w:val="24"/>
        </w:rPr>
      </w:pPr>
      <w:r w:rsidRPr="000210F4">
        <w:rPr>
          <w:b/>
          <w:sz w:val="24"/>
          <w:szCs w:val="24"/>
        </w:rPr>
        <w:t>0.</w:t>
      </w:r>
      <w:r w:rsidRPr="000210F4">
        <w:rPr>
          <w:b/>
          <w:sz w:val="24"/>
          <w:szCs w:val="24"/>
        </w:rPr>
        <w:tab/>
        <w:t>D.SP.NR.</w:t>
      </w:r>
    </w:p>
    <w:p w14:paraId="7CDD5D3C" w14:textId="0FEE28FF" w:rsidR="005B0036" w:rsidRPr="000210F4" w:rsidRDefault="00E71BA8" w:rsidP="005B0036">
      <w:pPr>
        <w:tabs>
          <w:tab w:val="left" w:pos="8222"/>
        </w:tabs>
        <w:ind w:left="851"/>
        <w:rPr>
          <w:sz w:val="24"/>
          <w:szCs w:val="24"/>
        </w:rPr>
      </w:pPr>
      <w:r w:rsidRPr="000210F4">
        <w:rPr>
          <w:sz w:val="24"/>
          <w:szCs w:val="24"/>
        </w:rPr>
        <w:t>31738</w:t>
      </w:r>
    </w:p>
    <w:p w14:paraId="534ED396" w14:textId="77777777" w:rsidR="005B0036" w:rsidRPr="000210F4" w:rsidRDefault="005B0036" w:rsidP="005B0036">
      <w:pPr>
        <w:tabs>
          <w:tab w:val="left" w:pos="8222"/>
        </w:tabs>
        <w:ind w:left="851"/>
        <w:rPr>
          <w:sz w:val="24"/>
          <w:szCs w:val="24"/>
        </w:rPr>
      </w:pPr>
    </w:p>
    <w:p w14:paraId="12180706" w14:textId="77777777" w:rsidR="005B0036" w:rsidRPr="000210F4" w:rsidRDefault="005B0036" w:rsidP="005B0036">
      <w:pPr>
        <w:tabs>
          <w:tab w:val="left" w:pos="8222"/>
        </w:tabs>
        <w:ind w:left="851" w:hanging="851"/>
        <w:rPr>
          <w:b/>
          <w:sz w:val="24"/>
          <w:szCs w:val="24"/>
        </w:rPr>
      </w:pPr>
      <w:r w:rsidRPr="000210F4">
        <w:rPr>
          <w:b/>
          <w:sz w:val="24"/>
          <w:szCs w:val="24"/>
        </w:rPr>
        <w:t>1.</w:t>
      </w:r>
      <w:r w:rsidRPr="000210F4">
        <w:rPr>
          <w:b/>
          <w:sz w:val="24"/>
          <w:szCs w:val="24"/>
        </w:rPr>
        <w:tab/>
        <w:t>VETERINÆRLÆGEMIDLETS NAVN</w:t>
      </w:r>
    </w:p>
    <w:p w14:paraId="1F8A2A8F" w14:textId="4FC40D78" w:rsidR="005B0036" w:rsidRPr="000210F4" w:rsidRDefault="00E71BA8" w:rsidP="005B0036">
      <w:pPr>
        <w:tabs>
          <w:tab w:val="left" w:pos="8222"/>
        </w:tabs>
        <w:ind w:left="851"/>
        <w:rPr>
          <w:sz w:val="24"/>
          <w:szCs w:val="24"/>
        </w:rPr>
      </w:pPr>
      <w:proofErr w:type="spellStart"/>
      <w:r w:rsidRPr="000210F4">
        <w:rPr>
          <w:sz w:val="24"/>
          <w:szCs w:val="24"/>
        </w:rPr>
        <w:t>Macrosyn</w:t>
      </w:r>
      <w:proofErr w:type="spellEnd"/>
    </w:p>
    <w:p w14:paraId="2F45A450" w14:textId="765836F9" w:rsidR="00D0772B" w:rsidRPr="000210F4" w:rsidRDefault="00D0772B" w:rsidP="005B0036">
      <w:pPr>
        <w:tabs>
          <w:tab w:val="left" w:pos="8222"/>
        </w:tabs>
        <w:ind w:left="851"/>
        <w:rPr>
          <w:sz w:val="24"/>
          <w:szCs w:val="24"/>
        </w:rPr>
      </w:pPr>
    </w:p>
    <w:p w14:paraId="68A9867F" w14:textId="77777777" w:rsidR="00D0772B" w:rsidRPr="000210F4" w:rsidRDefault="00D0772B" w:rsidP="000210F4">
      <w:pPr>
        <w:tabs>
          <w:tab w:val="left" w:pos="1304"/>
        </w:tabs>
        <w:ind w:firstLine="851"/>
        <w:rPr>
          <w:sz w:val="24"/>
          <w:szCs w:val="24"/>
        </w:rPr>
      </w:pPr>
      <w:r w:rsidRPr="000210F4">
        <w:rPr>
          <w:sz w:val="24"/>
          <w:szCs w:val="24"/>
        </w:rPr>
        <w:t>Lægemiddelform: injektionsvæske</w:t>
      </w:r>
    </w:p>
    <w:p w14:paraId="4A99ADA6" w14:textId="77777777" w:rsidR="00D0772B" w:rsidRPr="000210F4" w:rsidRDefault="00D0772B" w:rsidP="000210F4">
      <w:pPr>
        <w:tabs>
          <w:tab w:val="left" w:pos="1304"/>
        </w:tabs>
        <w:ind w:firstLine="851"/>
        <w:rPr>
          <w:sz w:val="24"/>
          <w:szCs w:val="24"/>
        </w:rPr>
      </w:pPr>
      <w:r w:rsidRPr="000210F4">
        <w:rPr>
          <w:sz w:val="24"/>
          <w:szCs w:val="24"/>
        </w:rPr>
        <w:t>Styrke: 100 mg/ml</w:t>
      </w:r>
    </w:p>
    <w:p w14:paraId="04A78848" w14:textId="77777777" w:rsidR="00D0772B" w:rsidRPr="000210F4" w:rsidRDefault="00D0772B" w:rsidP="000210F4">
      <w:pPr>
        <w:tabs>
          <w:tab w:val="left" w:pos="1304"/>
        </w:tabs>
        <w:ind w:firstLine="851"/>
        <w:rPr>
          <w:sz w:val="24"/>
          <w:szCs w:val="24"/>
        </w:rPr>
      </w:pPr>
    </w:p>
    <w:p w14:paraId="2A23F6DE" w14:textId="77777777" w:rsidR="00D0772B" w:rsidRPr="000210F4" w:rsidRDefault="00D0772B" w:rsidP="00D0772B">
      <w:pPr>
        <w:tabs>
          <w:tab w:val="left" w:pos="1304"/>
        </w:tabs>
        <w:rPr>
          <w:sz w:val="24"/>
          <w:szCs w:val="24"/>
        </w:rPr>
      </w:pPr>
    </w:p>
    <w:p w14:paraId="40C26BC7" w14:textId="77777777" w:rsidR="00D0772B" w:rsidRPr="000210F4" w:rsidRDefault="00D0772B" w:rsidP="000210F4">
      <w:pPr>
        <w:tabs>
          <w:tab w:val="left" w:pos="851"/>
        </w:tabs>
        <w:rPr>
          <w:sz w:val="24"/>
          <w:szCs w:val="24"/>
        </w:rPr>
      </w:pPr>
      <w:r w:rsidRPr="000210F4">
        <w:rPr>
          <w:b/>
          <w:sz w:val="24"/>
          <w:szCs w:val="24"/>
        </w:rPr>
        <w:t>2.</w:t>
      </w:r>
      <w:r w:rsidRPr="000210F4">
        <w:rPr>
          <w:b/>
          <w:sz w:val="24"/>
          <w:szCs w:val="24"/>
        </w:rPr>
        <w:tab/>
        <w:t>KVALITATIV OG KVANTITATIV SAMMENSÆTNING</w:t>
      </w:r>
    </w:p>
    <w:p w14:paraId="7DAD95EB" w14:textId="77777777" w:rsidR="00D0772B" w:rsidRPr="000210F4" w:rsidRDefault="00D0772B" w:rsidP="00D0772B">
      <w:pPr>
        <w:tabs>
          <w:tab w:val="left" w:pos="1304"/>
        </w:tabs>
        <w:rPr>
          <w:sz w:val="24"/>
          <w:szCs w:val="24"/>
        </w:rPr>
      </w:pPr>
    </w:p>
    <w:p w14:paraId="075D5667" w14:textId="77777777" w:rsidR="00D0772B" w:rsidRPr="000210F4" w:rsidRDefault="00D0772B" w:rsidP="000210F4">
      <w:pPr>
        <w:tabs>
          <w:tab w:val="left" w:pos="1304"/>
        </w:tabs>
        <w:ind w:firstLine="851"/>
        <w:rPr>
          <w:b/>
          <w:sz w:val="24"/>
          <w:szCs w:val="24"/>
        </w:rPr>
      </w:pPr>
      <w:r w:rsidRPr="000210F4">
        <w:rPr>
          <w:b/>
          <w:sz w:val="24"/>
          <w:szCs w:val="24"/>
        </w:rPr>
        <w:t>Hver ml indeholder:</w:t>
      </w:r>
    </w:p>
    <w:p w14:paraId="22C874FA" w14:textId="77777777" w:rsidR="00D0772B" w:rsidRPr="000210F4" w:rsidRDefault="00D0772B" w:rsidP="000210F4">
      <w:pPr>
        <w:tabs>
          <w:tab w:val="left" w:pos="1304"/>
        </w:tabs>
        <w:ind w:firstLine="851"/>
        <w:rPr>
          <w:b/>
          <w:sz w:val="24"/>
          <w:szCs w:val="24"/>
        </w:rPr>
      </w:pPr>
    </w:p>
    <w:p w14:paraId="7F3C6033" w14:textId="77777777" w:rsidR="00D0772B" w:rsidRPr="000210F4" w:rsidRDefault="00D0772B" w:rsidP="000210F4">
      <w:pPr>
        <w:tabs>
          <w:tab w:val="left" w:pos="1304"/>
        </w:tabs>
        <w:ind w:firstLine="851"/>
        <w:rPr>
          <w:b/>
          <w:sz w:val="24"/>
          <w:szCs w:val="24"/>
        </w:rPr>
      </w:pPr>
      <w:r w:rsidRPr="000210F4">
        <w:rPr>
          <w:b/>
          <w:sz w:val="24"/>
          <w:szCs w:val="24"/>
        </w:rPr>
        <w:t>Aktivt stof:</w:t>
      </w:r>
    </w:p>
    <w:p w14:paraId="4A438C5F" w14:textId="77777777" w:rsidR="00D0772B" w:rsidRPr="000210F4" w:rsidRDefault="00D0772B" w:rsidP="000210F4">
      <w:pPr>
        <w:tabs>
          <w:tab w:val="left" w:pos="1304"/>
        </w:tabs>
        <w:ind w:firstLine="851"/>
        <w:rPr>
          <w:iCs/>
          <w:sz w:val="24"/>
          <w:szCs w:val="24"/>
        </w:rPr>
      </w:pPr>
    </w:p>
    <w:p w14:paraId="1C6CFE7E" w14:textId="77777777" w:rsidR="00D0772B" w:rsidRPr="000210F4" w:rsidRDefault="00D0772B" w:rsidP="000210F4">
      <w:pPr>
        <w:tabs>
          <w:tab w:val="left" w:pos="1304"/>
        </w:tabs>
        <w:ind w:firstLine="851"/>
        <w:rPr>
          <w:bCs/>
          <w:sz w:val="24"/>
          <w:szCs w:val="24"/>
        </w:rPr>
      </w:pPr>
      <w:proofErr w:type="spellStart"/>
      <w:r w:rsidRPr="000210F4">
        <w:rPr>
          <w:bCs/>
          <w:sz w:val="24"/>
          <w:szCs w:val="24"/>
        </w:rPr>
        <w:t>Tulathromycin</w:t>
      </w:r>
      <w:proofErr w:type="spellEnd"/>
      <w:r w:rsidRPr="000210F4">
        <w:rPr>
          <w:bCs/>
          <w:sz w:val="24"/>
          <w:szCs w:val="24"/>
        </w:rPr>
        <w:t xml:space="preserve"> 100 mg</w:t>
      </w:r>
    </w:p>
    <w:p w14:paraId="1C6BE36B" w14:textId="77777777" w:rsidR="00D0772B" w:rsidRPr="000210F4" w:rsidRDefault="00D0772B" w:rsidP="000210F4">
      <w:pPr>
        <w:tabs>
          <w:tab w:val="left" w:pos="1304"/>
        </w:tabs>
        <w:ind w:firstLine="851"/>
        <w:rPr>
          <w:sz w:val="24"/>
          <w:szCs w:val="24"/>
        </w:rPr>
      </w:pPr>
    </w:p>
    <w:p w14:paraId="720049D3" w14:textId="77777777" w:rsidR="00D0772B" w:rsidRPr="000210F4" w:rsidRDefault="00D0772B" w:rsidP="000210F4">
      <w:pPr>
        <w:tabs>
          <w:tab w:val="left" w:pos="1304"/>
        </w:tabs>
        <w:ind w:firstLine="851"/>
        <w:rPr>
          <w:sz w:val="24"/>
          <w:szCs w:val="24"/>
        </w:rPr>
      </w:pPr>
      <w:r w:rsidRPr="000210F4">
        <w:rPr>
          <w:b/>
          <w:sz w:val="24"/>
          <w:szCs w:val="24"/>
        </w:rPr>
        <w:t>Hjælpestof:</w:t>
      </w:r>
    </w:p>
    <w:p w14:paraId="101D0836" w14:textId="77777777" w:rsidR="00D0772B" w:rsidRPr="000210F4" w:rsidRDefault="00D0772B" w:rsidP="00D0772B">
      <w:pPr>
        <w:tabs>
          <w:tab w:val="left" w:pos="1304"/>
        </w:tab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253"/>
      </w:tblGrid>
      <w:tr w:rsidR="00D0772B" w:rsidRPr="000210F4" w14:paraId="57D03FD6" w14:textId="77777777" w:rsidTr="000210F4">
        <w:tc>
          <w:tcPr>
            <w:tcW w:w="4394" w:type="dxa"/>
            <w:tcBorders>
              <w:top w:val="single" w:sz="4" w:space="0" w:color="000000"/>
              <w:left w:val="single" w:sz="4" w:space="0" w:color="000000"/>
              <w:bottom w:val="single" w:sz="4" w:space="0" w:color="000000"/>
              <w:right w:val="single" w:sz="4" w:space="0" w:color="000000"/>
            </w:tcBorders>
            <w:vAlign w:val="center"/>
            <w:hideMark/>
          </w:tcPr>
          <w:p w14:paraId="44D0AA1A" w14:textId="77777777" w:rsidR="00D0772B" w:rsidRPr="000210F4" w:rsidRDefault="00D0772B">
            <w:pPr>
              <w:spacing w:before="60" w:after="60"/>
              <w:rPr>
                <w:b/>
                <w:bCs/>
                <w:iCs/>
                <w:sz w:val="24"/>
                <w:szCs w:val="24"/>
              </w:rPr>
            </w:pPr>
            <w:r w:rsidRPr="000210F4">
              <w:rPr>
                <w:b/>
                <w:bCs/>
                <w:iCs/>
                <w:sz w:val="24"/>
                <w:szCs w:val="24"/>
              </w:rPr>
              <w:t>Kvalitativ sammensætning af hjælpestoffer og andre bestanddele</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141A80EA" w14:textId="77777777" w:rsidR="00D0772B" w:rsidRPr="000210F4" w:rsidRDefault="00D0772B">
            <w:pPr>
              <w:spacing w:before="60" w:after="60"/>
              <w:rPr>
                <w:b/>
                <w:bCs/>
                <w:iCs/>
                <w:sz w:val="24"/>
                <w:szCs w:val="24"/>
              </w:rPr>
            </w:pPr>
            <w:r w:rsidRPr="000210F4">
              <w:rPr>
                <w:b/>
                <w:bCs/>
                <w:iCs/>
                <w:sz w:val="24"/>
                <w:szCs w:val="24"/>
              </w:rPr>
              <w:t>Kvantitativ sammensætning, hvis oplysningen er vigtig for korrekt administration af veterinærlægemidlet</w:t>
            </w:r>
          </w:p>
        </w:tc>
      </w:tr>
      <w:tr w:rsidR="00D0772B" w:rsidRPr="000210F4" w14:paraId="38780587" w14:textId="77777777" w:rsidTr="000210F4">
        <w:tc>
          <w:tcPr>
            <w:tcW w:w="4394" w:type="dxa"/>
            <w:tcBorders>
              <w:top w:val="single" w:sz="4" w:space="0" w:color="000000"/>
              <w:left w:val="single" w:sz="4" w:space="0" w:color="000000"/>
              <w:bottom w:val="single" w:sz="4" w:space="0" w:color="000000"/>
              <w:right w:val="single" w:sz="4" w:space="0" w:color="000000"/>
            </w:tcBorders>
            <w:vAlign w:val="center"/>
            <w:hideMark/>
          </w:tcPr>
          <w:p w14:paraId="6B2DE2BC" w14:textId="77777777" w:rsidR="00D0772B" w:rsidRPr="000210F4" w:rsidRDefault="00D0772B">
            <w:pPr>
              <w:spacing w:before="60" w:after="60"/>
              <w:ind w:left="567" w:hanging="567"/>
              <w:rPr>
                <w:iCs/>
                <w:sz w:val="24"/>
                <w:szCs w:val="24"/>
              </w:rPr>
            </w:pPr>
            <w:proofErr w:type="spellStart"/>
            <w:r w:rsidRPr="000210F4">
              <w:rPr>
                <w:iCs/>
                <w:sz w:val="24"/>
                <w:szCs w:val="24"/>
              </w:rPr>
              <w:t>Monothioglycerol</w:t>
            </w:r>
            <w:proofErr w:type="spellEnd"/>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5A603903" w14:textId="77777777" w:rsidR="00D0772B" w:rsidRPr="000210F4" w:rsidRDefault="00D0772B">
            <w:pPr>
              <w:spacing w:before="60" w:after="60"/>
              <w:rPr>
                <w:iCs/>
                <w:sz w:val="24"/>
                <w:szCs w:val="24"/>
              </w:rPr>
            </w:pPr>
            <w:r w:rsidRPr="000210F4">
              <w:rPr>
                <w:iCs/>
                <w:sz w:val="24"/>
                <w:szCs w:val="24"/>
              </w:rPr>
              <w:t>5 mg</w:t>
            </w:r>
          </w:p>
        </w:tc>
      </w:tr>
      <w:tr w:rsidR="00D0772B" w:rsidRPr="000210F4" w14:paraId="0F803F0F" w14:textId="77777777" w:rsidTr="000210F4">
        <w:tc>
          <w:tcPr>
            <w:tcW w:w="4394" w:type="dxa"/>
            <w:tcBorders>
              <w:top w:val="single" w:sz="4" w:space="0" w:color="000000"/>
              <w:left w:val="single" w:sz="4" w:space="0" w:color="000000"/>
              <w:bottom w:val="single" w:sz="4" w:space="0" w:color="000000"/>
              <w:right w:val="single" w:sz="4" w:space="0" w:color="000000"/>
            </w:tcBorders>
            <w:vAlign w:val="center"/>
            <w:hideMark/>
          </w:tcPr>
          <w:p w14:paraId="6F78D2EC" w14:textId="77777777" w:rsidR="00D0772B" w:rsidRPr="000210F4" w:rsidRDefault="00D0772B">
            <w:pPr>
              <w:tabs>
                <w:tab w:val="left" w:pos="1304"/>
              </w:tabs>
              <w:autoSpaceDE w:val="0"/>
              <w:autoSpaceDN w:val="0"/>
              <w:adjustRightInd w:val="0"/>
              <w:rPr>
                <w:sz w:val="24"/>
                <w:szCs w:val="24"/>
                <w:lang w:eastAsia="en-GB"/>
              </w:rPr>
            </w:pPr>
            <w:r w:rsidRPr="000210F4">
              <w:rPr>
                <w:sz w:val="24"/>
                <w:szCs w:val="24"/>
                <w:lang w:eastAsia="en-GB"/>
              </w:rPr>
              <w:t>Propylenglycol</w:t>
            </w:r>
          </w:p>
        </w:tc>
        <w:tc>
          <w:tcPr>
            <w:tcW w:w="4253" w:type="dxa"/>
            <w:tcBorders>
              <w:top w:val="single" w:sz="4" w:space="0" w:color="000000"/>
              <w:left w:val="single" w:sz="4" w:space="0" w:color="000000"/>
              <w:bottom w:val="single" w:sz="4" w:space="0" w:color="000000"/>
              <w:right w:val="single" w:sz="4" w:space="0" w:color="000000"/>
            </w:tcBorders>
            <w:vAlign w:val="center"/>
          </w:tcPr>
          <w:p w14:paraId="0940A17F" w14:textId="77777777" w:rsidR="00D0772B" w:rsidRPr="000210F4" w:rsidRDefault="00D0772B">
            <w:pPr>
              <w:spacing w:before="60" w:after="60"/>
              <w:rPr>
                <w:iCs/>
                <w:sz w:val="24"/>
                <w:szCs w:val="24"/>
              </w:rPr>
            </w:pPr>
          </w:p>
        </w:tc>
      </w:tr>
      <w:tr w:rsidR="00D0772B" w:rsidRPr="000210F4" w14:paraId="70F2F01A" w14:textId="77777777" w:rsidTr="000210F4">
        <w:tc>
          <w:tcPr>
            <w:tcW w:w="4394" w:type="dxa"/>
            <w:tcBorders>
              <w:top w:val="single" w:sz="4" w:space="0" w:color="000000"/>
              <w:left w:val="single" w:sz="4" w:space="0" w:color="000000"/>
              <w:bottom w:val="single" w:sz="4" w:space="0" w:color="000000"/>
              <w:right w:val="single" w:sz="4" w:space="0" w:color="000000"/>
            </w:tcBorders>
            <w:vAlign w:val="center"/>
            <w:hideMark/>
          </w:tcPr>
          <w:p w14:paraId="45FFE596" w14:textId="77777777" w:rsidR="00D0772B" w:rsidRPr="000210F4" w:rsidRDefault="00D0772B">
            <w:pPr>
              <w:tabs>
                <w:tab w:val="left" w:pos="1304"/>
              </w:tabs>
              <w:autoSpaceDE w:val="0"/>
              <w:autoSpaceDN w:val="0"/>
              <w:adjustRightInd w:val="0"/>
              <w:rPr>
                <w:sz w:val="24"/>
                <w:szCs w:val="24"/>
                <w:lang w:eastAsia="en-GB"/>
              </w:rPr>
            </w:pPr>
            <w:r w:rsidRPr="000210F4">
              <w:rPr>
                <w:sz w:val="24"/>
                <w:szCs w:val="24"/>
                <w:lang w:eastAsia="en-GB"/>
              </w:rPr>
              <w:t>Citronsyre</w:t>
            </w:r>
          </w:p>
        </w:tc>
        <w:tc>
          <w:tcPr>
            <w:tcW w:w="4253" w:type="dxa"/>
            <w:tcBorders>
              <w:top w:val="single" w:sz="4" w:space="0" w:color="000000"/>
              <w:left w:val="single" w:sz="4" w:space="0" w:color="000000"/>
              <w:bottom w:val="single" w:sz="4" w:space="0" w:color="000000"/>
              <w:right w:val="single" w:sz="4" w:space="0" w:color="000000"/>
            </w:tcBorders>
            <w:vAlign w:val="center"/>
          </w:tcPr>
          <w:p w14:paraId="05177BBF" w14:textId="77777777" w:rsidR="00D0772B" w:rsidRPr="000210F4" w:rsidRDefault="00D0772B">
            <w:pPr>
              <w:spacing w:before="60" w:after="60"/>
              <w:rPr>
                <w:iCs/>
                <w:sz w:val="24"/>
                <w:szCs w:val="24"/>
              </w:rPr>
            </w:pPr>
          </w:p>
        </w:tc>
      </w:tr>
      <w:tr w:rsidR="00D0772B" w:rsidRPr="000210F4" w14:paraId="3BE48CBB" w14:textId="77777777" w:rsidTr="000210F4">
        <w:tc>
          <w:tcPr>
            <w:tcW w:w="4394" w:type="dxa"/>
            <w:tcBorders>
              <w:top w:val="single" w:sz="4" w:space="0" w:color="000000"/>
              <w:left w:val="single" w:sz="4" w:space="0" w:color="000000"/>
              <w:bottom w:val="single" w:sz="4" w:space="0" w:color="000000"/>
              <w:right w:val="single" w:sz="4" w:space="0" w:color="000000"/>
            </w:tcBorders>
            <w:vAlign w:val="center"/>
            <w:hideMark/>
          </w:tcPr>
          <w:p w14:paraId="32F20B9C" w14:textId="77777777" w:rsidR="00D0772B" w:rsidRPr="000210F4" w:rsidRDefault="00D0772B">
            <w:pPr>
              <w:spacing w:before="60" w:after="60"/>
              <w:ind w:left="567" w:hanging="567"/>
              <w:rPr>
                <w:b/>
                <w:bCs/>
                <w:iCs/>
                <w:sz w:val="24"/>
                <w:szCs w:val="24"/>
              </w:rPr>
            </w:pPr>
            <w:r w:rsidRPr="000210F4">
              <w:rPr>
                <w:sz w:val="24"/>
                <w:szCs w:val="24"/>
                <w:lang w:eastAsia="en-GB"/>
              </w:rPr>
              <w:t>Saltsyre, koncentreret</w:t>
            </w:r>
          </w:p>
        </w:tc>
        <w:tc>
          <w:tcPr>
            <w:tcW w:w="4253" w:type="dxa"/>
            <w:tcBorders>
              <w:top w:val="single" w:sz="4" w:space="0" w:color="000000"/>
              <w:left w:val="single" w:sz="4" w:space="0" w:color="000000"/>
              <w:bottom w:val="single" w:sz="4" w:space="0" w:color="000000"/>
              <w:right w:val="single" w:sz="4" w:space="0" w:color="000000"/>
            </w:tcBorders>
            <w:vAlign w:val="center"/>
          </w:tcPr>
          <w:p w14:paraId="0AB42462" w14:textId="77777777" w:rsidR="00D0772B" w:rsidRPr="000210F4" w:rsidRDefault="00D0772B">
            <w:pPr>
              <w:spacing w:before="60" w:after="60"/>
              <w:rPr>
                <w:iCs/>
                <w:sz w:val="24"/>
                <w:szCs w:val="24"/>
              </w:rPr>
            </w:pPr>
          </w:p>
        </w:tc>
      </w:tr>
      <w:tr w:rsidR="00D0772B" w:rsidRPr="000210F4" w14:paraId="4D4DB997" w14:textId="77777777" w:rsidTr="000210F4">
        <w:tc>
          <w:tcPr>
            <w:tcW w:w="4394" w:type="dxa"/>
            <w:tcBorders>
              <w:top w:val="single" w:sz="4" w:space="0" w:color="000000"/>
              <w:left w:val="single" w:sz="4" w:space="0" w:color="000000"/>
              <w:bottom w:val="single" w:sz="4" w:space="0" w:color="000000"/>
              <w:right w:val="single" w:sz="4" w:space="0" w:color="000000"/>
            </w:tcBorders>
            <w:vAlign w:val="center"/>
            <w:hideMark/>
          </w:tcPr>
          <w:p w14:paraId="49F7C690" w14:textId="77777777" w:rsidR="00D0772B" w:rsidRPr="000210F4" w:rsidRDefault="00D0772B">
            <w:pPr>
              <w:spacing w:before="60" w:after="60"/>
              <w:rPr>
                <w:iCs/>
                <w:sz w:val="24"/>
                <w:szCs w:val="24"/>
              </w:rPr>
            </w:pPr>
            <w:r w:rsidRPr="000210F4">
              <w:rPr>
                <w:sz w:val="24"/>
                <w:szCs w:val="24"/>
                <w:lang w:eastAsia="en-GB"/>
              </w:rPr>
              <w:t>Natriumhydroxid, (til justering af pH)</w:t>
            </w:r>
          </w:p>
        </w:tc>
        <w:tc>
          <w:tcPr>
            <w:tcW w:w="4253" w:type="dxa"/>
            <w:tcBorders>
              <w:top w:val="single" w:sz="4" w:space="0" w:color="000000"/>
              <w:left w:val="single" w:sz="4" w:space="0" w:color="000000"/>
              <w:bottom w:val="single" w:sz="4" w:space="0" w:color="000000"/>
              <w:right w:val="single" w:sz="4" w:space="0" w:color="000000"/>
            </w:tcBorders>
            <w:vAlign w:val="center"/>
          </w:tcPr>
          <w:p w14:paraId="418959FB" w14:textId="77777777" w:rsidR="00D0772B" w:rsidRPr="000210F4" w:rsidRDefault="00D0772B">
            <w:pPr>
              <w:spacing w:before="60" w:after="60"/>
              <w:rPr>
                <w:iCs/>
                <w:sz w:val="24"/>
                <w:szCs w:val="24"/>
              </w:rPr>
            </w:pPr>
          </w:p>
        </w:tc>
      </w:tr>
      <w:tr w:rsidR="00D0772B" w:rsidRPr="000210F4" w14:paraId="65B3D5D6" w14:textId="77777777" w:rsidTr="000210F4">
        <w:tc>
          <w:tcPr>
            <w:tcW w:w="4394" w:type="dxa"/>
            <w:tcBorders>
              <w:top w:val="single" w:sz="4" w:space="0" w:color="000000"/>
              <w:left w:val="single" w:sz="4" w:space="0" w:color="000000"/>
              <w:bottom w:val="single" w:sz="4" w:space="0" w:color="000000"/>
              <w:right w:val="single" w:sz="4" w:space="0" w:color="000000"/>
            </w:tcBorders>
            <w:vAlign w:val="center"/>
            <w:hideMark/>
          </w:tcPr>
          <w:p w14:paraId="39D5B3AB" w14:textId="77777777" w:rsidR="00D0772B" w:rsidRPr="000210F4" w:rsidRDefault="00D0772B">
            <w:pPr>
              <w:spacing w:before="60" w:after="60"/>
              <w:rPr>
                <w:sz w:val="24"/>
                <w:szCs w:val="24"/>
                <w:lang w:eastAsia="en-GB"/>
              </w:rPr>
            </w:pPr>
            <w:r w:rsidRPr="000210F4">
              <w:rPr>
                <w:sz w:val="24"/>
                <w:szCs w:val="24"/>
                <w:lang w:eastAsia="en-GB"/>
              </w:rPr>
              <w:t>Vand til injektioner</w:t>
            </w:r>
          </w:p>
        </w:tc>
        <w:tc>
          <w:tcPr>
            <w:tcW w:w="4253" w:type="dxa"/>
            <w:tcBorders>
              <w:top w:val="single" w:sz="4" w:space="0" w:color="000000"/>
              <w:left w:val="single" w:sz="4" w:space="0" w:color="000000"/>
              <w:bottom w:val="single" w:sz="4" w:space="0" w:color="000000"/>
              <w:right w:val="single" w:sz="4" w:space="0" w:color="000000"/>
            </w:tcBorders>
            <w:vAlign w:val="center"/>
          </w:tcPr>
          <w:p w14:paraId="565A6A7B" w14:textId="77777777" w:rsidR="00D0772B" w:rsidRPr="000210F4" w:rsidRDefault="00D0772B">
            <w:pPr>
              <w:spacing w:before="60" w:after="60"/>
              <w:rPr>
                <w:iCs/>
                <w:sz w:val="24"/>
                <w:szCs w:val="24"/>
              </w:rPr>
            </w:pPr>
          </w:p>
        </w:tc>
      </w:tr>
    </w:tbl>
    <w:p w14:paraId="3F1F54D3" w14:textId="77777777" w:rsidR="00D0772B" w:rsidRPr="000210F4" w:rsidRDefault="00D0772B" w:rsidP="00D0772B">
      <w:pPr>
        <w:tabs>
          <w:tab w:val="left" w:pos="1304"/>
        </w:tabs>
        <w:rPr>
          <w:sz w:val="24"/>
          <w:szCs w:val="24"/>
        </w:rPr>
      </w:pPr>
    </w:p>
    <w:p w14:paraId="3005F394" w14:textId="77777777" w:rsidR="00D0772B" w:rsidRPr="000210F4" w:rsidRDefault="00D0772B" w:rsidP="000210F4">
      <w:pPr>
        <w:tabs>
          <w:tab w:val="left" w:pos="1304"/>
        </w:tabs>
        <w:ind w:firstLine="851"/>
        <w:rPr>
          <w:sz w:val="24"/>
          <w:szCs w:val="24"/>
        </w:rPr>
      </w:pPr>
      <w:r w:rsidRPr="000210F4">
        <w:rPr>
          <w:rFonts w:ascii="TimesNewRomanPSMT" w:hAnsi="TimesNewRomanPSMT" w:cs="TimesNewRomanPSMT"/>
          <w:sz w:val="24"/>
          <w:szCs w:val="24"/>
          <w:lang w:eastAsia="en-GB"/>
        </w:rPr>
        <w:t>Klar, farveløs til let gullig opløsning, fri for synlige partikler.</w:t>
      </w:r>
    </w:p>
    <w:p w14:paraId="6F5E2ED5" w14:textId="77777777" w:rsidR="00D0772B" w:rsidRPr="000210F4" w:rsidRDefault="00D0772B" w:rsidP="00D0772B">
      <w:pPr>
        <w:tabs>
          <w:tab w:val="left" w:pos="1304"/>
        </w:tabs>
        <w:rPr>
          <w:sz w:val="24"/>
          <w:szCs w:val="24"/>
        </w:rPr>
      </w:pPr>
    </w:p>
    <w:p w14:paraId="0B3798D1" w14:textId="77777777" w:rsidR="00D0772B" w:rsidRPr="000210F4" w:rsidRDefault="00D0772B" w:rsidP="00D0772B">
      <w:pPr>
        <w:tabs>
          <w:tab w:val="left" w:pos="1304"/>
        </w:tabs>
        <w:rPr>
          <w:sz w:val="24"/>
          <w:szCs w:val="24"/>
        </w:rPr>
      </w:pPr>
    </w:p>
    <w:p w14:paraId="6EEE5214" w14:textId="77777777" w:rsidR="00D0772B" w:rsidRPr="000210F4" w:rsidRDefault="00D0772B" w:rsidP="000210F4">
      <w:pPr>
        <w:ind w:left="851" w:hanging="851"/>
        <w:rPr>
          <w:b/>
          <w:sz w:val="24"/>
          <w:szCs w:val="24"/>
        </w:rPr>
      </w:pPr>
      <w:r w:rsidRPr="000210F4">
        <w:rPr>
          <w:b/>
          <w:sz w:val="24"/>
          <w:szCs w:val="24"/>
        </w:rPr>
        <w:t>3.</w:t>
      </w:r>
      <w:r w:rsidRPr="000210F4">
        <w:rPr>
          <w:b/>
          <w:sz w:val="24"/>
          <w:szCs w:val="24"/>
        </w:rPr>
        <w:tab/>
        <w:t>KLINISKE OPLYSNINGER</w:t>
      </w:r>
    </w:p>
    <w:p w14:paraId="47CFC665" w14:textId="77777777" w:rsidR="00D0772B" w:rsidRPr="000210F4" w:rsidRDefault="00D0772B" w:rsidP="00D0772B">
      <w:pPr>
        <w:rPr>
          <w:sz w:val="24"/>
          <w:szCs w:val="24"/>
        </w:rPr>
      </w:pPr>
    </w:p>
    <w:p w14:paraId="08FAF7B9" w14:textId="77777777" w:rsidR="00D0772B" w:rsidRPr="000210F4" w:rsidRDefault="00D0772B" w:rsidP="000210F4">
      <w:pPr>
        <w:ind w:left="851" w:hanging="851"/>
        <w:rPr>
          <w:b/>
          <w:sz w:val="24"/>
          <w:szCs w:val="24"/>
        </w:rPr>
      </w:pPr>
      <w:r w:rsidRPr="000210F4">
        <w:rPr>
          <w:b/>
          <w:sz w:val="24"/>
          <w:szCs w:val="24"/>
        </w:rPr>
        <w:t>3.1</w:t>
      </w:r>
      <w:r w:rsidRPr="000210F4">
        <w:rPr>
          <w:b/>
          <w:sz w:val="24"/>
          <w:szCs w:val="24"/>
        </w:rPr>
        <w:tab/>
        <w:t>Dyrearter, som lægemidlet er beregnet til</w:t>
      </w:r>
    </w:p>
    <w:p w14:paraId="1EFE1E52" w14:textId="77777777" w:rsidR="00D0772B" w:rsidRPr="000210F4" w:rsidRDefault="00D0772B" w:rsidP="00D0772B">
      <w:pPr>
        <w:tabs>
          <w:tab w:val="left" w:pos="1304"/>
        </w:tabs>
        <w:rPr>
          <w:sz w:val="24"/>
          <w:szCs w:val="24"/>
        </w:rPr>
      </w:pPr>
    </w:p>
    <w:p w14:paraId="15DDE66A" w14:textId="77777777" w:rsidR="00D0772B" w:rsidRPr="000210F4" w:rsidRDefault="00D0772B" w:rsidP="000210F4">
      <w:pPr>
        <w:tabs>
          <w:tab w:val="left" w:pos="1304"/>
        </w:tabs>
        <w:ind w:firstLine="851"/>
        <w:rPr>
          <w:sz w:val="24"/>
          <w:szCs w:val="24"/>
        </w:rPr>
      </w:pPr>
      <w:r w:rsidRPr="000210F4">
        <w:rPr>
          <w:rFonts w:ascii="TimesNewRomanPSMT" w:hAnsi="TimesNewRomanPSMT" w:cs="TimesNewRomanPSMT"/>
          <w:sz w:val="24"/>
          <w:szCs w:val="24"/>
          <w:lang w:eastAsia="en-GB"/>
        </w:rPr>
        <w:t>Kvæg, svin og får.</w:t>
      </w:r>
    </w:p>
    <w:p w14:paraId="7CDD33F1" w14:textId="77777777" w:rsidR="00D0772B" w:rsidRPr="000210F4" w:rsidRDefault="00D0772B" w:rsidP="00D0772B">
      <w:pPr>
        <w:tabs>
          <w:tab w:val="left" w:pos="1304"/>
        </w:tabs>
        <w:rPr>
          <w:sz w:val="24"/>
          <w:szCs w:val="24"/>
        </w:rPr>
      </w:pPr>
    </w:p>
    <w:p w14:paraId="4D1E90AC" w14:textId="77777777" w:rsidR="00D0772B" w:rsidRPr="000210F4" w:rsidRDefault="00D0772B" w:rsidP="000210F4">
      <w:pPr>
        <w:tabs>
          <w:tab w:val="left" w:pos="851"/>
        </w:tabs>
        <w:rPr>
          <w:sz w:val="24"/>
          <w:szCs w:val="24"/>
        </w:rPr>
      </w:pPr>
      <w:r w:rsidRPr="000210F4">
        <w:rPr>
          <w:b/>
          <w:sz w:val="24"/>
          <w:szCs w:val="24"/>
        </w:rPr>
        <w:t>3.2</w:t>
      </w:r>
      <w:r w:rsidRPr="000210F4">
        <w:rPr>
          <w:b/>
          <w:sz w:val="24"/>
          <w:szCs w:val="24"/>
        </w:rPr>
        <w:tab/>
        <w:t>Terapeutiske indikationer for hver dyreart, som lægemidlet er beregnet til</w:t>
      </w:r>
    </w:p>
    <w:p w14:paraId="28A0F485" w14:textId="77777777" w:rsidR="00D0772B" w:rsidRPr="000210F4" w:rsidRDefault="00D0772B" w:rsidP="00D0772B">
      <w:pPr>
        <w:tabs>
          <w:tab w:val="left" w:pos="1304"/>
        </w:tabs>
        <w:rPr>
          <w:sz w:val="24"/>
          <w:szCs w:val="24"/>
        </w:rPr>
      </w:pPr>
    </w:p>
    <w:p w14:paraId="41D16A95"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u w:val="single"/>
          <w:lang w:eastAsia="en-GB"/>
        </w:rPr>
      </w:pPr>
      <w:r w:rsidRPr="000210F4">
        <w:rPr>
          <w:rFonts w:ascii="TimesNewRomanPSMT" w:hAnsi="TimesNewRomanPSMT" w:cs="TimesNewRomanPSMT"/>
          <w:sz w:val="24"/>
          <w:szCs w:val="24"/>
          <w:u w:val="single"/>
          <w:lang w:eastAsia="en-GB"/>
        </w:rPr>
        <w:t>Kvæg</w:t>
      </w:r>
    </w:p>
    <w:p w14:paraId="19F2AEEC"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 xml:space="preserve">Behandling og </w:t>
      </w:r>
      <w:proofErr w:type="spellStart"/>
      <w:r w:rsidRPr="000210F4">
        <w:rPr>
          <w:rFonts w:ascii="TimesNewRomanPSMT" w:hAnsi="TimesNewRomanPSMT" w:cs="TimesNewRomanPSMT"/>
          <w:sz w:val="24"/>
          <w:szCs w:val="24"/>
          <w:lang w:eastAsia="en-GB"/>
        </w:rPr>
        <w:t>metafylaksi</w:t>
      </w:r>
      <w:proofErr w:type="spellEnd"/>
      <w:r w:rsidRPr="000210F4">
        <w:rPr>
          <w:rFonts w:ascii="TimesNewRomanPSMT" w:hAnsi="TimesNewRomanPSMT" w:cs="TimesNewRomanPSMT"/>
          <w:sz w:val="24"/>
          <w:szCs w:val="24"/>
          <w:lang w:eastAsia="en-GB"/>
        </w:rPr>
        <w:t xml:space="preserve"> af respiratorisk sygdom hos okser (BRD) i forbindelse med </w:t>
      </w:r>
      <w:proofErr w:type="spellStart"/>
      <w:r w:rsidRPr="000210F4">
        <w:rPr>
          <w:rFonts w:ascii="TimesNewRomanPS-ItalicMT" w:hAnsi="TimesNewRomanPS-ItalicMT" w:cs="TimesNewRomanPS-ItalicMT"/>
          <w:i/>
          <w:iCs/>
          <w:sz w:val="24"/>
          <w:szCs w:val="24"/>
          <w:lang w:eastAsia="en-GB"/>
        </w:rPr>
        <w:t>Mannheimia</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haemolytica</w:t>
      </w:r>
      <w:proofErr w:type="spellEnd"/>
      <w:r w:rsidRPr="000210F4">
        <w:rPr>
          <w:rFonts w:ascii="TimesNewRomanPSMT" w:hAnsi="TimesNewRomanPSMT" w:cs="TimesNewRomanPSMT"/>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Pasteurella</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multocida</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Histophilus</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somni</w:t>
      </w:r>
      <w:proofErr w:type="spellEnd"/>
      <w:r w:rsidRPr="000210F4">
        <w:rPr>
          <w:rFonts w:ascii="TimesNewRomanPS-ItalicMT" w:hAnsi="TimesNewRomanPS-ItalicMT" w:cs="TimesNewRomanPS-ItalicMT"/>
          <w:i/>
          <w:iCs/>
          <w:sz w:val="24"/>
          <w:szCs w:val="24"/>
          <w:lang w:eastAsia="en-GB"/>
        </w:rPr>
        <w:t xml:space="preserve"> </w:t>
      </w:r>
      <w:r w:rsidRPr="000210F4">
        <w:rPr>
          <w:rFonts w:ascii="TimesNewRomanPSMT" w:hAnsi="TimesNewRomanPSMT" w:cs="TimesNewRomanPSMT"/>
          <w:sz w:val="24"/>
          <w:szCs w:val="24"/>
          <w:lang w:eastAsia="en-GB"/>
        </w:rPr>
        <w:t xml:space="preserve">og </w:t>
      </w:r>
      <w:proofErr w:type="spellStart"/>
      <w:r w:rsidRPr="000210F4">
        <w:rPr>
          <w:rFonts w:ascii="TimesNewRomanPS-ItalicMT" w:hAnsi="TimesNewRomanPS-ItalicMT" w:cs="TimesNewRomanPS-ItalicMT"/>
          <w:i/>
          <w:iCs/>
          <w:sz w:val="24"/>
          <w:szCs w:val="24"/>
          <w:lang w:eastAsia="en-GB"/>
        </w:rPr>
        <w:t>Mycoplasma</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bovis</w:t>
      </w:r>
      <w:proofErr w:type="spellEnd"/>
      <w:r w:rsidRPr="000210F4">
        <w:rPr>
          <w:rFonts w:ascii="TimesNewRomanPS-ItalicMT" w:hAnsi="TimesNewRomanPS-ItalicMT" w:cs="TimesNewRomanPS-ItalicMT"/>
          <w:i/>
          <w:iCs/>
          <w:sz w:val="24"/>
          <w:szCs w:val="24"/>
          <w:lang w:eastAsia="en-GB"/>
        </w:rPr>
        <w:t xml:space="preserve"> </w:t>
      </w:r>
      <w:r w:rsidRPr="000210F4">
        <w:rPr>
          <w:rFonts w:ascii="TimesNewRomanPS-ItalicMT" w:hAnsi="TimesNewRomanPS-ItalicMT" w:cs="TimesNewRomanPS-ItalicMT"/>
          <w:iCs/>
          <w:sz w:val="24"/>
          <w:szCs w:val="24"/>
          <w:lang w:eastAsia="en-GB"/>
        </w:rPr>
        <w:t xml:space="preserve">med følsomhed overfor </w:t>
      </w: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 xml:space="preserve">. Tilstedeværelse af sygdommen i besætningen skal fastslås, inden produktet anvendes. </w:t>
      </w:r>
    </w:p>
    <w:p w14:paraId="0E2D5094"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7B79041F"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 xml:space="preserve">Behandling af infektiøs </w:t>
      </w:r>
      <w:proofErr w:type="spellStart"/>
      <w:r w:rsidRPr="000210F4">
        <w:rPr>
          <w:rFonts w:ascii="TimesNewRomanPSMT" w:hAnsi="TimesNewRomanPSMT" w:cs="TimesNewRomanPSMT"/>
          <w:sz w:val="24"/>
          <w:szCs w:val="24"/>
          <w:lang w:eastAsia="en-GB"/>
        </w:rPr>
        <w:t>keratokonjunktivitis</w:t>
      </w:r>
      <w:proofErr w:type="spellEnd"/>
      <w:r w:rsidRPr="000210F4">
        <w:rPr>
          <w:rFonts w:ascii="TimesNewRomanPSMT" w:hAnsi="TimesNewRomanPSMT" w:cs="TimesNewRomanPSMT"/>
          <w:sz w:val="24"/>
          <w:szCs w:val="24"/>
          <w:lang w:eastAsia="en-GB"/>
        </w:rPr>
        <w:t xml:space="preserve"> hos kvæg (IBK) i forbindelse med </w:t>
      </w:r>
      <w:proofErr w:type="spellStart"/>
      <w:r w:rsidRPr="000210F4">
        <w:rPr>
          <w:rFonts w:ascii="TimesNewRomanPS-ItalicMT" w:hAnsi="TimesNewRomanPS-ItalicMT" w:cs="TimesNewRomanPS-ItalicMT"/>
          <w:i/>
          <w:iCs/>
          <w:sz w:val="24"/>
          <w:szCs w:val="24"/>
          <w:lang w:eastAsia="en-GB"/>
        </w:rPr>
        <w:t>Moraxella</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bovis</w:t>
      </w:r>
      <w:proofErr w:type="spellEnd"/>
      <w:r w:rsidRPr="000210F4">
        <w:rPr>
          <w:rFonts w:ascii="TimesNewRomanPS-ItalicMT" w:hAnsi="TimesNewRomanPS-ItalicMT" w:cs="TimesNewRomanPS-ItalicMT"/>
          <w:i/>
          <w:iCs/>
          <w:sz w:val="24"/>
          <w:szCs w:val="24"/>
          <w:lang w:eastAsia="en-GB"/>
        </w:rPr>
        <w:t xml:space="preserve"> </w:t>
      </w:r>
      <w:r w:rsidRPr="000210F4">
        <w:rPr>
          <w:rFonts w:ascii="TimesNewRomanPSMT" w:hAnsi="TimesNewRomanPSMT" w:cs="TimesNewRomanPSMT"/>
          <w:sz w:val="24"/>
          <w:szCs w:val="24"/>
          <w:lang w:eastAsia="en-GB"/>
        </w:rPr>
        <w:t xml:space="preserve">med følsomhed overfor </w:t>
      </w: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w:t>
      </w:r>
    </w:p>
    <w:p w14:paraId="6CA0089A" w14:textId="77777777" w:rsidR="00D0772B" w:rsidRPr="000210F4" w:rsidRDefault="00D0772B" w:rsidP="000210F4">
      <w:pPr>
        <w:tabs>
          <w:tab w:val="left" w:pos="1304"/>
        </w:tabs>
        <w:ind w:left="851"/>
        <w:rPr>
          <w:sz w:val="24"/>
          <w:szCs w:val="24"/>
        </w:rPr>
      </w:pPr>
    </w:p>
    <w:p w14:paraId="5276F926"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u w:val="single"/>
          <w:lang w:eastAsia="en-GB"/>
        </w:rPr>
      </w:pPr>
      <w:r w:rsidRPr="000210F4">
        <w:rPr>
          <w:rFonts w:ascii="TimesNewRomanPSMT" w:hAnsi="TimesNewRomanPSMT" w:cs="TimesNewRomanPSMT"/>
          <w:sz w:val="24"/>
          <w:szCs w:val="24"/>
          <w:u w:val="single"/>
          <w:lang w:eastAsia="en-GB"/>
        </w:rPr>
        <w:t>Svin</w:t>
      </w:r>
    </w:p>
    <w:p w14:paraId="394114BA" w14:textId="77777777" w:rsidR="00D0772B" w:rsidRPr="000210F4" w:rsidRDefault="00D0772B" w:rsidP="000210F4">
      <w:pPr>
        <w:tabs>
          <w:tab w:val="left" w:pos="1304"/>
        </w:tabs>
        <w:autoSpaceDE w:val="0"/>
        <w:autoSpaceDN w:val="0"/>
        <w:adjustRightInd w:val="0"/>
        <w:ind w:left="851"/>
        <w:rPr>
          <w:sz w:val="24"/>
          <w:szCs w:val="24"/>
        </w:rPr>
      </w:pPr>
      <w:r w:rsidRPr="000210F4">
        <w:rPr>
          <w:rFonts w:ascii="TimesNewRomanPSMT" w:hAnsi="TimesNewRomanPSMT" w:cs="TimesNewRomanPSMT"/>
          <w:sz w:val="24"/>
          <w:szCs w:val="24"/>
          <w:lang w:eastAsia="en-GB"/>
        </w:rPr>
        <w:t xml:space="preserve">Behandling og </w:t>
      </w:r>
      <w:proofErr w:type="spellStart"/>
      <w:r w:rsidRPr="000210F4">
        <w:rPr>
          <w:rFonts w:ascii="TimesNewRomanPSMT" w:hAnsi="TimesNewRomanPSMT" w:cs="TimesNewRomanPSMT"/>
          <w:sz w:val="24"/>
          <w:szCs w:val="24"/>
          <w:lang w:eastAsia="en-GB"/>
        </w:rPr>
        <w:t>metafylaksi</w:t>
      </w:r>
      <w:proofErr w:type="spellEnd"/>
      <w:r w:rsidRPr="000210F4">
        <w:rPr>
          <w:rFonts w:ascii="TimesNewRomanPSMT" w:hAnsi="TimesNewRomanPSMT" w:cs="TimesNewRomanPSMT"/>
          <w:sz w:val="24"/>
          <w:szCs w:val="24"/>
          <w:lang w:eastAsia="en-GB"/>
        </w:rPr>
        <w:t xml:space="preserve"> af respiratorisk sygdom hos svin (SRD) i forbindelse med </w:t>
      </w:r>
      <w:proofErr w:type="spellStart"/>
      <w:r w:rsidRPr="000210F4">
        <w:rPr>
          <w:rFonts w:ascii="TimesNewRomanPS-ItalicMT" w:hAnsi="TimesNewRomanPS-ItalicMT" w:cs="TimesNewRomanPS-ItalicMT"/>
          <w:i/>
          <w:iCs/>
          <w:sz w:val="24"/>
          <w:szCs w:val="24"/>
          <w:lang w:eastAsia="en-GB"/>
        </w:rPr>
        <w:t>Actinobacillus</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pleuropneumoniae</w:t>
      </w:r>
      <w:proofErr w:type="spellEnd"/>
      <w:r w:rsidRPr="000210F4">
        <w:rPr>
          <w:rFonts w:ascii="TimesNewRomanPSMT" w:hAnsi="TimesNewRomanPSMT" w:cs="TimesNewRomanPSMT"/>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Pasteurella</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multocida</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Mycoplasma</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hyopneumoniae</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Haemophilus</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parasuis</w:t>
      </w:r>
      <w:proofErr w:type="spellEnd"/>
      <w:r w:rsidRPr="000210F4">
        <w:rPr>
          <w:rFonts w:ascii="TimesNewRomanPS-ItalicMT" w:hAnsi="TimesNewRomanPS-ItalicMT" w:cs="TimesNewRomanPS-ItalicMT"/>
          <w:i/>
          <w:iCs/>
          <w:sz w:val="24"/>
          <w:szCs w:val="24"/>
          <w:lang w:eastAsia="en-GB"/>
        </w:rPr>
        <w:t xml:space="preserve"> </w:t>
      </w:r>
      <w:r w:rsidRPr="000210F4">
        <w:rPr>
          <w:rFonts w:ascii="TimesNewRomanPSMT" w:hAnsi="TimesNewRomanPSMT" w:cs="TimesNewRomanPSMT"/>
          <w:sz w:val="24"/>
          <w:szCs w:val="24"/>
          <w:lang w:eastAsia="en-GB"/>
        </w:rPr>
        <w:t xml:space="preserve">og </w:t>
      </w:r>
      <w:proofErr w:type="spellStart"/>
      <w:r w:rsidRPr="000210F4">
        <w:rPr>
          <w:rFonts w:ascii="TimesNewRomanPS-ItalicMT" w:hAnsi="TimesNewRomanPS-ItalicMT" w:cs="TimesNewRomanPS-ItalicMT"/>
          <w:i/>
          <w:iCs/>
          <w:sz w:val="24"/>
          <w:szCs w:val="24"/>
          <w:lang w:eastAsia="en-GB"/>
        </w:rPr>
        <w:t>Bordetella</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bronchiseptica</w:t>
      </w:r>
      <w:proofErr w:type="spellEnd"/>
      <w:r w:rsidRPr="000210F4">
        <w:rPr>
          <w:rFonts w:ascii="TimesNewRomanPS-ItalicMT" w:hAnsi="TimesNewRomanPS-ItalicMT" w:cs="TimesNewRomanPS-ItalicMT"/>
          <w:i/>
          <w:iCs/>
          <w:sz w:val="24"/>
          <w:szCs w:val="24"/>
          <w:lang w:eastAsia="en-GB"/>
        </w:rPr>
        <w:t xml:space="preserve"> </w:t>
      </w:r>
      <w:r w:rsidRPr="000210F4">
        <w:rPr>
          <w:rFonts w:ascii="TimesNewRomanPSMT" w:hAnsi="TimesNewRomanPSMT" w:cs="TimesNewRomanPSMT"/>
          <w:sz w:val="24"/>
          <w:szCs w:val="24"/>
          <w:lang w:eastAsia="en-GB"/>
        </w:rPr>
        <w:t xml:space="preserve">med følsomhed overfor </w:t>
      </w: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 xml:space="preserve">. Tilstedeværelse af sygdommen i besætningen skal fastslås, inden produktet anvendes. </w:t>
      </w:r>
      <w:r w:rsidRPr="000210F4">
        <w:rPr>
          <w:rFonts w:ascii="TimesNewRomanPSMT" w:hAnsi="TimesNewRomanPSMT" w:cs="TimesNewRomanPSMT"/>
          <w:sz w:val="24"/>
          <w:szCs w:val="24"/>
          <w:lang w:eastAsia="da-DK"/>
        </w:rPr>
        <w:t>Veterinærlægemidlet må</w:t>
      </w:r>
      <w:r w:rsidRPr="000210F4">
        <w:rPr>
          <w:rFonts w:ascii="TimesNewRomanPSMT" w:hAnsi="TimesNewRomanPSMT" w:cs="TimesNewRomanPSMT"/>
          <w:sz w:val="24"/>
          <w:szCs w:val="24"/>
          <w:lang w:eastAsia="en-GB"/>
        </w:rPr>
        <w:t xml:space="preserve"> kun anvendes, hvis dyrene forventes at udvikle sygdommen inden for 2–3 dage.</w:t>
      </w:r>
    </w:p>
    <w:p w14:paraId="10C4E8F5" w14:textId="77777777" w:rsidR="00D0772B" w:rsidRPr="000210F4" w:rsidRDefault="00D0772B" w:rsidP="000210F4">
      <w:pPr>
        <w:tabs>
          <w:tab w:val="left" w:pos="1304"/>
        </w:tabs>
        <w:ind w:left="851"/>
        <w:rPr>
          <w:sz w:val="24"/>
          <w:szCs w:val="24"/>
        </w:rPr>
      </w:pPr>
    </w:p>
    <w:p w14:paraId="6D29BA1F"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u w:val="single"/>
          <w:lang w:eastAsia="en-GB"/>
        </w:rPr>
      </w:pPr>
      <w:r w:rsidRPr="000210F4">
        <w:rPr>
          <w:rFonts w:ascii="TimesNewRomanPSMT" w:hAnsi="TimesNewRomanPSMT" w:cs="TimesNewRomanPSMT"/>
          <w:sz w:val="24"/>
          <w:szCs w:val="24"/>
          <w:u w:val="single"/>
          <w:lang w:eastAsia="en-GB"/>
        </w:rPr>
        <w:t>Får</w:t>
      </w:r>
    </w:p>
    <w:p w14:paraId="74D61D29" w14:textId="77777777" w:rsidR="00D0772B" w:rsidRPr="000210F4" w:rsidRDefault="00D0772B" w:rsidP="000210F4">
      <w:pPr>
        <w:tabs>
          <w:tab w:val="left" w:pos="1304"/>
        </w:tabs>
        <w:autoSpaceDE w:val="0"/>
        <w:autoSpaceDN w:val="0"/>
        <w:adjustRightInd w:val="0"/>
        <w:ind w:left="851"/>
        <w:rPr>
          <w:sz w:val="24"/>
          <w:szCs w:val="24"/>
        </w:rPr>
      </w:pPr>
      <w:r w:rsidRPr="000210F4">
        <w:rPr>
          <w:rFonts w:ascii="TimesNewRomanPSMT" w:hAnsi="TimesNewRomanPSMT" w:cs="TimesNewRomanPSMT"/>
          <w:sz w:val="24"/>
          <w:szCs w:val="24"/>
          <w:lang w:eastAsia="en-GB"/>
        </w:rPr>
        <w:t xml:space="preserve">Behandling af de tidlige stadier af infektiøs </w:t>
      </w:r>
      <w:proofErr w:type="spellStart"/>
      <w:r w:rsidRPr="000210F4">
        <w:rPr>
          <w:rFonts w:ascii="TimesNewRomanPSMT" w:hAnsi="TimesNewRomanPSMT" w:cs="TimesNewRomanPSMT"/>
          <w:sz w:val="24"/>
          <w:szCs w:val="24"/>
          <w:lang w:eastAsia="en-GB"/>
        </w:rPr>
        <w:t>pododermatitis</w:t>
      </w:r>
      <w:proofErr w:type="spellEnd"/>
      <w:r w:rsidRPr="000210F4">
        <w:rPr>
          <w:rFonts w:ascii="TimesNewRomanPSMT" w:hAnsi="TimesNewRomanPSMT" w:cs="TimesNewRomanPSMT"/>
          <w:sz w:val="24"/>
          <w:szCs w:val="24"/>
          <w:lang w:eastAsia="en-GB"/>
        </w:rPr>
        <w:t xml:space="preserve"> (ondartet klovsyge) i forbindelse med virulent </w:t>
      </w:r>
      <w:proofErr w:type="spellStart"/>
      <w:r w:rsidRPr="000210F4">
        <w:rPr>
          <w:rFonts w:ascii="TimesNewRomanPS-ItalicMT" w:hAnsi="TimesNewRomanPS-ItalicMT" w:cs="TimesNewRomanPS-ItalicMT"/>
          <w:i/>
          <w:iCs/>
          <w:sz w:val="24"/>
          <w:szCs w:val="24"/>
          <w:lang w:eastAsia="en-GB"/>
        </w:rPr>
        <w:t>Dichelobacter</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nodosus</w:t>
      </w:r>
      <w:proofErr w:type="spellEnd"/>
      <w:r w:rsidRPr="000210F4">
        <w:rPr>
          <w:rFonts w:ascii="TimesNewRomanPS-ItalicMT" w:hAnsi="TimesNewRomanPS-ItalicMT" w:cs="TimesNewRomanPS-ItalicMT"/>
          <w:i/>
          <w:iCs/>
          <w:sz w:val="24"/>
          <w:szCs w:val="24"/>
          <w:lang w:eastAsia="en-GB"/>
        </w:rPr>
        <w:t xml:space="preserve">, </w:t>
      </w:r>
      <w:r w:rsidRPr="000210F4">
        <w:rPr>
          <w:rFonts w:ascii="TimesNewRomanPSMT" w:hAnsi="TimesNewRomanPSMT" w:cs="TimesNewRomanPSMT"/>
          <w:sz w:val="24"/>
          <w:szCs w:val="24"/>
          <w:lang w:eastAsia="en-GB"/>
        </w:rPr>
        <w:t>der kræver systemisk behandling.</w:t>
      </w:r>
    </w:p>
    <w:p w14:paraId="5529AF4B" w14:textId="77777777" w:rsidR="00D0772B" w:rsidRPr="000210F4" w:rsidRDefault="00D0772B" w:rsidP="00D0772B">
      <w:pPr>
        <w:tabs>
          <w:tab w:val="left" w:pos="1304"/>
        </w:tabs>
        <w:rPr>
          <w:sz w:val="24"/>
          <w:szCs w:val="24"/>
        </w:rPr>
      </w:pPr>
    </w:p>
    <w:p w14:paraId="3B36C4C3" w14:textId="77777777" w:rsidR="00D0772B" w:rsidRPr="000210F4" w:rsidRDefault="00D0772B" w:rsidP="000210F4">
      <w:pPr>
        <w:ind w:left="851" w:hanging="851"/>
        <w:rPr>
          <w:b/>
          <w:sz w:val="24"/>
          <w:szCs w:val="24"/>
        </w:rPr>
      </w:pPr>
      <w:r w:rsidRPr="000210F4">
        <w:rPr>
          <w:b/>
          <w:sz w:val="24"/>
          <w:szCs w:val="24"/>
        </w:rPr>
        <w:t>3.3</w:t>
      </w:r>
      <w:r w:rsidRPr="000210F4">
        <w:rPr>
          <w:b/>
          <w:sz w:val="24"/>
          <w:szCs w:val="24"/>
        </w:rPr>
        <w:tab/>
        <w:t>Kontraindikationer</w:t>
      </w:r>
    </w:p>
    <w:p w14:paraId="3F2731A0" w14:textId="77777777" w:rsidR="00D0772B" w:rsidRPr="000210F4" w:rsidRDefault="00D0772B" w:rsidP="00D0772B">
      <w:pPr>
        <w:tabs>
          <w:tab w:val="left" w:pos="1304"/>
        </w:tabs>
        <w:rPr>
          <w:sz w:val="24"/>
          <w:szCs w:val="24"/>
        </w:rPr>
      </w:pPr>
    </w:p>
    <w:p w14:paraId="5DA79739"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Må ikke anvendes i tilfælde af overfølsomhed over for det aktive stof, over for makrolid antibiotika eller over for et eller flere af hjælpestofferne.</w:t>
      </w:r>
    </w:p>
    <w:p w14:paraId="01614638" w14:textId="77777777" w:rsidR="00D0772B" w:rsidRPr="000210F4" w:rsidRDefault="00D0772B" w:rsidP="00D0772B">
      <w:pPr>
        <w:tabs>
          <w:tab w:val="left" w:pos="1304"/>
        </w:tabs>
        <w:rPr>
          <w:sz w:val="24"/>
          <w:szCs w:val="24"/>
        </w:rPr>
      </w:pPr>
    </w:p>
    <w:p w14:paraId="0BCF8406" w14:textId="77777777" w:rsidR="00D0772B" w:rsidRPr="000210F4" w:rsidRDefault="00D0772B" w:rsidP="000210F4">
      <w:pPr>
        <w:tabs>
          <w:tab w:val="left" w:pos="851"/>
        </w:tabs>
        <w:rPr>
          <w:b/>
          <w:sz w:val="24"/>
          <w:szCs w:val="24"/>
        </w:rPr>
      </w:pPr>
      <w:r w:rsidRPr="000210F4">
        <w:rPr>
          <w:b/>
          <w:sz w:val="24"/>
          <w:szCs w:val="24"/>
        </w:rPr>
        <w:t>3.4</w:t>
      </w:r>
      <w:r w:rsidRPr="000210F4">
        <w:rPr>
          <w:b/>
          <w:sz w:val="24"/>
          <w:szCs w:val="24"/>
        </w:rPr>
        <w:tab/>
        <w:t>Særlige advarsler</w:t>
      </w:r>
    </w:p>
    <w:p w14:paraId="33089E11" w14:textId="77777777" w:rsidR="00D0772B" w:rsidRPr="000210F4" w:rsidRDefault="00D0772B" w:rsidP="00D0772B">
      <w:pPr>
        <w:autoSpaceDE w:val="0"/>
        <w:autoSpaceDN w:val="0"/>
        <w:adjustRightInd w:val="0"/>
        <w:rPr>
          <w:rFonts w:ascii="TimesNewRomanPSMT" w:hAnsi="TimesNewRomanPSMT" w:cs="TimesNewRomanPSMT"/>
          <w:sz w:val="24"/>
          <w:szCs w:val="24"/>
          <w:lang w:eastAsia="da-DK"/>
        </w:rPr>
      </w:pPr>
    </w:p>
    <w:p w14:paraId="6CA4C6E1" w14:textId="77777777" w:rsidR="00D0772B" w:rsidRPr="000210F4" w:rsidRDefault="00D0772B" w:rsidP="000210F4">
      <w:pPr>
        <w:autoSpaceDE w:val="0"/>
        <w:autoSpaceDN w:val="0"/>
        <w:adjustRightInd w:val="0"/>
        <w:ind w:left="851"/>
        <w:rPr>
          <w:rFonts w:ascii="TimesNewRomanPSMT" w:hAnsi="TimesNewRomanPSMT" w:cs="TimesNewRomanPSMT"/>
          <w:sz w:val="24"/>
          <w:szCs w:val="24"/>
          <w:lang w:eastAsia="da-DK"/>
        </w:rPr>
      </w:pPr>
      <w:r w:rsidRPr="000210F4">
        <w:rPr>
          <w:rFonts w:ascii="TimesNewRomanPSMT" w:hAnsi="TimesNewRomanPSMT" w:cs="TimesNewRomanPSMT"/>
          <w:sz w:val="24"/>
          <w:szCs w:val="24"/>
          <w:lang w:eastAsia="da-DK"/>
        </w:rPr>
        <w:t>Krydsresistens med andre makrolider forekommer. Må ikke administreres samtidig med</w:t>
      </w:r>
    </w:p>
    <w:p w14:paraId="086E9FFD" w14:textId="77777777" w:rsidR="00D0772B" w:rsidRPr="000210F4" w:rsidRDefault="00D0772B" w:rsidP="000210F4">
      <w:pPr>
        <w:autoSpaceDE w:val="0"/>
        <w:autoSpaceDN w:val="0"/>
        <w:adjustRightInd w:val="0"/>
        <w:ind w:left="851"/>
        <w:rPr>
          <w:rFonts w:ascii="TimesNewRomanPSMT" w:hAnsi="TimesNewRomanPSMT" w:cs="TimesNewRomanPSMT"/>
          <w:sz w:val="24"/>
          <w:szCs w:val="24"/>
          <w:lang w:eastAsia="da-DK"/>
        </w:rPr>
      </w:pPr>
      <w:r w:rsidRPr="000210F4">
        <w:rPr>
          <w:rFonts w:ascii="TimesNewRomanPSMT" w:hAnsi="TimesNewRomanPSMT" w:cs="TimesNewRomanPSMT"/>
          <w:sz w:val="24"/>
          <w:szCs w:val="24"/>
          <w:lang w:eastAsia="da-DK"/>
        </w:rPr>
        <w:t>antimikrobielle midler med samme virkningsmekanisme såsom makrolider og lincosamider.</w:t>
      </w:r>
    </w:p>
    <w:p w14:paraId="16FC5A8B" w14:textId="77777777" w:rsidR="00D0772B" w:rsidRPr="000210F4" w:rsidRDefault="00D0772B" w:rsidP="000210F4">
      <w:pPr>
        <w:tabs>
          <w:tab w:val="left" w:pos="1304"/>
        </w:tabs>
        <w:ind w:left="851"/>
        <w:rPr>
          <w:sz w:val="24"/>
          <w:szCs w:val="24"/>
        </w:rPr>
      </w:pPr>
    </w:p>
    <w:p w14:paraId="6A2A51B9"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Får:</w:t>
      </w:r>
    </w:p>
    <w:p w14:paraId="748E0E21"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 xml:space="preserve">Virkningen af antimikrobiel behandling af ondartet klovsyge kan blive reduceret af andre faktorer, såsom våde tilstande i omgivelserne, såvel som </w:t>
      </w:r>
      <w:proofErr w:type="spellStart"/>
      <w:r w:rsidRPr="000210F4">
        <w:rPr>
          <w:rFonts w:ascii="TimesNewRomanPSMT" w:hAnsi="TimesNewRomanPSMT" w:cs="TimesNewRomanPSMT"/>
          <w:sz w:val="24"/>
          <w:szCs w:val="24"/>
          <w:lang w:eastAsia="en-GB"/>
        </w:rPr>
        <w:t>uhensigtmæssig</w:t>
      </w:r>
      <w:proofErr w:type="spellEnd"/>
      <w:r w:rsidRPr="000210F4">
        <w:rPr>
          <w:rFonts w:ascii="TimesNewRomanPSMT" w:hAnsi="TimesNewRomanPSMT" w:cs="TimesNewRomanPSMT"/>
          <w:sz w:val="24"/>
          <w:szCs w:val="24"/>
          <w:lang w:eastAsia="en-GB"/>
        </w:rPr>
        <w:t xml:space="preserve"> driftsledelse på gården. Behandling af ondartet klovsyge bør derfor gennemføres sammen med andre tiltag for besætningen, for eksempel at sørge for tørre omgivelser.</w:t>
      </w:r>
    </w:p>
    <w:p w14:paraId="08C105B9"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700535E3" w14:textId="77777777" w:rsidR="00D0772B" w:rsidRPr="000210F4" w:rsidRDefault="00D0772B" w:rsidP="000210F4">
      <w:pPr>
        <w:tabs>
          <w:tab w:val="left" w:pos="1304"/>
        </w:tabs>
        <w:autoSpaceDE w:val="0"/>
        <w:autoSpaceDN w:val="0"/>
        <w:adjustRightInd w:val="0"/>
        <w:ind w:left="851"/>
        <w:rPr>
          <w:sz w:val="24"/>
          <w:szCs w:val="24"/>
        </w:rPr>
      </w:pPr>
      <w:r w:rsidRPr="000210F4">
        <w:rPr>
          <w:rFonts w:ascii="TimesNewRomanPSMT" w:hAnsi="TimesNewRomanPSMT" w:cs="TimesNewRomanPSMT"/>
          <w:sz w:val="24"/>
          <w:szCs w:val="24"/>
          <w:lang w:eastAsia="en-GB"/>
        </w:rPr>
        <w:t xml:space="preserve">Antibiotisk behandling af godartet klovsyge betragtes ikke som passende. </w:t>
      </w: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 xml:space="preserve"> udviste begrænset virkning hos får med kraftige kliniske tegn eller kronisk ondartet klovsyge og bør derfor kun gives på et tidligt stadium af sygdommen.</w:t>
      </w:r>
      <w:r w:rsidRPr="000210F4">
        <w:rPr>
          <w:rFonts w:ascii="TimesNewRomanPSMT" w:hAnsi="TimesNewRomanPSMT" w:cs="TimesNewRomanPSMT"/>
          <w:sz w:val="24"/>
          <w:szCs w:val="24"/>
          <w:highlight w:val="yellow"/>
          <w:lang w:eastAsia="en-GB"/>
        </w:rPr>
        <w:t xml:space="preserve"> </w:t>
      </w:r>
    </w:p>
    <w:p w14:paraId="12F141B3" w14:textId="77777777" w:rsidR="00D0772B" w:rsidRPr="000210F4" w:rsidRDefault="00D0772B" w:rsidP="00D0772B">
      <w:pPr>
        <w:tabs>
          <w:tab w:val="left" w:pos="1304"/>
        </w:tabs>
        <w:rPr>
          <w:sz w:val="24"/>
          <w:szCs w:val="24"/>
        </w:rPr>
      </w:pPr>
    </w:p>
    <w:p w14:paraId="4C7229CC" w14:textId="77777777" w:rsidR="00D0772B" w:rsidRPr="000210F4" w:rsidRDefault="00D0772B" w:rsidP="000210F4">
      <w:pPr>
        <w:ind w:left="851" w:hanging="851"/>
        <w:rPr>
          <w:b/>
          <w:sz w:val="24"/>
          <w:szCs w:val="24"/>
        </w:rPr>
      </w:pPr>
      <w:r w:rsidRPr="000210F4">
        <w:rPr>
          <w:b/>
          <w:sz w:val="24"/>
          <w:szCs w:val="24"/>
        </w:rPr>
        <w:lastRenderedPageBreak/>
        <w:t>3.5</w:t>
      </w:r>
      <w:r w:rsidRPr="000210F4">
        <w:rPr>
          <w:b/>
          <w:sz w:val="24"/>
          <w:szCs w:val="24"/>
        </w:rPr>
        <w:tab/>
        <w:t>Særlige forholdsregler vedrørende brugen</w:t>
      </w:r>
    </w:p>
    <w:p w14:paraId="52BA52AC" w14:textId="77777777" w:rsidR="00D0772B" w:rsidRPr="000210F4" w:rsidRDefault="00D0772B" w:rsidP="00D0772B">
      <w:pPr>
        <w:ind w:left="567" w:hanging="567"/>
        <w:rPr>
          <w:b/>
          <w:sz w:val="24"/>
          <w:szCs w:val="24"/>
        </w:rPr>
      </w:pPr>
    </w:p>
    <w:p w14:paraId="510268F9" w14:textId="77777777" w:rsidR="00D0772B" w:rsidRPr="000210F4" w:rsidRDefault="00D0772B" w:rsidP="000210F4">
      <w:pPr>
        <w:ind w:left="851"/>
        <w:rPr>
          <w:sz w:val="24"/>
          <w:szCs w:val="24"/>
          <w:u w:val="single"/>
        </w:rPr>
      </w:pPr>
      <w:r w:rsidRPr="000210F4">
        <w:rPr>
          <w:sz w:val="24"/>
          <w:szCs w:val="24"/>
          <w:u w:val="single"/>
        </w:rPr>
        <w:t>Særlige forholdsregler vedrørende sikker brug hos de dyrearter, som lægemidlet er beregnet til:</w:t>
      </w:r>
    </w:p>
    <w:p w14:paraId="64820626" w14:textId="77777777" w:rsidR="00D0772B" w:rsidRPr="000210F4" w:rsidRDefault="00D0772B" w:rsidP="000210F4">
      <w:pPr>
        <w:tabs>
          <w:tab w:val="left" w:pos="1304"/>
        </w:tabs>
        <w:ind w:left="851"/>
        <w:rPr>
          <w:sz w:val="24"/>
          <w:szCs w:val="24"/>
        </w:rPr>
      </w:pPr>
    </w:p>
    <w:p w14:paraId="6B32DD02"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Brug af produktet bør være baseret på følsomhedstestning af bakterier isoleret fra dyret. Hvis dette ikke er muligt, bør behandling baseres på lokal (regional, gård-niveau) epidemiologisk information om bakteriens følsomhed.</w:t>
      </w:r>
    </w:p>
    <w:p w14:paraId="19558393"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 xml:space="preserve">Officielle, nationale og regionale antimikrobielle anbefalinger bør tages i betragtning, når produktet anvendes. Brug af produktet afvigende fra instruktionerne givet i produktresuméet kan øge prævalensen af bakterier, der er resistente over for </w:t>
      </w: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 xml:space="preserve"> og kan nedsætte effektiviteten af denne behandling, såvel som med andre makrolider, </w:t>
      </w:r>
      <w:r w:rsidRPr="000210F4">
        <w:rPr>
          <w:rFonts w:ascii="TimesNewRomanPSMT" w:hAnsi="TimesNewRomanPSMT" w:cs="TimesNewRomanPSMT"/>
          <w:sz w:val="24"/>
          <w:szCs w:val="24"/>
          <w:lang w:eastAsia="da-DK"/>
        </w:rPr>
        <w:t>lincosamider og gruppe B-</w:t>
      </w:r>
      <w:proofErr w:type="spellStart"/>
      <w:r w:rsidRPr="000210F4">
        <w:rPr>
          <w:rFonts w:ascii="TimesNewRomanPSMT" w:hAnsi="TimesNewRomanPSMT" w:cs="TimesNewRomanPSMT"/>
          <w:sz w:val="24"/>
          <w:szCs w:val="24"/>
          <w:lang w:eastAsia="da-DK"/>
        </w:rPr>
        <w:t>streptogramin</w:t>
      </w:r>
      <w:proofErr w:type="spellEnd"/>
      <w:r w:rsidRPr="000210F4">
        <w:rPr>
          <w:rFonts w:ascii="TimesNewRomanPSMT" w:hAnsi="TimesNewRomanPSMT" w:cs="TimesNewRomanPSMT"/>
          <w:sz w:val="24"/>
          <w:szCs w:val="24"/>
          <w:lang w:eastAsia="da-DK"/>
        </w:rPr>
        <w:t xml:space="preserve"> på grund af potentialet for krydsresistens</w:t>
      </w:r>
      <w:r w:rsidRPr="000210F4">
        <w:rPr>
          <w:rFonts w:ascii="TimesNewRomanPSMT" w:hAnsi="TimesNewRomanPSMT" w:cs="TimesNewRomanPSMT"/>
          <w:sz w:val="24"/>
          <w:szCs w:val="24"/>
          <w:lang w:eastAsia="en-GB"/>
        </w:rPr>
        <w:t>.</w:t>
      </w:r>
    </w:p>
    <w:p w14:paraId="00A55CF9"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Hvis der forekommer en overfølsomhedsreaktion, bør passende behandling administreres med det samme.</w:t>
      </w:r>
    </w:p>
    <w:p w14:paraId="62EC6345" w14:textId="77777777" w:rsidR="00D0772B" w:rsidRPr="000210F4" w:rsidRDefault="00D0772B" w:rsidP="000210F4">
      <w:pPr>
        <w:tabs>
          <w:tab w:val="left" w:pos="1304"/>
        </w:tabs>
        <w:autoSpaceDE w:val="0"/>
        <w:autoSpaceDN w:val="0"/>
        <w:adjustRightInd w:val="0"/>
        <w:ind w:left="851"/>
        <w:rPr>
          <w:sz w:val="24"/>
          <w:szCs w:val="24"/>
        </w:rPr>
      </w:pPr>
    </w:p>
    <w:p w14:paraId="21A92B5B" w14:textId="77777777" w:rsidR="00D0772B" w:rsidRPr="000210F4" w:rsidRDefault="00D0772B" w:rsidP="000210F4">
      <w:pPr>
        <w:ind w:left="851"/>
        <w:rPr>
          <w:sz w:val="24"/>
          <w:szCs w:val="24"/>
          <w:u w:val="single"/>
        </w:rPr>
      </w:pPr>
      <w:r w:rsidRPr="000210F4">
        <w:rPr>
          <w:sz w:val="24"/>
          <w:szCs w:val="24"/>
          <w:u w:val="single"/>
        </w:rPr>
        <w:t>Særlige forholdsregler for personer, der administrerer veterinærlægemidlet til dyr</w:t>
      </w:r>
    </w:p>
    <w:p w14:paraId="71F10677" w14:textId="77777777" w:rsidR="00D0772B" w:rsidRPr="000210F4" w:rsidRDefault="00D0772B" w:rsidP="000210F4">
      <w:pPr>
        <w:tabs>
          <w:tab w:val="left" w:pos="1304"/>
        </w:tabs>
        <w:ind w:left="851"/>
        <w:rPr>
          <w:sz w:val="24"/>
          <w:szCs w:val="24"/>
        </w:rPr>
      </w:pPr>
    </w:p>
    <w:p w14:paraId="4691FD37"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Produktet er irriterende for øjnene. I tilfælde af eksponering af øjnene ved et uheld, skal øjnene straks skylles med rent vand.</w:t>
      </w:r>
    </w:p>
    <w:p w14:paraId="69ABF5BA"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04FEDD1B"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Produktet kan medføre sensibilisering ved hudkontakt, hvilket resulterer i f.eks. rødme af huden (</w:t>
      </w:r>
      <w:proofErr w:type="spellStart"/>
      <w:r w:rsidRPr="000210F4">
        <w:rPr>
          <w:rFonts w:ascii="TimesNewRomanPSMT" w:hAnsi="TimesNewRomanPSMT" w:cs="TimesNewRomanPSMT"/>
          <w:sz w:val="24"/>
          <w:szCs w:val="24"/>
          <w:lang w:eastAsia="en-GB"/>
        </w:rPr>
        <w:t>erytem</w:t>
      </w:r>
      <w:proofErr w:type="spellEnd"/>
      <w:r w:rsidRPr="000210F4">
        <w:rPr>
          <w:rFonts w:ascii="TimesNewRomanPSMT" w:hAnsi="TimesNewRomanPSMT" w:cs="TimesNewRomanPSMT"/>
          <w:sz w:val="24"/>
          <w:szCs w:val="24"/>
          <w:lang w:eastAsia="en-GB"/>
        </w:rPr>
        <w:t xml:space="preserve">) og/eller </w:t>
      </w:r>
      <w:proofErr w:type="spellStart"/>
      <w:r w:rsidRPr="000210F4">
        <w:rPr>
          <w:rFonts w:ascii="TimesNewRomanPSMT" w:hAnsi="TimesNewRomanPSMT" w:cs="TimesNewRomanPSMT"/>
          <w:sz w:val="24"/>
          <w:szCs w:val="24"/>
          <w:lang w:eastAsia="en-GB"/>
        </w:rPr>
        <w:t>dermatitis</w:t>
      </w:r>
      <w:proofErr w:type="spellEnd"/>
      <w:r w:rsidRPr="000210F4">
        <w:rPr>
          <w:rFonts w:ascii="TimesNewRomanPSMT" w:hAnsi="TimesNewRomanPSMT" w:cs="TimesNewRomanPSMT"/>
          <w:sz w:val="24"/>
          <w:szCs w:val="24"/>
          <w:lang w:eastAsia="en-GB"/>
        </w:rPr>
        <w:t>. I tilfælde af spild på huden ved et uheld, skal huden straks vaskes med vand og sæbe.</w:t>
      </w:r>
    </w:p>
    <w:p w14:paraId="407503F0"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6424F1B1"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Vask hænderne efter brug.</w:t>
      </w:r>
    </w:p>
    <w:p w14:paraId="7858F587"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07D04145" w14:textId="77777777" w:rsidR="00D0772B" w:rsidRPr="000210F4" w:rsidRDefault="00D0772B" w:rsidP="000210F4">
      <w:pPr>
        <w:tabs>
          <w:tab w:val="left" w:pos="1304"/>
        </w:tabs>
        <w:ind w:left="851"/>
        <w:rPr>
          <w:rFonts w:ascii="TimesNewRomanPSMT" w:hAnsi="TimesNewRomanPSMT" w:cs="TimesNewRomanPSMT"/>
          <w:sz w:val="24"/>
          <w:szCs w:val="24"/>
          <w:lang w:eastAsia="en-GB"/>
        </w:rPr>
      </w:pPr>
      <w:r w:rsidRPr="000210F4">
        <w:rPr>
          <w:sz w:val="24"/>
          <w:szCs w:val="24"/>
        </w:rPr>
        <w:t>I tilfælde af selvinjektion ved et hændeligt uheld skal der straks søges lægehjælp, og indlægssedlen eller etiketten bør vises til lægen</w:t>
      </w:r>
      <w:r w:rsidRPr="000210F4">
        <w:rPr>
          <w:rFonts w:ascii="TimesNewRomanPSMT" w:hAnsi="TimesNewRomanPSMT" w:cs="TimesNewRomanPSMT"/>
          <w:sz w:val="24"/>
          <w:szCs w:val="24"/>
          <w:lang w:eastAsia="en-GB"/>
        </w:rPr>
        <w:t>.</w:t>
      </w:r>
    </w:p>
    <w:p w14:paraId="5B64A60B" w14:textId="77777777" w:rsidR="00D0772B" w:rsidRPr="000210F4" w:rsidRDefault="00D0772B" w:rsidP="000210F4">
      <w:pPr>
        <w:tabs>
          <w:tab w:val="left" w:pos="1304"/>
        </w:tabs>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Hvis der er mistanke om en overfølsomhedsreaktion efter utilsigtet eksponering (kendt ved f.eks. kløe, åndedrætsbesvær, nældefeber, hævelse i ansigtet, kvalme, opkastning), bør passende behandling gives. Søg straks lægehjælp og vis indlægssedlen eller etiketten til lægen.</w:t>
      </w:r>
    </w:p>
    <w:p w14:paraId="3F42D3C1" w14:textId="77777777" w:rsidR="00D0772B" w:rsidRPr="000210F4" w:rsidRDefault="00D0772B" w:rsidP="000210F4">
      <w:pPr>
        <w:tabs>
          <w:tab w:val="left" w:pos="1304"/>
        </w:tabs>
        <w:ind w:left="851"/>
        <w:rPr>
          <w:sz w:val="24"/>
          <w:szCs w:val="24"/>
        </w:rPr>
      </w:pPr>
      <w:r w:rsidRPr="000210F4">
        <w:rPr>
          <w:rFonts w:ascii="TimesNewRomanPSMT" w:hAnsi="TimesNewRomanPSMT" w:cs="TimesNewRomanPSMT"/>
          <w:sz w:val="24"/>
          <w:szCs w:val="24"/>
          <w:lang w:eastAsia="en-GB"/>
        </w:rPr>
        <w:t>Mennesker med kendt overfølsomhed over for makrolid antibiotika bør undgå kontakt med det veterinære lægemiddel.</w:t>
      </w:r>
    </w:p>
    <w:p w14:paraId="01C27234" w14:textId="77777777" w:rsidR="00D0772B" w:rsidRPr="000210F4" w:rsidRDefault="00D0772B" w:rsidP="000210F4">
      <w:pPr>
        <w:tabs>
          <w:tab w:val="left" w:pos="1304"/>
        </w:tabs>
        <w:ind w:left="851"/>
        <w:rPr>
          <w:sz w:val="24"/>
          <w:szCs w:val="24"/>
        </w:rPr>
      </w:pPr>
    </w:p>
    <w:p w14:paraId="1BA3D543" w14:textId="77777777" w:rsidR="00D0772B" w:rsidRPr="000210F4" w:rsidRDefault="00D0772B" w:rsidP="000210F4">
      <w:pPr>
        <w:tabs>
          <w:tab w:val="left" w:pos="1304"/>
        </w:tabs>
        <w:ind w:left="851"/>
        <w:rPr>
          <w:sz w:val="24"/>
          <w:szCs w:val="24"/>
          <w:u w:val="single"/>
        </w:rPr>
      </w:pPr>
      <w:r w:rsidRPr="000210F4">
        <w:rPr>
          <w:sz w:val="24"/>
          <w:szCs w:val="24"/>
          <w:u w:val="single"/>
        </w:rPr>
        <w:t>Særlige forholdsregler vedrørende beskyttelse af miljøet:</w:t>
      </w:r>
    </w:p>
    <w:p w14:paraId="773930CC" w14:textId="77777777" w:rsidR="00D0772B" w:rsidRPr="000210F4" w:rsidRDefault="00D0772B" w:rsidP="000210F4">
      <w:pPr>
        <w:tabs>
          <w:tab w:val="left" w:pos="1304"/>
        </w:tabs>
        <w:ind w:left="851"/>
        <w:rPr>
          <w:sz w:val="24"/>
          <w:szCs w:val="24"/>
          <w:u w:val="single"/>
        </w:rPr>
      </w:pPr>
    </w:p>
    <w:p w14:paraId="6812018F" w14:textId="77777777" w:rsidR="00D0772B" w:rsidRPr="000210F4" w:rsidRDefault="00D0772B" w:rsidP="000210F4">
      <w:pPr>
        <w:tabs>
          <w:tab w:val="left" w:pos="1304"/>
        </w:tabs>
        <w:ind w:left="851"/>
        <w:rPr>
          <w:sz w:val="24"/>
          <w:szCs w:val="24"/>
          <w:u w:val="single"/>
        </w:rPr>
      </w:pPr>
      <w:r w:rsidRPr="000210F4">
        <w:rPr>
          <w:sz w:val="24"/>
          <w:szCs w:val="24"/>
          <w:u w:val="single"/>
        </w:rPr>
        <w:t>Ikke relevant.</w:t>
      </w:r>
    </w:p>
    <w:p w14:paraId="15D2CA1B" w14:textId="77777777" w:rsidR="00D0772B" w:rsidRPr="000210F4" w:rsidRDefault="00D0772B" w:rsidP="00D0772B">
      <w:pPr>
        <w:tabs>
          <w:tab w:val="left" w:pos="1304"/>
        </w:tabs>
        <w:rPr>
          <w:sz w:val="24"/>
          <w:szCs w:val="24"/>
        </w:rPr>
      </w:pPr>
    </w:p>
    <w:p w14:paraId="52A02AA6" w14:textId="77777777" w:rsidR="00D0772B" w:rsidRPr="000210F4" w:rsidRDefault="00D0772B" w:rsidP="000210F4">
      <w:pPr>
        <w:ind w:left="851" w:hanging="851"/>
        <w:rPr>
          <w:b/>
          <w:sz w:val="24"/>
          <w:szCs w:val="24"/>
        </w:rPr>
      </w:pPr>
      <w:r w:rsidRPr="000210F4">
        <w:rPr>
          <w:b/>
          <w:sz w:val="24"/>
          <w:szCs w:val="24"/>
        </w:rPr>
        <w:t>3.6</w:t>
      </w:r>
      <w:r w:rsidRPr="000210F4">
        <w:rPr>
          <w:b/>
          <w:sz w:val="24"/>
          <w:szCs w:val="24"/>
        </w:rPr>
        <w:tab/>
        <w:t>Bivirkninger</w:t>
      </w:r>
    </w:p>
    <w:p w14:paraId="65910F06" w14:textId="77777777" w:rsidR="00D0772B" w:rsidRPr="000210F4" w:rsidRDefault="00D0772B" w:rsidP="00D0772B">
      <w:pPr>
        <w:tabs>
          <w:tab w:val="left" w:pos="1304"/>
        </w:tabs>
        <w:rPr>
          <w:sz w:val="24"/>
          <w:szCs w:val="24"/>
        </w:rPr>
      </w:pPr>
    </w:p>
    <w:p w14:paraId="08FA4887" w14:textId="77777777" w:rsidR="00D0772B" w:rsidRPr="000210F4" w:rsidRDefault="00D0772B" w:rsidP="000210F4">
      <w:pPr>
        <w:tabs>
          <w:tab w:val="left" w:pos="1304"/>
        </w:tabs>
        <w:ind w:firstLine="851"/>
        <w:rPr>
          <w:rFonts w:ascii="TimesNewRomanPSMT" w:hAnsi="TimesNewRomanPSMT" w:cs="TimesNewRomanPSMT"/>
          <w:sz w:val="24"/>
          <w:szCs w:val="24"/>
          <w:lang w:eastAsia="en-GB"/>
        </w:rPr>
      </w:pPr>
      <w:r w:rsidRPr="000210F4">
        <w:rPr>
          <w:sz w:val="24"/>
          <w:szCs w:val="24"/>
        </w:rPr>
        <w:t>Kvæg:</w:t>
      </w: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47"/>
      </w:tblGrid>
      <w:tr w:rsidR="00D0772B" w:rsidRPr="000210F4" w14:paraId="4F983FCE" w14:textId="77777777" w:rsidTr="000210F4">
        <w:trPr>
          <w:trHeight w:val="2049"/>
        </w:trPr>
        <w:tc>
          <w:tcPr>
            <w:tcW w:w="2582" w:type="pct"/>
            <w:tcBorders>
              <w:top w:val="single" w:sz="4" w:space="0" w:color="auto"/>
              <w:left w:val="single" w:sz="4" w:space="0" w:color="auto"/>
              <w:bottom w:val="single" w:sz="4" w:space="0" w:color="auto"/>
              <w:right w:val="single" w:sz="4" w:space="0" w:color="auto"/>
            </w:tcBorders>
            <w:hideMark/>
          </w:tcPr>
          <w:p w14:paraId="04BD1360" w14:textId="77777777" w:rsidR="00D0772B" w:rsidRPr="000210F4" w:rsidRDefault="00D0772B">
            <w:pPr>
              <w:spacing w:before="60" w:after="60"/>
              <w:rPr>
                <w:sz w:val="24"/>
                <w:szCs w:val="24"/>
              </w:rPr>
            </w:pPr>
            <w:r w:rsidRPr="000210F4">
              <w:rPr>
                <w:sz w:val="24"/>
                <w:szCs w:val="24"/>
              </w:rPr>
              <w:t>Meget almindelig</w:t>
            </w:r>
          </w:p>
          <w:p w14:paraId="649D036B" w14:textId="77777777" w:rsidR="00D0772B" w:rsidRPr="000210F4" w:rsidRDefault="00D0772B">
            <w:pPr>
              <w:spacing w:before="60" w:after="60"/>
              <w:rPr>
                <w:sz w:val="24"/>
                <w:szCs w:val="24"/>
              </w:rPr>
            </w:pPr>
            <w:r w:rsidRPr="000210F4">
              <w:rPr>
                <w:sz w:val="24"/>
                <w:szCs w:val="24"/>
              </w:rPr>
              <w:t>(&gt; 1 dyr ud af 10 behandlede dyr):</w:t>
            </w:r>
          </w:p>
        </w:tc>
        <w:tc>
          <w:tcPr>
            <w:tcW w:w="2418" w:type="pct"/>
            <w:tcBorders>
              <w:top w:val="single" w:sz="4" w:space="0" w:color="auto"/>
              <w:left w:val="single" w:sz="4" w:space="0" w:color="auto"/>
              <w:bottom w:val="single" w:sz="4" w:space="0" w:color="auto"/>
              <w:right w:val="single" w:sz="4" w:space="0" w:color="auto"/>
            </w:tcBorders>
            <w:hideMark/>
          </w:tcPr>
          <w:p w14:paraId="76990CE4" w14:textId="77777777" w:rsidR="00D0772B" w:rsidRPr="000210F4" w:rsidRDefault="00D0772B">
            <w:pPr>
              <w:rPr>
                <w:iCs/>
                <w:sz w:val="24"/>
                <w:szCs w:val="24"/>
              </w:rPr>
            </w:pPr>
            <w:r w:rsidRPr="000210F4">
              <w:rPr>
                <w:iCs/>
                <w:sz w:val="24"/>
                <w:szCs w:val="24"/>
              </w:rPr>
              <w:t>Smerter på injektionsstedet</w:t>
            </w:r>
            <w:r w:rsidRPr="000210F4">
              <w:rPr>
                <w:iCs/>
                <w:sz w:val="24"/>
                <w:szCs w:val="24"/>
                <w:vertAlign w:val="superscript"/>
              </w:rPr>
              <w:t>1</w:t>
            </w:r>
          </w:p>
          <w:p w14:paraId="68906BAE" w14:textId="77777777" w:rsidR="00D0772B" w:rsidRPr="000210F4" w:rsidRDefault="00D0772B">
            <w:pPr>
              <w:rPr>
                <w:iCs/>
                <w:sz w:val="24"/>
                <w:szCs w:val="24"/>
              </w:rPr>
            </w:pPr>
            <w:r w:rsidRPr="000210F4">
              <w:rPr>
                <w:iCs/>
                <w:sz w:val="24"/>
                <w:szCs w:val="24"/>
              </w:rPr>
              <w:t>Hævelse på injektionsstedet</w:t>
            </w:r>
            <w:r w:rsidRPr="000210F4">
              <w:rPr>
                <w:iCs/>
                <w:sz w:val="24"/>
                <w:szCs w:val="24"/>
                <w:vertAlign w:val="superscript"/>
              </w:rPr>
              <w:t>2</w:t>
            </w:r>
          </w:p>
          <w:p w14:paraId="077FDEF0" w14:textId="77777777" w:rsidR="00D0772B" w:rsidRPr="000210F4" w:rsidRDefault="00D0772B">
            <w:pPr>
              <w:rPr>
                <w:iCs/>
                <w:sz w:val="24"/>
                <w:szCs w:val="24"/>
                <w:vertAlign w:val="superscript"/>
              </w:rPr>
            </w:pPr>
            <w:proofErr w:type="spellStart"/>
            <w:r w:rsidRPr="000210F4">
              <w:rPr>
                <w:iCs/>
                <w:sz w:val="24"/>
                <w:szCs w:val="24"/>
              </w:rPr>
              <w:t>Patomorfologiske</w:t>
            </w:r>
            <w:proofErr w:type="spellEnd"/>
            <w:r w:rsidRPr="000210F4">
              <w:rPr>
                <w:iCs/>
                <w:sz w:val="24"/>
                <w:szCs w:val="24"/>
              </w:rPr>
              <w:t xml:space="preserve"> reaktioner på injektionsstedet (blodophobning, ødem, fibrose og blødning)</w:t>
            </w:r>
            <w:r w:rsidRPr="000210F4">
              <w:rPr>
                <w:iCs/>
                <w:sz w:val="24"/>
                <w:szCs w:val="24"/>
                <w:vertAlign w:val="superscript"/>
              </w:rPr>
              <w:t>3</w:t>
            </w:r>
          </w:p>
        </w:tc>
      </w:tr>
    </w:tbl>
    <w:p w14:paraId="1ED49888" w14:textId="77777777" w:rsidR="00D0772B" w:rsidRPr="000210F4" w:rsidRDefault="00D0772B" w:rsidP="000210F4">
      <w:pPr>
        <w:tabs>
          <w:tab w:val="left" w:pos="1304"/>
        </w:tabs>
        <w:ind w:firstLine="851"/>
        <w:rPr>
          <w:sz w:val="24"/>
          <w:szCs w:val="24"/>
        </w:rPr>
      </w:pPr>
      <w:r w:rsidRPr="000210F4">
        <w:rPr>
          <w:sz w:val="24"/>
          <w:szCs w:val="24"/>
          <w:vertAlign w:val="superscript"/>
        </w:rPr>
        <w:lastRenderedPageBreak/>
        <w:t>1</w:t>
      </w:r>
      <w:r w:rsidRPr="000210F4">
        <w:rPr>
          <w:sz w:val="24"/>
          <w:szCs w:val="24"/>
        </w:rPr>
        <w:t xml:space="preserve"> Forbigående.</w:t>
      </w:r>
    </w:p>
    <w:p w14:paraId="5CEC52F3" w14:textId="77777777" w:rsidR="00D0772B" w:rsidRPr="000210F4" w:rsidRDefault="00D0772B" w:rsidP="000210F4">
      <w:pPr>
        <w:tabs>
          <w:tab w:val="left" w:pos="1304"/>
        </w:tabs>
        <w:ind w:firstLine="851"/>
        <w:rPr>
          <w:sz w:val="24"/>
          <w:szCs w:val="24"/>
        </w:rPr>
      </w:pPr>
      <w:r w:rsidRPr="000210F4">
        <w:rPr>
          <w:sz w:val="24"/>
          <w:szCs w:val="24"/>
          <w:vertAlign w:val="superscript"/>
        </w:rPr>
        <w:t>2</w:t>
      </w:r>
      <w:r w:rsidRPr="000210F4">
        <w:rPr>
          <w:sz w:val="24"/>
          <w:szCs w:val="24"/>
        </w:rPr>
        <w:t xml:space="preserve"> Kan vare ved i op til 30 dage.</w:t>
      </w:r>
    </w:p>
    <w:p w14:paraId="7137214C" w14:textId="77777777" w:rsidR="00D0772B" w:rsidRPr="000210F4" w:rsidRDefault="00D0772B" w:rsidP="000210F4">
      <w:pPr>
        <w:tabs>
          <w:tab w:val="left" w:pos="1304"/>
        </w:tabs>
        <w:ind w:firstLine="851"/>
        <w:rPr>
          <w:sz w:val="24"/>
          <w:szCs w:val="24"/>
        </w:rPr>
      </w:pPr>
      <w:r w:rsidRPr="000210F4">
        <w:rPr>
          <w:sz w:val="24"/>
          <w:szCs w:val="24"/>
          <w:vertAlign w:val="superscript"/>
        </w:rPr>
        <w:t>3</w:t>
      </w:r>
      <w:r w:rsidRPr="000210F4">
        <w:rPr>
          <w:sz w:val="24"/>
          <w:szCs w:val="24"/>
        </w:rPr>
        <w:t xml:space="preserve"> Reversible ændringer i cirka 30 dage efter injektion.</w:t>
      </w:r>
    </w:p>
    <w:p w14:paraId="6B054576" w14:textId="77777777" w:rsidR="00D0772B" w:rsidRPr="000210F4" w:rsidRDefault="00D0772B" w:rsidP="000210F4">
      <w:pPr>
        <w:tabs>
          <w:tab w:val="left" w:pos="1304"/>
        </w:tabs>
        <w:autoSpaceDE w:val="0"/>
        <w:autoSpaceDN w:val="0"/>
        <w:adjustRightInd w:val="0"/>
        <w:ind w:firstLine="851"/>
        <w:rPr>
          <w:rFonts w:ascii="TimesNewRomanPSMT" w:hAnsi="TimesNewRomanPSMT" w:cs="TimesNewRomanPSMT"/>
          <w:sz w:val="24"/>
          <w:szCs w:val="24"/>
          <w:lang w:eastAsia="en-GB"/>
        </w:rPr>
      </w:pPr>
    </w:p>
    <w:p w14:paraId="4446AC97" w14:textId="77777777" w:rsidR="00D0772B" w:rsidRPr="000210F4" w:rsidRDefault="00D0772B" w:rsidP="000210F4">
      <w:pPr>
        <w:tabs>
          <w:tab w:val="left" w:pos="1304"/>
        </w:tabs>
        <w:autoSpaceDE w:val="0"/>
        <w:autoSpaceDN w:val="0"/>
        <w:adjustRightInd w:val="0"/>
        <w:ind w:firstLine="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Svin:</w:t>
      </w: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47"/>
      </w:tblGrid>
      <w:tr w:rsidR="00D0772B" w:rsidRPr="000210F4" w14:paraId="588FEFA8" w14:textId="77777777" w:rsidTr="000210F4">
        <w:trPr>
          <w:trHeight w:val="1795"/>
        </w:trPr>
        <w:tc>
          <w:tcPr>
            <w:tcW w:w="2582" w:type="pct"/>
            <w:tcBorders>
              <w:top w:val="single" w:sz="4" w:space="0" w:color="auto"/>
              <w:left w:val="single" w:sz="4" w:space="0" w:color="auto"/>
              <w:bottom w:val="single" w:sz="4" w:space="0" w:color="auto"/>
              <w:right w:val="single" w:sz="4" w:space="0" w:color="auto"/>
            </w:tcBorders>
            <w:hideMark/>
          </w:tcPr>
          <w:p w14:paraId="6657E5E9" w14:textId="77777777" w:rsidR="00D0772B" w:rsidRPr="000210F4" w:rsidRDefault="00D0772B">
            <w:pPr>
              <w:spacing w:before="60" w:after="60"/>
              <w:rPr>
                <w:sz w:val="24"/>
                <w:szCs w:val="24"/>
              </w:rPr>
            </w:pPr>
            <w:r w:rsidRPr="000210F4">
              <w:rPr>
                <w:sz w:val="24"/>
                <w:szCs w:val="24"/>
              </w:rPr>
              <w:t>Meget almindelig</w:t>
            </w:r>
          </w:p>
          <w:p w14:paraId="551BF94E" w14:textId="77777777" w:rsidR="00D0772B" w:rsidRPr="000210F4" w:rsidRDefault="00D0772B">
            <w:pPr>
              <w:spacing w:before="60" w:after="60"/>
              <w:rPr>
                <w:sz w:val="24"/>
                <w:szCs w:val="24"/>
              </w:rPr>
            </w:pPr>
            <w:r w:rsidRPr="000210F4">
              <w:rPr>
                <w:sz w:val="24"/>
                <w:szCs w:val="24"/>
              </w:rPr>
              <w:t>(&gt; 1 dyr ud af 10 behandlede dyr):</w:t>
            </w:r>
          </w:p>
        </w:tc>
        <w:tc>
          <w:tcPr>
            <w:tcW w:w="2418" w:type="pct"/>
            <w:tcBorders>
              <w:top w:val="single" w:sz="4" w:space="0" w:color="auto"/>
              <w:left w:val="single" w:sz="4" w:space="0" w:color="auto"/>
              <w:bottom w:val="single" w:sz="4" w:space="0" w:color="auto"/>
              <w:right w:val="single" w:sz="4" w:space="0" w:color="auto"/>
            </w:tcBorders>
            <w:hideMark/>
          </w:tcPr>
          <w:p w14:paraId="2D380120" w14:textId="77777777" w:rsidR="00D0772B" w:rsidRPr="000210F4" w:rsidRDefault="00D0772B">
            <w:pPr>
              <w:rPr>
                <w:iCs/>
                <w:sz w:val="24"/>
                <w:szCs w:val="24"/>
                <w:vertAlign w:val="superscript"/>
              </w:rPr>
            </w:pPr>
            <w:proofErr w:type="spellStart"/>
            <w:r w:rsidRPr="000210F4">
              <w:rPr>
                <w:iCs/>
                <w:sz w:val="24"/>
                <w:szCs w:val="24"/>
              </w:rPr>
              <w:t>Patomorfologiske</w:t>
            </w:r>
            <w:proofErr w:type="spellEnd"/>
            <w:r w:rsidRPr="000210F4">
              <w:rPr>
                <w:iCs/>
                <w:sz w:val="24"/>
                <w:szCs w:val="24"/>
              </w:rPr>
              <w:t xml:space="preserve"> reaktioner på injektionsstedet (blodophobning, ødem, fibrose og blødning)</w:t>
            </w:r>
            <w:r w:rsidRPr="000210F4">
              <w:rPr>
                <w:iCs/>
                <w:sz w:val="24"/>
                <w:szCs w:val="24"/>
                <w:vertAlign w:val="superscript"/>
              </w:rPr>
              <w:t>1</w:t>
            </w:r>
          </w:p>
        </w:tc>
      </w:tr>
    </w:tbl>
    <w:p w14:paraId="24E9E15D" w14:textId="77777777" w:rsidR="00D0772B" w:rsidRPr="000210F4" w:rsidRDefault="00D0772B" w:rsidP="000210F4">
      <w:pPr>
        <w:tabs>
          <w:tab w:val="left" w:pos="1304"/>
        </w:tabs>
        <w:autoSpaceDE w:val="0"/>
        <w:autoSpaceDN w:val="0"/>
        <w:adjustRightInd w:val="0"/>
        <w:ind w:firstLine="851"/>
        <w:rPr>
          <w:sz w:val="24"/>
          <w:szCs w:val="24"/>
        </w:rPr>
      </w:pPr>
      <w:r w:rsidRPr="000210F4">
        <w:rPr>
          <w:sz w:val="24"/>
          <w:szCs w:val="24"/>
          <w:vertAlign w:val="superscript"/>
        </w:rPr>
        <w:t>1</w:t>
      </w:r>
      <w:r w:rsidRPr="000210F4">
        <w:rPr>
          <w:sz w:val="24"/>
          <w:szCs w:val="24"/>
        </w:rPr>
        <w:t xml:space="preserve"> Reversible ændringer i cirka 30 dage efter injektion</w:t>
      </w:r>
    </w:p>
    <w:p w14:paraId="3B7784C0" w14:textId="77777777" w:rsidR="00D0772B" w:rsidRPr="000210F4" w:rsidRDefault="00D0772B" w:rsidP="000210F4">
      <w:pPr>
        <w:tabs>
          <w:tab w:val="left" w:pos="1304"/>
        </w:tabs>
        <w:autoSpaceDE w:val="0"/>
        <w:autoSpaceDN w:val="0"/>
        <w:adjustRightInd w:val="0"/>
        <w:ind w:firstLine="851"/>
        <w:rPr>
          <w:rFonts w:ascii="TimesNewRomanPSMT" w:hAnsi="TimesNewRomanPSMT" w:cs="TimesNewRomanPSMT"/>
          <w:sz w:val="24"/>
          <w:szCs w:val="24"/>
          <w:lang w:eastAsia="en-GB"/>
        </w:rPr>
      </w:pPr>
    </w:p>
    <w:p w14:paraId="732C9D07" w14:textId="77777777" w:rsidR="00D0772B" w:rsidRPr="000210F4" w:rsidRDefault="00D0772B" w:rsidP="000210F4">
      <w:pPr>
        <w:tabs>
          <w:tab w:val="left" w:pos="1304"/>
        </w:tabs>
        <w:autoSpaceDE w:val="0"/>
        <w:autoSpaceDN w:val="0"/>
        <w:adjustRightInd w:val="0"/>
        <w:ind w:firstLine="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Får:</w:t>
      </w: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47"/>
      </w:tblGrid>
      <w:tr w:rsidR="00D0772B" w:rsidRPr="000210F4" w14:paraId="03FA6A03" w14:textId="77777777" w:rsidTr="000210F4">
        <w:trPr>
          <w:trHeight w:val="1368"/>
        </w:trPr>
        <w:tc>
          <w:tcPr>
            <w:tcW w:w="2582" w:type="pct"/>
            <w:tcBorders>
              <w:top w:val="single" w:sz="4" w:space="0" w:color="auto"/>
              <w:left w:val="single" w:sz="4" w:space="0" w:color="auto"/>
              <w:bottom w:val="single" w:sz="4" w:space="0" w:color="auto"/>
              <w:right w:val="single" w:sz="4" w:space="0" w:color="auto"/>
            </w:tcBorders>
            <w:hideMark/>
          </w:tcPr>
          <w:p w14:paraId="1191093C" w14:textId="77777777" w:rsidR="00D0772B" w:rsidRPr="000210F4" w:rsidRDefault="00D0772B">
            <w:pPr>
              <w:spacing w:before="60" w:after="60"/>
              <w:rPr>
                <w:sz w:val="24"/>
                <w:szCs w:val="24"/>
              </w:rPr>
            </w:pPr>
            <w:r w:rsidRPr="000210F4">
              <w:rPr>
                <w:sz w:val="24"/>
                <w:szCs w:val="24"/>
              </w:rPr>
              <w:t>Meget almindelig</w:t>
            </w:r>
          </w:p>
          <w:p w14:paraId="041C07A9" w14:textId="77777777" w:rsidR="00D0772B" w:rsidRPr="000210F4" w:rsidRDefault="00D0772B">
            <w:pPr>
              <w:spacing w:before="60" w:after="60"/>
              <w:rPr>
                <w:sz w:val="24"/>
                <w:szCs w:val="24"/>
              </w:rPr>
            </w:pPr>
            <w:r w:rsidRPr="000210F4">
              <w:rPr>
                <w:sz w:val="24"/>
                <w:szCs w:val="24"/>
              </w:rPr>
              <w:t>(&gt; 1 dyr ud af 10 behandlede dyr):</w:t>
            </w:r>
          </w:p>
        </w:tc>
        <w:tc>
          <w:tcPr>
            <w:tcW w:w="2418" w:type="pct"/>
            <w:tcBorders>
              <w:top w:val="single" w:sz="4" w:space="0" w:color="auto"/>
              <w:left w:val="single" w:sz="4" w:space="0" w:color="auto"/>
              <w:bottom w:val="single" w:sz="4" w:space="0" w:color="auto"/>
              <w:right w:val="single" w:sz="4" w:space="0" w:color="auto"/>
            </w:tcBorders>
            <w:hideMark/>
          </w:tcPr>
          <w:p w14:paraId="425E8F19" w14:textId="77777777" w:rsidR="00D0772B" w:rsidRPr="000210F4" w:rsidRDefault="00D0772B">
            <w:pPr>
              <w:rPr>
                <w:iCs/>
                <w:sz w:val="24"/>
                <w:szCs w:val="24"/>
              </w:rPr>
            </w:pPr>
            <w:r w:rsidRPr="000210F4">
              <w:rPr>
                <w:iCs/>
                <w:sz w:val="24"/>
                <w:szCs w:val="24"/>
              </w:rPr>
              <w:t>Ubehag (bakken tilbage, rysten på hovedet)</w:t>
            </w:r>
          </w:p>
          <w:p w14:paraId="40A48E78" w14:textId="77777777" w:rsidR="00D0772B" w:rsidRPr="000210F4" w:rsidRDefault="00D0772B">
            <w:pPr>
              <w:rPr>
                <w:iCs/>
                <w:sz w:val="24"/>
                <w:szCs w:val="24"/>
                <w:vertAlign w:val="superscript"/>
              </w:rPr>
            </w:pPr>
            <w:proofErr w:type="spellStart"/>
            <w:r w:rsidRPr="000210F4">
              <w:rPr>
                <w:iCs/>
                <w:sz w:val="24"/>
                <w:szCs w:val="24"/>
              </w:rPr>
              <w:t>Pruitus</w:t>
            </w:r>
            <w:proofErr w:type="spellEnd"/>
            <w:r w:rsidRPr="000210F4">
              <w:rPr>
                <w:iCs/>
                <w:sz w:val="24"/>
                <w:szCs w:val="24"/>
              </w:rPr>
              <w:t xml:space="preserve"> på injektionsstedet</w:t>
            </w:r>
            <w:r w:rsidRPr="000210F4">
              <w:rPr>
                <w:iCs/>
                <w:sz w:val="24"/>
                <w:szCs w:val="24"/>
                <w:vertAlign w:val="superscript"/>
              </w:rPr>
              <w:t>1</w:t>
            </w:r>
          </w:p>
        </w:tc>
      </w:tr>
    </w:tbl>
    <w:p w14:paraId="38C1B574"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vertAlign w:val="superscript"/>
          <w:lang w:eastAsia="en-GB"/>
        </w:rPr>
        <w:t>1</w:t>
      </w:r>
      <w:r w:rsidRPr="000210F4">
        <w:rPr>
          <w:rFonts w:ascii="TimesNewRomanPSMT" w:hAnsi="TimesNewRomanPSMT" w:cs="TimesNewRomanPSMT"/>
          <w:sz w:val="24"/>
          <w:szCs w:val="24"/>
          <w:lang w:eastAsia="en-GB"/>
        </w:rPr>
        <w:t xml:space="preserve"> Disse tegn er forbigående og ophører inden for få minutter.</w:t>
      </w:r>
    </w:p>
    <w:p w14:paraId="7A5AFE1A"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0FD318EB" w14:textId="77777777" w:rsidR="00D0772B" w:rsidRPr="000210F4" w:rsidRDefault="00D0772B" w:rsidP="000210F4">
      <w:pPr>
        <w:ind w:left="851"/>
        <w:rPr>
          <w:sz w:val="24"/>
          <w:szCs w:val="24"/>
        </w:rPr>
      </w:pPr>
      <w:bookmarkStart w:id="0" w:name="_Hlk66891708"/>
      <w:r w:rsidRPr="000210F4">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bookmarkEnd w:id="0"/>
    </w:p>
    <w:p w14:paraId="306FB162" w14:textId="77777777" w:rsidR="00D0772B" w:rsidRPr="000210F4" w:rsidRDefault="00D0772B" w:rsidP="00D0772B">
      <w:pPr>
        <w:tabs>
          <w:tab w:val="left" w:pos="1304"/>
        </w:tabs>
        <w:rPr>
          <w:sz w:val="24"/>
          <w:szCs w:val="24"/>
        </w:rPr>
      </w:pPr>
    </w:p>
    <w:p w14:paraId="47F4D76A" w14:textId="77777777" w:rsidR="00D0772B" w:rsidRPr="000210F4" w:rsidRDefault="00D0772B" w:rsidP="000210F4">
      <w:pPr>
        <w:tabs>
          <w:tab w:val="left" w:pos="851"/>
        </w:tabs>
        <w:rPr>
          <w:sz w:val="24"/>
          <w:szCs w:val="24"/>
        </w:rPr>
      </w:pPr>
      <w:r w:rsidRPr="000210F4">
        <w:rPr>
          <w:b/>
          <w:sz w:val="24"/>
          <w:szCs w:val="24"/>
        </w:rPr>
        <w:t>3.7</w:t>
      </w:r>
      <w:r w:rsidRPr="000210F4">
        <w:rPr>
          <w:b/>
          <w:sz w:val="24"/>
          <w:szCs w:val="24"/>
        </w:rPr>
        <w:tab/>
        <w:t>Anvendelse under drægtighed, laktation eller æglægning</w:t>
      </w:r>
    </w:p>
    <w:p w14:paraId="16F8DD0B" w14:textId="77777777" w:rsidR="00D0772B" w:rsidRPr="000210F4" w:rsidRDefault="00D0772B" w:rsidP="00D0772B">
      <w:pPr>
        <w:tabs>
          <w:tab w:val="left" w:pos="1304"/>
        </w:tabs>
        <w:rPr>
          <w:sz w:val="24"/>
          <w:szCs w:val="24"/>
        </w:rPr>
      </w:pPr>
    </w:p>
    <w:p w14:paraId="6444B92C"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u w:val="single"/>
          <w:lang w:eastAsia="en-GB"/>
        </w:rPr>
      </w:pPr>
      <w:r w:rsidRPr="000210F4">
        <w:rPr>
          <w:rFonts w:ascii="TimesNewRomanPSMT" w:hAnsi="TimesNewRomanPSMT" w:cs="TimesNewRomanPSMT"/>
          <w:sz w:val="24"/>
          <w:szCs w:val="24"/>
          <w:u w:val="single"/>
          <w:lang w:eastAsia="en-GB"/>
        </w:rPr>
        <w:t>Drægtighed og laktation:</w:t>
      </w:r>
    </w:p>
    <w:p w14:paraId="3B80C672" w14:textId="77777777" w:rsidR="00D0772B" w:rsidRPr="000210F4" w:rsidRDefault="00D0772B" w:rsidP="000210F4">
      <w:pPr>
        <w:tabs>
          <w:tab w:val="left" w:pos="1304"/>
        </w:tabs>
        <w:autoSpaceDE w:val="0"/>
        <w:autoSpaceDN w:val="0"/>
        <w:adjustRightInd w:val="0"/>
        <w:ind w:left="851"/>
        <w:rPr>
          <w:sz w:val="24"/>
          <w:szCs w:val="24"/>
        </w:rPr>
      </w:pPr>
      <w:r w:rsidRPr="000210F4">
        <w:rPr>
          <w:rFonts w:ascii="TimesNewRomanPSMT" w:hAnsi="TimesNewRomanPSMT" w:cs="TimesNewRomanPSMT"/>
          <w:sz w:val="24"/>
          <w:szCs w:val="24"/>
          <w:lang w:eastAsia="en-GB"/>
        </w:rPr>
        <w:t xml:space="preserve">Laboratorieundersøgelser af rotter og kaniner har ikke afsløret </w:t>
      </w:r>
      <w:proofErr w:type="spellStart"/>
      <w:r w:rsidRPr="000210F4">
        <w:rPr>
          <w:rFonts w:ascii="TimesNewRomanPSMT" w:hAnsi="TimesNewRomanPSMT" w:cs="TimesNewRomanPSMT"/>
          <w:sz w:val="24"/>
          <w:szCs w:val="24"/>
          <w:lang w:eastAsia="en-GB"/>
        </w:rPr>
        <w:t>teratogene</w:t>
      </w:r>
      <w:proofErr w:type="spellEnd"/>
      <w:r w:rsidRPr="000210F4">
        <w:rPr>
          <w:rFonts w:ascii="TimesNewRomanPSMT" w:hAnsi="TimesNewRomanPSMT" w:cs="TimesNewRomanPSMT"/>
          <w:sz w:val="24"/>
          <w:szCs w:val="24"/>
          <w:lang w:eastAsia="en-GB"/>
        </w:rPr>
        <w:t xml:space="preserve">, </w:t>
      </w:r>
      <w:proofErr w:type="spellStart"/>
      <w:r w:rsidRPr="000210F4">
        <w:rPr>
          <w:rFonts w:ascii="TimesNewRomanPSMT" w:hAnsi="TimesNewRomanPSMT" w:cs="TimesNewRomanPSMT"/>
          <w:sz w:val="24"/>
          <w:szCs w:val="24"/>
          <w:lang w:eastAsia="en-GB"/>
        </w:rPr>
        <w:t>føtotoksiske</w:t>
      </w:r>
      <w:proofErr w:type="spellEnd"/>
      <w:r w:rsidRPr="000210F4">
        <w:rPr>
          <w:rFonts w:ascii="TimesNewRomanPSMT" w:hAnsi="TimesNewRomanPSMT" w:cs="TimesNewRomanPSMT"/>
          <w:sz w:val="24"/>
          <w:szCs w:val="24"/>
          <w:lang w:eastAsia="en-GB"/>
        </w:rPr>
        <w:t xml:space="preserve"> eller </w:t>
      </w:r>
      <w:proofErr w:type="spellStart"/>
      <w:r w:rsidRPr="000210F4">
        <w:rPr>
          <w:rFonts w:ascii="TimesNewRomanPSMT" w:hAnsi="TimesNewRomanPSMT" w:cs="TimesNewRomanPSMT"/>
          <w:sz w:val="24"/>
          <w:szCs w:val="24"/>
          <w:lang w:eastAsia="en-GB"/>
        </w:rPr>
        <w:t>maternotoksiske</w:t>
      </w:r>
      <w:proofErr w:type="spellEnd"/>
      <w:r w:rsidRPr="000210F4">
        <w:rPr>
          <w:rFonts w:ascii="TimesNewRomanPSMT" w:hAnsi="TimesNewRomanPSMT" w:cs="TimesNewRomanPSMT"/>
          <w:sz w:val="24"/>
          <w:szCs w:val="24"/>
          <w:lang w:eastAsia="en-GB"/>
        </w:rPr>
        <w:t xml:space="preserve"> virkninger. Sikkerheden ved veterinærlægemidlet er ikke blevet fastslået under drægtighed og laktation. </w:t>
      </w:r>
      <w:r w:rsidRPr="000210F4">
        <w:rPr>
          <w:sz w:val="24"/>
          <w:szCs w:val="24"/>
        </w:rPr>
        <w:t>Må kun anvendes i overensstemmelse med den ansvarlige dyrlæges vurdering af benefit/</w:t>
      </w:r>
      <w:proofErr w:type="spellStart"/>
      <w:r w:rsidRPr="000210F4">
        <w:rPr>
          <w:sz w:val="24"/>
          <w:szCs w:val="24"/>
        </w:rPr>
        <w:t>risk</w:t>
      </w:r>
      <w:proofErr w:type="spellEnd"/>
      <w:r w:rsidRPr="000210F4">
        <w:rPr>
          <w:sz w:val="24"/>
          <w:szCs w:val="24"/>
        </w:rPr>
        <w:t>-forholdet.</w:t>
      </w:r>
    </w:p>
    <w:p w14:paraId="5649C7BF" w14:textId="77777777" w:rsidR="00D0772B" w:rsidRPr="000210F4" w:rsidRDefault="00D0772B" w:rsidP="00D0772B">
      <w:pPr>
        <w:tabs>
          <w:tab w:val="left" w:pos="1304"/>
        </w:tabs>
        <w:rPr>
          <w:sz w:val="24"/>
          <w:szCs w:val="24"/>
        </w:rPr>
      </w:pPr>
    </w:p>
    <w:p w14:paraId="6780DD66" w14:textId="77777777" w:rsidR="00D0772B" w:rsidRPr="000210F4" w:rsidRDefault="00D0772B" w:rsidP="000210F4">
      <w:pPr>
        <w:tabs>
          <w:tab w:val="left" w:pos="851"/>
        </w:tabs>
        <w:rPr>
          <w:sz w:val="24"/>
          <w:szCs w:val="24"/>
        </w:rPr>
      </w:pPr>
      <w:r w:rsidRPr="000210F4">
        <w:rPr>
          <w:b/>
          <w:sz w:val="24"/>
          <w:szCs w:val="24"/>
        </w:rPr>
        <w:t>3.8</w:t>
      </w:r>
      <w:r w:rsidRPr="000210F4">
        <w:rPr>
          <w:b/>
          <w:sz w:val="24"/>
          <w:szCs w:val="24"/>
        </w:rPr>
        <w:tab/>
        <w:t>Interaktion med andre lægemidler og andre former for interaktion</w:t>
      </w:r>
    </w:p>
    <w:p w14:paraId="55BA8B4A" w14:textId="77777777" w:rsidR="00D0772B" w:rsidRPr="000210F4" w:rsidRDefault="00D0772B" w:rsidP="00D0772B">
      <w:pPr>
        <w:tabs>
          <w:tab w:val="left" w:pos="1304"/>
        </w:tabs>
        <w:rPr>
          <w:sz w:val="24"/>
          <w:szCs w:val="24"/>
        </w:rPr>
      </w:pPr>
    </w:p>
    <w:p w14:paraId="707E6BAC" w14:textId="77777777" w:rsidR="00D0772B" w:rsidRPr="000210F4" w:rsidRDefault="00D0772B" w:rsidP="000210F4">
      <w:pPr>
        <w:tabs>
          <w:tab w:val="left" w:pos="1304"/>
        </w:tabs>
        <w:ind w:firstLine="851"/>
        <w:rPr>
          <w:rFonts w:ascii="TimesNewRomanPSMT" w:hAnsi="TimesNewRomanPSMT" w:cs="TimesNewRomanPSMT"/>
          <w:sz w:val="24"/>
          <w:szCs w:val="24"/>
          <w:lang w:eastAsia="da-DK"/>
        </w:rPr>
      </w:pPr>
      <w:r w:rsidRPr="000210F4">
        <w:rPr>
          <w:rFonts w:ascii="TimesNewRomanPSMT" w:hAnsi="TimesNewRomanPSMT" w:cs="TimesNewRomanPSMT"/>
          <w:sz w:val="24"/>
          <w:szCs w:val="24"/>
          <w:lang w:eastAsia="da-DK"/>
        </w:rPr>
        <w:t>Ingen kendte.</w:t>
      </w:r>
    </w:p>
    <w:p w14:paraId="3CF5A4DD" w14:textId="77777777" w:rsidR="00D0772B" w:rsidRPr="000210F4" w:rsidRDefault="00D0772B" w:rsidP="00D0772B">
      <w:pPr>
        <w:tabs>
          <w:tab w:val="left" w:pos="1304"/>
        </w:tabs>
        <w:rPr>
          <w:sz w:val="24"/>
          <w:szCs w:val="24"/>
        </w:rPr>
      </w:pPr>
    </w:p>
    <w:p w14:paraId="36C28408" w14:textId="77777777" w:rsidR="00D0772B" w:rsidRPr="000210F4" w:rsidRDefault="00D0772B" w:rsidP="000210F4">
      <w:pPr>
        <w:tabs>
          <w:tab w:val="left" w:pos="851"/>
        </w:tabs>
        <w:rPr>
          <w:sz w:val="24"/>
          <w:szCs w:val="24"/>
        </w:rPr>
      </w:pPr>
      <w:r w:rsidRPr="000210F4">
        <w:rPr>
          <w:b/>
          <w:sz w:val="24"/>
          <w:szCs w:val="24"/>
        </w:rPr>
        <w:t>3.9</w:t>
      </w:r>
      <w:r w:rsidRPr="000210F4">
        <w:rPr>
          <w:b/>
          <w:sz w:val="24"/>
          <w:szCs w:val="24"/>
        </w:rPr>
        <w:tab/>
        <w:t>Administrationsveje og dosering</w:t>
      </w:r>
    </w:p>
    <w:p w14:paraId="5F500743" w14:textId="77777777" w:rsidR="00D0772B" w:rsidRPr="000210F4" w:rsidRDefault="00D0772B" w:rsidP="00D0772B">
      <w:pPr>
        <w:tabs>
          <w:tab w:val="left" w:pos="1304"/>
        </w:tabs>
        <w:rPr>
          <w:sz w:val="24"/>
          <w:szCs w:val="24"/>
        </w:rPr>
      </w:pPr>
    </w:p>
    <w:p w14:paraId="1C3385CF"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u w:val="single"/>
          <w:lang w:eastAsia="en-GB"/>
        </w:rPr>
      </w:pPr>
      <w:r w:rsidRPr="000210F4">
        <w:rPr>
          <w:rFonts w:ascii="TimesNewRomanPSMT" w:hAnsi="TimesNewRomanPSMT" w:cs="TimesNewRomanPSMT"/>
          <w:sz w:val="24"/>
          <w:szCs w:val="24"/>
          <w:u w:val="single"/>
          <w:lang w:eastAsia="en-GB"/>
        </w:rPr>
        <w:t>Kvæg</w:t>
      </w:r>
    </w:p>
    <w:p w14:paraId="7FA12253"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Subkutan anvendelse.</w:t>
      </w:r>
    </w:p>
    <w:p w14:paraId="63AEB8F8"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 xml:space="preserve">En enkelt subkutan injektion af 2,5 mg </w:t>
      </w: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/kg legemsvægt (svarende til 1 ml/40 kg legemsvægt). Til behandling af kvæg over 300 kg legemsvægt opdeles dosis, således at ikke mere end 7,5 ml injiceres på ét sted.</w:t>
      </w:r>
    </w:p>
    <w:p w14:paraId="40FAF4CF" w14:textId="77777777" w:rsidR="00D0772B" w:rsidRPr="000210F4" w:rsidRDefault="00D0772B" w:rsidP="000210F4">
      <w:pPr>
        <w:tabs>
          <w:tab w:val="left" w:pos="1304"/>
        </w:tabs>
        <w:ind w:left="851"/>
        <w:rPr>
          <w:rFonts w:ascii="TimesNewRomanPSMT" w:hAnsi="TimesNewRomanPSMT" w:cs="TimesNewRomanPSMT"/>
          <w:sz w:val="24"/>
          <w:szCs w:val="24"/>
          <w:lang w:eastAsia="en-GB"/>
        </w:rPr>
      </w:pPr>
    </w:p>
    <w:p w14:paraId="768E868F"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u w:val="single"/>
          <w:lang w:eastAsia="en-GB"/>
        </w:rPr>
      </w:pPr>
      <w:r w:rsidRPr="000210F4">
        <w:rPr>
          <w:rFonts w:ascii="TimesNewRomanPSMT" w:hAnsi="TimesNewRomanPSMT" w:cs="TimesNewRomanPSMT"/>
          <w:sz w:val="24"/>
          <w:szCs w:val="24"/>
          <w:u w:val="single"/>
          <w:lang w:eastAsia="en-GB"/>
        </w:rPr>
        <w:t>Svin</w:t>
      </w:r>
    </w:p>
    <w:p w14:paraId="54CD023A"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Intramuskulær anvendelse.</w:t>
      </w:r>
    </w:p>
    <w:p w14:paraId="57DB42A9"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lastRenderedPageBreak/>
        <w:t xml:space="preserve">En enkelt intramuskulær injektion af 2,5 mg </w:t>
      </w: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/kg legemsvægt (svarende til 1 ml/40 kg legemsvægt) i nakken.</w:t>
      </w:r>
    </w:p>
    <w:p w14:paraId="11993433"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3D744419"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Til behandling af svin over 80 kg legemsvægt opdeles dosis, således at ikke mere end 2 ml bliver injiceret på ét sted.</w:t>
      </w:r>
    </w:p>
    <w:p w14:paraId="30653612"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35D812DA"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Ved enhver respiratorisk sygdom anbefales det at behandle dyrene i de tidlige stadier af sygdommen og at evaluere respons på behandlingen inden for 48 timer efter injektionen. Hvis kliniske tegn på respiratorisk sygdom vedvarer eller forværres, eller hvis der forekommer recidiv, bør behandlingen ændres ved brug af et andet antibiotikum og fortsættes, indtil de kliniske tegn er forsvundet.</w:t>
      </w:r>
    </w:p>
    <w:p w14:paraId="3D580585" w14:textId="77777777" w:rsidR="00D0772B" w:rsidRPr="000210F4" w:rsidRDefault="00D0772B" w:rsidP="00D0772B">
      <w:pPr>
        <w:tabs>
          <w:tab w:val="left" w:pos="1304"/>
        </w:tabs>
        <w:rPr>
          <w:rFonts w:ascii="TimesNewRomanPSMT" w:hAnsi="TimesNewRomanPSMT" w:cs="TimesNewRomanPSMT"/>
          <w:sz w:val="24"/>
          <w:szCs w:val="24"/>
          <w:lang w:eastAsia="en-GB"/>
        </w:rPr>
      </w:pPr>
    </w:p>
    <w:p w14:paraId="74D88E5D"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u w:val="single"/>
          <w:lang w:eastAsia="en-GB"/>
        </w:rPr>
      </w:pPr>
      <w:r w:rsidRPr="000210F4">
        <w:rPr>
          <w:rFonts w:ascii="TimesNewRomanPSMT" w:hAnsi="TimesNewRomanPSMT" w:cs="TimesNewRomanPSMT"/>
          <w:sz w:val="24"/>
          <w:szCs w:val="24"/>
          <w:u w:val="single"/>
          <w:lang w:eastAsia="en-GB"/>
        </w:rPr>
        <w:t>Får</w:t>
      </w:r>
    </w:p>
    <w:p w14:paraId="32DA77D4"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Intramuskulær anvendelse.</w:t>
      </w:r>
    </w:p>
    <w:p w14:paraId="0233C52E"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 xml:space="preserve">En enkelt intramuskulær injektion af 2,5 mg </w:t>
      </w: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/kg legemsvægt (svarende til 1 ml/40 kg legemsvægt) i nakken.</w:t>
      </w:r>
    </w:p>
    <w:p w14:paraId="17201BED"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45DC1F01"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 xml:space="preserve">For at sikre korrekt dosering bør legemsvægten bestemmes så nøjagtigt som muligt for at undgå underdosering. Ved brug af adskillige hætteglas anbefales en aspirationskanyle eller </w:t>
      </w:r>
      <w:proofErr w:type="spellStart"/>
      <w:r w:rsidRPr="000210F4">
        <w:rPr>
          <w:rFonts w:ascii="TimesNewRomanPSMT" w:hAnsi="TimesNewRomanPSMT" w:cs="TimesNewRomanPSMT"/>
          <w:sz w:val="24"/>
          <w:szCs w:val="24"/>
          <w:lang w:eastAsia="en-GB"/>
        </w:rPr>
        <w:t>multi</w:t>
      </w:r>
      <w:proofErr w:type="spellEnd"/>
      <w:r w:rsidRPr="000210F4">
        <w:rPr>
          <w:rFonts w:ascii="TimesNewRomanPSMT" w:hAnsi="TimesNewRomanPSMT" w:cs="TimesNewRomanPSMT"/>
          <w:sz w:val="24"/>
          <w:szCs w:val="24"/>
          <w:lang w:eastAsia="en-GB"/>
        </w:rPr>
        <w:t>-dosis sprøjte for at undgå overdreven gennembrydning af proppen.</w:t>
      </w:r>
    </w:p>
    <w:p w14:paraId="289E33EB"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583A8DF2"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Hætterne på 20 mm kan punkteres sikkert op til 30 gange og hætterne på 30 mm op til 50 gange.</w:t>
      </w:r>
    </w:p>
    <w:p w14:paraId="59645301" w14:textId="77777777" w:rsidR="00D0772B" w:rsidRPr="000210F4" w:rsidRDefault="00D0772B" w:rsidP="00D0772B">
      <w:pPr>
        <w:tabs>
          <w:tab w:val="left" w:pos="1304"/>
        </w:tabs>
        <w:autoSpaceDE w:val="0"/>
        <w:autoSpaceDN w:val="0"/>
        <w:adjustRightInd w:val="0"/>
        <w:rPr>
          <w:rFonts w:ascii="TimesNewRomanPSMT" w:hAnsi="TimesNewRomanPSMT" w:cs="TimesNewRomanPSMT"/>
          <w:sz w:val="24"/>
          <w:szCs w:val="24"/>
          <w:lang w:eastAsia="en-GB"/>
        </w:rPr>
      </w:pPr>
    </w:p>
    <w:p w14:paraId="78D14240" w14:textId="77777777" w:rsidR="00D0772B" w:rsidRPr="000210F4" w:rsidRDefault="00D0772B" w:rsidP="000210F4">
      <w:pPr>
        <w:tabs>
          <w:tab w:val="left" w:pos="851"/>
        </w:tabs>
        <w:rPr>
          <w:b/>
          <w:bCs/>
          <w:sz w:val="24"/>
          <w:szCs w:val="24"/>
        </w:rPr>
      </w:pPr>
      <w:r w:rsidRPr="000210F4">
        <w:rPr>
          <w:b/>
          <w:bCs/>
          <w:sz w:val="24"/>
          <w:szCs w:val="24"/>
        </w:rPr>
        <w:t>3.10</w:t>
      </w:r>
      <w:r w:rsidRPr="000210F4">
        <w:rPr>
          <w:b/>
          <w:bCs/>
          <w:sz w:val="24"/>
          <w:szCs w:val="24"/>
        </w:rPr>
        <w:tab/>
        <w:t>Symptomer på o</w:t>
      </w:r>
      <w:r w:rsidRPr="000210F4">
        <w:rPr>
          <w:b/>
          <w:sz w:val="24"/>
          <w:szCs w:val="24"/>
        </w:rPr>
        <w:t>verdosering (og, hvis relevant, nødforanstaltninger og modgift)</w:t>
      </w:r>
    </w:p>
    <w:p w14:paraId="0EE778E1" w14:textId="77777777" w:rsidR="00D0772B" w:rsidRPr="000210F4" w:rsidRDefault="00D0772B" w:rsidP="00D0772B">
      <w:pPr>
        <w:tabs>
          <w:tab w:val="left" w:pos="1304"/>
        </w:tabs>
        <w:rPr>
          <w:sz w:val="24"/>
          <w:szCs w:val="24"/>
        </w:rPr>
      </w:pPr>
    </w:p>
    <w:p w14:paraId="61150B4E"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 xml:space="preserve">Hos kvæg ved doseringer tre, fem eller ti gange den anbefalede dosis blev forbigående tegn tilskrevet ubehag på injektionsstedet observeret og omfattede rastløshed, hovedrysten, </w:t>
      </w:r>
      <w:proofErr w:type="spellStart"/>
      <w:r w:rsidRPr="000210F4">
        <w:rPr>
          <w:rFonts w:ascii="TimesNewRomanPSMT" w:hAnsi="TimesNewRomanPSMT" w:cs="TimesNewRomanPSMT"/>
          <w:sz w:val="24"/>
          <w:szCs w:val="24"/>
          <w:lang w:eastAsia="en-GB"/>
        </w:rPr>
        <w:t>skraben</w:t>
      </w:r>
      <w:proofErr w:type="spellEnd"/>
      <w:r w:rsidRPr="000210F4">
        <w:rPr>
          <w:rFonts w:ascii="TimesNewRomanPSMT" w:hAnsi="TimesNewRomanPSMT" w:cs="TimesNewRomanPSMT"/>
          <w:sz w:val="24"/>
          <w:szCs w:val="24"/>
          <w:lang w:eastAsia="en-GB"/>
        </w:rPr>
        <w:t xml:space="preserve"> i jorden og kort fald i foderindtag. Let </w:t>
      </w:r>
      <w:proofErr w:type="spellStart"/>
      <w:r w:rsidRPr="000210F4">
        <w:rPr>
          <w:rFonts w:ascii="TimesNewRomanPSMT" w:hAnsi="TimesNewRomanPSMT" w:cs="TimesNewRomanPSMT"/>
          <w:sz w:val="24"/>
          <w:szCs w:val="24"/>
          <w:lang w:eastAsia="en-GB"/>
        </w:rPr>
        <w:t>myokardiel</w:t>
      </w:r>
      <w:proofErr w:type="spellEnd"/>
      <w:r w:rsidRPr="000210F4">
        <w:rPr>
          <w:rFonts w:ascii="TimesNewRomanPSMT" w:hAnsi="TimesNewRomanPSMT" w:cs="TimesNewRomanPSMT"/>
          <w:sz w:val="24"/>
          <w:szCs w:val="24"/>
          <w:lang w:eastAsia="en-GB"/>
        </w:rPr>
        <w:t xml:space="preserve"> degeneration er blevet observeret hos kvæg, der fik fem til seks gange den anbefalede dosis.</w:t>
      </w:r>
    </w:p>
    <w:p w14:paraId="7F5F98AE"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11715A41"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 xml:space="preserve">Hos grise der vejede cirka 10 kg, og blev givet tre eller fem gange den terapeutiske dosis, blev der observeret forbigående tegn tilskrevet ubehag på injektionsstedet og omfattede overdreven brug af stemmen og rastløshed. </w:t>
      </w:r>
      <w:proofErr w:type="spellStart"/>
      <w:r w:rsidRPr="000210F4">
        <w:rPr>
          <w:rFonts w:ascii="TimesNewRomanPSMT" w:hAnsi="TimesNewRomanPSMT" w:cs="TimesNewRomanPSMT"/>
          <w:sz w:val="24"/>
          <w:szCs w:val="24"/>
          <w:lang w:eastAsia="en-GB"/>
        </w:rPr>
        <w:t>Halten</w:t>
      </w:r>
      <w:proofErr w:type="spellEnd"/>
      <w:r w:rsidRPr="000210F4">
        <w:rPr>
          <w:rFonts w:ascii="TimesNewRomanPSMT" w:hAnsi="TimesNewRomanPSMT" w:cs="TimesNewRomanPSMT"/>
          <w:sz w:val="24"/>
          <w:szCs w:val="24"/>
          <w:lang w:eastAsia="en-GB"/>
        </w:rPr>
        <w:t xml:space="preserve"> blev også observeret, når bagbenet blev brugt som injektionssted.</w:t>
      </w:r>
    </w:p>
    <w:p w14:paraId="44A019A6" w14:textId="77777777" w:rsidR="00D0772B" w:rsidRPr="000210F4" w:rsidRDefault="00D0772B" w:rsidP="000210F4">
      <w:pPr>
        <w:tabs>
          <w:tab w:val="left" w:pos="1304"/>
        </w:tabs>
        <w:autoSpaceDE w:val="0"/>
        <w:autoSpaceDN w:val="0"/>
        <w:adjustRightInd w:val="0"/>
        <w:ind w:left="851"/>
        <w:rPr>
          <w:sz w:val="24"/>
          <w:szCs w:val="24"/>
        </w:rPr>
      </w:pPr>
      <w:r w:rsidRPr="000210F4">
        <w:rPr>
          <w:rFonts w:ascii="TimesNewRomanPSMT" w:hAnsi="TimesNewRomanPSMT" w:cs="TimesNewRomanPSMT"/>
          <w:sz w:val="24"/>
          <w:szCs w:val="24"/>
          <w:lang w:eastAsia="en-GB"/>
        </w:rPr>
        <w:t xml:space="preserve">Hos lam (ca. 6 uger gamle), blev der ved doseringer på tre til fem gange den anbefalede dosis observeret forbigående tegn tilskrevet ubehag på injektionsstedet og omfattede gåen bagud, hovedrysten, </w:t>
      </w:r>
      <w:proofErr w:type="spellStart"/>
      <w:r w:rsidRPr="000210F4">
        <w:rPr>
          <w:rFonts w:ascii="TimesNewRomanPSMT" w:hAnsi="TimesNewRomanPSMT" w:cs="TimesNewRomanPSMT"/>
          <w:sz w:val="24"/>
          <w:szCs w:val="24"/>
          <w:lang w:eastAsia="en-GB"/>
        </w:rPr>
        <w:t>gnubben</w:t>
      </w:r>
      <w:proofErr w:type="spellEnd"/>
      <w:r w:rsidRPr="000210F4">
        <w:rPr>
          <w:rFonts w:ascii="TimesNewRomanPSMT" w:hAnsi="TimesNewRomanPSMT" w:cs="TimesNewRomanPSMT"/>
          <w:sz w:val="24"/>
          <w:szCs w:val="24"/>
          <w:lang w:eastAsia="en-GB"/>
        </w:rPr>
        <w:t xml:space="preserve"> af injektionsstedet, læggen sig ned og kommen op, brægen.</w:t>
      </w:r>
    </w:p>
    <w:p w14:paraId="4D04CB52" w14:textId="77777777" w:rsidR="00D0772B" w:rsidRPr="000210F4" w:rsidRDefault="00D0772B" w:rsidP="00D0772B">
      <w:pPr>
        <w:tabs>
          <w:tab w:val="left" w:pos="1304"/>
        </w:tabs>
        <w:rPr>
          <w:sz w:val="24"/>
          <w:szCs w:val="24"/>
        </w:rPr>
      </w:pPr>
    </w:p>
    <w:p w14:paraId="4BF8F6B5" w14:textId="77777777" w:rsidR="00D0772B" w:rsidRPr="000210F4" w:rsidRDefault="00D0772B" w:rsidP="000210F4">
      <w:pPr>
        <w:pStyle w:val="Style1"/>
        <w:ind w:left="851" w:hanging="851"/>
        <w:rPr>
          <w:sz w:val="24"/>
          <w:szCs w:val="24"/>
        </w:rPr>
      </w:pPr>
      <w:r w:rsidRPr="000210F4">
        <w:rPr>
          <w:sz w:val="24"/>
          <w:szCs w:val="24"/>
        </w:rPr>
        <w:t>3.11</w:t>
      </w:r>
      <w:r w:rsidRPr="000210F4">
        <w:rPr>
          <w:sz w:val="24"/>
          <w:szCs w:val="24"/>
        </w:rPr>
        <w:tab/>
        <w:t>Særlige begrænsninger og betingelser for anvendelse, herunder begrænsninger for anvendelsen af antimikrobielle og antiparasitære veterinærlægemidler for at begrænse risikoen for udvikling af resistens</w:t>
      </w:r>
    </w:p>
    <w:p w14:paraId="291D6981" w14:textId="77777777" w:rsidR="00D0772B" w:rsidRPr="000210F4" w:rsidRDefault="00D0772B" w:rsidP="00D0772B">
      <w:pPr>
        <w:tabs>
          <w:tab w:val="left" w:pos="1304"/>
        </w:tabs>
        <w:rPr>
          <w:sz w:val="24"/>
          <w:szCs w:val="24"/>
        </w:rPr>
      </w:pPr>
    </w:p>
    <w:p w14:paraId="686534FB" w14:textId="77777777" w:rsidR="00D0772B" w:rsidRPr="000210F4" w:rsidRDefault="00D0772B" w:rsidP="000210F4">
      <w:pPr>
        <w:tabs>
          <w:tab w:val="left" w:pos="1304"/>
        </w:tabs>
        <w:ind w:firstLine="851"/>
        <w:rPr>
          <w:sz w:val="24"/>
          <w:szCs w:val="24"/>
        </w:rPr>
      </w:pPr>
      <w:r w:rsidRPr="000210F4">
        <w:rPr>
          <w:sz w:val="24"/>
          <w:szCs w:val="24"/>
        </w:rPr>
        <w:t>Ikke relevant.</w:t>
      </w:r>
    </w:p>
    <w:p w14:paraId="0DAE6717" w14:textId="77777777" w:rsidR="00D0772B" w:rsidRPr="000210F4" w:rsidRDefault="00D0772B" w:rsidP="00D0772B">
      <w:pPr>
        <w:tabs>
          <w:tab w:val="left" w:pos="1304"/>
        </w:tabs>
        <w:rPr>
          <w:sz w:val="24"/>
          <w:szCs w:val="24"/>
        </w:rPr>
      </w:pPr>
    </w:p>
    <w:p w14:paraId="76B59207" w14:textId="77777777" w:rsidR="00D0772B" w:rsidRPr="000210F4" w:rsidRDefault="00D0772B" w:rsidP="000210F4">
      <w:pPr>
        <w:tabs>
          <w:tab w:val="left" w:pos="851"/>
        </w:tabs>
        <w:rPr>
          <w:sz w:val="24"/>
          <w:szCs w:val="24"/>
        </w:rPr>
      </w:pPr>
      <w:r w:rsidRPr="000210F4">
        <w:rPr>
          <w:b/>
          <w:sz w:val="24"/>
          <w:szCs w:val="24"/>
        </w:rPr>
        <w:t>3.</w:t>
      </w:r>
      <w:r w:rsidRPr="000210F4">
        <w:rPr>
          <w:b/>
          <w:bCs/>
          <w:sz w:val="24"/>
          <w:szCs w:val="24"/>
        </w:rPr>
        <w:t>12</w:t>
      </w:r>
      <w:r w:rsidRPr="000210F4">
        <w:rPr>
          <w:b/>
          <w:sz w:val="24"/>
          <w:szCs w:val="24"/>
        </w:rPr>
        <w:tab/>
        <w:t>Tilbageholdelsestid(er)</w:t>
      </w:r>
    </w:p>
    <w:p w14:paraId="2EB00AFC" w14:textId="77777777" w:rsidR="00D0772B" w:rsidRPr="000210F4" w:rsidRDefault="00D0772B" w:rsidP="00D0772B">
      <w:pPr>
        <w:tabs>
          <w:tab w:val="left" w:pos="1304"/>
        </w:tabs>
        <w:rPr>
          <w:sz w:val="24"/>
          <w:szCs w:val="24"/>
        </w:rPr>
      </w:pPr>
    </w:p>
    <w:p w14:paraId="32A22384"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Kvæg (</w:t>
      </w:r>
      <w:r w:rsidRPr="000210F4">
        <w:rPr>
          <w:sz w:val="24"/>
          <w:szCs w:val="24"/>
        </w:rPr>
        <w:t>Slagtning</w:t>
      </w:r>
      <w:r w:rsidRPr="000210F4">
        <w:rPr>
          <w:rFonts w:ascii="TimesNewRomanPSMT" w:hAnsi="TimesNewRomanPSMT" w:cs="TimesNewRomanPSMT"/>
          <w:sz w:val="24"/>
          <w:szCs w:val="24"/>
          <w:lang w:eastAsia="en-GB"/>
        </w:rPr>
        <w:t>): 22 dage.</w:t>
      </w:r>
    </w:p>
    <w:p w14:paraId="11393AC0"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5B8F8947"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Svin (</w:t>
      </w:r>
      <w:r w:rsidRPr="000210F4">
        <w:rPr>
          <w:sz w:val="24"/>
          <w:szCs w:val="24"/>
        </w:rPr>
        <w:t>Slagtning</w:t>
      </w:r>
      <w:r w:rsidRPr="000210F4">
        <w:rPr>
          <w:rFonts w:ascii="TimesNewRomanPSMT" w:hAnsi="TimesNewRomanPSMT" w:cs="TimesNewRomanPSMT"/>
          <w:sz w:val="24"/>
          <w:szCs w:val="24"/>
          <w:lang w:eastAsia="en-GB"/>
        </w:rPr>
        <w:t>): 13 dage.</w:t>
      </w:r>
    </w:p>
    <w:p w14:paraId="2C92451B"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0271EE42"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lastRenderedPageBreak/>
        <w:t>Får (</w:t>
      </w:r>
      <w:r w:rsidRPr="000210F4">
        <w:rPr>
          <w:sz w:val="24"/>
          <w:szCs w:val="24"/>
        </w:rPr>
        <w:t>Slagtning</w:t>
      </w:r>
      <w:r w:rsidRPr="000210F4">
        <w:rPr>
          <w:rFonts w:ascii="TimesNewRomanPSMT" w:hAnsi="TimesNewRomanPSMT" w:cs="TimesNewRomanPSMT"/>
          <w:sz w:val="24"/>
          <w:szCs w:val="24"/>
          <w:lang w:eastAsia="en-GB"/>
        </w:rPr>
        <w:t>): 16 dage.</w:t>
      </w:r>
    </w:p>
    <w:p w14:paraId="67CE1E75"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69736F75" w14:textId="77777777" w:rsidR="00D0772B" w:rsidRPr="000210F4" w:rsidRDefault="00D0772B" w:rsidP="000210F4">
      <w:pPr>
        <w:ind w:left="851"/>
        <w:rPr>
          <w:sz w:val="24"/>
          <w:szCs w:val="24"/>
        </w:rPr>
      </w:pPr>
      <w:r w:rsidRPr="000210F4">
        <w:rPr>
          <w:sz w:val="24"/>
          <w:szCs w:val="24"/>
        </w:rPr>
        <w:t>Må ikke anvendes til dyr, hvis mælk er bestemt til menneskeføde.</w:t>
      </w:r>
    </w:p>
    <w:p w14:paraId="0C87BD24" w14:textId="77777777" w:rsidR="00D0772B" w:rsidRPr="000210F4" w:rsidRDefault="00D0772B" w:rsidP="000210F4">
      <w:pPr>
        <w:tabs>
          <w:tab w:val="left" w:pos="1304"/>
        </w:tabs>
        <w:autoSpaceDE w:val="0"/>
        <w:autoSpaceDN w:val="0"/>
        <w:adjustRightInd w:val="0"/>
        <w:ind w:left="851"/>
        <w:rPr>
          <w:sz w:val="24"/>
          <w:szCs w:val="24"/>
        </w:rPr>
      </w:pPr>
      <w:r w:rsidRPr="000210F4">
        <w:rPr>
          <w:sz w:val="24"/>
          <w:szCs w:val="24"/>
        </w:rPr>
        <w:t>Må ikke anvendes til drægtige dyr, hvis mælk er bestemt til menneskeføde, inden for 2 måneder forud for den forventede fødsel</w:t>
      </w:r>
      <w:r w:rsidRPr="000210F4">
        <w:rPr>
          <w:rFonts w:ascii="TimesNewRomanPSMT" w:hAnsi="TimesNewRomanPSMT" w:cs="TimesNewRomanPSMT"/>
          <w:sz w:val="24"/>
          <w:szCs w:val="24"/>
          <w:lang w:eastAsia="en-GB"/>
        </w:rPr>
        <w:t>.</w:t>
      </w:r>
    </w:p>
    <w:p w14:paraId="4E6FB531" w14:textId="77777777" w:rsidR="00D0772B" w:rsidRPr="000210F4" w:rsidRDefault="00D0772B" w:rsidP="00D0772B">
      <w:pPr>
        <w:tabs>
          <w:tab w:val="left" w:pos="1304"/>
        </w:tabs>
        <w:rPr>
          <w:sz w:val="24"/>
          <w:szCs w:val="24"/>
        </w:rPr>
      </w:pPr>
    </w:p>
    <w:p w14:paraId="2E86EB99" w14:textId="77777777" w:rsidR="00D0772B" w:rsidRPr="000210F4" w:rsidRDefault="00D0772B" w:rsidP="00D0772B">
      <w:pPr>
        <w:tabs>
          <w:tab w:val="left" w:pos="1304"/>
        </w:tabs>
        <w:rPr>
          <w:sz w:val="24"/>
          <w:szCs w:val="24"/>
        </w:rPr>
      </w:pPr>
    </w:p>
    <w:p w14:paraId="09091B69" w14:textId="77777777" w:rsidR="00D0772B" w:rsidRPr="000210F4" w:rsidRDefault="00D0772B" w:rsidP="000210F4">
      <w:pPr>
        <w:tabs>
          <w:tab w:val="left" w:pos="851"/>
        </w:tabs>
        <w:rPr>
          <w:sz w:val="24"/>
          <w:szCs w:val="24"/>
        </w:rPr>
      </w:pPr>
      <w:r w:rsidRPr="000210F4">
        <w:rPr>
          <w:b/>
          <w:sz w:val="24"/>
          <w:szCs w:val="24"/>
        </w:rPr>
        <w:t>4.</w:t>
      </w:r>
      <w:r w:rsidRPr="000210F4">
        <w:rPr>
          <w:b/>
          <w:sz w:val="24"/>
          <w:szCs w:val="24"/>
        </w:rPr>
        <w:tab/>
        <w:t>FARMAKOLOGISKE OPLYSNINGER</w:t>
      </w:r>
    </w:p>
    <w:p w14:paraId="3D6D41EB" w14:textId="77777777" w:rsidR="00D0772B" w:rsidRPr="000210F4" w:rsidRDefault="00D0772B" w:rsidP="00D0772B">
      <w:pPr>
        <w:tabs>
          <w:tab w:val="left" w:pos="1304"/>
        </w:tabs>
        <w:rPr>
          <w:sz w:val="24"/>
          <w:szCs w:val="24"/>
        </w:rPr>
      </w:pPr>
    </w:p>
    <w:p w14:paraId="2386A5BF" w14:textId="77777777" w:rsidR="00D0772B" w:rsidRPr="000210F4" w:rsidRDefault="00D0772B" w:rsidP="000210F4">
      <w:pPr>
        <w:tabs>
          <w:tab w:val="left" w:pos="851"/>
        </w:tabs>
        <w:rPr>
          <w:b/>
          <w:bCs/>
          <w:sz w:val="24"/>
          <w:szCs w:val="24"/>
        </w:rPr>
      </w:pPr>
      <w:r w:rsidRPr="000210F4">
        <w:rPr>
          <w:rFonts w:ascii="TimesNewRoman,Italic" w:hAnsi="TimesNewRoman,Italic"/>
          <w:b/>
          <w:bCs/>
          <w:sz w:val="24"/>
          <w:szCs w:val="24"/>
        </w:rPr>
        <w:t>4.1</w:t>
      </w:r>
      <w:r w:rsidRPr="000210F4">
        <w:rPr>
          <w:rFonts w:ascii="TimesNewRoman,Italic" w:hAnsi="TimesNewRoman,Italic"/>
          <w:b/>
          <w:bCs/>
          <w:sz w:val="24"/>
          <w:szCs w:val="24"/>
        </w:rPr>
        <w:tab/>
      </w:r>
      <w:proofErr w:type="spellStart"/>
      <w:r w:rsidRPr="000210F4">
        <w:rPr>
          <w:rFonts w:ascii="TimesNewRoman,Italic" w:hAnsi="TimesNewRoman,Italic"/>
          <w:b/>
          <w:bCs/>
          <w:sz w:val="24"/>
          <w:szCs w:val="24"/>
        </w:rPr>
        <w:t>ATCvet</w:t>
      </w:r>
      <w:proofErr w:type="spellEnd"/>
      <w:r w:rsidRPr="000210F4">
        <w:rPr>
          <w:rFonts w:ascii="TimesNewRoman,Italic" w:hAnsi="TimesNewRoman,Italic"/>
          <w:b/>
          <w:bCs/>
          <w:sz w:val="24"/>
          <w:szCs w:val="24"/>
        </w:rPr>
        <w:t>-kode</w:t>
      </w:r>
      <w:r w:rsidRPr="000210F4">
        <w:rPr>
          <w:b/>
          <w:bCs/>
          <w:sz w:val="24"/>
          <w:szCs w:val="24"/>
        </w:rPr>
        <w:t>:</w:t>
      </w:r>
    </w:p>
    <w:p w14:paraId="7F914DE6" w14:textId="77777777" w:rsidR="00D0772B" w:rsidRPr="000210F4" w:rsidRDefault="00D0772B" w:rsidP="00D0772B">
      <w:pPr>
        <w:tabs>
          <w:tab w:val="left" w:pos="1304"/>
        </w:tabs>
        <w:rPr>
          <w:b/>
          <w:bCs/>
          <w:sz w:val="24"/>
          <w:szCs w:val="24"/>
        </w:rPr>
      </w:pPr>
    </w:p>
    <w:p w14:paraId="046675A2" w14:textId="77777777" w:rsidR="00D0772B" w:rsidRPr="000210F4" w:rsidRDefault="00D0772B" w:rsidP="000210F4">
      <w:pPr>
        <w:tabs>
          <w:tab w:val="left" w:pos="1304"/>
        </w:tabs>
        <w:ind w:firstLine="851"/>
        <w:rPr>
          <w:sz w:val="24"/>
          <w:szCs w:val="24"/>
        </w:rPr>
      </w:pPr>
      <w:r w:rsidRPr="000210F4">
        <w:rPr>
          <w:rFonts w:ascii="TimesNewRomanPSMT" w:hAnsi="TimesNewRomanPSMT" w:cs="TimesNewRomanPSMT"/>
          <w:sz w:val="24"/>
          <w:szCs w:val="24"/>
          <w:lang w:eastAsia="en-GB"/>
        </w:rPr>
        <w:t>QJ01FA94</w:t>
      </w:r>
    </w:p>
    <w:p w14:paraId="69BB6BBD" w14:textId="77777777" w:rsidR="00D0772B" w:rsidRPr="000210F4" w:rsidRDefault="00D0772B" w:rsidP="00D0772B">
      <w:pPr>
        <w:tabs>
          <w:tab w:val="left" w:pos="1304"/>
        </w:tabs>
        <w:rPr>
          <w:sz w:val="24"/>
          <w:szCs w:val="24"/>
        </w:rPr>
      </w:pPr>
    </w:p>
    <w:p w14:paraId="56213216" w14:textId="77777777" w:rsidR="00D0772B" w:rsidRPr="000210F4" w:rsidRDefault="00D0772B" w:rsidP="000210F4">
      <w:pPr>
        <w:tabs>
          <w:tab w:val="left" w:pos="851"/>
        </w:tabs>
        <w:rPr>
          <w:b/>
          <w:sz w:val="24"/>
          <w:szCs w:val="24"/>
        </w:rPr>
      </w:pPr>
      <w:r w:rsidRPr="000210F4">
        <w:rPr>
          <w:b/>
          <w:sz w:val="24"/>
          <w:szCs w:val="24"/>
        </w:rPr>
        <w:t>4.2</w:t>
      </w:r>
      <w:r w:rsidRPr="000210F4">
        <w:rPr>
          <w:b/>
          <w:sz w:val="24"/>
          <w:szCs w:val="24"/>
        </w:rPr>
        <w:tab/>
      </w:r>
      <w:proofErr w:type="spellStart"/>
      <w:r w:rsidRPr="000210F4">
        <w:rPr>
          <w:b/>
          <w:sz w:val="24"/>
          <w:szCs w:val="24"/>
        </w:rPr>
        <w:t>Farmakodynamiske</w:t>
      </w:r>
      <w:proofErr w:type="spellEnd"/>
      <w:r w:rsidRPr="000210F4">
        <w:rPr>
          <w:b/>
          <w:sz w:val="24"/>
          <w:szCs w:val="24"/>
        </w:rPr>
        <w:t xml:space="preserve"> oplysninger</w:t>
      </w:r>
    </w:p>
    <w:p w14:paraId="528B5C91" w14:textId="77777777" w:rsidR="00D0772B" w:rsidRPr="000210F4" w:rsidRDefault="00D0772B" w:rsidP="00D0772B">
      <w:pPr>
        <w:tabs>
          <w:tab w:val="left" w:pos="1304"/>
        </w:tabs>
        <w:rPr>
          <w:sz w:val="24"/>
          <w:szCs w:val="24"/>
        </w:rPr>
      </w:pPr>
    </w:p>
    <w:p w14:paraId="476B1A11"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 xml:space="preserve"> er et semisyntetisk makrolid antimikrobielt middel, der stammer fra et fermenteret produkt. Det adskiller sig fra andre makrolider ved, at det har en lang virkningstid, som delvis skyldes dets tre amingrupper; det er derfor tildelt den kemiske underklassebetegnelse af </w:t>
      </w:r>
      <w:proofErr w:type="spellStart"/>
      <w:r w:rsidRPr="000210F4">
        <w:rPr>
          <w:rFonts w:ascii="TimesNewRomanPSMT" w:hAnsi="TimesNewRomanPSMT" w:cs="TimesNewRomanPSMT"/>
          <w:sz w:val="24"/>
          <w:szCs w:val="24"/>
          <w:lang w:eastAsia="en-GB"/>
        </w:rPr>
        <w:t>triamilid</w:t>
      </w:r>
      <w:proofErr w:type="spellEnd"/>
      <w:r w:rsidRPr="000210F4">
        <w:rPr>
          <w:rFonts w:ascii="TimesNewRomanPSMT" w:hAnsi="TimesNewRomanPSMT" w:cs="TimesNewRomanPSMT"/>
          <w:sz w:val="24"/>
          <w:szCs w:val="24"/>
          <w:lang w:eastAsia="en-GB"/>
        </w:rPr>
        <w:t>.</w:t>
      </w:r>
    </w:p>
    <w:p w14:paraId="72D3CD86"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4280753B"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 xml:space="preserve">Makrolider er </w:t>
      </w:r>
      <w:proofErr w:type="spellStart"/>
      <w:r w:rsidRPr="000210F4">
        <w:rPr>
          <w:rFonts w:ascii="TimesNewRomanPSMT" w:hAnsi="TimesNewRomanPSMT" w:cs="TimesNewRomanPSMT"/>
          <w:sz w:val="24"/>
          <w:szCs w:val="24"/>
          <w:lang w:eastAsia="en-GB"/>
        </w:rPr>
        <w:t>bakteriostatisk</w:t>
      </w:r>
      <w:proofErr w:type="spellEnd"/>
      <w:r w:rsidRPr="000210F4">
        <w:rPr>
          <w:rFonts w:ascii="TimesNewRomanPSMT" w:hAnsi="TimesNewRomanPSMT" w:cs="TimesNewRomanPSMT"/>
          <w:sz w:val="24"/>
          <w:szCs w:val="24"/>
          <w:lang w:eastAsia="en-GB"/>
        </w:rPr>
        <w:t xml:space="preserve"> virkende antibiotika og hæmmer essentiel proteinbiosyntese ved hjælp af deres selektive binding til bakterielt ribosomalt RNA. De virker ved at stimulere adskillelsen af </w:t>
      </w:r>
      <w:proofErr w:type="spellStart"/>
      <w:r w:rsidRPr="000210F4">
        <w:rPr>
          <w:rFonts w:ascii="TimesNewRomanPSMT" w:hAnsi="TimesNewRomanPSMT" w:cs="TimesNewRomanPSMT"/>
          <w:sz w:val="24"/>
          <w:szCs w:val="24"/>
          <w:lang w:eastAsia="en-GB"/>
        </w:rPr>
        <w:t>peptidyl</w:t>
      </w:r>
      <w:proofErr w:type="spellEnd"/>
      <w:r w:rsidRPr="000210F4">
        <w:rPr>
          <w:rFonts w:ascii="TimesNewRomanPSMT" w:hAnsi="TimesNewRomanPSMT" w:cs="TimesNewRomanPSMT"/>
          <w:sz w:val="24"/>
          <w:szCs w:val="24"/>
          <w:lang w:eastAsia="en-GB"/>
        </w:rPr>
        <w:t>-tRNA fra ribosomet under translokationsprocessen.</w:t>
      </w:r>
    </w:p>
    <w:p w14:paraId="551E3378"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02A97709"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 xml:space="preserve"> besidder </w:t>
      </w:r>
      <w:r w:rsidRPr="000210F4">
        <w:rPr>
          <w:rFonts w:ascii="TimesNewRomanPS-ItalicMT" w:hAnsi="TimesNewRomanPS-ItalicMT" w:cs="TimesNewRomanPS-ItalicMT"/>
          <w:i/>
          <w:iCs/>
          <w:sz w:val="24"/>
          <w:szCs w:val="24"/>
          <w:lang w:eastAsia="en-GB"/>
        </w:rPr>
        <w:t xml:space="preserve">in </w:t>
      </w:r>
      <w:proofErr w:type="spellStart"/>
      <w:r w:rsidRPr="000210F4">
        <w:rPr>
          <w:rFonts w:ascii="TimesNewRomanPS-ItalicMT" w:hAnsi="TimesNewRomanPS-ItalicMT" w:cs="TimesNewRomanPS-ItalicMT"/>
          <w:i/>
          <w:iCs/>
          <w:sz w:val="24"/>
          <w:szCs w:val="24"/>
          <w:lang w:eastAsia="en-GB"/>
        </w:rPr>
        <w:t>vitro</w:t>
      </w:r>
      <w:proofErr w:type="spellEnd"/>
      <w:r w:rsidRPr="000210F4">
        <w:rPr>
          <w:rFonts w:ascii="TimesNewRomanPS-ItalicMT" w:hAnsi="TimesNewRomanPS-ItalicMT" w:cs="TimesNewRomanPS-ItalicMT"/>
          <w:i/>
          <w:iCs/>
          <w:sz w:val="24"/>
          <w:szCs w:val="24"/>
          <w:lang w:eastAsia="en-GB"/>
        </w:rPr>
        <w:t xml:space="preserve"> </w:t>
      </w:r>
      <w:r w:rsidRPr="000210F4">
        <w:rPr>
          <w:rFonts w:ascii="TimesNewRomanPSMT" w:hAnsi="TimesNewRomanPSMT" w:cs="TimesNewRomanPSMT"/>
          <w:sz w:val="24"/>
          <w:szCs w:val="24"/>
          <w:lang w:eastAsia="en-GB"/>
        </w:rPr>
        <w:t xml:space="preserve">aktivitet mod </w:t>
      </w:r>
      <w:proofErr w:type="spellStart"/>
      <w:r w:rsidRPr="000210F4">
        <w:rPr>
          <w:rFonts w:ascii="TimesNewRomanPS-ItalicMT" w:hAnsi="TimesNewRomanPS-ItalicMT" w:cs="TimesNewRomanPS-ItalicMT"/>
          <w:i/>
          <w:iCs/>
          <w:sz w:val="24"/>
          <w:szCs w:val="24"/>
          <w:lang w:eastAsia="en-GB"/>
        </w:rPr>
        <w:t>Mannheimia</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haemolytica</w:t>
      </w:r>
      <w:proofErr w:type="spellEnd"/>
      <w:r w:rsidRPr="000210F4">
        <w:rPr>
          <w:rFonts w:ascii="TimesNewRomanPSMT" w:hAnsi="TimesNewRomanPSMT" w:cs="TimesNewRomanPSMT"/>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Pasteurella</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multocida</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Histophilus</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somni</w:t>
      </w:r>
      <w:proofErr w:type="spellEnd"/>
      <w:r w:rsidRPr="000210F4">
        <w:rPr>
          <w:rFonts w:ascii="TimesNewRomanPS-ItalicMT" w:hAnsi="TimesNewRomanPS-ItalicMT" w:cs="TimesNewRomanPS-ItalicMT"/>
          <w:i/>
          <w:iCs/>
          <w:sz w:val="24"/>
          <w:szCs w:val="24"/>
          <w:lang w:eastAsia="en-GB"/>
        </w:rPr>
        <w:t xml:space="preserve"> </w:t>
      </w:r>
      <w:r w:rsidRPr="000210F4">
        <w:rPr>
          <w:rFonts w:ascii="TimesNewRomanPSMT" w:hAnsi="TimesNewRomanPSMT" w:cs="TimesNewRomanPSMT"/>
          <w:sz w:val="24"/>
          <w:szCs w:val="24"/>
          <w:lang w:eastAsia="en-GB"/>
        </w:rPr>
        <w:t xml:space="preserve">og </w:t>
      </w:r>
      <w:proofErr w:type="spellStart"/>
      <w:r w:rsidRPr="000210F4">
        <w:rPr>
          <w:rFonts w:ascii="TimesNewRomanPS-ItalicMT" w:hAnsi="TimesNewRomanPS-ItalicMT" w:cs="TimesNewRomanPS-ItalicMT"/>
          <w:i/>
          <w:iCs/>
          <w:sz w:val="24"/>
          <w:szCs w:val="24"/>
          <w:lang w:eastAsia="en-GB"/>
        </w:rPr>
        <w:t>Mycoplasma</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bovis</w:t>
      </w:r>
      <w:proofErr w:type="spellEnd"/>
      <w:r w:rsidRPr="000210F4">
        <w:rPr>
          <w:rFonts w:ascii="TimesNewRomanPSMT" w:hAnsi="TimesNewRomanPSMT" w:cs="TimesNewRomanPSMT"/>
          <w:sz w:val="24"/>
          <w:szCs w:val="24"/>
          <w:lang w:eastAsia="en-GB"/>
        </w:rPr>
        <w:t xml:space="preserve">, og </w:t>
      </w:r>
      <w:proofErr w:type="spellStart"/>
      <w:r w:rsidRPr="000210F4">
        <w:rPr>
          <w:rFonts w:ascii="TimesNewRomanPS-ItalicMT" w:hAnsi="TimesNewRomanPS-ItalicMT" w:cs="TimesNewRomanPS-ItalicMT"/>
          <w:i/>
          <w:iCs/>
          <w:sz w:val="24"/>
          <w:szCs w:val="24"/>
          <w:lang w:eastAsia="en-GB"/>
        </w:rPr>
        <w:t>Actinobacillus</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pleuropneumoniae</w:t>
      </w:r>
      <w:proofErr w:type="spellEnd"/>
      <w:r w:rsidRPr="000210F4">
        <w:rPr>
          <w:rFonts w:ascii="TimesNewRomanPSMT" w:hAnsi="TimesNewRomanPSMT" w:cs="TimesNewRomanPSMT"/>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Pasteurella</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multocida</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Mycoplasma</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hyopneumoniae</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Haemophilus</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parasuis</w:t>
      </w:r>
      <w:proofErr w:type="spellEnd"/>
      <w:r w:rsidRPr="000210F4">
        <w:rPr>
          <w:rFonts w:ascii="TimesNewRomanPS-ItalicMT" w:hAnsi="TimesNewRomanPS-ItalicMT" w:cs="TimesNewRomanPS-ItalicMT"/>
          <w:i/>
          <w:iCs/>
          <w:sz w:val="24"/>
          <w:szCs w:val="24"/>
          <w:lang w:eastAsia="en-GB"/>
        </w:rPr>
        <w:t xml:space="preserve"> </w:t>
      </w:r>
      <w:r w:rsidRPr="000210F4">
        <w:rPr>
          <w:rFonts w:ascii="TimesNewRomanPSMT" w:hAnsi="TimesNewRomanPSMT" w:cs="TimesNewRomanPSMT"/>
          <w:sz w:val="24"/>
          <w:szCs w:val="24"/>
          <w:lang w:eastAsia="en-GB"/>
        </w:rPr>
        <w:t xml:space="preserve">og </w:t>
      </w:r>
      <w:proofErr w:type="spellStart"/>
      <w:r w:rsidRPr="000210F4">
        <w:rPr>
          <w:rFonts w:ascii="TimesNewRomanPS-ItalicMT" w:hAnsi="TimesNewRomanPS-ItalicMT" w:cs="TimesNewRomanPS-ItalicMT"/>
          <w:i/>
          <w:iCs/>
          <w:sz w:val="24"/>
          <w:szCs w:val="24"/>
          <w:lang w:eastAsia="en-GB"/>
        </w:rPr>
        <w:t>Bordetella</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bronchiseptica</w:t>
      </w:r>
      <w:proofErr w:type="spellEnd"/>
      <w:r w:rsidRPr="000210F4">
        <w:rPr>
          <w:rFonts w:ascii="TimesNewRomanPS-ItalicMT" w:hAnsi="TimesNewRomanPS-ItalicMT" w:cs="TimesNewRomanPS-ItalicMT"/>
          <w:i/>
          <w:iCs/>
          <w:sz w:val="24"/>
          <w:szCs w:val="24"/>
          <w:lang w:eastAsia="en-GB"/>
        </w:rPr>
        <w:t xml:space="preserve">, </w:t>
      </w:r>
      <w:r w:rsidRPr="000210F4">
        <w:rPr>
          <w:rFonts w:ascii="TimesNewRomanPSMT" w:hAnsi="TimesNewRomanPSMT" w:cs="TimesNewRomanPSMT"/>
          <w:sz w:val="24"/>
          <w:szCs w:val="24"/>
          <w:lang w:eastAsia="en-GB"/>
        </w:rPr>
        <w:t xml:space="preserve">der er de bakterielle </w:t>
      </w:r>
      <w:proofErr w:type="spellStart"/>
      <w:r w:rsidRPr="000210F4">
        <w:rPr>
          <w:rFonts w:ascii="TimesNewRomanPSMT" w:hAnsi="TimesNewRomanPSMT" w:cs="TimesNewRomanPSMT"/>
          <w:sz w:val="24"/>
          <w:szCs w:val="24"/>
          <w:lang w:eastAsia="en-GB"/>
        </w:rPr>
        <w:t>patogener</w:t>
      </w:r>
      <w:proofErr w:type="spellEnd"/>
      <w:r w:rsidRPr="000210F4">
        <w:rPr>
          <w:rFonts w:ascii="TimesNewRomanPSMT" w:hAnsi="TimesNewRomanPSMT" w:cs="TimesNewRomanPSMT"/>
          <w:sz w:val="24"/>
          <w:szCs w:val="24"/>
          <w:lang w:eastAsia="en-GB"/>
        </w:rPr>
        <w:t xml:space="preserve">, der oftest er forbundet med respiratoriske sygdomme hos henholdsvis </w:t>
      </w:r>
      <w:proofErr w:type="gramStart"/>
      <w:r w:rsidRPr="000210F4">
        <w:rPr>
          <w:rFonts w:ascii="TimesNewRomanPSMT" w:hAnsi="TimesNewRomanPSMT" w:cs="TimesNewRomanPSMT"/>
          <w:sz w:val="24"/>
          <w:szCs w:val="24"/>
          <w:lang w:eastAsia="en-GB"/>
        </w:rPr>
        <w:t>kvæg  og</w:t>
      </w:r>
      <w:proofErr w:type="gramEnd"/>
      <w:r w:rsidRPr="000210F4">
        <w:rPr>
          <w:rFonts w:ascii="TimesNewRomanPSMT" w:hAnsi="TimesNewRomanPSMT" w:cs="TimesNewRomanPSMT"/>
          <w:sz w:val="24"/>
          <w:szCs w:val="24"/>
          <w:lang w:eastAsia="en-GB"/>
        </w:rPr>
        <w:t xml:space="preserve"> svin. Øgede værdier af minimum hæmmende koncentration (MIC) er blevet fundet i nogle </w:t>
      </w:r>
      <w:proofErr w:type="spellStart"/>
      <w:r w:rsidRPr="000210F4">
        <w:rPr>
          <w:rFonts w:ascii="TimesNewRomanPSMT" w:hAnsi="TimesNewRomanPSMT" w:cs="TimesNewRomanPSMT"/>
          <w:sz w:val="24"/>
          <w:szCs w:val="24"/>
          <w:lang w:eastAsia="en-GB"/>
        </w:rPr>
        <w:t>isolater</w:t>
      </w:r>
      <w:proofErr w:type="spellEnd"/>
      <w:r w:rsidRPr="000210F4">
        <w:rPr>
          <w:rFonts w:ascii="TimesNewRomanPSMT" w:hAnsi="TimesNewRomanPSMT" w:cs="TimesNewRomanPSMT"/>
          <w:sz w:val="24"/>
          <w:szCs w:val="24"/>
          <w:lang w:eastAsia="en-GB"/>
        </w:rPr>
        <w:t xml:space="preserve"> af </w:t>
      </w:r>
      <w:proofErr w:type="spellStart"/>
      <w:r w:rsidRPr="000210F4">
        <w:rPr>
          <w:rFonts w:ascii="TimesNewRomanPS-ItalicMT" w:hAnsi="TimesNewRomanPS-ItalicMT" w:cs="TimesNewRomanPS-ItalicMT"/>
          <w:i/>
          <w:iCs/>
          <w:sz w:val="24"/>
          <w:szCs w:val="24"/>
          <w:lang w:eastAsia="en-GB"/>
        </w:rPr>
        <w:t>Histophilus</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somni</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MT" w:hAnsi="TimesNewRomanPSMT" w:cs="TimesNewRomanPSMT"/>
          <w:sz w:val="24"/>
          <w:szCs w:val="24"/>
          <w:lang w:eastAsia="en-GB"/>
        </w:rPr>
        <w:t>og</w:t>
      </w:r>
      <w:r w:rsidRPr="000210F4">
        <w:rPr>
          <w:rFonts w:ascii="TimesNewRomanPS-ItalicMT" w:hAnsi="TimesNewRomanPS-ItalicMT" w:cs="TimesNewRomanPS-ItalicMT"/>
          <w:i/>
          <w:iCs/>
          <w:sz w:val="24"/>
          <w:szCs w:val="24"/>
          <w:lang w:eastAsia="en-GB"/>
        </w:rPr>
        <w:t>Actinobacillus</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pleuropneumoniae</w:t>
      </w:r>
      <w:proofErr w:type="spellEnd"/>
      <w:r w:rsidRPr="000210F4">
        <w:rPr>
          <w:rFonts w:ascii="TimesNewRomanPS-ItalicMT" w:hAnsi="TimesNewRomanPS-ItalicMT" w:cs="TimesNewRomanPS-ItalicMT"/>
          <w:i/>
          <w:iCs/>
          <w:sz w:val="24"/>
          <w:szCs w:val="24"/>
          <w:lang w:eastAsia="en-GB"/>
        </w:rPr>
        <w:t xml:space="preserve">. In </w:t>
      </w:r>
      <w:proofErr w:type="spellStart"/>
      <w:r w:rsidRPr="000210F4">
        <w:rPr>
          <w:rFonts w:ascii="TimesNewRomanPS-ItalicMT" w:hAnsi="TimesNewRomanPS-ItalicMT" w:cs="TimesNewRomanPS-ItalicMT"/>
          <w:i/>
          <w:iCs/>
          <w:sz w:val="24"/>
          <w:szCs w:val="24"/>
          <w:lang w:eastAsia="en-GB"/>
        </w:rPr>
        <w:t>vitro</w:t>
      </w:r>
      <w:proofErr w:type="spellEnd"/>
      <w:r w:rsidRPr="000210F4">
        <w:rPr>
          <w:rFonts w:ascii="TimesNewRomanPS-ItalicMT" w:hAnsi="TimesNewRomanPS-ItalicMT" w:cs="TimesNewRomanPS-ItalicMT"/>
          <w:i/>
          <w:iCs/>
          <w:sz w:val="24"/>
          <w:szCs w:val="24"/>
          <w:lang w:eastAsia="en-GB"/>
        </w:rPr>
        <w:t xml:space="preserve"> </w:t>
      </w:r>
      <w:r w:rsidRPr="000210F4">
        <w:rPr>
          <w:rFonts w:ascii="TimesNewRomanPSMT" w:hAnsi="TimesNewRomanPSMT" w:cs="TimesNewRomanPSMT"/>
          <w:sz w:val="24"/>
          <w:szCs w:val="24"/>
          <w:lang w:eastAsia="en-GB"/>
        </w:rPr>
        <w:t xml:space="preserve">aktivitet mod </w:t>
      </w:r>
      <w:proofErr w:type="spellStart"/>
      <w:r w:rsidRPr="000210F4">
        <w:rPr>
          <w:rFonts w:ascii="TimesNewRomanPS-ItalicMT" w:hAnsi="TimesNewRomanPS-ItalicMT" w:cs="TimesNewRomanPS-ItalicMT"/>
          <w:i/>
          <w:iCs/>
          <w:sz w:val="24"/>
          <w:szCs w:val="24"/>
          <w:lang w:eastAsia="en-GB"/>
        </w:rPr>
        <w:t>Dichelobacter</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nodosus</w:t>
      </w:r>
      <w:proofErr w:type="spellEnd"/>
      <w:r w:rsidRPr="000210F4">
        <w:rPr>
          <w:rFonts w:ascii="TimesNewRomanPS-ItalicMT" w:hAnsi="TimesNewRomanPS-ItalicMT" w:cs="TimesNewRomanPS-ItalicMT"/>
          <w:i/>
          <w:iCs/>
          <w:sz w:val="24"/>
          <w:szCs w:val="24"/>
          <w:lang w:eastAsia="en-GB"/>
        </w:rPr>
        <w:t xml:space="preserve"> (vir)</w:t>
      </w:r>
      <w:r w:rsidRPr="000210F4">
        <w:rPr>
          <w:rFonts w:ascii="TimesNewRomanPSMT" w:hAnsi="TimesNewRomanPSMT" w:cs="TimesNewRomanPSMT"/>
          <w:sz w:val="24"/>
          <w:szCs w:val="24"/>
          <w:lang w:eastAsia="en-GB"/>
        </w:rPr>
        <w:t xml:space="preserve">, det bakterielle patogen oftest forbundet med infektiøs </w:t>
      </w:r>
      <w:proofErr w:type="spellStart"/>
      <w:r w:rsidRPr="000210F4">
        <w:rPr>
          <w:rFonts w:ascii="TimesNewRomanPSMT" w:hAnsi="TimesNewRomanPSMT" w:cs="TimesNewRomanPSMT"/>
          <w:sz w:val="24"/>
          <w:szCs w:val="24"/>
          <w:lang w:eastAsia="en-GB"/>
        </w:rPr>
        <w:t>pododermatitis</w:t>
      </w:r>
      <w:proofErr w:type="spellEnd"/>
      <w:r w:rsidRPr="000210F4">
        <w:rPr>
          <w:rFonts w:ascii="TimesNewRomanPSMT" w:hAnsi="TimesNewRomanPSMT" w:cs="TimesNewRomanPSMT"/>
          <w:sz w:val="24"/>
          <w:szCs w:val="24"/>
          <w:lang w:eastAsia="en-GB"/>
        </w:rPr>
        <w:t xml:space="preserve"> (ondartet klovsyge) hos får er blevet påvist.</w:t>
      </w:r>
    </w:p>
    <w:p w14:paraId="3A485216"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0381EA38"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 xml:space="preserve"> besidder også </w:t>
      </w:r>
      <w:r w:rsidRPr="000210F4">
        <w:rPr>
          <w:rFonts w:ascii="TimesNewRomanPS-ItalicMT" w:hAnsi="TimesNewRomanPS-ItalicMT" w:cs="TimesNewRomanPS-ItalicMT"/>
          <w:i/>
          <w:iCs/>
          <w:sz w:val="24"/>
          <w:szCs w:val="24"/>
          <w:lang w:eastAsia="en-GB"/>
        </w:rPr>
        <w:t xml:space="preserve">in </w:t>
      </w:r>
      <w:proofErr w:type="spellStart"/>
      <w:r w:rsidRPr="000210F4">
        <w:rPr>
          <w:rFonts w:ascii="TimesNewRomanPS-ItalicMT" w:hAnsi="TimesNewRomanPS-ItalicMT" w:cs="TimesNewRomanPS-ItalicMT"/>
          <w:i/>
          <w:iCs/>
          <w:sz w:val="24"/>
          <w:szCs w:val="24"/>
          <w:lang w:eastAsia="en-GB"/>
        </w:rPr>
        <w:t>vitro</w:t>
      </w:r>
      <w:proofErr w:type="spellEnd"/>
      <w:r w:rsidRPr="000210F4">
        <w:rPr>
          <w:rFonts w:ascii="TimesNewRomanPS-ItalicMT" w:hAnsi="TimesNewRomanPS-ItalicMT" w:cs="TimesNewRomanPS-ItalicMT"/>
          <w:i/>
          <w:iCs/>
          <w:sz w:val="24"/>
          <w:szCs w:val="24"/>
          <w:lang w:eastAsia="en-GB"/>
        </w:rPr>
        <w:t xml:space="preserve"> </w:t>
      </w:r>
      <w:r w:rsidRPr="000210F4">
        <w:rPr>
          <w:rFonts w:ascii="TimesNewRomanPSMT" w:hAnsi="TimesNewRomanPSMT" w:cs="TimesNewRomanPSMT"/>
          <w:sz w:val="24"/>
          <w:szCs w:val="24"/>
          <w:lang w:eastAsia="en-GB"/>
        </w:rPr>
        <w:t xml:space="preserve">aktivitet mod </w:t>
      </w:r>
      <w:proofErr w:type="spellStart"/>
      <w:r w:rsidRPr="000210F4">
        <w:rPr>
          <w:rFonts w:ascii="TimesNewRomanPS-ItalicMT" w:hAnsi="TimesNewRomanPS-ItalicMT" w:cs="TimesNewRomanPS-ItalicMT"/>
          <w:i/>
          <w:iCs/>
          <w:sz w:val="24"/>
          <w:szCs w:val="24"/>
          <w:lang w:eastAsia="en-GB"/>
        </w:rPr>
        <w:t>Moraxella</w:t>
      </w:r>
      <w:proofErr w:type="spellEnd"/>
      <w:r w:rsidRPr="000210F4">
        <w:rPr>
          <w:rFonts w:ascii="TimesNewRomanPS-ItalicMT" w:hAnsi="TimesNewRomanPS-ItalicMT" w:cs="TimesNewRomanPS-ItalicMT"/>
          <w:i/>
          <w:iCs/>
          <w:sz w:val="24"/>
          <w:szCs w:val="24"/>
          <w:lang w:eastAsia="en-GB"/>
        </w:rPr>
        <w:t xml:space="preserve"> </w:t>
      </w:r>
      <w:proofErr w:type="spellStart"/>
      <w:r w:rsidRPr="000210F4">
        <w:rPr>
          <w:rFonts w:ascii="TimesNewRomanPS-ItalicMT" w:hAnsi="TimesNewRomanPS-ItalicMT" w:cs="TimesNewRomanPS-ItalicMT"/>
          <w:i/>
          <w:iCs/>
          <w:sz w:val="24"/>
          <w:szCs w:val="24"/>
          <w:lang w:eastAsia="en-GB"/>
        </w:rPr>
        <w:t>bovis</w:t>
      </w:r>
      <w:proofErr w:type="spellEnd"/>
      <w:r w:rsidRPr="000210F4">
        <w:rPr>
          <w:rFonts w:ascii="TimesNewRomanPSMT" w:hAnsi="TimesNewRomanPSMT" w:cs="TimesNewRomanPSMT"/>
          <w:sz w:val="24"/>
          <w:szCs w:val="24"/>
          <w:lang w:eastAsia="en-GB"/>
        </w:rPr>
        <w:t xml:space="preserve">, det bakterielle patogen, der oftest er forbundet med infektiøs </w:t>
      </w:r>
      <w:proofErr w:type="spellStart"/>
      <w:r w:rsidRPr="000210F4">
        <w:rPr>
          <w:rFonts w:ascii="TimesNewRomanPSMT" w:hAnsi="TimesNewRomanPSMT" w:cs="TimesNewRomanPSMT"/>
          <w:sz w:val="24"/>
          <w:szCs w:val="24"/>
          <w:lang w:eastAsia="en-GB"/>
        </w:rPr>
        <w:t>keratokonjunktivitis</w:t>
      </w:r>
      <w:proofErr w:type="spellEnd"/>
      <w:r w:rsidRPr="000210F4">
        <w:rPr>
          <w:rFonts w:ascii="TimesNewRomanPSMT" w:hAnsi="TimesNewRomanPSMT" w:cs="TimesNewRomanPSMT"/>
          <w:sz w:val="24"/>
          <w:szCs w:val="24"/>
          <w:lang w:eastAsia="en-GB"/>
        </w:rPr>
        <w:t xml:space="preserve"> hos kvæg (IBK).</w:t>
      </w:r>
    </w:p>
    <w:p w14:paraId="2A0310C1" w14:textId="77777777" w:rsidR="00D0772B" w:rsidRPr="000210F4" w:rsidRDefault="00D0772B" w:rsidP="000210F4">
      <w:pPr>
        <w:autoSpaceDE w:val="0"/>
        <w:autoSpaceDN w:val="0"/>
        <w:adjustRightInd w:val="0"/>
        <w:ind w:left="851"/>
        <w:rPr>
          <w:rFonts w:ascii="TimesNewRomanPSMT" w:hAnsi="TimesNewRomanPSMT" w:cs="TimesNewRomanPSMT"/>
          <w:sz w:val="24"/>
          <w:szCs w:val="24"/>
          <w:lang w:eastAsia="da-DK"/>
        </w:rPr>
      </w:pPr>
    </w:p>
    <w:p w14:paraId="52A68E9C" w14:textId="77777777" w:rsidR="00D0772B" w:rsidRPr="000210F4" w:rsidRDefault="00D0772B" w:rsidP="000210F4">
      <w:pPr>
        <w:autoSpaceDE w:val="0"/>
        <w:autoSpaceDN w:val="0"/>
        <w:adjustRightInd w:val="0"/>
        <w:ind w:left="851"/>
        <w:rPr>
          <w:rFonts w:ascii="TimesNewRomanPSMT" w:hAnsi="TimesNewRomanPSMT" w:cs="TimesNewRomanPSMT"/>
          <w:sz w:val="24"/>
          <w:szCs w:val="24"/>
          <w:lang w:eastAsia="da-DK"/>
        </w:rPr>
      </w:pPr>
      <w:proofErr w:type="spellStart"/>
      <w:r w:rsidRPr="000210F4">
        <w:rPr>
          <w:rFonts w:ascii="TimesNewRomanPSMT" w:hAnsi="TimesNewRomanPSMT" w:cs="TimesNewRomanPSMT"/>
          <w:sz w:val="24"/>
          <w:szCs w:val="24"/>
          <w:lang w:eastAsia="da-DK"/>
        </w:rPr>
        <w:t>Clinical</w:t>
      </w:r>
      <w:proofErr w:type="spellEnd"/>
      <w:r w:rsidRPr="000210F4">
        <w:rPr>
          <w:rFonts w:ascii="TimesNewRomanPSMT" w:hAnsi="TimesNewRomanPSMT" w:cs="TimesNewRomanPSMT"/>
          <w:sz w:val="24"/>
          <w:szCs w:val="24"/>
          <w:lang w:eastAsia="da-DK"/>
        </w:rPr>
        <w:t xml:space="preserve"> and Laboratory Standards Institute (CLSI) har fastsat de kliniske grænseværdier for</w:t>
      </w:r>
    </w:p>
    <w:p w14:paraId="5AB9CFFC" w14:textId="77777777" w:rsidR="00D0772B" w:rsidRPr="000210F4" w:rsidRDefault="00D0772B" w:rsidP="000210F4">
      <w:pPr>
        <w:autoSpaceDE w:val="0"/>
        <w:autoSpaceDN w:val="0"/>
        <w:adjustRightInd w:val="0"/>
        <w:ind w:left="851"/>
        <w:rPr>
          <w:rFonts w:ascii="TimesNewRomanPSMT" w:hAnsi="TimesNewRomanPSMT" w:cs="TimesNewRomanPSMT"/>
          <w:sz w:val="24"/>
          <w:szCs w:val="24"/>
          <w:lang w:eastAsia="da-DK"/>
        </w:rPr>
      </w:pPr>
      <w:proofErr w:type="spellStart"/>
      <w:r w:rsidRPr="000210F4">
        <w:rPr>
          <w:rFonts w:ascii="TimesNewRomanPSMT" w:hAnsi="TimesNewRomanPSMT" w:cs="TimesNewRomanPSMT"/>
          <w:sz w:val="24"/>
          <w:szCs w:val="24"/>
          <w:lang w:eastAsia="da-DK"/>
        </w:rPr>
        <w:t>tulathromycin</w:t>
      </w:r>
      <w:proofErr w:type="spellEnd"/>
      <w:r w:rsidRPr="000210F4">
        <w:rPr>
          <w:rFonts w:ascii="TimesNewRomanPSMT" w:hAnsi="TimesNewRomanPSMT" w:cs="TimesNewRomanPSMT"/>
          <w:sz w:val="24"/>
          <w:szCs w:val="24"/>
          <w:lang w:eastAsia="da-DK"/>
        </w:rPr>
        <w:t xml:space="preserve"> over for </w:t>
      </w:r>
      <w:r w:rsidRPr="000210F4">
        <w:rPr>
          <w:rFonts w:ascii="TimesNewRomanPS-ItalicMT" w:hAnsi="TimesNewRomanPS-ItalicMT" w:cs="TimesNewRomanPS-ItalicMT"/>
          <w:i/>
          <w:iCs/>
          <w:sz w:val="24"/>
          <w:szCs w:val="24"/>
          <w:lang w:eastAsia="da-DK"/>
        </w:rPr>
        <w:t xml:space="preserve">M. </w:t>
      </w:r>
      <w:proofErr w:type="spellStart"/>
      <w:r w:rsidRPr="000210F4">
        <w:rPr>
          <w:rFonts w:ascii="TimesNewRomanPS-ItalicMT" w:hAnsi="TimesNewRomanPS-ItalicMT" w:cs="TimesNewRomanPS-ItalicMT"/>
          <w:i/>
          <w:iCs/>
          <w:sz w:val="24"/>
          <w:szCs w:val="24"/>
          <w:lang w:eastAsia="da-DK"/>
        </w:rPr>
        <w:t>haemolytica</w:t>
      </w:r>
      <w:proofErr w:type="spellEnd"/>
      <w:r w:rsidRPr="000210F4">
        <w:rPr>
          <w:rFonts w:ascii="TimesNewRomanPS-ItalicMT" w:hAnsi="TimesNewRomanPS-ItalicMT" w:cs="TimesNewRomanPS-ItalicMT"/>
          <w:i/>
          <w:iCs/>
          <w:sz w:val="24"/>
          <w:szCs w:val="24"/>
          <w:lang w:eastAsia="da-DK"/>
        </w:rPr>
        <w:t xml:space="preserve">, P. </w:t>
      </w:r>
      <w:proofErr w:type="spellStart"/>
      <w:r w:rsidRPr="000210F4">
        <w:rPr>
          <w:rFonts w:ascii="TimesNewRomanPS-ItalicMT" w:hAnsi="TimesNewRomanPS-ItalicMT" w:cs="TimesNewRomanPS-ItalicMT"/>
          <w:i/>
          <w:iCs/>
          <w:sz w:val="24"/>
          <w:szCs w:val="24"/>
          <w:lang w:eastAsia="da-DK"/>
        </w:rPr>
        <w:t>multocida</w:t>
      </w:r>
      <w:proofErr w:type="spellEnd"/>
      <w:r w:rsidRPr="000210F4">
        <w:rPr>
          <w:rFonts w:ascii="TimesNewRomanPS-ItalicMT" w:hAnsi="TimesNewRomanPS-ItalicMT" w:cs="TimesNewRomanPS-ItalicMT"/>
          <w:i/>
          <w:iCs/>
          <w:sz w:val="24"/>
          <w:szCs w:val="24"/>
          <w:lang w:eastAsia="da-DK"/>
        </w:rPr>
        <w:t xml:space="preserve"> </w:t>
      </w:r>
      <w:r w:rsidRPr="000210F4">
        <w:rPr>
          <w:rFonts w:ascii="TimesNewRomanPSMT" w:hAnsi="TimesNewRomanPSMT" w:cs="TimesNewRomanPSMT"/>
          <w:sz w:val="24"/>
          <w:szCs w:val="24"/>
          <w:lang w:eastAsia="da-DK"/>
        </w:rPr>
        <w:t xml:space="preserve">og </w:t>
      </w:r>
      <w:r w:rsidRPr="000210F4">
        <w:rPr>
          <w:rFonts w:ascii="TimesNewRomanPS-ItalicMT" w:hAnsi="TimesNewRomanPS-ItalicMT" w:cs="TimesNewRomanPS-ItalicMT"/>
          <w:i/>
          <w:iCs/>
          <w:sz w:val="24"/>
          <w:szCs w:val="24"/>
          <w:lang w:eastAsia="da-DK"/>
        </w:rPr>
        <w:t xml:space="preserve">H. </w:t>
      </w:r>
      <w:proofErr w:type="spellStart"/>
      <w:r w:rsidRPr="000210F4">
        <w:rPr>
          <w:rFonts w:ascii="TimesNewRomanPS-ItalicMT" w:hAnsi="TimesNewRomanPS-ItalicMT" w:cs="TimesNewRomanPS-ItalicMT"/>
          <w:i/>
          <w:iCs/>
          <w:sz w:val="24"/>
          <w:szCs w:val="24"/>
          <w:lang w:eastAsia="da-DK"/>
        </w:rPr>
        <w:t>somni</w:t>
      </w:r>
      <w:proofErr w:type="spellEnd"/>
      <w:r w:rsidRPr="000210F4">
        <w:rPr>
          <w:rFonts w:ascii="TimesNewRomanPSMT" w:hAnsi="TimesNewRomanPSMT" w:cs="TimesNewRomanPSMT"/>
          <w:sz w:val="24"/>
          <w:szCs w:val="24"/>
          <w:lang w:eastAsia="da-DK"/>
        </w:rPr>
        <w:t>, der stammer fra luftvejene hos</w:t>
      </w:r>
    </w:p>
    <w:p w14:paraId="256CE42B" w14:textId="77777777" w:rsidR="00D0772B" w:rsidRPr="000210F4" w:rsidRDefault="00D0772B" w:rsidP="000210F4">
      <w:pPr>
        <w:autoSpaceDE w:val="0"/>
        <w:autoSpaceDN w:val="0"/>
        <w:adjustRightInd w:val="0"/>
        <w:ind w:left="851"/>
        <w:rPr>
          <w:rFonts w:ascii="TimesNewRomanPSMT" w:hAnsi="TimesNewRomanPSMT" w:cs="TimesNewRomanPSMT"/>
          <w:sz w:val="24"/>
          <w:szCs w:val="24"/>
          <w:lang w:eastAsia="da-DK"/>
        </w:rPr>
      </w:pPr>
      <w:r w:rsidRPr="000210F4">
        <w:rPr>
          <w:rFonts w:ascii="TimesNewRomanPSMT" w:hAnsi="TimesNewRomanPSMT" w:cs="TimesNewRomanPSMT"/>
          <w:sz w:val="24"/>
          <w:szCs w:val="24"/>
          <w:lang w:eastAsia="da-DK"/>
        </w:rPr>
        <w:t xml:space="preserve">kvæg, og </w:t>
      </w:r>
      <w:r w:rsidRPr="000210F4">
        <w:rPr>
          <w:rFonts w:ascii="TimesNewRomanPS-ItalicMT" w:hAnsi="TimesNewRomanPS-ItalicMT" w:cs="TimesNewRomanPS-ItalicMT"/>
          <w:i/>
          <w:iCs/>
          <w:sz w:val="24"/>
          <w:szCs w:val="24"/>
          <w:lang w:eastAsia="da-DK"/>
        </w:rPr>
        <w:t xml:space="preserve">P. </w:t>
      </w:r>
      <w:proofErr w:type="spellStart"/>
      <w:r w:rsidRPr="000210F4">
        <w:rPr>
          <w:rFonts w:ascii="TimesNewRomanPS-ItalicMT" w:hAnsi="TimesNewRomanPS-ItalicMT" w:cs="TimesNewRomanPS-ItalicMT"/>
          <w:i/>
          <w:iCs/>
          <w:sz w:val="24"/>
          <w:szCs w:val="24"/>
          <w:lang w:eastAsia="da-DK"/>
        </w:rPr>
        <w:t>multocida</w:t>
      </w:r>
      <w:proofErr w:type="spellEnd"/>
      <w:r w:rsidRPr="000210F4">
        <w:rPr>
          <w:rFonts w:ascii="TimesNewRomanPS-ItalicMT" w:hAnsi="TimesNewRomanPS-ItalicMT" w:cs="TimesNewRomanPS-ItalicMT"/>
          <w:i/>
          <w:iCs/>
          <w:sz w:val="24"/>
          <w:szCs w:val="24"/>
          <w:lang w:eastAsia="da-DK"/>
        </w:rPr>
        <w:t xml:space="preserve"> </w:t>
      </w:r>
      <w:r w:rsidRPr="000210F4">
        <w:rPr>
          <w:rFonts w:ascii="TimesNewRomanPSMT" w:hAnsi="TimesNewRomanPSMT" w:cs="TimesNewRomanPSMT"/>
          <w:sz w:val="24"/>
          <w:szCs w:val="24"/>
          <w:lang w:eastAsia="da-DK"/>
        </w:rPr>
        <w:t xml:space="preserve">og </w:t>
      </w:r>
      <w:r w:rsidRPr="000210F4">
        <w:rPr>
          <w:rFonts w:ascii="TimesNewRomanPS-ItalicMT" w:hAnsi="TimesNewRomanPS-ItalicMT" w:cs="TimesNewRomanPS-ItalicMT"/>
          <w:i/>
          <w:iCs/>
          <w:sz w:val="24"/>
          <w:szCs w:val="24"/>
          <w:lang w:eastAsia="da-DK"/>
        </w:rPr>
        <w:t xml:space="preserve">B. </w:t>
      </w:r>
      <w:proofErr w:type="spellStart"/>
      <w:r w:rsidRPr="000210F4">
        <w:rPr>
          <w:rFonts w:ascii="TimesNewRomanPS-ItalicMT" w:hAnsi="TimesNewRomanPS-ItalicMT" w:cs="TimesNewRomanPS-ItalicMT"/>
          <w:i/>
          <w:iCs/>
          <w:sz w:val="24"/>
          <w:szCs w:val="24"/>
          <w:lang w:eastAsia="da-DK"/>
        </w:rPr>
        <w:t>bronchiseptica</w:t>
      </w:r>
      <w:proofErr w:type="spellEnd"/>
      <w:r w:rsidRPr="000210F4">
        <w:rPr>
          <w:rFonts w:ascii="TimesNewRomanPSMT" w:hAnsi="TimesNewRomanPSMT" w:cs="TimesNewRomanPSMT"/>
          <w:sz w:val="24"/>
          <w:szCs w:val="24"/>
          <w:lang w:eastAsia="da-DK"/>
        </w:rPr>
        <w:t xml:space="preserve">, der stammer fra luftvejene hos svin, som ≤16 </w:t>
      </w:r>
      <w:r w:rsidRPr="000210F4">
        <w:rPr>
          <w:rFonts w:ascii="TimesNewRomanPSMT" w:hAnsi="TimesNewRomanPSMT" w:cs="TimesNewRomanPSMT"/>
          <w:sz w:val="24"/>
          <w:szCs w:val="24"/>
          <w:lang w:val="en-IE" w:eastAsia="da-DK"/>
        </w:rPr>
        <w:t>μ</w:t>
      </w:r>
      <w:r w:rsidRPr="000210F4">
        <w:rPr>
          <w:rFonts w:ascii="TimesNewRomanPSMT" w:hAnsi="TimesNewRomanPSMT" w:cs="TimesNewRomanPSMT"/>
          <w:sz w:val="24"/>
          <w:szCs w:val="24"/>
          <w:lang w:eastAsia="da-DK"/>
        </w:rPr>
        <w:t xml:space="preserve">g/ml følsom og ≥64 </w:t>
      </w:r>
      <w:r w:rsidRPr="000210F4">
        <w:rPr>
          <w:rFonts w:ascii="TimesNewRomanPSMT" w:hAnsi="TimesNewRomanPSMT" w:cs="TimesNewRomanPSMT"/>
          <w:sz w:val="24"/>
          <w:szCs w:val="24"/>
          <w:lang w:val="en-IE" w:eastAsia="da-DK"/>
        </w:rPr>
        <w:t>μ</w:t>
      </w:r>
      <w:r w:rsidRPr="000210F4">
        <w:rPr>
          <w:rFonts w:ascii="TimesNewRomanPSMT" w:hAnsi="TimesNewRomanPSMT" w:cs="TimesNewRomanPSMT"/>
          <w:sz w:val="24"/>
          <w:szCs w:val="24"/>
          <w:lang w:eastAsia="da-DK"/>
        </w:rPr>
        <w:t xml:space="preserve">g/ml resistent. For </w:t>
      </w:r>
      <w:r w:rsidRPr="000210F4">
        <w:rPr>
          <w:rFonts w:ascii="TimesNewRomanPS-ItalicMT" w:hAnsi="TimesNewRomanPS-ItalicMT" w:cs="TimesNewRomanPS-ItalicMT"/>
          <w:i/>
          <w:iCs/>
          <w:sz w:val="24"/>
          <w:szCs w:val="24"/>
          <w:lang w:eastAsia="da-DK"/>
        </w:rPr>
        <w:t xml:space="preserve">A. </w:t>
      </w:r>
      <w:proofErr w:type="spellStart"/>
      <w:r w:rsidRPr="000210F4">
        <w:rPr>
          <w:rFonts w:ascii="TimesNewRomanPS-ItalicMT" w:hAnsi="TimesNewRomanPS-ItalicMT" w:cs="TimesNewRomanPS-ItalicMT"/>
          <w:i/>
          <w:iCs/>
          <w:sz w:val="24"/>
          <w:szCs w:val="24"/>
          <w:lang w:eastAsia="da-DK"/>
        </w:rPr>
        <w:t>pleuropneumoniae</w:t>
      </w:r>
      <w:proofErr w:type="spellEnd"/>
      <w:r w:rsidRPr="000210F4">
        <w:rPr>
          <w:rFonts w:ascii="TimesNewRomanPS-ItalicMT" w:hAnsi="TimesNewRomanPS-ItalicMT" w:cs="TimesNewRomanPS-ItalicMT"/>
          <w:i/>
          <w:iCs/>
          <w:sz w:val="24"/>
          <w:szCs w:val="24"/>
          <w:lang w:eastAsia="da-DK"/>
        </w:rPr>
        <w:t xml:space="preserve">, </w:t>
      </w:r>
      <w:r w:rsidRPr="000210F4">
        <w:rPr>
          <w:rFonts w:ascii="TimesNewRomanPSMT" w:hAnsi="TimesNewRomanPSMT" w:cs="TimesNewRomanPSMT"/>
          <w:sz w:val="24"/>
          <w:szCs w:val="24"/>
          <w:lang w:eastAsia="da-DK"/>
        </w:rPr>
        <w:t xml:space="preserve">der stammer fra luftvejene hos svin, er grænseværdien for følsomhed sat til ≤64 </w:t>
      </w:r>
      <w:r w:rsidRPr="000210F4">
        <w:rPr>
          <w:rFonts w:ascii="TimesNewRomanPSMT" w:hAnsi="TimesNewRomanPSMT" w:cs="TimesNewRomanPSMT"/>
          <w:sz w:val="24"/>
          <w:szCs w:val="24"/>
          <w:lang w:val="en-IE" w:eastAsia="da-DK"/>
        </w:rPr>
        <w:t>μ</w:t>
      </w:r>
      <w:r w:rsidRPr="000210F4">
        <w:rPr>
          <w:rFonts w:ascii="TimesNewRomanPSMT" w:hAnsi="TimesNewRomanPSMT" w:cs="TimesNewRomanPSMT"/>
          <w:sz w:val="24"/>
          <w:szCs w:val="24"/>
          <w:lang w:eastAsia="da-DK"/>
        </w:rPr>
        <w:t xml:space="preserve">g/ml. CLSI har også udgivet kliniske grænseværdier for </w:t>
      </w:r>
      <w:proofErr w:type="spellStart"/>
      <w:r w:rsidRPr="000210F4">
        <w:rPr>
          <w:rFonts w:ascii="TimesNewRomanPSMT" w:hAnsi="TimesNewRomanPSMT" w:cs="TimesNewRomanPSMT"/>
          <w:sz w:val="24"/>
          <w:szCs w:val="24"/>
          <w:lang w:eastAsia="da-DK"/>
        </w:rPr>
        <w:t>tulathromycin</w:t>
      </w:r>
      <w:proofErr w:type="spellEnd"/>
      <w:r w:rsidRPr="000210F4">
        <w:rPr>
          <w:rFonts w:ascii="TimesNewRomanPSMT" w:hAnsi="TimesNewRomanPSMT" w:cs="TimesNewRomanPSMT"/>
          <w:sz w:val="24"/>
          <w:szCs w:val="24"/>
          <w:lang w:eastAsia="da-DK"/>
        </w:rPr>
        <w:t xml:space="preserve"> baseret på en disk diffusionstestmetode (CLSI-</w:t>
      </w:r>
      <w:proofErr w:type="spellStart"/>
      <w:r w:rsidRPr="000210F4">
        <w:rPr>
          <w:rFonts w:ascii="TimesNewRomanPSMT" w:hAnsi="TimesNewRomanPSMT" w:cs="TimesNewRomanPSMT"/>
          <w:sz w:val="24"/>
          <w:szCs w:val="24"/>
          <w:lang w:eastAsia="da-DK"/>
        </w:rPr>
        <w:t>dockument</w:t>
      </w:r>
      <w:proofErr w:type="spellEnd"/>
      <w:r w:rsidRPr="000210F4">
        <w:rPr>
          <w:rFonts w:ascii="TimesNewRomanPSMT" w:hAnsi="TimesNewRomanPSMT" w:cs="TimesNewRomanPSMT"/>
          <w:sz w:val="24"/>
          <w:szCs w:val="24"/>
          <w:lang w:eastAsia="da-DK"/>
        </w:rPr>
        <w:t xml:space="preserve"> VET08, 4. udg., 2018). Der er ingen tilgængelige kliniske grænseværdier for </w:t>
      </w:r>
      <w:r w:rsidRPr="000210F4">
        <w:rPr>
          <w:rFonts w:ascii="TimesNewRomanPS-ItalicMT" w:hAnsi="TimesNewRomanPS-ItalicMT" w:cs="TimesNewRomanPS-ItalicMT"/>
          <w:i/>
          <w:iCs/>
          <w:sz w:val="24"/>
          <w:szCs w:val="24"/>
          <w:lang w:eastAsia="da-DK"/>
        </w:rPr>
        <w:t xml:space="preserve">H. </w:t>
      </w:r>
      <w:proofErr w:type="spellStart"/>
      <w:r w:rsidRPr="000210F4">
        <w:rPr>
          <w:rFonts w:ascii="TimesNewRomanPS-ItalicMT" w:hAnsi="TimesNewRomanPS-ItalicMT" w:cs="TimesNewRomanPS-ItalicMT"/>
          <w:i/>
          <w:iCs/>
          <w:sz w:val="24"/>
          <w:szCs w:val="24"/>
          <w:lang w:eastAsia="da-DK"/>
        </w:rPr>
        <w:t>parasuis</w:t>
      </w:r>
      <w:proofErr w:type="spellEnd"/>
      <w:r w:rsidRPr="000210F4">
        <w:rPr>
          <w:rFonts w:ascii="TimesNewRomanPSMT" w:hAnsi="TimesNewRomanPSMT" w:cs="TimesNewRomanPSMT"/>
          <w:sz w:val="24"/>
          <w:szCs w:val="24"/>
          <w:lang w:eastAsia="da-DK"/>
        </w:rPr>
        <w:t xml:space="preserve">. Hverken EUCAST eller CLSI har udviklet standardmetoder for test af antibakterielle stoffer mod veterinære </w:t>
      </w:r>
      <w:proofErr w:type="spellStart"/>
      <w:r w:rsidRPr="000210F4">
        <w:rPr>
          <w:rFonts w:ascii="TimesNewRomanPS-ItalicMT" w:hAnsi="TimesNewRomanPS-ItalicMT" w:cs="TimesNewRomanPS-ItalicMT"/>
          <w:i/>
          <w:iCs/>
          <w:sz w:val="24"/>
          <w:szCs w:val="24"/>
          <w:lang w:eastAsia="da-DK"/>
        </w:rPr>
        <w:t>Mycoplasma</w:t>
      </w:r>
      <w:proofErr w:type="spellEnd"/>
      <w:r w:rsidRPr="000210F4">
        <w:rPr>
          <w:rFonts w:ascii="TimesNewRomanPS-ItalicMT" w:hAnsi="TimesNewRomanPS-ItalicMT" w:cs="TimesNewRomanPS-ItalicMT"/>
          <w:i/>
          <w:iCs/>
          <w:sz w:val="24"/>
          <w:szCs w:val="24"/>
          <w:lang w:eastAsia="da-DK"/>
        </w:rPr>
        <w:t xml:space="preserve"> </w:t>
      </w:r>
      <w:r w:rsidRPr="000210F4">
        <w:rPr>
          <w:rFonts w:ascii="TimesNewRomanPSMT" w:hAnsi="TimesNewRomanPSMT" w:cs="TimesNewRomanPSMT"/>
          <w:sz w:val="24"/>
          <w:szCs w:val="24"/>
          <w:lang w:eastAsia="da-DK"/>
        </w:rPr>
        <w:t>arter, og derfor er der ikke fastsat nogen fortolkningskriterier.</w:t>
      </w:r>
    </w:p>
    <w:p w14:paraId="5D7A157E" w14:textId="77777777" w:rsidR="00D0772B" w:rsidRPr="000210F4" w:rsidRDefault="00D0772B" w:rsidP="00D0772B">
      <w:pPr>
        <w:tabs>
          <w:tab w:val="left" w:pos="1304"/>
        </w:tabs>
        <w:autoSpaceDE w:val="0"/>
        <w:autoSpaceDN w:val="0"/>
        <w:adjustRightInd w:val="0"/>
        <w:rPr>
          <w:rFonts w:ascii="TimesNewRomanPSMT" w:hAnsi="TimesNewRomanPSMT" w:cs="TimesNewRomanPSMT"/>
          <w:sz w:val="24"/>
          <w:szCs w:val="24"/>
          <w:lang w:eastAsia="en-GB"/>
        </w:rPr>
      </w:pPr>
    </w:p>
    <w:p w14:paraId="2F9774BE"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lastRenderedPageBreak/>
        <w:t>Resistens over for makrolider kan udvikles ved mutationer i gener, der koder ribosomalt RNA (</w:t>
      </w:r>
      <w:proofErr w:type="spellStart"/>
      <w:r w:rsidRPr="000210F4">
        <w:rPr>
          <w:rFonts w:ascii="TimesNewRomanPSMT" w:hAnsi="TimesNewRomanPSMT" w:cs="TimesNewRomanPSMT"/>
          <w:sz w:val="24"/>
          <w:szCs w:val="24"/>
          <w:lang w:eastAsia="en-GB"/>
        </w:rPr>
        <w:t>rRNA</w:t>
      </w:r>
      <w:proofErr w:type="spellEnd"/>
      <w:r w:rsidRPr="000210F4">
        <w:rPr>
          <w:rFonts w:ascii="TimesNewRomanPSMT" w:hAnsi="TimesNewRomanPSMT" w:cs="TimesNewRomanPSMT"/>
          <w:sz w:val="24"/>
          <w:szCs w:val="24"/>
          <w:lang w:eastAsia="en-GB"/>
        </w:rPr>
        <w:t>) eller visse ribosomale proteiner; ved enzymatisk modifikation (</w:t>
      </w:r>
      <w:proofErr w:type="spellStart"/>
      <w:r w:rsidRPr="000210F4">
        <w:rPr>
          <w:rFonts w:ascii="TimesNewRomanPSMT" w:hAnsi="TimesNewRomanPSMT" w:cs="TimesNewRomanPSMT"/>
          <w:sz w:val="24"/>
          <w:szCs w:val="24"/>
          <w:lang w:eastAsia="en-GB"/>
        </w:rPr>
        <w:t>methylering</w:t>
      </w:r>
      <w:proofErr w:type="spellEnd"/>
      <w:r w:rsidRPr="000210F4">
        <w:rPr>
          <w:rFonts w:ascii="TimesNewRomanPSMT" w:hAnsi="TimesNewRomanPSMT" w:cs="TimesNewRomanPSMT"/>
          <w:sz w:val="24"/>
          <w:szCs w:val="24"/>
          <w:lang w:eastAsia="en-GB"/>
        </w:rPr>
        <w:t xml:space="preserve">) af 23S </w:t>
      </w:r>
      <w:proofErr w:type="spellStart"/>
      <w:r w:rsidRPr="000210F4">
        <w:rPr>
          <w:rFonts w:ascii="TimesNewRomanPSMT" w:hAnsi="TimesNewRomanPSMT" w:cs="TimesNewRomanPSMT"/>
          <w:sz w:val="24"/>
          <w:szCs w:val="24"/>
          <w:lang w:eastAsia="en-GB"/>
        </w:rPr>
        <w:t>rRNA</w:t>
      </w:r>
      <w:proofErr w:type="spellEnd"/>
      <w:r w:rsidRPr="000210F4">
        <w:rPr>
          <w:rFonts w:ascii="TimesNewRomanPSMT" w:hAnsi="TimesNewRomanPSMT" w:cs="TimesNewRomanPSMT"/>
          <w:sz w:val="24"/>
          <w:szCs w:val="24"/>
          <w:lang w:eastAsia="en-GB"/>
        </w:rPr>
        <w:t xml:space="preserve"> målstedet, sker generelt stigning i krydsresistens med lincosamider og gruppe B </w:t>
      </w:r>
      <w:proofErr w:type="spellStart"/>
      <w:r w:rsidRPr="000210F4">
        <w:rPr>
          <w:rFonts w:ascii="TimesNewRomanPSMT" w:hAnsi="TimesNewRomanPSMT" w:cs="TimesNewRomanPSMT"/>
          <w:sz w:val="24"/>
          <w:szCs w:val="24"/>
          <w:lang w:eastAsia="en-GB"/>
        </w:rPr>
        <w:t>streptograminer</w:t>
      </w:r>
      <w:proofErr w:type="spellEnd"/>
      <w:r w:rsidRPr="000210F4">
        <w:rPr>
          <w:rFonts w:ascii="TimesNewRomanPSMT" w:hAnsi="TimesNewRomanPSMT" w:cs="TimesNewRomanPSMT"/>
          <w:sz w:val="24"/>
          <w:szCs w:val="24"/>
          <w:lang w:eastAsia="en-GB"/>
        </w:rPr>
        <w:t xml:space="preserve"> (</w:t>
      </w:r>
      <w:proofErr w:type="spellStart"/>
      <w:r w:rsidRPr="000210F4">
        <w:rPr>
          <w:rFonts w:ascii="TimesNewRomanPSMT" w:hAnsi="TimesNewRomanPSMT" w:cs="TimesNewRomanPSMT"/>
          <w:sz w:val="24"/>
          <w:szCs w:val="24"/>
          <w:lang w:eastAsia="en-GB"/>
        </w:rPr>
        <w:t>MLSBresistens</w:t>
      </w:r>
      <w:proofErr w:type="spellEnd"/>
      <w:r w:rsidRPr="000210F4">
        <w:rPr>
          <w:rFonts w:ascii="TimesNewRomanPSMT" w:hAnsi="TimesNewRomanPSMT" w:cs="TimesNewRomanPSMT"/>
          <w:sz w:val="24"/>
          <w:szCs w:val="24"/>
          <w:lang w:eastAsia="en-GB"/>
        </w:rPr>
        <w:t xml:space="preserve">); ved enzymatisk inaktivering; eller ved makrolid </w:t>
      </w:r>
      <w:proofErr w:type="spellStart"/>
      <w:r w:rsidRPr="000210F4">
        <w:rPr>
          <w:rFonts w:ascii="TimesNewRomanPSMT" w:hAnsi="TimesNewRomanPSMT" w:cs="TimesNewRomanPSMT"/>
          <w:sz w:val="24"/>
          <w:szCs w:val="24"/>
          <w:lang w:eastAsia="en-GB"/>
        </w:rPr>
        <w:t>efflux</w:t>
      </w:r>
      <w:proofErr w:type="spellEnd"/>
      <w:r w:rsidRPr="000210F4">
        <w:rPr>
          <w:rFonts w:ascii="TimesNewRomanPSMT" w:hAnsi="TimesNewRomanPSMT" w:cs="TimesNewRomanPSMT"/>
          <w:sz w:val="24"/>
          <w:szCs w:val="24"/>
          <w:lang w:eastAsia="en-GB"/>
        </w:rPr>
        <w:t xml:space="preserve">. </w:t>
      </w:r>
      <w:proofErr w:type="gramStart"/>
      <w:r w:rsidRPr="000210F4">
        <w:rPr>
          <w:rFonts w:ascii="TimesNewRomanPSMT" w:hAnsi="TimesNewRomanPSMT" w:cs="TimesNewRomanPSMT"/>
          <w:sz w:val="24"/>
          <w:szCs w:val="24"/>
          <w:lang w:eastAsia="en-GB"/>
        </w:rPr>
        <w:t>MLSB resistens</w:t>
      </w:r>
      <w:proofErr w:type="gramEnd"/>
      <w:r w:rsidRPr="000210F4">
        <w:rPr>
          <w:rFonts w:ascii="TimesNewRomanPSMT" w:hAnsi="TimesNewRomanPSMT" w:cs="TimesNewRomanPSMT"/>
          <w:sz w:val="24"/>
          <w:szCs w:val="24"/>
          <w:lang w:eastAsia="en-GB"/>
        </w:rPr>
        <w:t xml:space="preserve"> kan være konstitutiv eller </w:t>
      </w:r>
      <w:proofErr w:type="spellStart"/>
      <w:r w:rsidRPr="000210F4">
        <w:rPr>
          <w:rFonts w:ascii="TimesNewRomanPSMT" w:hAnsi="TimesNewRomanPSMT" w:cs="TimesNewRomanPSMT"/>
          <w:sz w:val="24"/>
          <w:szCs w:val="24"/>
          <w:lang w:eastAsia="en-GB"/>
        </w:rPr>
        <w:t>inducibel</w:t>
      </w:r>
      <w:proofErr w:type="spellEnd"/>
      <w:r w:rsidRPr="000210F4">
        <w:rPr>
          <w:rFonts w:ascii="TimesNewRomanPSMT" w:hAnsi="TimesNewRomanPSMT" w:cs="TimesNewRomanPSMT"/>
          <w:sz w:val="24"/>
          <w:szCs w:val="24"/>
          <w:lang w:eastAsia="en-GB"/>
        </w:rPr>
        <w:t xml:space="preserve">. Resistens kan være kromosomal- eller plasmid-kodetog kan være overførbar hvis forbundet med </w:t>
      </w:r>
      <w:proofErr w:type="spellStart"/>
      <w:r w:rsidRPr="000210F4">
        <w:rPr>
          <w:sz w:val="24"/>
          <w:szCs w:val="24"/>
          <w:lang w:eastAsia="en-GB"/>
        </w:rPr>
        <w:t>transposoner</w:t>
      </w:r>
      <w:proofErr w:type="spellEnd"/>
      <w:r w:rsidRPr="000210F4">
        <w:rPr>
          <w:sz w:val="24"/>
          <w:szCs w:val="24"/>
          <w:lang w:eastAsia="en-GB"/>
        </w:rPr>
        <w:t>,</w:t>
      </w:r>
      <w:r w:rsidRPr="000210F4">
        <w:rPr>
          <w:rFonts w:ascii="TimesNewRomanPSMT" w:hAnsi="TimesNewRomanPSMT" w:cs="TimesNewRomanPSMT"/>
          <w:sz w:val="24"/>
          <w:szCs w:val="24"/>
          <w:lang w:eastAsia="da-DK"/>
        </w:rPr>
        <w:t xml:space="preserve"> plasmider, integrerede og konjugerende elementer. Derudover forstærkes </w:t>
      </w:r>
      <w:proofErr w:type="spellStart"/>
      <w:r w:rsidRPr="000210F4">
        <w:rPr>
          <w:rFonts w:ascii="TimesNewRomanPS-ItalicMT" w:hAnsi="TimesNewRomanPS-ItalicMT" w:cs="TimesNewRomanPS-ItalicMT"/>
          <w:sz w:val="24"/>
          <w:szCs w:val="24"/>
          <w:lang w:eastAsia="da-DK"/>
        </w:rPr>
        <w:t>Mycoplasmas</w:t>
      </w:r>
      <w:proofErr w:type="spellEnd"/>
      <w:r w:rsidRPr="000210F4">
        <w:rPr>
          <w:rFonts w:ascii="TimesNewRomanPS-ItalicMT" w:hAnsi="TimesNewRomanPS-ItalicMT" w:cs="TimesNewRomanPS-ItalicMT"/>
          <w:i/>
          <w:iCs/>
          <w:sz w:val="24"/>
          <w:szCs w:val="24"/>
          <w:lang w:eastAsia="da-DK"/>
        </w:rPr>
        <w:t xml:space="preserve"> </w:t>
      </w:r>
      <w:proofErr w:type="spellStart"/>
      <w:r w:rsidRPr="000210F4">
        <w:rPr>
          <w:rFonts w:ascii="TimesNewRomanPSMT" w:hAnsi="TimesNewRomanPSMT" w:cs="TimesNewRomanPSMT"/>
          <w:sz w:val="24"/>
          <w:szCs w:val="24"/>
          <w:lang w:eastAsia="da-DK"/>
        </w:rPr>
        <w:t>genomiske</w:t>
      </w:r>
      <w:proofErr w:type="spellEnd"/>
      <w:r w:rsidRPr="000210F4">
        <w:rPr>
          <w:rFonts w:ascii="TimesNewRomanPSMT" w:hAnsi="TimesNewRomanPSMT" w:cs="TimesNewRomanPSMT"/>
          <w:sz w:val="24"/>
          <w:szCs w:val="24"/>
          <w:lang w:eastAsia="da-DK"/>
        </w:rPr>
        <w:t xml:space="preserve"> plasticitet af den horisontale overførsel af store kromosomale fragmenter. </w:t>
      </w:r>
    </w:p>
    <w:p w14:paraId="60665B10" w14:textId="77777777" w:rsidR="00D0772B" w:rsidRPr="000210F4" w:rsidRDefault="00D0772B" w:rsidP="000210F4">
      <w:pPr>
        <w:tabs>
          <w:tab w:val="left" w:pos="1304"/>
        </w:tabs>
        <w:autoSpaceDE w:val="0"/>
        <w:autoSpaceDN w:val="0"/>
        <w:adjustRightInd w:val="0"/>
        <w:ind w:left="851"/>
        <w:rPr>
          <w:sz w:val="24"/>
          <w:szCs w:val="24"/>
        </w:rPr>
      </w:pPr>
      <w:r w:rsidRPr="000210F4">
        <w:rPr>
          <w:rFonts w:ascii="TimesNewRomanPSMT" w:hAnsi="TimesNewRomanPSMT" w:cs="TimesNewRomanPSMT"/>
          <w:sz w:val="24"/>
          <w:szCs w:val="24"/>
          <w:lang w:eastAsia="en-GB"/>
        </w:rPr>
        <w:t xml:space="preserve">Udover dets antimikrobielle egenskaber, udviser </w:t>
      </w: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 xml:space="preserve"> immun-</w:t>
      </w:r>
      <w:proofErr w:type="spellStart"/>
      <w:r w:rsidRPr="000210F4">
        <w:rPr>
          <w:rFonts w:ascii="TimesNewRomanPSMT" w:hAnsi="TimesNewRomanPSMT" w:cs="TimesNewRomanPSMT"/>
          <w:sz w:val="24"/>
          <w:szCs w:val="24"/>
          <w:lang w:eastAsia="en-GB"/>
        </w:rPr>
        <w:t>modulerendeog</w:t>
      </w:r>
      <w:proofErr w:type="spellEnd"/>
      <w:r w:rsidRPr="000210F4">
        <w:rPr>
          <w:rFonts w:ascii="TimesNewRomanPSMT" w:hAnsi="TimesNewRomanPSMT" w:cs="TimesNewRomanPSMT"/>
          <w:sz w:val="24"/>
          <w:szCs w:val="24"/>
          <w:lang w:eastAsia="en-GB"/>
        </w:rPr>
        <w:t xml:space="preserve"> anti-inflammatoriske virkninger i eksperimentelle </w:t>
      </w:r>
      <w:proofErr w:type="spellStart"/>
      <w:r w:rsidRPr="000210F4">
        <w:rPr>
          <w:rFonts w:ascii="TimesNewRomanPSMT" w:hAnsi="TimesNewRomanPSMT" w:cs="TimesNewRomanPSMT"/>
          <w:sz w:val="24"/>
          <w:szCs w:val="24"/>
          <w:lang w:eastAsia="en-GB"/>
        </w:rPr>
        <w:t>undersøgeler</w:t>
      </w:r>
      <w:proofErr w:type="spellEnd"/>
      <w:r w:rsidRPr="000210F4">
        <w:rPr>
          <w:rFonts w:ascii="TimesNewRomanPSMT" w:hAnsi="TimesNewRomanPSMT" w:cs="TimesNewRomanPSMT"/>
          <w:sz w:val="24"/>
          <w:szCs w:val="24"/>
          <w:lang w:eastAsia="en-GB"/>
        </w:rPr>
        <w:t xml:space="preserve">. I </w:t>
      </w:r>
      <w:proofErr w:type="spellStart"/>
      <w:r w:rsidRPr="000210F4">
        <w:rPr>
          <w:rFonts w:ascii="TimesNewRomanPSMT" w:hAnsi="TimesNewRomanPSMT" w:cs="TimesNewRomanPSMT"/>
          <w:sz w:val="24"/>
          <w:szCs w:val="24"/>
          <w:lang w:eastAsia="en-GB"/>
        </w:rPr>
        <w:t>polymorfonukleære</w:t>
      </w:r>
      <w:proofErr w:type="spellEnd"/>
      <w:r w:rsidRPr="000210F4">
        <w:rPr>
          <w:rFonts w:ascii="TimesNewRomanPSMT" w:hAnsi="TimesNewRomanPSMT" w:cs="TimesNewRomanPSMT"/>
          <w:sz w:val="24"/>
          <w:szCs w:val="24"/>
          <w:lang w:eastAsia="en-GB"/>
        </w:rPr>
        <w:t xml:space="preserve"> celler (</w:t>
      </w:r>
      <w:proofErr w:type="spellStart"/>
      <w:r w:rsidRPr="000210F4">
        <w:rPr>
          <w:rFonts w:ascii="TimesNewRomanPSMT" w:hAnsi="TimesNewRomanPSMT" w:cs="TimesNewRomanPSMT"/>
          <w:sz w:val="24"/>
          <w:szCs w:val="24"/>
          <w:lang w:eastAsia="en-GB"/>
        </w:rPr>
        <w:t>PMN’er</w:t>
      </w:r>
      <w:proofErr w:type="spellEnd"/>
      <w:r w:rsidRPr="000210F4">
        <w:rPr>
          <w:rFonts w:ascii="TimesNewRomanPSMT" w:hAnsi="TimesNewRomanPSMT" w:cs="TimesNewRomanPSMT"/>
          <w:sz w:val="24"/>
          <w:szCs w:val="24"/>
          <w:lang w:eastAsia="en-GB"/>
        </w:rPr>
        <w:t xml:space="preserve">; </w:t>
      </w:r>
      <w:proofErr w:type="spellStart"/>
      <w:r w:rsidRPr="000210F4">
        <w:rPr>
          <w:rFonts w:ascii="TimesNewRomanPSMT" w:hAnsi="TimesNewRomanPSMT" w:cs="TimesNewRomanPSMT"/>
          <w:sz w:val="24"/>
          <w:szCs w:val="24"/>
          <w:lang w:eastAsia="en-GB"/>
        </w:rPr>
        <w:t>neutrofile</w:t>
      </w:r>
      <w:proofErr w:type="spellEnd"/>
      <w:r w:rsidRPr="000210F4">
        <w:rPr>
          <w:rFonts w:ascii="TimesNewRomanPSMT" w:hAnsi="TimesNewRomanPSMT" w:cs="TimesNewRomanPSMT"/>
          <w:sz w:val="24"/>
          <w:szCs w:val="24"/>
          <w:lang w:eastAsia="en-GB"/>
        </w:rPr>
        <w:t xml:space="preserve">) hos både </w:t>
      </w:r>
      <w:proofErr w:type="gramStart"/>
      <w:r w:rsidRPr="000210F4">
        <w:rPr>
          <w:rFonts w:ascii="TimesNewRomanPSMT" w:hAnsi="TimesNewRomanPSMT" w:cs="TimesNewRomanPSMT"/>
          <w:sz w:val="24"/>
          <w:szCs w:val="24"/>
          <w:lang w:eastAsia="en-GB"/>
        </w:rPr>
        <w:t>kvæg  og</w:t>
      </w:r>
      <w:proofErr w:type="gramEnd"/>
      <w:r w:rsidRPr="000210F4">
        <w:rPr>
          <w:rFonts w:ascii="TimesNewRomanPSMT" w:hAnsi="TimesNewRomanPSMT" w:cs="TimesNewRomanPSMT"/>
          <w:sz w:val="24"/>
          <w:szCs w:val="24"/>
          <w:lang w:eastAsia="en-GB"/>
        </w:rPr>
        <w:t xml:space="preserve"> svin, fremmer </w:t>
      </w: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 xml:space="preserve"> </w:t>
      </w:r>
      <w:proofErr w:type="spellStart"/>
      <w:r w:rsidRPr="000210F4">
        <w:rPr>
          <w:rFonts w:ascii="TimesNewRomanPSMT" w:hAnsi="TimesNewRomanPSMT" w:cs="TimesNewRomanPSMT"/>
          <w:sz w:val="24"/>
          <w:szCs w:val="24"/>
          <w:lang w:eastAsia="en-GB"/>
        </w:rPr>
        <w:t>apoptosis</w:t>
      </w:r>
      <w:proofErr w:type="spellEnd"/>
      <w:r w:rsidRPr="000210F4">
        <w:rPr>
          <w:rFonts w:ascii="TimesNewRomanPSMT" w:hAnsi="TimesNewRomanPSMT" w:cs="TimesNewRomanPSMT"/>
          <w:sz w:val="24"/>
          <w:szCs w:val="24"/>
          <w:lang w:eastAsia="en-GB"/>
        </w:rPr>
        <w:t xml:space="preserve"> (programmeret </w:t>
      </w:r>
      <w:proofErr w:type="spellStart"/>
      <w:r w:rsidRPr="000210F4">
        <w:rPr>
          <w:rFonts w:ascii="TimesNewRomanPSMT" w:hAnsi="TimesNewRomanPSMT" w:cs="TimesNewRomanPSMT"/>
          <w:sz w:val="24"/>
          <w:szCs w:val="24"/>
          <w:lang w:eastAsia="en-GB"/>
        </w:rPr>
        <w:t>celledød</w:t>
      </w:r>
      <w:proofErr w:type="spellEnd"/>
      <w:r w:rsidRPr="000210F4">
        <w:rPr>
          <w:rFonts w:ascii="TimesNewRomanPSMT" w:hAnsi="TimesNewRomanPSMT" w:cs="TimesNewRomanPSMT"/>
          <w:sz w:val="24"/>
          <w:szCs w:val="24"/>
          <w:lang w:eastAsia="en-GB"/>
        </w:rPr>
        <w:t xml:space="preserve">) og rydning af </w:t>
      </w:r>
      <w:proofErr w:type="spellStart"/>
      <w:r w:rsidRPr="000210F4">
        <w:rPr>
          <w:rFonts w:ascii="TimesNewRomanPSMT" w:hAnsi="TimesNewRomanPSMT" w:cs="TimesNewRomanPSMT"/>
          <w:sz w:val="24"/>
          <w:szCs w:val="24"/>
          <w:lang w:eastAsia="en-GB"/>
        </w:rPr>
        <w:t>apoptotiske</w:t>
      </w:r>
      <w:proofErr w:type="spellEnd"/>
      <w:r w:rsidRPr="000210F4">
        <w:rPr>
          <w:rFonts w:ascii="TimesNewRomanPSMT" w:hAnsi="TimesNewRomanPSMT" w:cs="TimesNewRomanPSMT"/>
          <w:sz w:val="24"/>
          <w:szCs w:val="24"/>
          <w:lang w:eastAsia="en-GB"/>
        </w:rPr>
        <w:t xml:space="preserve"> celler ved makrofager. Det sænker produktionen af de pro-inflammatoriske </w:t>
      </w:r>
      <w:proofErr w:type="spellStart"/>
      <w:r w:rsidRPr="000210F4">
        <w:rPr>
          <w:rFonts w:ascii="TimesNewRomanPSMT" w:hAnsi="TimesNewRomanPSMT" w:cs="TimesNewRomanPSMT"/>
          <w:sz w:val="24"/>
          <w:szCs w:val="24"/>
          <w:lang w:eastAsia="en-GB"/>
        </w:rPr>
        <w:t>mediatorer</w:t>
      </w:r>
      <w:proofErr w:type="spellEnd"/>
      <w:r w:rsidRPr="000210F4">
        <w:rPr>
          <w:rFonts w:ascii="TimesNewRomanPSMT" w:hAnsi="TimesNewRomanPSMT" w:cs="TimesNewRomanPSMT"/>
          <w:sz w:val="24"/>
          <w:szCs w:val="24"/>
          <w:lang w:eastAsia="en-GB"/>
        </w:rPr>
        <w:t xml:space="preserve"> </w:t>
      </w:r>
      <w:proofErr w:type="spellStart"/>
      <w:r w:rsidRPr="000210F4">
        <w:rPr>
          <w:rFonts w:ascii="TimesNewRomanPSMT" w:hAnsi="TimesNewRomanPSMT" w:cs="TimesNewRomanPSMT"/>
          <w:sz w:val="24"/>
          <w:szCs w:val="24"/>
          <w:lang w:eastAsia="en-GB"/>
        </w:rPr>
        <w:t>leukotrien</w:t>
      </w:r>
      <w:proofErr w:type="spellEnd"/>
      <w:r w:rsidRPr="000210F4">
        <w:rPr>
          <w:rFonts w:ascii="TimesNewRomanPSMT" w:hAnsi="TimesNewRomanPSMT" w:cs="TimesNewRomanPSMT"/>
          <w:sz w:val="24"/>
          <w:szCs w:val="24"/>
          <w:lang w:eastAsia="en-GB"/>
        </w:rPr>
        <w:t xml:space="preserve"> B4 og CXCL-8 og inducerer produktionen af </w:t>
      </w:r>
      <w:proofErr w:type="spellStart"/>
      <w:r w:rsidRPr="000210F4">
        <w:rPr>
          <w:rFonts w:ascii="TimesNewRomanPSMT" w:hAnsi="TimesNewRomanPSMT" w:cs="TimesNewRomanPSMT"/>
          <w:sz w:val="24"/>
          <w:szCs w:val="24"/>
          <w:lang w:eastAsia="en-GB"/>
        </w:rPr>
        <w:t>anti-inflammatoriskog</w:t>
      </w:r>
      <w:proofErr w:type="spellEnd"/>
      <w:r w:rsidRPr="000210F4">
        <w:rPr>
          <w:rFonts w:ascii="TimesNewRomanPSMT" w:hAnsi="TimesNewRomanPSMT" w:cs="TimesNewRomanPSMT"/>
          <w:sz w:val="24"/>
          <w:szCs w:val="24"/>
          <w:lang w:eastAsia="en-GB"/>
        </w:rPr>
        <w:t xml:space="preserve"> pro-resolverende </w:t>
      </w:r>
      <w:proofErr w:type="spellStart"/>
      <w:r w:rsidRPr="000210F4">
        <w:rPr>
          <w:rFonts w:ascii="TimesNewRomanPSMT" w:hAnsi="TimesNewRomanPSMT" w:cs="TimesNewRomanPSMT"/>
          <w:sz w:val="24"/>
          <w:szCs w:val="24"/>
          <w:lang w:eastAsia="en-GB"/>
        </w:rPr>
        <w:t>lipidlipoxin</w:t>
      </w:r>
      <w:proofErr w:type="spellEnd"/>
      <w:r w:rsidRPr="000210F4">
        <w:rPr>
          <w:rFonts w:ascii="TimesNewRomanPSMT" w:hAnsi="TimesNewRomanPSMT" w:cs="TimesNewRomanPSMT"/>
          <w:sz w:val="24"/>
          <w:szCs w:val="24"/>
          <w:lang w:eastAsia="en-GB"/>
        </w:rPr>
        <w:t xml:space="preserve"> A4.</w:t>
      </w:r>
    </w:p>
    <w:p w14:paraId="51C05DF0" w14:textId="77777777" w:rsidR="00D0772B" w:rsidRPr="000210F4" w:rsidRDefault="00D0772B" w:rsidP="00D0772B">
      <w:pPr>
        <w:tabs>
          <w:tab w:val="left" w:pos="1304"/>
        </w:tabs>
        <w:rPr>
          <w:sz w:val="24"/>
          <w:szCs w:val="24"/>
        </w:rPr>
      </w:pPr>
    </w:p>
    <w:p w14:paraId="5BE093F5" w14:textId="77777777" w:rsidR="00D0772B" w:rsidRPr="000210F4" w:rsidRDefault="00D0772B" w:rsidP="000210F4">
      <w:pPr>
        <w:tabs>
          <w:tab w:val="left" w:pos="851"/>
        </w:tabs>
        <w:rPr>
          <w:b/>
          <w:sz w:val="24"/>
          <w:szCs w:val="24"/>
        </w:rPr>
      </w:pPr>
      <w:r w:rsidRPr="000210F4">
        <w:rPr>
          <w:b/>
          <w:sz w:val="24"/>
          <w:szCs w:val="24"/>
        </w:rPr>
        <w:t>4.3</w:t>
      </w:r>
      <w:r w:rsidRPr="000210F4">
        <w:rPr>
          <w:b/>
          <w:sz w:val="24"/>
          <w:szCs w:val="24"/>
        </w:rPr>
        <w:tab/>
      </w:r>
      <w:proofErr w:type="spellStart"/>
      <w:r w:rsidRPr="000210F4">
        <w:rPr>
          <w:b/>
          <w:sz w:val="24"/>
          <w:szCs w:val="24"/>
        </w:rPr>
        <w:t>Farmakokinetiske</w:t>
      </w:r>
      <w:proofErr w:type="spellEnd"/>
      <w:r w:rsidRPr="000210F4">
        <w:rPr>
          <w:b/>
          <w:sz w:val="24"/>
          <w:szCs w:val="24"/>
        </w:rPr>
        <w:t xml:space="preserve"> oplysninger</w:t>
      </w:r>
    </w:p>
    <w:p w14:paraId="5198FAB1" w14:textId="77777777" w:rsidR="00D0772B" w:rsidRPr="000210F4" w:rsidRDefault="00D0772B" w:rsidP="00D0772B">
      <w:pPr>
        <w:tabs>
          <w:tab w:val="left" w:pos="1304"/>
        </w:tabs>
        <w:rPr>
          <w:b/>
          <w:sz w:val="24"/>
          <w:szCs w:val="24"/>
        </w:rPr>
      </w:pPr>
    </w:p>
    <w:p w14:paraId="74D62639"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 xml:space="preserve">I kvæg blev produktets </w:t>
      </w:r>
      <w:proofErr w:type="spellStart"/>
      <w:r w:rsidRPr="000210F4">
        <w:rPr>
          <w:rFonts w:ascii="TimesNewRomanPSMT" w:hAnsi="TimesNewRomanPSMT" w:cs="TimesNewRomanPSMT"/>
          <w:sz w:val="24"/>
          <w:szCs w:val="24"/>
          <w:lang w:eastAsia="en-GB"/>
        </w:rPr>
        <w:t>farmakokinetiske</w:t>
      </w:r>
      <w:proofErr w:type="spellEnd"/>
      <w:r w:rsidRPr="000210F4">
        <w:rPr>
          <w:rFonts w:ascii="TimesNewRomanPSMT" w:hAnsi="TimesNewRomanPSMT" w:cs="TimesNewRomanPSMT"/>
          <w:sz w:val="24"/>
          <w:szCs w:val="24"/>
          <w:lang w:eastAsia="en-GB"/>
        </w:rPr>
        <w:t xml:space="preserve"> profil, når det blev givet som en enkelt subkutan dosis </w:t>
      </w:r>
      <w:proofErr w:type="gramStart"/>
      <w:r w:rsidRPr="000210F4">
        <w:rPr>
          <w:rFonts w:ascii="TimesNewRomanPSMT" w:hAnsi="TimesNewRomanPSMT" w:cs="TimesNewRomanPSMT"/>
          <w:sz w:val="24"/>
          <w:szCs w:val="24"/>
          <w:lang w:eastAsia="en-GB"/>
        </w:rPr>
        <w:t>på  2</w:t>
      </w:r>
      <w:proofErr w:type="gramEnd"/>
      <w:r w:rsidRPr="000210F4">
        <w:rPr>
          <w:rFonts w:ascii="TimesNewRomanPSMT" w:hAnsi="TimesNewRomanPSMT" w:cs="TimesNewRomanPSMT"/>
          <w:sz w:val="24"/>
          <w:szCs w:val="24"/>
          <w:lang w:eastAsia="en-GB"/>
        </w:rPr>
        <w:t>,5 mg/kg legemsvægt, karakteriseret ved hurtig og omfattende absorption efterfulgt af høj fordeling og langsom elimination. Den maksimale koncentration (</w:t>
      </w:r>
      <w:proofErr w:type="spellStart"/>
      <w:r w:rsidRPr="000210F4">
        <w:rPr>
          <w:rFonts w:ascii="TimesNewRomanPSMT" w:hAnsi="TimesNewRomanPSMT" w:cs="TimesNewRomanPSMT"/>
          <w:sz w:val="24"/>
          <w:szCs w:val="24"/>
          <w:lang w:eastAsia="en-GB"/>
        </w:rPr>
        <w:t>Cmax</w:t>
      </w:r>
      <w:proofErr w:type="spellEnd"/>
      <w:r w:rsidRPr="000210F4">
        <w:rPr>
          <w:rFonts w:ascii="TimesNewRomanPSMT" w:hAnsi="TimesNewRomanPSMT" w:cs="TimesNewRomanPSMT"/>
          <w:sz w:val="24"/>
          <w:szCs w:val="24"/>
          <w:lang w:eastAsia="en-GB"/>
        </w:rPr>
        <w:t xml:space="preserve">) i plasma var cirka0,5 </w:t>
      </w:r>
      <w:proofErr w:type="spellStart"/>
      <w:r w:rsidRPr="000210F4">
        <w:rPr>
          <w:rFonts w:ascii="TimesNewRomanPSMT" w:hAnsi="TimesNewRomanPSMT" w:cs="TimesNewRomanPSMT"/>
          <w:sz w:val="24"/>
          <w:szCs w:val="24"/>
          <w:lang w:eastAsia="en-GB"/>
        </w:rPr>
        <w:t>μg</w:t>
      </w:r>
      <w:proofErr w:type="spellEnd"/>
      <w:r w:rsidRPr="000210F4">
        <w:rPr>
          <w:rFonts w:ascii="TimesNewRomanPSMT" w:hAnsi="TimesNewRomanPSMT" w:cs="TimesNewRomanPSMT"/>
          <w:sz w:val="24"/>
          <w:szCs w:val="24"/>
          <w:lang w:eastAsia="en-GB"/>
        </w:rPr>
        <w:t>/ml. Dette blev opnået cirka 30 minutter efter dosering (</w:t>
      </w:r>
      <w:proofErr w:type="spellStart"/>
      <w:r w:rsidRPr="000210F4">
        <w:rPr>
          <w:rFonts w:ascii="TimesNewRomanPSMT" w:hAnsi="TimesNewRomanPSMT" w:cs="TimesNewRomanPSMT"/>
          <w:sz w:val="24"/>
          <w:szCs w:val="24"/>
          <w:lang w:eastAsia="en-GB"/>
        </w:rPr>
        <w:t>Tmax</w:t>
      </w:r>
      <w:proofErr w:type="spellEnd"/>
      <w:r w:rsidRPr="000210F4">
        <w:rPr>
          <w:rFonts w:ascii="TimesNewRomanPSMT" w:hAnsi="TimesNewRomanPSMT" w:cs="TimesNewRomanPSMT"/>
          <w:sz w:val="24"/>
          <w:szCs w:val="24"/>
          <w:lang w:eastAsia="en-GB"/>
        </w:rPr>
        <w:t xml:space="preserve">). Koncentrationer af </w:t>
      </w: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 xml:space="preserve"> i </w:t>
      </w:r>
      <w:proofErr w:type="spellStart"/>
      <w:r w:rsidRPr="000210F4">
        <w:rPr>
          <w:rFonts w:ascii="TimesNewRomanPSMT" w:hAnsi="TimesNewRomanPSMT" w:cs="TimesNewRomanPSMT"/>
          <w:sz w:val="24"/>
          <w:szCs w:val="24"/>
          <w:lang w:eastAsia="en-GB"/>
        </w:rPr>
        <w:t>lungehomogenat</w:t>
      </w:r>
      <w:proofErr w:type="spellEnd"/>
      <w:r w:rsidRPr="000210F4">
        <w:rPr>
          <w:rFonts w:ascii="TimesNewRomanPSMT" w:hAnsi="TimesNewRomanPSMT" w:cs="TimesNewRomanPSMT"/>
          <w:sz w:val="24"/>
          <w:szCs w:val="24"/>
          <w:lang w:eastAsia="en-GB"/>
        </w:rPr>
        <w:t xml:space="preserve"> var væsentlig højere end dem i plasma. Der er kraftigt bevis for væsentlig akkumulation af </w:t>
      </w: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 xml:space="preserve"> i </w:t>
      </w:r>
      <w:proofErr w:type="spellStart"/>
      <w:r w:rsidRPr="000210F4">
        <w:rPr>
          <w:rFonts w:ascii="TimesNewRomanPSMT" w:hAnsi="TimesNewRomanPSMT" w:cs="TimesNewRomanPSMT"/>
          <w:sz w:val="24"/>
          <w:szCs w:val="24"/>
          <w:lang w:eastAsia="en-GB"/>
        </w:rPr>
        <w:t>neutrofile</w:t>
      </w:r>
      <w:proofErr w:type="spellEnd"/>
      <w:r w:rsidRPr="000210F4">
        <w:rPr>
          <w:rFonts w:ascii="TimesNewRomanPSMT" w:hAnsi="TimesNewRomanPSMT" w:cs="TimesNewRomanPSMT"/>
          <w:sz w:val="24"/>
          <w:szCs w:val="24"/>
          <w:lang w:eastAsia="en-GB"/>
        </w:rPr>
        <w:t xml:space="preserve"> celler og alveolære makrofager. Imidlertid er </w:t>
      </w:r>
      <w:r w:rsidRPr="000210F4">
        <w:rPr>
          <w:rFonts w:ascii="TimesNewRomanPS-ItalicMT" w:hAnsi="TimesNewRomanPS-ItalicMT" w:cs="TimesNewRomanPS-ItalicMT"/>
          <w:i/>
          <w:iCs/>
          <w:sz w:val="24"/>
          <w:szCs w:val="24"/>
          <w:lang w:eastAsia="en-GB"/>
        </w:rPr>
        <w:t xml:space="preserve">in </w:t>
      </w:r>
      <w:proofErr w:type="spellStart"/>
      <w:r w:rsidRPr="000210F4">
        <w:rPr>
          <w:rFonts w:ascii="TimesNewRomanPS-ItalicMT" w:hAnsi="TimesNewRomanPS-ItalicMT" w:cs="TimesNewRomanPS-ItalicMT"/>
          <w:i/>
          <w:iCs/>
          <w:sz w:val="24"/>
          <w:szCs w:val="24"/>
          <w:lang w:eastAsia="en-GB"/>
        </w:rPr>
        <w:t>vivo</w:t>
      </w:r>
      <w:proofErr w:type="spellEnd"/>
      <w:r w:rsidRPr="000210F4">
        <w:rPr>
          <w:rFonts w:ascii="TimesNewRomanPS-ItalicMT" w:hAnsi="TimesNewRomanPS-ItalicMT" w:cs="TimesNewRomanPS-ItalicMT"/>
          <w:i/>
          <w:iCs/>
          <w:sz w:val="24"/>
          <w:szCs w:val="24"/>
          <w:lang w:eastAsia="en-GB"/>
        </w:rPr>
        <w:t xml:space="preserve"> </w:t>
      </w:r>
      <w:r w:rsidRPr="000210F4">
        <w:rPr>
          <w:rFonts w:ascii="TimesNewRomanPSMT" w:hAnsi="TimesNewRomanPSMT" w:cs="TimesNewRomanPSMT"/>
          <w:sz w:val="24"/>
          <w:szCs w:val="24"/>
          <w:lang w:eastAsia="en-GB"/>
        </w:rPr>
        <w:t xml:space="preserve">koncentrationen af </w:t>
      </w: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 xml:space="preserve"> på infektionsstedet i lungen ikke </w:t>
      </w:r>
      <w:proofErr w:type="spellStart"/>
      <w:proofErr w:type="gramStart"/>
      <w:r w:rsidRPr="000210F4">
        <w:rPr>
          <w:rFonts w:ascii="TimesNewRomanPSMT" w:hAnsi="TimesNewRomanPSMT" w:cs="TimesNewRomanPSMT"/>
          <w:sz w:val="24"/>
          <w:szCs w:val="24"/>
          <w:lang w:eastAsia="en-GB"/>
        </w:rPr>
        <w:t>kendt.Spidskoncentrationer</w:t>
      </w:r>
      <w:proofErr w:type="spellEnd"/>
      <w:proofErr w:type="gramEnd"/>
      <w:r w:rsidRPr="000210F4">
        <w:rPr>
          <w:rFonts w:ascii="TimesNewRomanPSMT" w:hAnsi="TimesNewRomanPSMT" w:cs="TimesNewRomanPSMT"/>
          <w:sz w:val="24"/>
          <w:szCs w:val="24"/>
          <w:lang w:eastAsia="en-GB"/>
        </w:rPr>
        <w:t xml:space="preserve"> blev efterfulgt af et langsomt fald i systemisk eksponering med en tilsyneladende eliminationshalveringstid (t1/2) på cirka 90 timer i plasma. Plasmaproteinbinding var lav, cirka 40%. Fordelingsvolumen ved </w:t>
      </w:r>
      <w:proofErr w:type="spellStart"/>
      <w:r w:rsidRPr="000210F4">
        <w:rPr>
          <w:rFonts w:ascii="TimesNewRomanPSMT" w:hAnsi="TimesNewRomanPSMT" w:cs="TimesNewRomanPSMT"/>
          <w:sz w:val="24"/>
          <w:szCs w:val="24"/>
          <w:lang w:eastAsia="en-GB"/>
        </w:rPr>
        <w:t>steady-state</w:t>
      </w:r>
      <w:proofErr w:type="spellEnd"/>
      <w:r w:rsidRPr="000210F4">
        <w:rPr>
          <w:rFonts w:ascii="TimesNewRomanPSMT" w:hAnsi="TimesNewRomanPSMT" w:cs="TimesNewRomanPSMT"/>
          <w:sz w:val="24"/>
          <w:szCs w:val="24"/>
          <w:lang w:eastAsia="en-GB"/>
        </w:rPr>
        <w:t xml:space="preserve"> (</w:t>
      </w:r>
      <w:proofErr w:type="spellStart"/>
      <w:r w:rsidRPr="000210F4">
        <w:rPr>
          <w:rFonts w:ascii="TimesNewRomanPSMT" w:hAnsi="TimesNewRomanPSMT" w:cs="TimesNewRomanPSMT"/>
          <w:sz w:val="24"/>
          <w:szCs w:val="24"/>
          <w:lang w:eastAsia="en-GB"/>
        </w:rPr>
        <w:t>Vss</w:t>
      </w:r>
      <w:proofErr w:type="spellEnd"/>
      <w:r w:rsidRPr="000210F4">
        <w:rPr>
          <w:rFonts w:ascii="TimesNewRomanPSMT" w:hAnsi="TimesNewRomanPSMT" w:cs="TimesNewRomanPSMT"/>
          <w:sz w:val="24"/>
          <w:szCs w:val="24"/>
          <w:lang w:eastAsia="en-GB"/>
        </w:rPr>
        <w:t xml:space="preserve">) bestemt efter intravenøs administration var 11 l/kg. Biotilgængeligheden for </w:t>
      </w: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 xml:space="preserve"> efter subkutan administration hos kvæg var cirka 90%.</w:t>
      </w:r>
    </w:p>
    <w:p w14:paraId="56855550"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5426BA99"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 xml:space="preserve">I svin var den </w:t>
      </w:r>
      <w:proofErr w:type="spellStart"/>
      <w:r w:rsidRPr="000210F4">
        <w:rPr>
          <w:rFonts w:ascii="TimesNewRomanPSMT" w:hAnsi="TimesNewRomanPSMT" w:cs="TimesNewRomanPSMT"/>
          <w:sz w:val="24"/>
          <w:szCs w:val="24"/>
          <w:lang w:eastAsia="en-GB"/>
        </w:rPr>
        <w:t>farmakokinetiske</w:t>
      </w:r>
      <w:proofErr w:type="spellEnd"/>
      <w:r w:rsidRPr="000210F4">
        <w:rPr>
          <w:rFonts w:ascii="TimesNewRomanPSMT" w:hAnsi="TimesNewRomanPSMT" w:cs="TimesNewRomanPSMT"/>
          <w:sz w:val="24"/>
          <w:szCs w:val="24"/>
          <w:lang w:eastAsia="en-GB"/>
        </w:rPr>
        <w:t xml:space="preserve"> profil af produktet, når det blev administreret som en enkelt intramuskulær dosis på 2,5 mg/kg legemsvægt, også karakteriseret ved hurtig og omfattende absorption efterfulgt af høj fordeling og langsom elimination. Maksimumkoncentrationen (</w:t>
      </w:r>
      <w:proofErr w:type="spellStart"/>
      <w:r w:rsidRPr="000210F4">
        <w:rPr>
          <w:rFonts w:ascii="TimesNewRomanPSMT" w:hAnsi="TimesNewRomanPSMT" w:cs="TimesNewRomanPSMT"/>
          <w:sz w:val="24"/>
          <w:szCs w:val="24"/>
          <w:lang w:eastAsia="en-GB"/>
        </w:rPr>
        <w:t>Cmax</w:t>
      </w:r>
      <w:proofErr w:type="spellEnd"/>
      <w:r w:rsidRPr="000210F4">
        <w:rPr>
          <w:rFonts w:ascii="TimesNewRomanPSMT" w:hAnsi="TimesNewRomanPSMT" w:cs="TimesNewRomanPSMT"/>
          <w:sz w:val="24"/>
          <w:szCs w:val="24"/>
          <w:lang w:eastAsia="en-GB"/>
        </w:rPr>
        <w:t xml:space="preserve">) i plasma var cirka 0,6 </w:t>
      </w:r>
      <w:proofErr w:type="spellStart"/>
      <w:r w:rsidRPr="000210F4">
        <w:rPr>
          <w:rFonts w:ascii="TimesNewRomanPSMT" w:hAnsi="TimesNewRomanPSMT" w:cs="TimesNewRomanPSMT"/>
          <w:sz w:val="24"/>
          <w:szCs w:val="24"/>
          <w:lang w:eastAsia="en-GB"/>
        </w:rPr>
        <w:t>μg</w:t>
      </w:r>
      <w:proofErr w:type="spellEnd"/>
      <w:r w:rsidRPr="000210F4">
        <w:rPr>
          <w:rFonts w:ascii="TimesNewRomanPSMT" w:hAnsi="TimesNewRomanPSMT" w:cs="TimesNewRomanPSMT"/>
          <w:sz w:val="24"/>
          <w:szCs w:val="24"/>
          <w:lang w:eastAsia="en-GB"/>
        </w:rPr>
        <w:t>/ml; dette blev opnået cirka 30 minutter efter dosering (</w:t>
      </w:r>
      <w:proofErr w:type="spellStart"/>
      <w:r w:rsidRPr="000210F4">
        <w:rPr>
          <w:rFonts w:ascii="TimesNewRomanPSMT" w:hAnsi="TimesNewRomanPSMT" w:cs="TimesNewRomanPSMT"/>
          <w:sz w:val="24"/>
          <w:szCs w:val="24"/>
          <w:lang w:eastAsia="en-GB"/>
        </w:rPr>
        <w:t>Tmax</w:t>
      </w:r>
      <w:proofErr w:type="spellEnd"/>
      <w:r w:rsidRPr="000210F4">
        <w:rPr>
          <w:rFonts w:ascii="TimesNewRomanPSMT" w:hAnsi="TimesNewRomanPSMT" w:cs="TimesNewRomanPSMT"/>
          <w:sz w:val="24"/>
          <w:szCs w:val="24"/>
          <w:lang w:eastAsia="en-GB"/>
        </w:rPr>
        <w:t xml:space="preserve">). Koncentrationer af </w:t>
      </w: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 xml:space="preserve"> i </w:t>
      </w:r>
      <w:proofErr w:type="spellStart"/>
      <w:r w:rsidRPr="000210F4">
        <w:rPr>
          <w:rFonts w:ascii="TimesNewRomanPSMT" w:hAnsi="TimesNewRomanPSMT" w:cs="TimesNewRomanPSMT"/>
          <w:sz w:val="24"/>
          <w:szCs w:val="24"/>
          <w:lang w:eastAsia="en-GB"/>
        </w:rPr>
        <w:t>lungehomogenat</w:t>
      </w:r>
      <w:proofErr w:type="spellEnd"/>
      <w:r w:rsidRPr="000210F4">
        <w:rPr>
          <w:rFonts w:ascii="TimesNewRomanPSMT" w:hAnsi="TimesNewRomanPSMT" w:cs="TimesNewRomanPSMT"/>
          <w:sz w:val="24"/>
          <w:szCs w:val="24"/>
          <w:lang w:eastAsia="en-GB"/>
        </w:rPr>
        <w:t xml:space="preserve"> var væsentlig højere end dem i plasma. Der er kraftigt bevis for væsentlig akkumulation af </w:t>
      </w: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 xml:space="preserve"> i </w:t>
      </w:r>
      <w:proofErr w:type="spellStart"/>
      <w:r w:rsidRPr="000210F4">
        <w:rPr>
          <w:rFonts w:ascii="TimesNewRomanPSMT" w:hAnsi="TimesNewRomanPSMT" w:cs="TimesNewRomanPSMT"/>
          <w:sz w:val="24"/>
          <w:szCs w:val="24"/>
          <w:lang w:eastAsia="en-GB"/>
        </w:rPr>
        <w:t>neutrofile</w:t>
      </w:r>
      <w:proofErr w:type="spellEnd"/>
      <w:r w:rsidRPr="000210F4">
        <w:rPr>
          <w:rFonts w:ascii="TimesNewRomanPSMT" w:hAnsi="TimesNewRomanPSMT" w:cs="TimesNewRomanPSMT"/>
          <w:sz w:val="24"/>
          <w:szCs w:val="24"/>
          <w:lang w:eastAsia="en-GB"/>
        </w:rPr>
        <w:t xml:space="preserve"> celler og alveolære makrofager. Imidlertid er </w:t>
      </w:r>
      <w:r w:rsidRPr="000210F4">
        <w:rPr>
          <w:rFonts w:ascii="TimesNewRomanPS-ItalicMT" w:hAnsi="TimesNewRomanPS-ItalicMT" w:cs="TimesNewRomanPS-ItalicMT"/>
          <w:i/>
          <w:iCs/>
          <w:sz w:val="24"/>
          <w:szCs w:val="24"/>
          <w:lang w:eastAsia="en-GB"/>
        </w:rPr>
        <w:t xml:space="preserve">in </w:t>
      </w:r>
      <w:proofErr w:type="spellStart"/>
      <w:r w:rsidRPr="000210F4">
        <w:rPr>
          <w:rFonts w:ascii="TimesNewRomanPS-ItalicMT" w:hAnsi="TimesNewRomanPS-ItalicMT" w:cs="TimesNewRomanPS-ItalicMT"/>
          <w:i/>
          <w:iCs/>
          <w:sz w:val="24"/>
          <w:szCs w:val="24"/>
          <w:lang w:eastAsia="en-GB"/>
        </w:rPr>
        <w:t>vivo</w:t>
      </w:r>
      <w:proofErr w:type="spellEnd"/>
      <w:r w:rsidRPr="000210F4">
        <w:rPr>
          <w:rFonts w:ascii="TimesNewRomanPS-ItalicMT" w:hAnsi="TimesNewRomanPS-ItalicMT" w:cs="TimesNewRomanPS-ItalicMT"/>
          <w:i/>
          <w:iCs/>
          <w:sz w:val="24"/>
          <w:szCs w:val="24"/>
          <w:lang w:eastAsia="en-GB"/>
        </w:rPr>
        <w:t xml:space="preserve"> </w:t>
      </w:r>
      <w:r w:rsidRPr="000210F4">
        <w:rPr>
          <w:rFonts w:ascii="TimesNewRomanPSMT" w:hAnsi="TimesNewRomanPSMT" w:cs="TimesNewRomanPSMT"/>
          <w:sz w:val="24"/>
          <w:szCs w:val="24"/>
          <w:lang w:eastAsia="en-GB"/>
        </w:rPr>
        <w:t xml:space="preserve">koncentrationen af </w:t>
      </w: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 xml:space="preserve"> på infektionsstedet i lungen ikke kendt. Spidskoncentrationer blev efterfulgt af et langsomt fald i systemisk eksponering med en tilsyneladende eliminationshalveringstid (t1/2) på cirka 91 timer i plasma. Plasmaproteinbinding var lav, cirka 40 %. Fordelingsvolumen ved </w:t>
      </w:r>
      <w:proofErr w:type="spellStart"/>
      <w:r w:rsidRPr="000210F4">
        <w:rPr>
          <w:rFonts w:ascii="TimesNewRomanPSMT" w:hAnsi="TimesNewRomanPSMT" w:cs="TimesNewRomanPSMT"/>
          <w:sz w:val="24"/>
          <w:szCs w:val="24"/>
          <w:lang w:eastAsia="en-GB"/>
        </w:rPr>
        <w:t>steady-state</w:t>
      </w:r>
      <w:proofErr w:type="spellEnd"/>
      <w:r w:rsidRPr="000210F4">
        <w:rPr>
          <w:rFonts w:ascii="TimesNewRomanPSMT" w:hAnsi="TimesNewRomanPSMT" w:cs="TimesNewRomanPSMT"/>
          <w:sz w:val="24"/>
          <w:szCs w:val="24"/>
          <w:lang w:eastAsia="en-GB"/>
        </w:rPr>
        <w:t xml:space="preserve"> (</w:t>
      </w:r>
      <w:proofErr w:type="spellStart"/>
      <w:r w:rsidRPr="000210F4">
        <w:rPr>
          <w:rFonts w:ascii="TimesNewRomanPSMT" w:hAnsi="TimesNewRomanPSMT" w:cs="TimesNewRomanPSMT"/>
          <w:sz w:val="24"/>
          <w:szCs w:val="24"/>
          <w:lang w:eastAsia="en-GB"/>
        </w:rPr>
        <w:t>Vss</w:t>
      </w:r>
      <w:proofErr w:type="spellEnd"/>
      <w:r w:rsidRPr="000210F4">
        <w:rPr>
          <w:rFonts w:ascii="TimesNewRomanPSMT" w:hAnsi="TimesNewRomanPSMT" w:cs="TimesNewRomanPSMT"/>
          <w:sz w:val="24"/>
          <w:szCs w:val="24"/>
          <w:lang w:eastAsia="en-GB"/>
        </w:rPr>
        <w:t xml:space="preserve">) bestemt efter intravenøs administration var 13,2 l/kg. Biotilgængeligheden for </w:t>
      </w: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 xml:space="preserve"> efter intramuskulær administration hos svin var cirka 88 %.</w:t>
      </w:r>
    </w:p>
    <w:p w14:paraId="6CD165EF"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3840604F" w14:textId="77777777" w:rsidR="00D0772B" w:rsidRPr="000210F4" w:rsidRDefault="00D0772B" w:rsidP="000210F4">
      <w:pPr>
        <w:tabs>
          <w:tab w:val="left" w:pos="1304"/>
        </w:tabs>
        <w:autoSpaceDE w:val="0"/>
        <w:autoSpaceDN w:val="0"/>
        <w:adjustRightInd w:val="0"/>
        <w:ind w:left="851"/>
        <w:rPr>
          <w:sz w:val="24"/>
          <w:szCs w:val="24"/>
        </w:rPr>
      </w:pPr>
      <w:r w:rsidRPr="000210F4">
        <w:rPr>
          <w:rFonts w:ascii="TimesNewRomanPSMT" w:hAnsi="TimesNewRomanPSMT" w:cs="TimesNewRomanPSMT"/>
          <w:sz w:val="24"/>
          <w:szCs w:val="24"/>
          <w:lang w:eastAsia="en-GB"/>
        </w:rPr>
        <w:t xml:space="preserve">I får opnåede den </w:t>
      </w:r>
      <w:proofErr w:type="spellStart"/>
      <w:r w:rsidRPr="000210F4">
        <w:rPr>
          <w:rFonts w:ascii="TimesNewRomanPSMT" w:hAnsi="TimesNewRomanPSMT" w:cs="TimesNewRomanPSMT"/>
          <w:sz w:val="24"/>
          <w:szCs w:val="24"/>
          <w:lang w:eastAsia="en-GB"/>
        </w:rPr>
        <w:t>farmakokinetiske</w:t>
      </w:r>
      <w:proofErr w:type="spellEnd"/>
      <w:r w:rsidRPr="000210F4">
        <w:rPr>
          <w:rFonts w:ascii="TimesNewRomanPSMT" w:hAnsi="TimesNewRomanPSMT" w:cs="TimesNewRomanPSMT"/>
          <w:sz w:val="24"/>
          <w:szCs w:val="24"/>
          <w:lang w:eastAsia="en-GB"/>
        </w:rPr>
        <w:t xml:space="preserve"> profil af produktet, når det blev administreret som en enkelt intramuskulær dosis på 2,5 mg/kg legemsvægt, en maksimal plasmakoncentration (</w:t>
      </w:r>
      <w:proofErr w:type="spellStart"/>
      <w:r w:rsidRPr="000210F4">
        <w:rPr>
          <w:rFonts w:ascii="TimesNewRomanPSMT" w:hAnsi="TimesNewRomanPSMT" w:cs="TimesNewRomanPSMT"/>
          <w:sz w:val="24"/>
          <w:szCs w:val="24"/>
          <w:lang w:eastAsia="en-GB"/>
        </w:rPr>
        <w:t>Cmax</w:t>
      </w:r>
      <w:proofErr w:type="spellEnd"/>
      <w:r w:rsidRPr="000210F4">
        <w:rPr>
          <w:rFonts w:ascii="TimesNewRomanPSMT" w:hAnsi="TimesNewRomanPSMT" w:cs="TimesNewRomanPSMT"/>
          <w:sz w:val="24"/>
          <w:szCs w:val="24"/>
          <w:lang w:eastAsia="en-GB"/>
        </w:rPr>
        <w:t xml:space="preserve">) på 1,19 </w:t>
      </w:r>
      <w:proofErr w:type="spellStart"/>
      <w:r w:rsidRPr="000210F4">
        <w:rPr>
          <w:rFonts w:ascii="TimesNewRomanPSMT" w:hAnsi="TimesNewRomanPSMT" w:cs="TimesNewRomanPSMT"/>
          <w:sz w:val="24"/>
          <w:szCs w:val="24"/>
          <w:lang w:eastAsia="en-GB"/>
        </w:rPr>
        <w:t>μg</w:t>
      </w:r>
      <w:proofErr w:type="spellEnd"/>
      <w:r w:rsidRPr="000210F4">
        <w:rPr>
          <w:rFonts w:ascii="TimesNewRomanPSMT" w:hAnsi="TimesNewRomanPSMT" w:cs="TimesNewRomanPSMT"/>
          <w:sz w:val="24"/>
          <w:szCs w:val="24"/>
          <w:lang w:eastAsia="en-GB"/>
        </w:rPr>
        <w:t>/ml på cirka 15 minutter (</w:t>
      </w:r>
      <w:proofErr w:type="spellStart"/>
      <w:r w:rsidRPr="000210F4">
        <w:rPr>
          <w:rFonts w:ascii="TimesNewRomanPSMT" w:hAnsi="TimesNewRomanPSMT" w:cs="TimesNewRomanPSMT"/>
          <w:sz w:val="24"/>
          <w:szCs w:val="24"/>
          <w:lang w:eastAsia="en-GB"/>
        </w:rPr>
        <w:t>Tmax</w:t>
      </w:r>
      <w:proofErr w:type="spellEnd"/>
      <w:r w:rsidRPr="000210F4">
        <w:rPr>
          <w:rFonts w:ascii="TimesNewRomanPSMT" w:hAnsi="TimesNewRomanPSMT" w:cs="TimesNewRomanPSMT"/>
          <w:sz w:val="24"/>
          <w:szCs w:val="24"/>
          <w:lang w:eastAsia="en-GB"/>
        </w:rPr>
        <w:t xml:space="preserve">) efter dosering og havde en eliminationshalveringstid (t1/2) på 69,7 timer. Plasmaproteinbinding var cirka 60-75%. Efter intravenøs dosering var </w:t>
      </w:r>
      <w:proofErr w:type="spellStart"/>
      <w:r w:rsidRPr="000210F4">
        <w:rPr>
          <w:rFonts w:ascii="TimesNewRomanPSMT" w:hAnsi="TimesNewRomanPSMT" w:cs="TimesNewRomanPSMT"/>
          <w:sz w:val="24"/>
          <w:szCs w:val="24"/>
          <w:lang w:eastAsia="en-GB"/>
        </w:rPr>
        <w:t>fordelingvolumen</w:t>
      </w:r>
      <w:proofErr w:type="spellEnd"/>
      <w:r w:rsidRPr="000210F4">
        <w:rPr>
          <w:rFonts w:ascii="TimesNewRomanPSMT" w:hAnsi="TimesNewRomanPSMT" w:cs="TimesNewRomanPSMT"/>
          <w:sz w:val="24"/>
          <w:szCs w:val="24"/>
          <w:lang w:eastAsia="en-GB"/>
        </w:rPr>
        <w:t xml:space="preserve"> </w:t>
      </w:r>
      <w:proofErr w:type="gramStart"/>
      <w:r w:rsidRPr="000210F4">
        <w:rPr>
          <w:rFonts w:ascii="TimesNewRomanPSMT" w:hAnsi="TimesNewRomanPSMT" w:cs="TimesNewRomanPSMT"/>
          <w:sz w:val="24"/>
          <w:szCs w:val="24"/>
          <w:lang w:eastAsia="en-GB"/>
        </w:rPr>
        <w:t xml:space="preserve">ved  </w:t>
      </w:r>
      <w:proofErr w:type="spellStart"/>
      <w:r w:rsidRPr="000210F4">
        <w:rPr>
          <w:rFonts w:ascii="TimesNewRomanPSMT" w:hAnsi="TimesNewRomanPSMT" w:cs="TimesNewRomanPSMT"/>
          <w:sz w:val="24"/>
          <w:szCs w:val="24"/>
          <w:lang w:eastAsia="en-GB"/>
        </w:rPr>
        <w:t>steady</w:t>
      </w:r>
      <w:proofErr w:type="gramEnd"/>
      <w:r w:rsidRPr="000210F4">
        <w:rPr>
          <w:rFonts w:ascii="TimesNewRomanPSMT" w:hAnsi="TimesNewRomanPSMT" w:cs="TimesNewRomanPSMT"/>
          <w:sz w:val="24"/>
          <w:szCs w:val="24"/>
          <w:lang w:eastAsia="en-GB"/>
        </w:rPr>
        <w:t>-state</w:t>
      </w:r>
      <w:proofErr w:type="spellEnd"/>
      <w:r w:rsidRPr="000210F4">
        <w:rPr>
          <w:rFonts w:ascii="TimesNewRomanPSMT" w:hAnsi="TimesNewRomanPSMT" w:cs="TimesNewRomanPSMT"/>
          <w:sz w:val="24"/>
          <w:szCs w:val="24"/>
          <w:lang w:eastAsia="en-GB"/>
        </w:rPr>
        <w:t xml:space="preserve"> (</w:t>
      </w:r>
      <w:proofErr w:type="spellStart"/>
      <w:r w:rsidRPr="000210F4">
        <w:rPr>
          <w:rFonts w:ascii="TimesNewRomanPSMT" w:hAnsi="TimesNewRomanPSMT" w:cs="TimesNewRomanPSMT"/>
          <w:sz w:val="24"/>
          <w:szCs w:val="24"/>
          <w:lang w:eastAsia="en-GB"/>
        </w:rPr>
        <w:t>Vss</w:t>
      </w:r>
      <w:proofErr w:type="spellEnd"/>
      <w:r w:rsidRPr="000210F4">
        <w:rPr>
          <w:rFonts w:ascii="TimesNewRomanPSMT" w:hAnsi="TimesNewRomanPSMT" w:cs="TimesNewRomanPSMT"/>
          <w:sz w:val="24"/>
          <w:szCs w:val="24"/>
          <w:lang w:eastAsia="en-GB"/>
        </w:rPr>
        <w:t xml:space="preserve">) 31,7 l/kg. Biotilgængeligheden for </w:t>
      </w:r>
      <w:proofErr w:type="spellStart"/>
      <w:r w:rsidRPr="000210F4">
        <w:rPr>
          <w:rFonts w:ascii="TimesNewRomanPSMT" w:hAnsi="TimesNewRomanPSMT" w:cs="TimesNewRomanPSMT"/>
          <w:sz w:val="24"/>
          <w:szCs w:val="24"/>
          <w:lang w:eastAsia="en-GB"/>
        </w:rPr>
        <w:t>tulathromycin</w:t>
      </w:r>
      <w:proofErr w:type="spellEnd"/>
      <w:r w:rsidRPr="000210F4">
        <w:rPr>
          <w:rFonts w:ascii="TimesNewRomanPSMT" w:hAnsi="TimesNewRomanPSMT" w:cs="TimesNewRomanPSMT"/>
          <w:sz w:val="24"/>
          <w:szCs w:val="24"/>
          <w:lang w:eastAsia="en-GB"/>
        </w:rPr>
        <w:t xml:space="preserve"> efter intramuskulær administration hos får var 100%.</w:t>
      </w:r>
    </w:p>
    <w:p w14:paraId="18BB927D" w14:textId="77777777" w:rsidR="00D0772B" w:rsidRPr="000210F4" w:rsidRDefault="00D0772B" w:rsidP="00D0772B">
      <w:pPr>
        <w:tabs>
          <w:tab w:val="left" w:pos="1304"/>
        </w:tabs>
        <w:rPr>
          <w:sz w:val="24"/>
          <w:szCs w:val="24"/>
        </w:rPr>
      </w:pPr>
    </w:p>
    <w:p w14:paraId="6EEF8C71" w14:textId="77777777" w:rsidR="00D0772B" w:rsidRPr="000210F4" w:rsidRDefault="00D0772B" w:rsidP="00D0772B">
      <w:pPr>
        <w:tabs>
          <w:tab w:val="left" w:pos="1304"/>
        </w:tabs>
        <w:rPr>
          <w:sz w:val="24"/>
          <w:szCs w:val="24"/>
        </w:rPr>
      </w:pPr>
    </w:p>
    <w:p w14:paraId="76EBAC61" w14:textId="77777777" w:rsidR="00D0772B" w:rsidRPr="000210F4" w:rsidRDefault="00D0772B" w:rsidP="000210F4">
      <w:pPr>
        <w:ind w:left="851" w:hanging="851"/>
        <w:rPr>
          <w:b/>
          <w:sz w:val="24"/>
          <w:szCs w:val="24"/>
        </w:rPr>
      </w:pPr>
      <w:r w:rsidRPr="000210F4">
        <w:rPr>
          <w:b/>
          <w:sz w:val="24"/>
          <w:szCs w:val="24"/>
        </w:rPr>
        <w:t>5.</w:t>
      </w:r>
      <w:r w:rsidRPr="000210F4">
        <w:rPr>
          <w:b/>
          <w:sz w:val="24"/>
          <w:szCs w:val="24"/>
        </w:rPr>
        <w:tab/>
        <w:t>FARMACEUTISKE OPLYSNINGER</w:t>
      </w:r>
    </w:p>
    <w:p w14:paraId="4A4103A4" w14:textId="77777777" w:rsidR="00D0772B" w:rsidRPr="000210F4" w:rsidRDefault="00D0772B" w:rsidP="00D0772B">
      <w:pPr>
        <w:ind w:left="567" w:hanging="567"/>
        <w:rPr>
          <w:sz w:val="24"/>
          <w:szCs w:val="24"/>
        </w:rPr>
      </w:pPr>
    </w:p>
    <w:p w14:paraId="3B3594E7" w14:textId="77777777" w:rsidR="00D0772B" w:rsidRPr="000210F4" w:rsidRDefault="00D0772B" w:rsidP="000210F4">
      <w:pPr>
        <w:ind w:left="851" w:hanging="851"/>
        <w:rPr>
          <w:sz w:val="24"/>
          <w:szCs w:val="24"/>
        </w:rPr>
      </w:pPr>
      <w:r w:rsidRPr="000210F4">
        <w:rPr>
          <w:b/>
          <w:sz w:val="24"/>
          <w:szCs w:val="24"/>
        </w:rPr>
        <w:t>5.1</w:t>
      </w:r>
      <w:r w:rsidRPr="000210F4">
        <w:rPr>
          <w:b/>
          <w:sz w:val="24"/>
          <w:szCs w:val="24"/>
        </w:rPr>
        <w:tab/>
        <w:t>Væsentlige uforligeligheder</w:t>
      </w:r>
    </w:p>
    <w:p w14:paraId="119E3218" w14:textId="77777777" w:rsidR="00D0772B" w:rsidRPr="000210F4" w:rsidRDefault="00D0772B" w:rsidP="00D0772B">
      <w:pPr>
        <w:tabs>
          <w:tab w:val="left" w:pos="1304"/>
        </w:tabs>
        <w:rPr>
          <w:sz w:val="24"/>
          <w:szCs w:val="24"/>
        </w:rPr>
      </w:pPr>
    </w:p>
    <w:p w14:paraId="7CF483D4" w14:textId="77777777" w:rsidR="00D0772B" w:rsidRPr="000210F4" w:rsidRDefault="00D0772B" w:rsidP="000210F4">
      <w:pPr>
        <w:tabs>
          <w:tab w:val="left" w:pos="1304"/>
        </w:tabs>
        <w:ind w:left="851"/>
        <w:rPr>
          <w:sz w:val="24"/>
          <w:szCs w:val="24"/>
        </w:rPr>
      </w:pPr>
      <w:r w:rsidRPr="000210F4">
        <w:rPr>
          <w:sz w:val="24"/>
          <w:szCs w:val="24"/>
        </w:rPr>
        <w:t xml:space="preserve">Da der ikke foreligger undersøgelser vedrørende eventuelle uforligeligheder, bør dette veterinærlægemiddel ikke blandes med andre veterinærlægemidler. </w:t>
      </w:r>
    </w:p>
    <w:p w14:paraId="4B72564C" w14:textId="77777777" w:rsidR="00D0772B" w:rsidRPr="000210F4" w:rsidRDefault="00D0772B" w:rsidP="00D0772B">
      <w:pPr>
        <w:tabs>
          <w:tab w:val="left" w:pos="1304"/>
        </w:tabs>
        <w:rPr>
          <w:sz w:val="24"/>
          <w:szCs w:val="24"/>
        </w:rPr>
      </w:pPr>
    </w:p>
    <w:p w14:paraId="7C658C3B" w14:textId="77777777" w:rsidR="00D0772B" w:rsidRPr="000210F4" w:rsidRDefault="00D0772B" w:rsidP="000210F4">
      <w:pPr>
        <w:ind w:left="851" w:hanging="851"/>
        <w:rPr>
          <w:b/>
          <w:sz w:val="24"/>
          <w:szCs w:val="24"/>
        </w:rPr>
      </w:pPr>
      <w:r w:rsidRPr="000210F4">
        <w:rPr>
          <w:b/>
          <w:sz w:val="24"/>
          <w:szCs w:val="24"/>
        </w:rPr>
        <w:t>5.2</w:t>
      </w:r>
      <w:r w:rsidRPr="000210F4">
        <w:rPr>
          <w:b/>
          <w:sz w:val="24"/>
          <w:szCs w:val="24"/>
        </w:rPr>
        <w:tab/>
        <w:t>Opbevaringstid</w:t>
      </w:r>
    </w:p>
    <w:p w14:paraId="5EC19F7B" w14:textId="77777777" w:rsidR="00D0772B" w:rsidRPr="000210F4" w:rsidRDefault="00D0772B" w:rsidP="00D0772B">
      <w:pPr>
        <w:tabs>
          <w:tab w:val="left" w:pos="1304"/>
        </w:tabs>
        <w:rPr>
          <w:sz w:val="24"/>
          <w:szCs w:val="24"/>
        </w:rPr>
      </w:pPr>
    </w:p>
    <w:p w14:paraId="451008D3" w14:textId="77777777" w:rsidR="00D0772B" w:rsidRPr="000210F4" w:rsidRDefault="00D0772B" w:rsidP="000210F4">
      <w:pPr>
        <w:tabs>
          <w:tab w:val="left" w:pos="1304"/>
        </w:tabs>
        <w:autoSpaceDE w:val="0"/>
        <w:autoSpaceDN w:val="0"/>
        <w:adjustRightInd w:val="0"/>
        <w:ind w:firstLine="851"/>
        <w:rPr>
          <w:rFonts w:ascii="TimesNewRomanPSMT" w:hAnsi="TimesNewRomanPSMT" w:cs="TimesNewRomanPSMT"/>
          <w:sz w:val="24"/>
          <w:szCs w:val="24"/>
          <w:lang w:eastAsia="en-GB"/>
        </w:rPr>
      </w:pPr>
      <w:r w:rsidRPr="000210F4">
        <w:rPr>
          <w:sz w:val="24"/>
          <w:szCs w:val="24"/>
        </w:rPr>
        <w:t>Opbevaringstid for veterinærlægemidlet i salgspakning</w:t>
      </w:r>
      <w:r w:rsidRPr="000210F4">
        <w:rPr>
          <w:rFonts w:ascii="TimesNewRomanPSMT" w:hAnsi="TimesNewRomanPSMT" w:cs="TimesNewRomanPSMT"/>
          <w:sz w:val="24"/>
          <w:szCs w:val="24"/>
          <w:lang w:eastAsia="en-GB"/>
        </w:rPr>
        <w:t xml:space="preserve">: 2 </w:t>
      </w:r>
      <w:r w:rsidRPr="000210F4">
        <w:rPr>
          <w:sz w:val="24"/>
          <w:szCs w:val="24"/>
        </w:rPr>
        <w:t>år</w:t>
      </w:r>
      <w:r w:rsidRPr="000210F4">
        <w:rPr>
          <w:rFonts w:ascii="TimesNewRomanPSMT" w:hAnsi="TimesNewRomanPSMT" w:cs="TimesNewRomanPSMT"/>
          <w:sz w:val="24"/>
          <w:szCs w:val="24"/>
          <w:lang w:eastAsia="en-GB"/>
        </w:rPr>
        <w:t>.</w:t>
      </w:r>
    </w:p>
    <w:p w14:paraId="132F6A03" w14:textId="77777777" w:rsidR="00D0772B" w:rsidRPr="000210F4" w:rsidRDefault="00D0772B" w:rsidP="000210F4">
      <w:pPr>
        <w:tabs>
          <w:tab w:val="left" w:pos="1304"/>
        </w:tabs>
        <w:ind w:firstLine="851"/>
        <w:rPr>
          <w:rFonts w:ascii="TimesNewRomanPSMT" w:hAnsi="TimesNewRomanPSMT" w:cs="TimesNewRomanPSMT"/>
          <w:sz w:val="24"/>
          <w:szCs w:val="24"/>
          <w:lang w:eastAsia="en-GB"/>
        </w:rPr>
      </w:pPr>
      <w:r w:rsidRPr="000210F4">
        <w:rPr>
          <w:sz w:val="24"/>
          <w:szCs w:val="24"/>
        </w:rPr>
        <w:t>Opbevaringstid efter første åbning af den indre emballage</w:t>
      </w:r>
      <w:r w:rsidRPr="000210F4">
        <w:rPr>
          <w:rFonts w:ascii="TimesNewRomanPSMT" w:hAnsi="TimesNewRomanPSMT" w:cs="TimesNewRomanPSMT"/>
          <w:sz w:val="24"/>
          <w:szCs w:val="24"/>
          <w:lang w:eastAsia="en-GB"/>
        </w:rPr>
        <w:t>: 28 dage.</w:t>
      </w:r>
    </w:p>
    <w:p w14:paraId="1D02A306" w14:textId="77777777" w:rsidR="00D0772B" w:rsidRPr="000210F4" w:rsidRDefault="00D0772B" w:rsidP="00D0772B">
      <w:pPr>
        <w:tabs>
          <w:tab w:val="left" w:pos="1304"/>
        </w:tabs>
        <w:rPr>
          <w:sz w:val="24"/>
          <w:szCs w:val="24"/>
        </w:rPr>
      </w:pPr>
    </w:p>
    <w:p w14:paraId="0934DDEC" w14:textId="77777777" w:rsidR="00D0772B" w:rsidRPr="000210F4" w:rsidRDefault="00D0772B" w:rsidP="000210F4">
      <w:pPr>
        <w:tabs>
          <w:tab w:val="left" w:pos="851"/>
        </w:tabs>
        <w:rPr>
          <w:sz w:val="24"/>
          <w:szCs w:val="24"/>
        </w:rPr>
      </w:pPr>
      <w:r w:rsidRPr="000210F4">
        <w:rPr>
          <w:b/>
          <w:sz w:val="24"/>
          <w:szCs w:val="24"/>
        </w:rPr>
        <w:t>5.3</w:t>
      </w:r>
      <w:r w:rsidRPr="000210F4">
        <w:rPr>
          <w:b/>
          <w:sz w:val="24"/>
          <w:szCs w:val="24"/>
        </w:rPr>
        <w:tab/>
        <w:t>Særlige forholdsregler vedrørende opbevaring</w:t>
      </w:r>
    </w:p>
    <w:p w14:paraId="4C3257D0" w14:textId="77777777" w:rsidR="00D0772B" w:rsidRPr="000210F4" w:rsidRDefault="00D0772B" w:rsidP="00D0772B">
      <w:pPr>
        <w:tabs>
          <w:tab w:val="left" w:pos="1304"/>
        </w:tabs>
        <w:rPr>
          <w:sz w:val="24"/>
          <w:szCs w:val="24"/>
        </w:rPr>
      </w:pPr>
    </w:p>
    <w:p w14:paraId="425F9F6D" w14:textId="77777777" w:rsidR="00D0772B" w:rsidRPr="000210F4" w:rsidRDefault="00D0772B" w:rsidP="000210F4">
      <w:pPr>
        <w:tabs>
          <w:tab w:val="left" w:pos="1304"/>
        </w:tabs>
        <w:ind w:firstLine="851"/>
        <w:rPr>
          <w:sz w:val="24"/>
          <w:szCs w:val="24"/>
        </w:rPr>
      </w:pPr>
      <w:r w:rsidRPr="000210F4">
        <w:rPr>
          <w:noProof/>
          <w:sz w:val="24"/>
          <w:szCs w:val="24"/>
        </w:rPr>
        <w:t>Der er ingen særlige krav vedrørende opbevaringsforhold for dette veterinærlægemiddel</w:t>
      </w:r>
      <w:r w:rsidRPr="000210F4">
        <w:rPr>
          <w:sz w:val="24"/>
          <w:szCs w:val="24"/>
        </w:rPr>
        <w:t>.</w:t>
      </w:r>
    </w:p>
    <w:p w14:paraId="697402C5" w14:textId="77777777" w:rsidR="00D0772B" w:rsidRPr="000210F4" w:rsidRDefault="00D0772B" w:rsidP="00D0772B">
      <w:pPr>
        <w:tabs>
          <w:tab w:val="left" w:pos="1304"/>
        </w:tabs>
        <w:rPr>
          <w:sz w:val="24"/>
          <w:szCs w:val="24"/>
        </w:rPr>
      </w:pPr>
    </w:p>
    <w:p w14:paraId="229B282B" w14:textId="77777777" w:rsidR="00D0772B" w:rsidRPr="000210F4" w:rsidRDefault="00D0772B" w:rsidP="000210F4">
      <w:pPr>
        <w:tabs>
          <w:tab w:val="left" w:pos="851"/>
        </w:tabs>
        <w:rPr>
          <w:sz w:val="24"/>
          <w:szCs w:val="24"/>
        </w:rPr>
      </w:pPr>
      <w:r w:rsidRPr="000210F4">
        <w:rPr>
          <w:b/>
          <w:sz w:val="24"/>
          <w:szCs w:val="24"/>
        </w:rPr>
        <w:t>5.4</w:t>
      </w:r>
      <w:r w:rsidRPr="000210F4">
        <w:rPr>
          <w:b/>
          <w:sz w:val="24"/>
          <w:szCs w:val="24"/>
        </w:rPr>
        <w:tab/>
        <w:t>Den indre emballages art og indhold</w:t>
      </w:r>
    </w:p>
    <w:p w14:paraId="3560C2FA" w14:textId="77777777" w:rsidR="00D0772B" w:rsidRPr="000210F4" w:rsidRDefault="00D0772B" w:rsidP="00D0772B">
      <w:pPr>
        <w:tabs>
          <w:tab w:val="left" w:pos="1304"/>
        </w:tabs>
        <w:rPr>
          <w:sz w:val="24"/>
          <w:szCs w:val="24"/>
        </w:rPr>
      </w:pPr>
    </w:p>
    <w:p w14:paraId="5C24C3FD"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 xml:space="preserve">Primære emballage: Type I hætteglas af klart glas med en gummiprop af </w:t>
      </w:r>
      <w:proofErr w:type="spellStart"/>
      <w:r w:rsidRPr="000210F4">
        <w:rPr>
          <w:rFonts w:ascii="TimesNewRomanPSMT" w:hAnsi="TimesNewRomanPSMT" w:cs="TimesNewRomanPSMT"/>
          <w:sz w:val="24"/>
          <w:szCs w:val="24"/>
          <w:lang w:eastAsia="en-GB"/>
        </w:rPr>
        <w:t>klorobutyl</w:t>
      </w:r>
      <w:proofErr w:type="spellEnd"/>
      <w:r w:rsidRPr="000210F4">
        <w:rPr>
          <w:rFonts w:ascii="TimesNewRomanPSMT" w:hAnsi="TimesNewRomanPSMT" w:cs="TimesNewRomanPSMT"/>
          <w:sz w:val="24"/>
          <w:szCs w:val="24"/>
          <w:lang w:eastAsia="en-GB"/>
        </w:rPr>
        <w:t xml:space="preserve"> og forsegling af aluminium.</w:t>
      </w:r>
    </w:p>
    <w:p w14:paraId="097FB294"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02F2A04D"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Pakningsstørrelse: Kartonæske indeholdende et hætteglas.</w:t>
      </w:r>
    </w:p>
    <w:p w14:paraId="30FC56DB"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5B9CE1D5"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Størrelser af hætteglas: 50 ml, 100 ml, 250 ml og 500 ml.</w:t>
      </w:r>
    </w:p>
    <w:p w14:paraId="2C9083CB"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r w:rsidRPr="000210F4">
        <w:rPr>
          <w:rFonts w:ascii="TimesNewRomanPSMT" w:hAnsi="TimesNewRomanPSMT" w:cs="TimesNewRomanPSMT"/>
          <w:sz w:val="24"/>
          <w:szCs w:val="24"/>
          <w:lang w:eastAsia="en-GB"/>
        </w:rPr>
        <w:t>Hætteglassene på 500 ml må ikke anvendes til svin og får.</w:t>
      </w:r>
    </w:p>
    <w:p w14:paraId="3F1CCD4D" w14:textId="77777777" w:rsidR="00D0772B" w:rsidRPr="000210F4" w:rsidRDefault="00D0772B" w:rsidP="000210F4">
      <w:pPr>
        <w:tabs>
          <w:tab w:val="left" w:pos="1304"/>
        </w:tabs>
        <w:autoSpaceDE w:val="0"/>
        <w:autoSpaceDN w:val="0"/>
        <w:adjustRightInd w:val="0"/>
        <w:ind w:left="851"/>
        <w:rPr>
          <w:rFonts w:ascii="TimesNewRomanPSMT" w:hAnsi="TimesNewRomanPSMT" w:cs="TimesNewRomanPSMT"/>
          <w:sz w:val="24"/>
          <w:szCs w:val="24"/>
          <w:lang w:eastAsia="en-GB"/>
        </w:rPr>
      </w:pPr>
    </w:p>
    <w:p w14:paraId="4EFCD28C" w14:textId="77777777" w:rsidR="00D0772B" w:rsidRPr="000210F4" w:rsidRDefault="00D0772B" w:rsidP="000210F4">
      <w:pPr>
        <w:tabs>
          <w:tab w:val="left" w:pos="1304"/>
        </w:tabs>
        <w:ind w:left="851"/>
        <w:rPr>
          <w:sz w:val="24"/>
          <w:szCs w:val="24"/>
        </w:rPr>
      </w:pPr>
      <w:r w:rsidRPr="000210F4">
        <w:rPr>
          <w:sz w:val="24"/>
          <w:szCs w:val="24"/>
        </w:rPr>
        <w:t>Ikke alle pakningsstørrelser er nødvendigvis markedsført</w:t>
      </w:r>
      <w:r w:rsidRPr="000210F4">
        <w:rPr>
          <w:rFonts w:ascii="TimesNewRomanPSMT" w:hAnsi="TimesNewRomanPSMT" w:cs="TimesNewRomanPSMT"/>
          <w:sz w:val="24"/>
          <w:szCs w:val="24"/>
          <w:lang w:eastAsia="en-GB"/>
        </w:rPr>
        <w:t>.</w:t>
      </w:r>
    </w:p>
    <w:p w14:paraId="54261AF3" w14:textId="77777777" w:rsidR="00D0772B" w:rsidRPr="000210F4" w:rsidRDefault="00D0772B" w:rsidP="00D0772B">
      <w:pPr>
        <w:tabs>
          <w:tab w:val="left" w:pos="1304"/>
        </w:tabs>
        <w:rPr>
          <w:sz w:val="24"/>
          <w:szCs w:val="24"/>
        </w:rPr>
      </w:pPr>
    </w:p>
    <w:p w14:paraId="54E4D12A" w14:textId="77777777" w:rsidR="00D0772B" w:rsidRPr="000210F4" w:rsidRDefault="00D0772B" w:rsidP="000210F4">
      <w:pPr>
        <w:ind w:left="851" w:hanging="851"/>
        <w:rPr>
          <w:b/>
          <w:sz w:val="24"/>
          <w:szCs w:val="24"/>
        </w:rPr>
      </w:pPr>
      <w:r w:rsidRPr="000210F4">
        <w:rPr>
          <w:b/>
          <w:sz w:val="24"/>
          <w:szCs w:val="24"/>
        </w:rPr>
        <w:t>5.5</w:t>
      </w:r>
      <w:r w:rsidRPr="000210F4">
        <w:rPr>
          <w:sz w:val="24"/>
          <w:szCs w:val="24"/>
        </w:rPr>
        <w:tab/>
      </w:r>
      <w:r w:rsidRPr="000210F4">
        <w:rPr>
          <w:b/>
          <w:sz w:val="24"/>
          <w:szCs w:val="24"/>
        </w:rPr>
        <w:t>Særlige forholdsregler vedrørende bortskaffelse af ubrugte veterinærlægemidler eller affaldsmaterialer fra brugen heraf</w:t>
      </w:r>
    </w:p>
    <w:p w14:paraId="69391FE2" w14:textId="77777777" w:rsidR="00D0772B" w:rsidRPr="000210F4" w:rsidRDefault="00D0772B" w:rsidP="00D0772B">
      <w:pPr>
        <w:tabs>
          <w:tab w:val="left" w:pos="1304"/>
        </w:tabs>
        <w:rPr>
          <w:sz w:val="24"/>
          <w:szCs w:val="24"/>
        </w:rPr>
      </w:pPr>
    </w:p>
    <w:p w14:paraId="4F8902F5" w14:textId="77777777" w:rsidR="00D0772B" w:rsidRPr="000210F4" w:rsidRDefault="00D0772B" w:rsidP="000210F4">
      <w:pPr>
        <w:tabs>
          <w:tab w:val="left" w:pos="1304"/>
        </w:tabs>
        <w:ind w:left="851"/>
        <w:rPr>
          <w:sz w:val="24"/>
          <w:szCs w:val="24"/>
        </w:rPr>
      </w:pPr>
      <w:r w:rsidRPr="000210F4">
        <w:rPr>
          <w:sz w:val="24"/>
          <w:szCs w:val="24"/>
        </w:rPr>
        <w:t>Lægemidler må ikke bortskaffes sammen med spildevand eller husholdningsaffald.</w:t>
      </w:r>
    </w:p>
    <w:p w14:paraId="56435362" w14:textId="77777777" w:rsidR="00D0772B" w:rsidRPr="000210F4" w:rsidRDefault="00D0772B" w:rsidP="000210F4">
      <w:pPr>
        <w:tabs>
          <w:tab w:val="left" w:pos="1304"/>
        </w:tabs>
        <w:ind w:left="851"/>
        <w:rPr>
          <w:sz w:val="24"/>
          <w:szCs w:val="24"/>
        </w:rPr>
      </w:pPr>
    </w:p>
    <w:p w14:paraId="6FE2C365" w14:textId="77777777" w:rsidR="00D0772B" w:rsidRPr="000210F4" w:rsidRDefault="00D0772B" w:rsidP="000210F4">
      <w:pPr>
        <w:tabs>
          <w:tab w:val="left" w:pos="1304"/>
        </w:tabs>
        <w:ind w:left="851"/>
        <w:rPr>
          <w:sz w:val="24"/>
          <w:szCs w:val="24"/>
        </w:rPr>
      </w:pPr>
      <w:r w:rsidRPr="000210F4">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696EF000" w14:textId="77777777" w:rsidR="00D0772B" w:rsidRPr="000210F4" w:rsidRDefault="00D0772B" w:rsidP="000210F4">
      <w:pPr>
        <w:tabs>
          <w:tab w:val="left" w:pos="1304"/>
        </w:tabs>
        <w:ind w:left="851"/>
        <w:rPr>
          <w:sz w:val="24"/>
          <w:szCs w:val="24"/>
        </w:rPr>
      </w:pPr>
    </w:p>
    <w:p w14:paraId="5FFA2902" w14:textId="77777777" w:rsidR="00D0772B" w:rsidRPr="000210F4" w:rsidRDefault="00D0772B" w:rsidP="00D0772B">
      <w:pPr>
        <w:tabs>
          <w:tab w:val="left" w:pos="1304"/>
        </w:tabs>
        <w:rPr>
          <w:sz w:val="24"/>
          <w:szCs w:val="24"/>
        </w:rPr>
      </w:pPr>
    </w:p>
    <w:p w14:paraId="1B0418FB" w14:textId="77777777" w:rsidR="00D0772B" w:rsidRPr="000210F4" w:rsidRDefault="00D0772B" w:rsidP="000210F4">
      <w:pPr>
        <w:tabs>
          <w:tab w:val="left" w:pos="851"/>
        </w:tabs>
        <w:rPr>
          <w:b/>
          <w:sz w:val="24"/>
          <w:szCs w:val="24"/>
        </w:rPr>
      </w:pPr>
      <w:r w:rsidRPr="000210F4">
        <w:rPr>
          <w:b/>
          <w:sz w:val="24"/>
          <w:szCs w:val="24"/>
        </w:rPr>
        <w:t>6.</w:t>
      </w:r>
      <w:r w:rsidRPr="000210F4">
        <w:rPr>
          <w:b/>
          <w:sz w:val="24"/>
          <w:szCs w:val="24"/>
        </w:rPr>
        <w:tab/>
        <w:t>NAVN PÅ INDEHAVEREN AF MARKEDSFØRINGSTILLADELSEN</w:t>
      </w:r>
    </w:p>
    <w:p w14:paraId="073F1434" w14:textId="77777777" w:rsidR="00D0772B" w:rsidRPr="000210F4" w:rsidRDefault="00D0772B" w:rsidP="00D0772B">
      <w:pPr>
        <w:tabs>
          <w:tab w:val="left" w:pos="1304"/>
        </w:tabs>
        <w:rPr>
          <w:sz w:val="24"/>
          <w:szCs w:val="24"/>
        </w:rPr>
      </w:pPr>
    </w:p>
    <w:p w14:paraId="19F6B927" w14:textId="77777777" w:rsidR="00D0772B" w:rsidRPr="000210F4" w:rsidRDefault="00D0772B" w:rsidP="000210F4">
      <w:pPr>
        <w:tabs>
          <w:tab w:val="left" w:pos="1304"/>
        </w:tabs>
        <w:ind w:firstLine="851"/>
        <w:rPr>
          <w:sz w:val="24"/>
          <w:szCs w:val="24"/>
        </w:rPr>
      </w:pPr>
      <w:proofErr w:type="spellStart"/>
      <w:r w:rsidRPr="000210F4">
        <w:rPr>
          <w:sz w:val="24"/>
          <w:szCs w:val="24"/>
        </w:rPr>
        <w:t>Bimeda</w:t>
      </w:r>
      <w:proofErr w:type="spellEnd"/>
      <w:r w:rsidRPr="000210F4">
        <w:rPr>
          <w:sz w:val="24"/>
          <w:szCs w:val="24"/>
        </w:rPr>
        <w:t xml:space="preserve"> Animal Health Limited </w:t>
      </w:r>
    </w:p>
    <w:p w14:paraId="2929D1BB" w14:textId="77777777" w:rsidR="00D0772B" w:rsidRPr="000210F4" w:rsidRDefault="00D0772B" w:rsidP="000210F4">
      <w:pPr>
        <w:tabs>
          <w:tab w:val="left" w:pos="1304"/>
        </w:tabs>
        <w:ind w:firstLine="851"/>
        <w:rPr>
          <w:sz w:val="24"/>
          <w:szCs w:val="24"/>
          <w:lang w:val="en-GB"/>
        </w:rPr>
      </w:pPr>
      <w:r w:rsidRPr="000210F4">
        <w:rPr>
          <w:sz w:val="24"/>
          <w:szCs w:val="24"/>
          <w:lang w:val="en-US"/>
        </w:rPr>
        <w:t xml:space="preserve">Unit 2/3/4 Airton Close </w:t>
      </w:r>
    </w:p>
    <w:p w14:paraId="445FAE21" w14:textId="77777777" w:rsidR="00D0772B" w:rsidRPr="000210F4" w:rsidRDefault="00D0772B" w:rsidP="000210F4">
      <w:pPr>
        <w:tabs>
          <w:tab w:val="left" w:pos="1304"/>
        </w:tabs>
        <w:ind w:firstLine="851"/>
        <w:rPr>
          <w:sz w:val="24"/>
          <w:szCs w:val="24"/>
          <w:lang w:val="en-US"/>
        </w:rPr>
      </w:pPr>
      <w:proofErr w:type="spellStart"/>
      <w:r w:rsidRPr="000210F4">
        <w:rPr>
          <w:sz w:val="24"/>
          <w:szCs w:val="24"/>
          <w:lang w:val="en-US"/>
        </w:rPr>
        <w:t>Tallaght</w:t>
      </w:r>
      <w:proofErr w:type="spellEnd"/>
      <w:r w:rsidRPr="000210F4">
        <w:rPr>
          <w:sz w:val="24"/>
          <w:szCs w:val="24"/>
          <w:lang w:val="en-US"/>
        </w:rPr>
        <w:t xml:space="preserve"> </w:t>
      </w:r>
    </w:p>
    <w:p w14:paraId="25A7EE7F" w14:textId="77777777" w:rsidR="00D0772B" w:rsidRPr="000210F4" w:rsidRDefault="00D0772B" w:rsidP="000210F4">
      <w:pPr>
        <w:tabs>
          <w:tab w:val="left" w:pos="1304"/>
        </w:tabs>
        <w:ind w:firstLine="851"/>
        <w:rPr>
          <w:sz w:val="24"/>
          <w:szCs w:val="24"/>
          <w:lang w:val="en-US"/>
        </w:rPr>
      </w:pPr>
      <w:r w:rsidRPr="000210F4">
        <w:rPr>
          <w:sz w:val="24"/>
          <w:szCs w:val="24"/>
          <w:lang w:val="en-US"/>
        </w:rPr>
        <w:t xml:space="preserve">Dublin 24 </w:t>
      </w:r>
    </w:p>
    <w:p w14:paraId="3675550E" w14:textId="77777777" w:rsidR="00D0772B" w:rsidRPr="000210F4" w:rsidRDefault="00D0772B" w:rsidP="000210F4">
      <w:pPr>
        <w:tabs>
          <w:tab w:val="left" w:pos="1304"/>
        </w:tabs>
        <w:ind w:firstLine="851"/>
        <w:rPr>
          <w:sz w:val="24"/>
          <w:szCs w:val="24"/>
        </w:rPr>
      </w:pPr>
      <w:r w:rsidRPr="000210F4">
        <w:rPr>
          <w:sz w:val="24"/>
          <w:szCs w:val="24"/>
        </w:rPr>
        <w:t>Irland</w:t>
      </w:r>
    </w:p>
    <w:p w14:paraId="4E4CC889" w14:textId="77777777" w:rsidR="00D0772B" w:rsidRPr="000210F4" w:rsidRDefault="00D0772B" w:rsidP="000210F4">
      <w:pPr>
        <w:tabs>
          <w:tab w:val="left" w:pos="1304"/>
        </w:tabs>
        <w:ind w:firstLine="851"/>
        <w:rPr>
          <w:sz w:val="24"/>
          <w:szCs w:val="24"/>
        </w:rPr>
      </w:pPr>
    </w:p>
    <w:p w14:paraId="72B6106D" w14:textId="77777777" w:rsidR="00D0772B" w:rsidRPr="000210F4" w:rsidRDefault="00D0772B" w:rsidP="00D0772B">
      <w:pPr>
        <w:tabs>
          <w:tab w:val="left" w:pos="1304"/>
        </w:tabs>
        <w:rPr>
          <w:sz w:val="24"/>
          <w:szCs w:val="24"/>
        </w:rPr>
      </w:pPr>
    </w:p>
    <w:p w14:paraId="4DA10B93" w14:textId="77777777" w:rsidR="00D0772B" w:rsidRPr="000210F4" w:rsidRDefault="00D0772B" w:rsidP="000210F4">
      <w:pPr>
        <w:ind w:left="851" w:hanging="851"/>
        <w:rPr>
          <w:b/>
          <w:sz w:val="24"/>
          <w:szCs w:val="24"/>
        </w:rPr>
      </w:pPr>
      <w:r w:rsidRPr="000210F4">
        <w:rPr>
          <w:b/>
          <w:sz w:val="24"/>
          <w:szCs w:val="24"/>
        </w:rPr>
        <w:t>7.</w:t>
      </w:r>
      <w:r w:rsidRPr="000210F4">
        <w:rPr>
          <w:b/>
          <w:sz w:val="24"/>
          <w:szCs w:val="24"/>
        </w:rPr>
        <w:tab/>
        <w:t>MARKEDSFØRINGSTILLADELSESNUMMER (</w:t>
      </w:r>
      <w:r w:rsidRPr="000210F4">
        <w:rPr>
          <w:b/>
          <w:sz w:val="24"/>
          <w:szCs w:val="24"/>
        </w:rPr>
        <w:noBreakHyphen/>
        <w:t>NUMRE)</w:t>
      </w:r>
    </w:p>
    <w:p w14:paraId="3645E87C" w14:textId="77777777" w:rsidR="00D0772B" w:rsidRPr="000210F4" w:rsidRDefault="00D0772B" w:rsidP="00D0772B">
      <w:pPr>
        <w:ind w:left="567" w:hanging="567"/>
        <w:rPr>
          <w:bCs/>
          <w:sz w:val="24"/>
          <w:szCs w:val="24"/>
        </w:rPr>
      </w:pPr>
    </w:p>
    <w:p w14:paraId="32F4ADF8" w14:textId="77777777" w:rsidR="00D0772B" w:rsidRPr="000210F4" w:rsidRDefault="00D0772B" w:rsidP="000210F4">
      <w:pPr>
        <w:ind w:left="567" w:firstLine="284"/>
        <w:rPr>
          <w:b/>
          <w:sz w:val="24"/>
          <w:szCs w:val="24"/>
        </w:rPr>
      </w:pPr>
      <w:r w:rsidRPr="000210F4">
        <w:rPr>
          <w:bCs/>
          <w:sz w:val="24"/>
          <w:szCs w:val="24"/>
        </w:rPr>
        <w:lastRenderedPageBreak/>
        <w:t>63139</w:t>
      </w:r>
      <w:r w:rsidRPr="000210F4">
        <w:rPr>
          <w:b/>
          <w:sz w:val="24"/>
          <w:szCs w:val="24"/>
        </w:rPr>
        <w:t xml:space="preserve"> </w:t>
      </w:r>
    </w:p>
    <w:p w14:paraId="6FC2E386" w14:textId="77777777" w:rsidR="00D0772B" w:rsidRPr="000210F4" w:rsidRDefault="00D0772B" w:rsidP="00D0772B">
      <w:pPr>
        <w:ind w:left="567" w:hanging="567"/>
        <w:rPr>
          <w:b/>
          <w:sz w:val="24"/>
          <w:szCs w:val="24"/>
        </w:rPr>
      </w:pPr>
    </w:p>
    <w:p w14:paraId="229F831E" w14:textId="77777777" w:rsidR="00D0772B" w:rsidRPr="000210F4" w:rsidRDefault="00D0772B" w:rsidP="00D0772B">
      <w:pPr>
        <w:ind w:left="567" w:hanging="567"/>
        <w:rPr>
          <w:sz w:val="24"/>
          <w:szCs w:val="24"/>
        </w:rPr>
      </w:pPr>
    </w:p>
    <w:p w14:paraId="5C75DE0E" w14:textId="77777777" w:rsidR="00D0772B" w:rsidRPr="000210F4" w:rsidRDefault="00D0772B" w:rsidP="000210F4">
      <w:pPr>
        <w:ind w:left="851" w:hanging="851"/>
        <w:rPr>
          <w:rFonts w:ascii="Arial" w:hAnsi="Arial" w:cs="Arial"/>
          <w:sz w:val="24"/>
          <w:szCs w:val="24"/>
        </w:rPr>
      </w:pPr>
      <w:r w:rsidRPr="000210F4">
        <w:rPr>
          <w:b/>
          <w:sz w:val="24"/>
          <w:szCs w:val="24"/>
        </w:rPr>
        <w:t>8.</w:t>
      </w:r>
      <w:r w:rsidRPr="000210F4">
        <w:rPr>
          <w:b/>
          <w:sz w:val="24"/>
          <w:szCs w:val="24"/>
        </w:rPr>
        <w:tab/>
        <w:t>DATO FOR FØRSTE TILLADELSE</w:t>
      </w:r>
    </w:p>
    <w:p w14:paraId="30D495DB" w14:textId="77777777" w:rsidR="00D0772B" w:rsidRPr="000210F4" w:rsidRDefault="00D0772B" w:rsidP="00D0772B">
      <w:pPr>
        <w:ind w:left="567" w:hanging="567"/>
        <w:rPr>
          <w:sz w:val="24"/>
          <w:szCs w:val="24"/>
        </w:rPr>
      </w:pPr>
    </w:p>
    <w:p w14:paraId="6685B312" w14:textId="77777777" w:rsidR="00D0772B" w:rsidRPr="000210F4" w:rsidRDefault="00D0772B" w:rsidP="000210F4">
      <w:pPr>
        <w:ind w:left="851"/>
        <w:rPr>
          <w:sz w:val="24"/>
          <w:szCs w:val="24"/>
        </w:rPr>
      </w:pPr>
      <w:r w:rsidRPr="000210F4">
        <w:rPr>
          <w:sz w:val="24"/>
          <w:szCs w:val="24"/>
        </w:rPr>
        <w:t>Dato for første markedsføringstilladelse:</w:t>
      </w:r>
    </w:p>
    <w:p w14:paraId="3233A271" w14:textId="77777777" w:rsidR="00D0772B" w:rsidRPr="000210F4" w:rsidRDefault="00D0772B" w:rsidP="000210F4">
      <w:pPr>
        <w:ind w:left="851"/>
        <w:rPr>
          <w:sz w:val="24"/>
          <w:szCs w:val="24"/>
        </w:rPr>
      </w:pPr>
      <w:r w:rsidRPr="000210F4">
        <w:rPr>
          <w:sz w:val="24"/>
          <w:szCs w:val="24"/>
        </w:rPr>
        <w:t>7. september 2020</w:t>
      </w:r>
    </w:p>
    <w:p w14:paraId="01EB87EB" w14:textId="77777777" w:rsidR="00D0772B" w:rsidRPr="000210F4" w:rsidRDefault="00D0772B" w:rsidP="00D0772B">
      <w:pPr>
        <w:ind w:left="567" w:hanging="567"/>
        <w:rPr>
          <w:sz w:val="24"/>
          <w:szCs w:val="24"/>
        </w:rPr>
      </w:pPr>
    </w:p>
    <w:p w14:paraId="43CA050F" w14:textId="77777777" w:rsidR="00D0772B" w:rsidRPr="000210F4" w:rsidRDefault="00D0772B" w:rsidP="00D0772B">
      <w:pPr>
        <w:ind w:left="567" w:hanging="567"/>
        <w:rPr>
          <w:sz w:val="24"/>
          <w:szCs w:val="24"/>
        </w:rPr>
      </w:pPr>
    </w:p>
    <w:p w14:paraId="3830DD41" w14:textId="77777777" w:rsidR="00D0772B" w:rsidRPr="000210F4" w:rsidRDefault="00D0772B" w:rsidP="000210F4">
      <w:pPr>
        <w:ind w:left="851" w:hanging="851"/>
        <w:rPr>
          <w:b/>
          <w:bCs/>
          <w:sz w:val="24"/>
          <w:szCs w:val="24"/>
        </w:rPr>
      </w:pPr>
      <w:r w:rsidRPr="000210F4">
        <w:rPr>
          <w:b/>
          <w:bCs/>
          <w:sz w:val="24"/>
          <w:szCs w:val="24"/>
        </w:rPr>
        <w:t>9.</w:t>
      </w:r>
      <w:r w:rsidRPr="000210F4">
        <w:rPr>
          <w:b/>
          <w:bCs/>
          <w:sz w:val="24"/>
          <w:szCs w:val="24"/>
        </w:rPr>
        <w:tab/>
        <w:t>DATO FOR SENESTE ÆNDRING AF PRODUKTRESUMÉET</w:t>
      </w:r>
    </w:p>
    <w:p w14:paraId="45A4D80F" w14:textId="77777777" w:rsidR="00D0772B" w:rsidRPr="000210F4" w:rsidRDefault="00D0772B" w:rsidP="00D0772B">
      <w:pPr>
        <w:ind w:left="567" w:hanging="567"/>
        <w:rPr>
          <w:sz w:val="24"/>
          <w:szCs w:val="24"/>
        </w:rPr>
      </w:pPr>
    </w:p>
    <w:p w14:paraId="41EFAAF3" w14:textId="2D80EC69" w:rsidR="00D0772B" w:rsidRPr="000210F4" w:rsidRDefault="00D0772B" w:rsidP="00D0772B">
      <w:pPr>
        <w:tabs>
          <w:tab w:val="left" w:pos="1304"/>
        </w:tabs>
        <w:ind w:firstLine="851"/>
        <w:rPr>
          <w:sz w:val="24"/>
          <w:szCs w:val="24"/>
        </w:rPr>
      </w:pPr>
      <w:r w:rsidRPr="000210F4">
        <w:rPr>
          <w:sz w:val="24"/>
          <w:szCs w:val="24"/>
        </w:rPr>
        <w:t>2</w:t>
      </w:r>
      <w:r w:rsidR="004A07AA">
        <w:rPr>
          <w:sz w:val="24"/>
          <w:szCs w:val="24"/>
        </w:rPr>
        <w:t>2</w:t>
      </w:r>
      <w:bookmarkStart w:id="1" w:name="_GoBack"/>
      <w:bookmarkEnd w:id="1"/>
      <w:r w:rsidRPr="000210F4">
        <w:rPr>
          <w:sz w:val="24"/>
          <w:szCs w:val="24"/>
        </w:rPr>
        <w:t>. november 2024</w:t>
      </w:r>
    </w:p>
    <w:p w14:paraId="096438FE" w14:textId="77777777" w:rsidR="00D0772B" w:rsidRPr="000210F4" w:rsidRDefault="00D0772B" w:rsidP="00D0772B">
      <w:pPr>
        <w:tabs>
          <w:tab w:val="left" w:pos="1304"/>
        </w:tabs>
        <w:rPr>
          <w:sz w:val="24"/>
          <w:szCs w:val="24"/>
        </w:rPr>
      </w:pPr>
    </w:p>
    <w:p w14:paraId="227E0226" w14:textId="77777777" w:rsidR="00D0772B" w:rsidRPr="000210F4" w:rsidRDefault="00D0772B" w:rsidP="000210F4">
      <w:pPr>
        <w:ind w:left="851" w:hanging="851"/>
        <w:rPr>
          <w:b/>
          <w:bCs/>
          <w:sz w:val="24"/>
          <w:szCs w:val="24"/>
        </w:rPr>
      </w:pPr>
      <w:r w:rsidRPr="000210F4">
        <w:rPr>
          <w:b/>
          <w:bCs/>
          <w:sz w:val="24"/>
          <w:szCs w:val="24"/>
        </w:rPr>
        <w:t>10.</w:t>
      </w:r>
      <w:r w:rsidRPr="000210F4">
        <w:rPr>
          <w:b/>
          <w:bCs/>
          <w:sz w:val="24"/>
          <w:szCs w:val="24"/>
        </w:rPr>
        <w:tab/>
        <w:t>KLASSIFICERING AF VETERINÆRLÆGEMIDLER</w:t>
      </w:r>
    </w:p>
    <w:p w14:paraId="5725256C" w14:textId="77777777" w:rsidR="00D0772B" w:rsidRPr="000210F4" w:rsidRDefault="00D0772B" w:rsidP="00D0772B">
      <w:pPr>
        <w:ind w:left="567" w:hanging="567"/>
        <w:rPr>
          <w:sz w:val="24"/>
          <w:szCs w:val="24"/>
        </w:rPr>
      </w:pPr>
    </w:p>
    <w:p w14:paraId="47199439" w14:textId="77777777" w:rsidR="00D0772B" w:rsidRPr="000210F4" w:rsidRDefault="00D0772B" w:rsidP="000210F4">
      <w:pPr>
        <w:ind w:left="851"/>
        <w:rPr>
          <w:sz w:val="24"/>
          <w:szCs w:val="24"/>
        </w:rPr>
      </w:pPr>
      <w:r w:rsidRPr="000210F4">
        <w:rPr>
          <w:sz w:val="24"/>
          <w:szCs w:val="24"/>
        </w:rPr>
        <w:t>BP</w:t>
      </w:r>
    </w:p>
    <w:p w14:paraId="3B582F71" w14:textId="77777777" w:rsidR="00D0772B" w:rsidRPr="000210F4" w:rsidRDefault="00D0772B" w:rsidP="000210F4">
      <w:pPr>
        <w:ind w:left="851"/>
        <w:rPr>
          <w:sz w:val="24"/>
          <w:szCs w:val="24"/>
        </w:rPr>
      </w:pPr>
    </w:p>
    <w:p w14:paraId="4120C8A2" w14:textId="77777777" w:rsidR="00D0772B" w:rsidRPr="000210F4" w:rsidRDefault="00D0772B" w:rsidP="000210F4">
      <w:pPr>
        <w:ind w:left="851"/>
        <w:rPr>
          <w:sz w:val="24"/>
          <w:szCs w:val="24"/>
        </w:rPr>
      </w:pPr>
      <w:r w:rsidRPr="000210F4">
        <w:rPr>
          <w:sz w:val="24"/>
          <w:szCs w:val="24"/>
        </w:rPr>
        <w:t>Der findes detaljerede oplysninger om dette veterinærlægemiddel i EU-lægemiddeldatabasen.</w:t>
      </w:r>
    </w:p>
    <w:p w14:paraId="78DF5B04" w14:textId="77777777" w:rsidR="0003527F" w:rsidRPr="000210F4" w:rsidRDefault="0003527F" w:rsidP="005B0036">
      <w:pPr>
        <w:rPr>
          <w:sz w:val="24"/>
          <w:szCs w:val="24"/>
        </w:rPr>
      </w:pPr>
    </w:p>
    <w:sectPr w:rsidR="0003527F" w:rsidRPr="000210F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C845C" w14:textId="77777777" w:rsidR="00C74376" w:rsidRDefault="00C74376">
      <w:r>
        <w:separator/>
      </w:r>
    </w:p>
  </w:endnote>
  <w:endnote w:type="continuationSeparator" w:id="0">
    <w:p w14:paraId="5E534B3E" w14:textId="77777777" w:rsidR="00C74376" w:rsidRDefault="00C7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6FA85" w14:textId="77777777" w:rsidR="004A62CC" w:rsidRDefault="004A62CC">
    <w:pPr>
      <w:pStyle w:val="Sidefod"/>
      <w:pBdr>
        <w:bottom w:val="single" w:sz="6" w:space="1" w:color="auto"/>
      </w:pBdr>
      <w:tabs>
        <w:tab w:val="clear" w:pos="4819"/>
        <w:tab w:val="left" w:pos="8647"/>
      </w:tabs>
      <w:rPr>
        <w:i/>
        <w:snapToGrid w:val="0"/>
        <w:sz w:val="18"/>
      </w:rPr>
    </w:pPr>
  </w:p>
  <w:p w14:paraId="62D58BD8" w14:textId="77777777" w:rsidR="004A62CC" w:rsidRDefault="004A62CC">
    <w:pPr>
      <w:pStyle w:val="Sidefod"/>
      <w:tabs>
        <w:tab w:val="clear" w:pos="4819"/>
        <w:tab w:val="left" w:pos="8647"/>
      </w:tabs>
      <w:rPr>
        <w:i/>
        <w:snapToGrid w:val="0"/>
        <w:sz w:val="18"/>
      </w:rPr>
    </w:pPr>
  </w:p>
  <w:p w14:paraId="3562BAE8" w14:textId="34A207A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85BE1">
      <w:rPr>
        <w:i/>
        <w:noProof/>
        <w:snapToGrid w:val="0"/>
        <w:sz w:val="18"/>
      </w:rPr>
      <w:t>Macrosyn,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520E8" w14:textId="77777777" w:rsidR="004A62CC" w:rsidRDefault="004A62CC">
    <w:pPr>
      <w:pStyle w:val="Sidefod"/>
      <w:pBdr>
        <w:bottom w:val="single" w:sz="6" w:space="1" w:color="auto"/>
      </w:pBdr>
      <w:tabs>
        <w:tab w:val="clear" w:pos="4819"/>
        <w:tab w:val="left" w:pos="8647"/>
      </w:tabs>
      <w:rPr>
        <w:i/>
        <w:snapToGrid w:val="0"/>
        <w:sz w:val="18"/>
      </w:rPr>
    </w:pPr>
  </w:p>
  <w:p w14:paraId="023C38A8" w14:textId="77777777" w:rsidR="004A62CC" w:rsidRDefault="004A62CC">
    <w:pPr>
      <w:pStyle w:val="Sidefod"/>
      <w:tabs>
        <w:tab w:val="clear" w:pos="4819"/>
        <w:tab w:val="left" w:pos="8647"/>
      </w:tabs>
      <w:rPr>
        <w:i/>
        <w:snapToGrid w:val="0"/>
        <w:sz w:val="18"/>
      </w:rPr>
    </w:pPr>
  </w:p>
  <w:p w14:paraId="5B56265F" w14:textId="4B5B661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85BE1">
      <w:rPr>
        <w:i/>
        <w:noProof/>
        <w:snapToGrid w:val="0"/>
        <w:sz w:val="18"/>
      </w:rPr>
      <w:t>Macrosyn,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3881E" w14:textId="77777777" w:rsidR="00C74376" w:rsidRDefault="00C74376">
      <w:r>
        <w:separator/>
      </w:r>
    </w:p>
  </w:footnote>
  <w:footnote w:type="continuationSeparator" w:id="0">
    <w:p w14:paraId="27EC393A" w14:textId="77777777" w:rsidR="00C74376" w:rsidRDefault="00C74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C0A5C"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0A7A8"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348F5"/>
    <w:multiLevelType w:val="hybridMultilevel"/>
    <w:tmpl w:val="A5926A3A"/>
    <w:lvl w:ilvl="0" w:tplc="D144BC2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F054ADC"/>
    <w:multiLevelType w:val="hybridMultilevel"/>
    <w:tmpl w:val="4D169CFA"/>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76"/>
    <w:rsid w:val="00016DC9"/>
    <w:rsid w:val="00017CB6"/>
    <w:rsid w:val="000210F4"/>
    <w:rsid w:val="0003527F"/>
    <w:rsid w:val="00041614"/>
    <w:rsid w:val="00065C7D"/>
    <w:rsid w:val="00071916"/>
    <w:rsid w:val="00091CFA"/>
    <w:rsid w:val="000C6CD4"/>
    <w:rsid w:val="000E5EB7"/>
    <w:rsid w:val="000F758A"/>
    <w:rsid w:val="0012775D"/>
    <w:rsid w:val="001577E4"/>
    <w:rsid w:val="001743C1"/>
    <w:rsid w:val="001858CA"/>
    <w:rsid w:val="001C4AEF"/>
    <w:rsid w:val="001D3CC5"/>
    <w:rsid w:val="001D41AA"/>
    <w:rsid w:val="001E1649"/>
    <w:rsid w:val="001E7C61"/>
    <w:rsid w:val="00211E6D"/>
    <w:rsid w:val="00227FF2"/>
    <w:rsid w:val="00276EB9"/>
    <w:rsid w:val="002E482F"/>
    <w:rsid w:val="00322BDE"/>
    <w:rsid w:val="003557DF"/>
    <w:rsid w:val="003C2B2D"/>
    <w:rsid w:val="003E6C70"/>
    <w:rsid w:val="00406EE7"/>
    <w:rsid w:val="00407013"/>
    <w:rsid w:val="00452D01"/>
    <w:rsid w:val="004615E1"/>
    <w:rsid w:val="00485B18"/>
    <w:rsid w:val="004A07AA"/>
    <w:rsid w:val="004A62CC"/>
    <w:rsid w:val="004D1020"/>
    <w:rsid w:val="004E626F"/>
    <w:rsid w:val="004F58F5"/>
    <w:rsid w:val="00565A74"/>
    <w:rsid w:val="00575481"/>
    <w:rsid w:val="005B0036"/>
    <w:rsid w:val="005C0AA6"/>
    <w:rsid w:val="005C3525"/>
    <w:rsid w:val="005C3EF8"/>
    <w:rsid w:val="005D303C"/>
    <w:rsid w:val="005F5831"/>
    <w:rsid w:val="00647AA9"/>
    <w:rsid w:val="00661B58"/>
    <w:rsid w:val="00661BB6"/>
    <w:rsid w:val="00662012"/>
    <w:rsid w:val="00666B01"/>
    <w:rsid w:val="006B1539"/>
    <w:rsid w:val="006D16FE"/>
    <w:rsid w:val="006D3E7C"/>
    <w:rsid w:val="006E4C74"/>
    <w:rsid w:val="006F5621"/>
    <w:rsid w:val="007D0DDD"/>
    <w:rsid w:val="007D5F9A"/>
    <w:rsid w:val="007E2A00"/>
    <w:rsid w:val="008010F2"/>
    <w:rsid w:val="00817251"/>
    <w:rsid w:val="00836CAA"/>
    <w:rsid w:val="008C18F2"/>
    <w:rsid w:val="009202AE"/>
    <w:rsid w:val="00945C3B"/>
    <w:rsid w:val="00990581"/>
    <w:rsid w:val="009D66C6"/>
    <w:rsid w:val="00A22B30"/>
    <w:rsid w:val="00A25C2E"/>
    <w:rsid w:val="00A96525"/>
    <w:rsid w:val="00AB0A61"/>
    <w:rsid w:val="00AB3431"/>
    <w:rsid w:val="00AE29E5"/>
    <w:rsid w:val="00AE5757"/>
    <w:rsid w:val="00B25EB8"/>
    <w:rsid w:val="00B42B33"/>
    <w:rsid w:val="00B47D37"/>
    <w:rsid w:val="00BC16C5"/>
    <w:rsid w:val="00BC634B"/>
    <w:rsid w:val="00BF2AE0"/>
    <w:rsid w:val="00C479BF"/>
    <w:rsid w:val="00C74376"/>
    <w:rsid w:val="00C82983"/>
    <w:rsid w:val="00CA5AC0"/>
    <w:rsid w:val="00CC53E6"/>
    <w:rsid w:val="00CD329B"/>
    <w:rsid w:val="00D0772B"/>
    <w:rsid w:val="00D55DC6"/>
    <w:rsid w:val="00DB60E3"/>
    <w:rsid w:val="00DB68A2"/>
    <w:rsid w:val="00DD4E22"/>
    <w:rsid w:val="00DD6D71"/>
    <w:rsid w:val="00DF32BE"/>
    <w:rsid w:val="00E14F0A"/>
    <w:rsid w:val="00E71BA8"/>
    <w:rsid w:val="00E85BE1"/>
    <w:rsid w:val="00E96B82"/>
    <w:rsid w:val="00EB5778"/>
    <w:rsid w:val="00EE5253"/>
    <w:rsid w:val="00EF0738"/>
    <w:rsid w:val="00EF4DB5"/>
    <w:rsid w:val="00F52C75"/>
    <w:rsid w:val="00F71973"/>
    <w:rsid w:val="00F93AE9"/>
    <w:rsid w:val="00F95F8D"/>
    <w:rsid w:val="00FA1C56"/>
    <w:rsid w:val="00FA4866"/>
    <w:rsid w:val="00FA66E4"/>
    <w:rsid w:val="00FC23A5"/>
    <w:rsid w:val="00FD0425"/>
    <w:rsid w:val="00FD6433"/>
    <w:rsid w:val="00FF0C4F"/>
    <w:rsid w:val="00FF23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A23F7"/>
  <w15:chartTrackingRefBased/>
  <w15:docId w15:val="{167A8EF8-371E-480A-94DB-AA7992E9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041614"/>
    <w:pPr>
      <w:ind w:left="720"/>
      <w:contextualSpacing/>
    </w:pPr>
  </w:style>
  <w:style w:type="paragraph" w:customStyle="1" w:styleId="Style1">
    <w:name w:val="Style1"/>
    <w:basedOn w:val="Normal"/>
    <w:qFormat/>
    <w:rsid w:val="00D0772B"/>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81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1870115">
      <w:bodyDiv w:val="1"/>
      <w:marLeft w:val="0"/>
      <w:marRight w:val="0"/>
      <w:marTop w:val="0"/>
      <w:marBottom w:val="0"/>
      <w:divBdr>
        <w:top w:val="none" w:sz="0" w:space="0" w:color="auto"/>
        <w:left w:val="none" w:sz="0" w:space="0" w:color="auto"/>
        <w:bottom w:val="none" w:sz="0" w:space="0" w:color="auto"/>
        <w:right w:val="none" w:sz="0" w:space="0" w:color="auto"/>
      </w:divBdr>
    </w:div>
    <w:div w:id="253513274">
      <w:bodyDiv w:val="1"/>
      <w:marLeft w:val="0"/>
      <w:marRight w:val="0"/>
      <w:marTop w:val="0"/>
      <w:marBottom w:val="0"/>
      <w:divBdr>
        <w:top w:val="none" w:sz="0" w:space="0" w:color="auto"/>
        <w:left w:val="none" w:sz="0" w:space="0" w:color="auto"/>
        <w:bottom w:val="none" w:sz="0" w:space="0" w:color="auto"/>
        <w:right w:val="none" w:sz="0" w:space="0" w:color="auto"/>
      </w:divBdr>
    </w:div>
    <w:div w:id="372585382">
      <w:bodyDiv w:val="1"/>
      <w:marLeft w:val="0"/>
      <w:marRight w:val="0"/>
      <w:marTop w:val="0"/>
      <w:marBottom w:val="0"/>
      <w:divBdr>
        <w:top w:val="none" w:sz="0" w:space="0" w:color="auto"/>
        <w:left w:val="none" w:sz="0" w:space="0" w:color="auto"/>
        <w:bottom w:val="none" w:sz="0" w:space="0" w:color="auto"/>
        <w:right w:val="none" w:sz="0" w:space="0" w:color="auto"/>
      </w:divBdr>
    </w:div>
    <w:div w:id="379327783">
      <w:bodyDiv w:val="1"/>
      <w:marLeft w:val="0"/>
      <w:marRight w:val="0"/>
      <w:marTop w:val="0"/>
      <w:marBottom w:val="0"/>
      <w:divBdr>
        <w:top w:val="none" w:sz="0" w:space="0" w:color="auto"/>
        <w:left w:val="none" w:sz="0" w:space="0" w:color="auto"/>
        <w:bottom w:val="none" w:sz="0" w:space="0" w:color="auto"/>
        <w:right w:val="none" w:sz="0" w:space="0" w:color="auto"/>
      </w:divBdr>
    </w:div>
    <w:div w:id="415636327">
      <w:bodyDiv w:val="1"/>
      <w:marLeft w:val="0"/>
      <w:marRight w:val="0"/>
      <w:marTop w:val="0"/>
      <w:marBottom w:val="0"/>
      <w:divBdr>
        <w:top w:val="none" w:sz="0" w:space="0" w:color="auto"/>
        <w:left w:val="none" w:sz="0" w:space="0" w:color="auto"/>
        <w:bottom w:val="none" w:sz="0" w:space="0" w:color="auto"/>
        <w:right w:val="none" w:sz="0" w:space="0" w:color="auto"/>
      </w:divBdr>
    </w:div>
    <w:div w:id="419642883">
      <w:bodyDiv w:val="1"/>
      <w:marLeft w:val="0"/>
      <w:marRight w:val="0"/>
      <w:marTop w:val="0"/>
      <w:marBottom w:val="0"/>
      <w:divBdr>
        <w:top w:val="none" w:sz="0" w:space="0" w:color="auto"/>
        <w:left w:val="none" w:sz="0" w:space="0" w:color="auto"/>
        <w:bottom w:val="none" w:sz="0" w:space="0" w:color="auto"/>
        <w:right w:val="none" w:sz="0" w:space="0" w:color="auto"/>
      </w:divBdr>
    </w:div>
    <w:div w:id="503936904">
      <w:bodyDiv w:val="1"/>
      <w:marLeft w:val="0"/>
      <w:marRight w:val="0"/>
      <w:marTop w:val="0"/>
      <w:marBottom w:val="0"/>
      <w:divBdr>
        <w:top w:val="none" w:sz="0" w:space="0" w:color="auto"/>
        <w:left w:val="none" w:sz="0" w:space="0" w:color="auto"/>
        <w:bottom w:val="none" w:sz="0" w:space="0" w:color="auto"/>
        <w:right w:val="none" w:sz="0" w:space="0" w:color="auto"/>
      </w:divBdr>
    </w:div>
    <w:div w:id="509225047">
      <w:bodyDiv w:val="1"/>
      <w:marLeft w:val="0"/>
      <w:marRight w:val="0"/>
      <w:marTop w:val="0"/>
      <w:marBottom w:val="0"/>
      <w:divBdr>
        <w:top w:val="none" w:sz="0" w:space="0" w:color="auto"/>
        <w:left w:val="none" w:sz="0" w:space="0" w:color="auto"/>
        <w:bottom w:val="none" w:sz="0" w:space="0" w:color="auto"/>
        <w:right w:val="none" w:sz="0" w:space="0" w:color="auto"/>
      </w:divBdr>
    </w:div>
    <w:div w:id="550967432">
      <w:bodyDiv w:val="1"/>
      <w:marLeft w:val="0"/>
      <w:marRight w:val="0"/>
      <w:marTop w:val="0"/>
      <w:marBottom w:val="0"/>
      <w:divBdr>
        <w:top w:val="none" w:sz="0" w:space="0" w:color="auto"/>
        <w:left w:val="none" w:sz="0" w:space="0" w:color="auto"/>
        <w:bottom w:val="none" w:sz="0" w:space="0" w:color="auto"/>
        <w:right w:val="none" w:sz="0" w:space="0" w:color="auto"/>
      </w:divBdr>
    </w:div>
    <w:div w:id="775371840">
      <w:bodyDiv w:val="1"/>
      <w:marLeft w:val="0"/>
      <w:marRight w:val="0"/>
      <w:marTop w:val="0"/>
      <w:marBottom w:val="0"/>
      <w:divBdr>
        <w:top w:val="none" w:sz="0" w:space="0" w:color="auto"/>
        <w:left w:val="none" w:sz="0" w:space="0" w:color="auto"/>
        <w:bottom w:val="none" w:sz="0" w:space="0" w:color="auto"/>
        <w:right w:val="none" w:sz="0" w:space="0" w:color="auto"/>
      </w:divBdr>
    </w:div>
    <w:div w:id="857886188">
      <w:bodyDiv w:val="1"/>
      <w:marLeft w:val="0"/>
      <w:marRight w:val="0"/>
      <w:marTop w:val="0"/>
      <w:marBottom w:val="0"/>
      <w:divBdr>
        <w:top w:val="none" w:sz="0" w:space="0" w:color="auto"/>
        <w:left w:val="none" w:sz="0" w:space="0" w:color="auto"/>
        <w:bottom w:val="none" w:sz="0" w:space="0" w:color="auto"/>
        <w:right w:val="none" w:sz="0" w:space="0" w:color="auto"/>
      </w:divBdr>
    </w:div>
    <w:div w:id="883298423">
      <w:bodyDiv w:val="1"/>
      <w:marLeft w:val="0"/>
      <w:marRight w:val="0"/>
      <w:marTop w:val="0"/>
      <w:marBottom w:val="0"/>
      <w:divBdr>
        <w:top w:val="none" w:sz="0" w:space="0" w:color="auto"/>
        <w:left w:val="none" w:sz="0" w:space="0" w:color="auto"/>
        <w:bottom w:val="none" w:sz="0" w:space="0" w:color="auto"/>
        <w:right w:val="none" w:sz="0" w:space="0" w:color="auto"/>
      </w:divBdr>
    </w:div>
    <w:div w:id="898440993">
      <w:bodyDiv w:val="1"/>
      <w:marLeft w:val="0"/>
      <w:marRight w:val="0"/>
      <w:marTop w:val="0"/>
      <w:marBottom w:val="0"/>
      <w:divBdr>
        <w:top w:val="none" w:sz="0" w:space="0" w:color="auto"/>
        <w:left w:val="none" w:sz="0" w:space="0" w:color="auto"/>
        <w:bottom w:val="none" w:sz="0" w:space="0" w:color="auto"/>
        <w:right w:val="none" w:sz="0" w:space="0" w:color="auto"/>
      </w:divBdr>
    </w:div>
    <w:div w:id="938224132">
      <w:bodyDiv w:val="1"/>
      <w:marLeft w:val="0"/>
      <w:marRight w:val="0"/>
      <w:marTop w:val="0"/>
      <w:marBottom w:val="0"/>
      <w:divBdr>
        <w:top w:val="none" w:sz="0" w:space="0" w:color="auto"/>
        <w:left w:val="none" w:sz="0" w:space="0" w:color="auto"/>
        <w:bottom w:val="none" w:sz="0" w:space="0" w:color="auto"/>
        <w:right w:val="none" w:sz="0" w:space="0" w:color="auto"/>
      </w:divBdr>
    </w:div>
    <w:div w:id="986401163">
      <w:bodyDiv w:val="1"/>
      <w:marLeft w:val="0"/>
      <w:marRight w:val="0"/>
      <w:marTop w:val="0"/>
      <w:marBottom w:val="0"/>
      <w:divBdr>
        <w:top w:val="none" w:sz="0" w:space="0" w:color="auto"/>
        <w:left w:val="none" w:sz="0" w:space="0" w:color="auto"/>
        <w:bottom w:val="none" w:sz="0" w:space="0" w:color="auto"/>
        <w:right w:val="none" w:sz="0" w:space="0" w:color="auto"/>
      </w:divBdr>
    </w:div>
    <w:div w:id="1157307099">
      <w:bodyDiv w:val="1"/>
      <w:marLeft w:val="0"/>
      <w:marRight w:val="0"/>
      <w:marTop w:val="0"/>
      <w:marBottom w:val="0"/>
      <w:divBdr>
        <w:top w:val="none" w:sz="0" w:space="0" w:color="auto"/>
        <w:left w:val="none" w:sz="0" w:space="0" w:color="auto"/>
        <w:bottom w:val="none" w:sz="0" w:space="0" w:color="auto"/>
        <w:right w:val="none" w:sz="0" w:space="0" w:color="auto"/>
      </w:divBdr>
    </w:div>
    <w:div w:id="1162350977">
      <w:bodyDiv w:val="1"/>
      <w:marLeft w:val="0"/>
      <w:marRight w:val="0"/>
      <w:marTop w:val="0"/>
      <w:marBottom w:val="0"/>
      <w:divBdr>
        <w:top w:val="none" w:sz="0" w:space="0" w:color="auto"/>
        <w:left w:val="none" w:sz="0" w:space="0" w:color="auto"/>
        <w:bottom w:val="none" w:sz="0" w:space="0" w:color="auto"/>
        <w:right w:val="none" w:sz="0" w:space="0" w:color="auto"/>
      </w:divBdr>
    </w:div>
    <w:div w:id="1202521996">
      <w:bodyDiv w:val="1"/>
      <w:marLeft w:val="0"/>
      <w:marRight w:val="0"/>
      <w:marTop w:val="0"/>
      <w:marBottom w:val="0"/>
      <w:divBdr>
        <w:top w:val="none" w:sz="0" w:space="0" w:color="auto"/>
        <w:left w:val="none" w:sz="0" w:space="0" w:color="auto"/>
        <w:bottom w:val="none" w:sz="0" w:space="0" w:color="auto"/>
        <w:right w:val="none" w:sz="0" w:space="0" w:color="auto"/>
      </w:divBdr>
    </w:div>
    <w:div w:id="1226452554">
      <w:bodyDiv w:val="1"/>
      <w:marLeft w:val="0"/>
      <w:marRight w:val="0"/>
      <w:marTop w:val="0"/>
      <w:marBottom w:val="0"/>
      <w:divBdr>
        <w:top w:val="none" w:sz="0" w:space="0" w:color="auto"/>
        <w:left w:val="none" w:sz="0" w:space="0" w:color="auto"/>
        <w:bottom w:val="none" w:sz="0" w:space="0" w:color="auto"/>
        <w:right w:val="none" w:sz="0" w:space="0" w:color="auto"/>
      </w:divBdr>
    </w:div>
    <w:div w:id="1293903806">
      <w:bodyDiv w:val="1"/>
      <w:marLeft w:val="0"/>
      <w:marRight w:val="0"/>
      <w:marTop w:val="0"/>
      <w:marBottom w:val="0"/>
      <w:divBdr>
        <w:top w:val="none" w:sz="0" w:space="0" w:color="auto"/>
        <w:left w:val="none" w:sz="0" w:space="0" w:color="auto"/>
        <w:bottom w:val="none" w:sz="0" w:space="0" w:color="auto"/>
        <w:right w:val="none" w:sz="0" w:space="0" w:color="auto"/>
      </w:divBdr>
    </w:div>
    <w:div w:id="1301686758">
      <w:bodyDiv w:val="1"/>
      <w:marLeft w:val="0"/>
      <w:marRight w:val="0"/>
      <w:marTop w:val="0"/>
      <w:marBottom w:val="0"/>
      <w:divBdr>
        <w:top w:val="none" w:sz="0" w:space="0" w:color="auto"/>
        <w:left w:val="none" w:sz="0" w:space="0" w:color="auto"/>
        <w:bottom w:val="none" w:sz="0" w:space="0" w:color="auto"/>
        <w:right w:val="none" w:sz="0" w:space="0" w:color="auto"/>
      </w:divBdr>
    </w:div>
    <w:div w:id="1414665893">
      <w:bodyDiv w:val="1"/>
      <w:marLeft w:val="0"/>
      <w:marRight w:val="0"/>
      <w:marTop w:val="0"/>
      <w:marBottom w:val="0"/>
      <w:divBdr>
        <w:top w:val="none" w:sz="0" w:space="0" w:color="auto"/>
        <w:left w:val="none" w:sz="0" w:space="0" w:color="auto"/>
        <w:bottom w:val="none" w:sz="0" w:space="0" w:color="auto"/>
        <w:right w:val="none" w:sz="0" w:space="0" w:color="auto"/>
      </w:divBdr>
    </w:div>
    <w:div w:id="1579511982">
      <w:bodyDiv w:val="1"/>
      <w:marLeft w:val="0"/>
      <w:marRight w:val="0"/>
      <w:marTop w:val="0"/>
      <w:marBottom w:val="0"/>
      <w:divBdr>
        <w:top w:val="none" w:sz="0" w:space="0" w:color="auto"/>
        <w:left w:val="none" w:sz="0" w:space="0" w:color="auto"/>
        <w:bottom w:val="none" w:sz="0" w:space="0" w:color="auto"/>
        <w:right w:val="none" w:sz="0" w:space="0" w:color="auto"/>
      </w:divBdr>
    </w:div>
    <w:div w:id="174668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2270</Words>
  <Characters>15065</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2023070645 opdatering af QRD9</dc:description>
  <cp:lastModifiedBy>Gitte Ronnovius</cp:lastModifiedBy>
  <cp:revision>5</cp:revision>
  <cp:lastPrinted>2020-09-07T09:11:00Z</cp:lastPrinted>
  <dcterms:created xsi:type="dcterms:W3CDTF">2024-11-19T08:57:00Z</dcterms:created>
  <dcterms:modified xsi:type="dcterms:W3CDTF">2024-11-22T12:30:00Z</dcterms:modified>
</cp:coreProperties>
</file>