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ED9E" w14:textId="2EC7E1A8" w:rsidR="00FA66E4" w:rsidRPr="00406EE7" w:rsidRDefault="00290E49" w:rsidP="00FA66E4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A701AE">
        <w:fldChar w:fldCharType="begin"/>
      </w:r>
      <w:r w:rsidR="00A701AE">
        <w:instrText xml:space="preserve"> </w:instrText>
      </w:r>
      <w:r w:rsidR="00A701AE">
        <w:instrText>INCLUDEPICTURE  "cid:image004.jpg@01D117E9.E5553340" \* MERGEFORMATINET</w:instrText>
      </w:r>
      <w:r w:rsidR="00A701AE">
        <w:instrText xml:space="preserve"> </w:instrText>
      </w:r>
      <w:r w:rsidR="00A701AE">
        <w:fldChar w:fldCharType="separate"/>
      </w:r>
      <w:r w:rsidR="00A701AE">
        <w:pict w14:anchorId="741A4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LMST_auto_stor" style="width:192.75pt;height:54.75pt">
            <v:imagedata r:id="rId7" r:href="rId8"/>
          </v:shape>
        </w:pict>
      </w:r>
      <w:r w:rsidR="00A701AE">
        <w:fldChar w:fldCharType="end"/>
      </w:r>
      <w:r>
        <w:fldChar w:fldCharType="end"/>
      </w:r>
    </w:p>
    <w:p w14:paraId="7C2CAA0F" w14:textId="2A4D498C" w:rsidR="00FA66E4" w:rsidRPr="00406EE7" w:rsidRDefault="0034614C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90E49">
        <w:rPr>
          <w:b/>
          <w:sz w:val="24"/>
          <w:szCs w:val="24"/>
        </w:rPr>
        <w:t>. august 2019</w:t>
      </w:r>
    </w:p>
    <w:p w14:paraId="588509D1" w14:textId="77777777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02D6873F" w14:textId="77777777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7B0F3A13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1233E1F8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14:paraId="6B70A342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5B3415B5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831AEF8" w14:textId="2096A42D" w:rsidR="00FA66E4" w:rsidRPr="00406EE7" w:rsidRDefault="001803E6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Maxyl</w:t>
      </w:r>
      <w:proofErr w:type="spellEnd"/>
      <w:r>
        <w:rPr>
          <w:b/>
          <w:sz w:val="24"/>
          <w:szCs w:val="24"/>
        </w:rPr>
        <w:t>, pulver til anvendelse i drikkevand</w:t>
      </w:r>
    </w:p>
    <w:p w14:paraId="251267B7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4E21A8A1" w14:textId="77777777" w:rsidR="00FA66E4" w:rsidRPr="00BB19C0" w:rsidRDefault="00FA66E4" w:rsidP="00BB19C0">
      <w:pPr>
        <w:ind w:left="851" w:hanging="851"/>
        <w:jc w:val="both"/>
        <w:rPr>
          <w:sz w:val="24"/>
          <w:szCs w:val="24"/>
        </w:rPr>
      </w:pPr>
    </w:p>
    <w:p w14:paraId="7C4EF776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0.</w:t>
      </w:r>
      <w:r w:rsidRPr="00BB19C0">
        <w:rPr>
          <w:b/>
          <w:sz w:val="24"/>
          <w:szCs w:val="24"/>
        </w:rPr>
        <w:tab/>
        <w:t>D.SP.NR</w:t>
      </w:r>
      <w:r w:rsidR="00406EE7" w:rsidRPr="00BB19C0">
        <w:rPr>
          <w:b/>
          <w:sz w:val="24"/>
          <w:szCs w:val="24"/>
        </w:rPr>
        <w:t>.</w:t>
      </w:r>
    </w:p>
    <w:p w14:paraId="7C7854F0" w14:textId="61E767AF" w:rsidR="00FA66E4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28896</w:t>
      </w:r>
    </w:p>
    <w:p w14:paraId="2F5F6AC2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7A8F59C8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1.</w:t>
      </w:r>
      <w:r w:rsidRPr="00BB19C0">
        <w:rPr>
          <w:b/>
          <w:sz w:val="24"/>
          <w:szCs w:val="24"/>
        </w:rPr>
        <w:tab/>
        <w:t>VETERINÆRLÆGEMIDLETS NAVN</w:t>
      </w:r>
    </w:p>
    <w:p w14:paraId="68744E88" w14:textId="333B4C8C" w:rsidR="00FA66E4" w:rsidRPr="00BB19C0" w:rsidRDefault="001803E6" w:rsidP="00BB19C0">
      <w:pPr>
        <w:ind w:left="851"/>
        <w:rPr>
          <w:sz w:val="24"/>
          <w:szCs w:val="24"/>
        </w:rPr>
      </w:pPr>
      <w:proofErr w:type="spellStart"/>
      <w:r w:rsidRPr="00BB19C0">
        <w:rPr>
          <w:sz w:val="24"/>
          <w:szCs w:val="24"/>
        </w:rPr>
        <w:t>Maxyl</w:t>
      </w:r>
      <w:proofErr w:type="spellEnd"/>
    </w:p>
    <w:p w14:paraId="50F5A16E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7A3ED39F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2.</w:t>
      </w:r>
      <w:r w:rsidRPr="00BB19C0">
        <w:rPr>
          <w:b/>
          <w:sz w:val="24"/>
          <w:szCs w:val="24"/>
        </w:rPr>
        <w:tab/>
        <w:t>KVALITATIV OG KVANTITATIV SAMMENSÆTNING</w:t>
      </w:r>
    </w:p>
    <w:p w14:paraId="52912A45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Hvert gram indeholder:</w:t>
      </w:r>
    </w:p>
    <w:p w14:paraId="260F7B99" w14:textId="77777777" w:rsidR="001803E6" w:rsidRPr="00BB19C0" w:rsidRDefault="001803E6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ab/>
      </w:r>
    </w:p>
    <w:p w14:paraId="3B0570F4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b/>
          <w:sz w:val="24"/>
          <w:szCs w:val="24"/>
        </w:rPr>
        <w:tab/>
        <w:t>Aktivt stof:</w:t>
      </w:r>
    </w:p>
    <w:p w14:paraId="2525136B" w14:textId="77777777" w:rsidR="00290E49" w:rsidRPr="00BB19C0" w:rsidRDefault="001803E6" w:rsidP="00290E49">
      <w:pPr>
        <w:ind w:left="851" w:hanging="851"/>
        <w:rPr>
          <w:sz w:val="24"/>
          <w:szCs w:val="24"/>
        </w:rPr>
      </w:pPr>
      <w:r w:rsidRPr="00BB19C0">
        <w:rPr>
          <w:iCs/>
          <w:sz w:val="24"/>
          <w:szCs w:val="24"/>
        </w:rPr>
        <w:tab/>
      </w:r>
      <w:r w:rsidR="00290E49" w:rsidRPr="00BB19C0">
        <w:rPr>
          <w:iCs/>
          <w:sz w:val="24"/>
          <w:szCs w:val="24"/>
        </w:rPr>
        <w:t>Amoxicillin</w:t>
      </w:r>
      <w:r w:rsidR="00290E49">
        <w:rPr>
          <w:iCs/>
          <w:sz w:val="24"/>
          <w:szCs w:val="24"/>
        </w:rPr>
        <w:t>............................................................................</w:t>
      </w:r>
      <w:r w:rsidR="00290E49" w:rsidRPr="00BB19C0">
        <w:rPr>
          <w:iCs/>
          <w:sz w:val="24"/>
          <w:szCs w:val="24"/>
        </w:rPr>
        <w:t>………………436 mg</w:t>
      </w:r>
    </w:p>
    <w:p w14:paraId="1A66B5C8" w14:textId="77777777" w:rsidR="00290E49" w:rsidRDefault="00290E49" w:rsidP="00290E49">
      <w:pPr>
        <w:ind w:left="851" w:hanging="851"/>
        <w:rPr>
          <w:sz w:val="24"/>
          <w:szCs w:val="24"/>
        </w:rPr>
      </w:pPr>
    </w:p>
    <w:p w14:paraId="5ACB0858" w14:textId="71587F30" w:rsidR="001803E6" w:rsidRPr="00BB19C0" w:rsidRDefault="00290E49" w:rsidP="00290E4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Cs/>
          <w:sz w:val="24"/>
          <w:szCs w:val="24"/>
        </w:rPr>
        <w:t>S</w:t>
      </w:r>
      <w:r w:rsidRPr="00BB19C0">
        <w:rPr>
          <w:iCs/>
          <w:sz w:val="24"/>
          <w:szCs w:val="24"/>
        </w:rPr>
        <w:t xml:space="preserve">varende til 500 mg </w:t>
      </w:r>
      <w:proofErr w:type="spellStart"/>
      <w:r w:rsidRPr="00BB19C0">
        <w:rPr>
          <w:iCs/>
          <w:sz w:val="24"/>
          <w:szCs w:val="24"/>
        </w:rPr>
        <w:t>amoxicillintrihydrat</w:t>
      </w:r>
      <w:proofErr w:type="spellEnd"/>
    </w:p>
    <w:p w14:paraId="3A0C11A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7C0E0CE7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Alle hjælpestoffer er anført under pkt. 6.1 </w:t>
      </w:r>
    </w:p>
    <w:p w14:paraId="37C2F5B4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4D58D3B4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3.</w:t>
      </w:r>
      <w:r w:rsidRPr="00BB19C0">
        <w:rPr>
          <w:b/>
          <w:sz w:val="24"/>
          <w:szCs w:val="24"/>
        </w:rPr>
        <w:tab/>
        <w:t>LÆGEMIDDELFORM</w:t>
      </w:r>
    </w:p>
    <w:p w14:paraId="2F7E12CB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Pulver til anvendelse i drikkevand</w:t>
      </w:r>
    </w:p>
    <w:p w14:paraId="12A3C6E6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3012252C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Hvidt pulver. I opløst form fremtræder pulveret klart og farveløst.</w:t>
      </w:r>
    </w:p>
    <w:p w14:paraId="205AD8F7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58424755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01B76C49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</w:t>
      </w:r>
      <w:r w:rsidRPr="00BB19C0">
        <w:rPr>
          <w:b/>
          <w:sz w:val="24"/>
          <w:szCs w:val="24"/>
        </w:rPr>
        <w:tab/>
        <w:t>KLINISKE OPLYSNINGER</w:t>
      </w:r>
    </w:p>
    <w:p w14:paraId="74C1EF47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4F0570EE" w14:textId="77777777" w:rsidR="00FA66E4" w:rsidRPr="00BB19C0" w:rsidRDefault="00FA66E4" w:rsidP="00BB19C0">
      <w:pPr>
        <w:ind w:left="851" w:hanging="851"/>
        <w:rPr>
          <w:b/>
          <w:sz w:val="24"/>
          <w:szCs w:val="24"/>
          <w:u w:val="single"/>
        </w:rPr>
      </w:pPr>
      <w:r w:rsidRPr="00BB19C0">
        <w:rPr>
          <w:b/>
          <w:sz w:val="24"/>
          <w:szCs w:val="24"/>
        </w:rPr>
        <w:t>4.1</w:t>
      </w:r>
      <w:r w:rsidRPr="00BB19C0">
        <w:rPr>
          <w:b/>
          <w:sz w:val="24"/>
          <w:szCs w:val="24"/>
        </w:rPr>
        <w:tab/>
        <w:t>Dyrearter</w:t>
      </w:r>
    </w:p>
    <w:p w14:paraId="308398E7" w14:textId="13E600C6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E6560F">
        <w:rPr>
          <w:sz w:val="24"/>
          <w:szCs w:val="24"/>
        </w:rPr>
        <w:t>Fjerkræ (k</w:t>
      </w:r>
      <w:r w:rsidRPr="00BB19C0">
        <w:rPr>
          <w:sz w:val="24"/>
          <w:szCs w:val="24"/>
        </w:rPr>
        <w:t>yllinger, kalkuner, ænder</w:t>
      </w:r>
      <w:r w:rsidR="00E6560F">
        <w:rPr>
          <w:sz w:val="24"/>
          <w:szCs w:val="24"/>
        </w:rPr>
        <w:t>)</w:t>
      </w:r>
      <w:r w:rsidRPr="00BB19C0">
        <w:rPr>
          <w:sz w:val="24"/>
          <w:szCs w:val="24"/>
        </w:rPr>
        <w:t xml:space="preserve"> og svin</w:t>
      </w:r>
    </w:p>
    <w:p w14:paraId="4C68151D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4FFECC7B" w14:textId="77777777" w:rsidR="00FA66E4" w:rsidRPr="00BB19C0" w:rsidRDefault="00FA66E4" w:rsidP="00BB19C0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B19C0">
        <w:rPr>
          <w:b/>
          <w:szCs w:val="24"/>
        </w:rPr>
        <w:t>4.2</w:t>
      </w:r>
      <w:r w:rsidRPr="00BB19C0">
        <w:rPr>
          <w:b/>
          <w:szCs w:val="24"/>
        </w:rPr>
        <w:tab/>
        <w:t>Terapeutiske indikationer</w:t>
      </w:r>
    </w:p>
    <w:p w14:paraId="2353146E" w14:textId="79B866F8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Behandling af infektioner i kyllinger, kalkuner og ænder forårsaget af </w:t>
      </w:r>
      <w:proofErr w:type="spellStart"/>
      <w:r w:rsidRPr="00BB19C0">
        <w:rPr>
          <w:sz w:val="24"/>
          <w:szCs w:val="24"/>
        </w:rPr>
        <w:t>amoxicillin</w:t>
      </w:r>
      <w:r w:rsidR="00E6560F">
        <w:rPr>
          <w:sz w:val="24"/>
          <w:szCs w:val="24"/>
        </w:rPr>
        <w:softHyphen/>
      </w:r>
      <w:r w:rsidRPr="00BB19C0">
        <w:rPr>
          <w:sz w:val="24"/>
          <w:szCs w:val="24"/>
        </w:rPr>
        <w:t>følsomme</w:t>
      </w:r>
      <w:proofErr w:type="spellEnd"/>
      <w:r w:rsidRPr="00BB19C0">
        <w:rPr>
          <w:sz w:val="24"/>
          <w:szCs w:val="24"/>
        </w:rPr>
        <w:t xml:space="preserve"> bakterier.</w:t>
      </w:r>
    </w:p>
    <w:p w14:paraId="45437C34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4900B23A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 xml:space="preserve">Svin: Til behandling af </w:t>
      </w:r>
      <w:proofErr w:type="spellStart"/>
      <w:r w:rsidRPr="00BB19C0">
        <w:rPr>
          <w:sz w:val="24"/>
          <w:szCs w:val="24"/>
        </w:rPr>
        <w:t>pasteurellose</w:t>
      </w:r>
      <w:proofErr w:type="spellEnd"/>
    </w:p>
    <w:p w14:paraId="3A48554F" w14:textId="77777777" w:rsidR="00FA66E4" w:rsidRPr="00BB19C0" w:rsidRDefault="00FA66E4" w:rsidP="00BB19C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3FD89E6" w14:textId="77777777" w:rsidR="00FA66E4" w:rsidRPr="00BB19C0" w:rsidRDefault="00FA66E4" w:rsidP="00BB19C0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B19C0">
        <w:rPr>
          <w:b/>
          <w:szCs w:val="24"/>
        </w:rPr>
        <w:t>4.3</w:t>
      </w:r>
      <w:r w:rsidRPr="00BB19C0">
        <w:rPr>
          <w:b/>
          <w:szCs w:val="24"/>
        </w:rPr>
        <w:tab/>
        <w:t>Kontraindikationer</w:t>
      </w:r>
    </w:p>
    <w:p w14:paraId="21F8AFE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Bør ikke anvendes til kaniner, marsvin, hamstre, ørkenrotter eller andre små planteædende dyr.</w:t>
      </w:r>
    </w:p>
    <w:p w14:paraId="5C80FC38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5B58DF3C" w14:textId="1126DCFC" w:rsidR="001803E6" w:rsidRPr="00BB19C0" w:rsidRDefault="00E6560F" w:rsidP="00BB19C0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Bør</w:t>
      </w:r>
      <w:r w:rsidR="001803E6" w:rsidRPr="00BB19C0">
        <w:rPr>
          <w:sz w:val="24"/>
          <w:szCs w:val="24"/>
        </w:rPr>
        <w:t xml:space="preserve"> ikke anvendes ved overfølsomhed over for penicilliner eller over for andre ß-</w:t>
      </w:r>
      <w:proofErr w:type="spellStart"/>
      <w:r w:rsidR="001803E6" w:rsidRPr="00BB19C0">
        <w:rPr>
          <w:sz w:val="24"/>
          <w:szCs w:val="24"/>
        </w:rPr>
        <w:t>lactamantibiotika</w:t>
      </w:r>
      <w:proofErr w:type="spellEnd"/>
      <w:r w:rsidR="001803E6" w:rsidRPr="00BB19C0">
        <w:rPr>
          <w:sz w:val="24"/>
          <w:szCs w:val="24"/>
        </w:rPr>
        <w:t xml:space="preserve"> eller over for et eller flere af hjælpestofferne.</w:t>
      </w:r>
    </w:p>
    <w:p w14:paraId="7B78FA6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6B2B3A0D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 xml:space="preserve">Bør ikke anvendes til dyr med nyresygdomme, herunder </w:t>
      </w:r>
      <w:proofErr w:type="spellStart"/>
      <w:r w:rsidRPr="00BB19C0">
        <w:rPr>
          <w:sz w:val="24"/>
          <w:szCs w:val="24"/>
        </w:rPr>
        <w:t>anuri</w:t>
      </w:r>
      <w:proofErr w:type="spellEnd"/>
      <w:r w:rsidRPr="00BB19C0">
        <w:rPr>
          <w:sz w:val="24"/>
          <w:szCs w:val="24"/>
        </w:rPr>
        <w:t xml:space="preserve"> eller </w:t>
      </w:r>
      <w:proofErr w:type="spellStart"/>
      <w:r w:rsidRPr="00BB19C0">
        <w:rPr>
          <w:sz w:val="24"/>
          <w:szCs w:val="24"/>
        </w:rPr>
        <w:t>oliguri</w:t>
      </w:r>
      <w:proofErr w:type="spellEnd"/>
      <w:r w:rsidRPr="00BB19C0">
        <w:rPr>
          <w:sz w:val="24"/>
          <w:szCs w:val="24"/>
        </w:rPr>
        <w:t>.</w:t>
      </w:r>
    </w:p>
    <w:p w14:paraId="04468362" w14:textId="77777777" w:rsidR="00FA66E4" w:rsidRPr="00BB19C0" w:rsidRDefault="00FA66E4" w:rsidP="00BB19C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202AEE9E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4.4</w:t>
      </w:r>
      <w:r w:rsidRPr="00BB19C0">
        <w:rPr>
          <w:b/>
          <w:sz w:val="24"/>
          <w:szCs w:val="24"/>
        </w:rPr>
        <w:tab/>
        <w:t>Særlige advarsler</w:t>
      </w:r>
    </w:p>
    <w:p w14:paraId="6F8A5200" w14:textId="1AF86CC4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Ingen</w:t>
      </w:r>
      <w:r w:rsidR="00E6560F">
        <w:rPr>
          <w:sz w:val="24"/>
          <w:szCs w:val="24"/>
        </w:rPr>
        <w:t>.</w:t>
      </w:r>
    </w:p>
    <w:p w14:paraId="630A614E" w14:textId="77777777" w:rsidR="00FA66E4" w:rsidRPr="00BB19C0" w:rsidRDefault="00FA66E4" w:rsidP="00BB19C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2043CEF8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4.5</w:t>
      </w:r>
      <w:r w:rsidRPr="00BB19C0">
        <w:rPr>
          <w:b/>
          <w:sz w:val="24"/>
          <w:szCs w:val="24"/>
        </w:rPr>
        <w:tab/>
        <w:t>Særlige forsigtighedsregler vedrørende brugen</w:t>
      </w:r>
    </w:p>
    <w:p w14:paraId="6467CD91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ab/>
      </w:r>
    </w:p>
    <w:p w14:paraId="7D462CD5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ab/>
        <w:t>Særlige forsigtighedsregler for dyret</w:t>
      </w:r>
    </w:p>
    <w:p w14:paraId="72E2DF3E" w14:textId="46F85DB5" w:rsidR="001803E6" w:rsidRPr="00BB19C0" w:rsidRDefault="001803E6" w:rsidP="00BB19C0">
      <w:pPr>
        <w:ind w:left="851" w:hanging="851"/>
        <w:rPr>
          <w:sz w:val="24"/>
          <w:szCs w:val="24"/>
          <w:lang w:eastAsia="en-GB"/>
        </w:rPr>
      </w:pPr>
      <w:r w:rsidRPr="00BB19C0">
        <w:rPr>
          <w:sz w:val="24"/>
          <w:szCs w:val="24"/>
        </w:rPr>
        <w:tab/>
      </w:r>
      <w:r w:rsidRPr="00BB19C0">
        <w:rPr>
          <w:sz w:val="24"/>
          <w:szCs w:val="24"/>
          <w:lang w:eastAsia="en-GB"/>
        </w:rPr>
        <w:t xml:space="preserve">Ikke virksomt mod </w:t>
      </w:r>
      <w:proofErr w:type="spellStart"/>
      <w:r w:rsidRPr="00BB19C0">
        <w:rPr>
          <w:sz w:val="24"/>
          <w:szCs w:val="24"/>
          <w:lang w:eastAsia="en-GB"/>
        </w:rPr>
        <w:t>betalactamase</w:t>
      </w:r>
      <w:proofErr w:type="spellEnd"/>
      <w:r w:rsidRPr="00BB19C0">
        <w:rPr>
          <w:sz w:val="24"/>
          <w:szCs w:val="24"/>
          <w:lang w:eastAsia="en-GB"/>
        </w:rPr>
        <w:t>-producerende organismer.</w:t>
      </w:r>
    </w:p>
    <w:p w14:paraId="049B4ABC" w14:textId="77777777" w:rsidR="001803E6" w:rsidRPr="00BB19C0" w:rsidRDefault="001803E6" w:rsidP="00BB19C0">
      <w:pPr>
        <w:ind w:left="851" w:hanging="851"/>
        <w:rPr>
          <w:sz w:val="24"/>
          <w:szCs w:val="24"/>
          <w:lang w:eastAsia="en-GB"/>
        </w:rPr>
      </w:pPr>
    </w:p>
    <w:p w14:paraId="548EAF7D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E6560F">
        <w:rPr>
          <w:b/>
          <w:sz w:val="24"/>
          <w:szCs w:val="24"/>
          <w:lang w:eastAsia="en-GB"/>
        </w:rPr>
        <w:t>Svin:</w:t>
      </w:r>
      <w:r w:rsidRPr="00BB19C0">
        <w:rPr>
          <w:sz w:val="24"/>
          <w:szCs w:val="24"/>
          <w:lang w:eastAsia="en-GB"/>
        </w:rPr>
        <w:t xml:space="preserve"> Medicinoptagelsen hos dyr kan ændre sig ved sygdom. Ved utilstrækkelig optagelse af vand bør dyret i stedet behandles </w:t>
      </w:r>
      <w:proofErr w:type="spellStart"/>
      <w:r w:rsidRPr="00BB19C0">
        <w:rPr>
          <w:sz w:val="24"/>
          <w:szCs w:val="24"/>
          <w:lang w:eastAsia="en-GB"/>
        </w:rPr>
        <w:t>parenteralt</w:t>
      </w:r>
      <w:proofErr w:type="spellEnd"/>
      <w:r w:rsidRPr="00BB19C0">
        <w:rPr>
          <w:sz w:val="24"/>
          <w:szCs w:val="24"/>
          <w:lang w:eastAsia="en-GB"/>
        </w:rPr>
        <w:t>.</w:t>
      </w:r>
    </w:p>
    <w:p w14:paraId="00EF3A29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7496F203" w14:textId="788C1000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Brug af </w:t>
      </w:r>
      <w:r w:rsidR="00E6560F">
        <w:rPr>
          <w:sz w:val="24"/>
          <w:szCs w:val="24"/>
        </w:rPr>
        <w:t>lægemidlet</w:t>
      </w:r>
      <w:r w:rsidRPr="00BB19C0">
        <w:rPr>
          <w:sz w:val="24"/>
          <w:szCs w:val="24"/>
        </w:rPr>
        <w:t xml:space="preserve"> bør være i overensstemmelse med officielle, nationale og regionale antimikrobielle politikker. </w:t>
      </w:r>
    </w:p>
    <w:p w14:paraId="5DCF42FE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7349F0D9" w14:textId="1B2AC83D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Brug af </w:t>
      </w:r>
      <w:r w:rsidR="00E6560F">
        <w:rPr>
          <w:sz w:val="24"/>
          <w:szCs w:val="24"/>
        </w:rPr>
        <w:t>lægemidlet</w:t>
      </w:r>
      <w:r w:rsidRPr="00BB19C0">
        <w:rPr>
          <w:sz w:val="24"/>
          <w:szCs w:val="24"/>
        </w:rPr>
        <w:t xml:space="preserve"> bør baseres på undersøgelser af bakteriernes følsomhed foretaget isoleret fra dyret. Er det ikke muligt, bør behandlingen baseres på lokal (regional, på besætningsniveau) epidemiologisk information om de pågældende bakteriers følsomhed.</w:t>
      </w:r>
    </w:p>
    <w:p w14:paraId="76A9A838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65A7620E" w14:textId="16353A4F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Brug af </w:t>
      </w:r>
      <w:r w:rsidR="00E942E6">
        <w:rPr>
          <w:sz w:val="24"/>
          <w:szCs w:val="24"/>
        </w:rPr>
        <w:t>lægemidlet</w:t>
      </w:r>
      <w:r w:rsidRPr="00BB19C0">
        <w:rPr>
          <w:sz w:val="24"/>
          <w:szCs w:val="24"/>
        </w:rPr>
        <w:t xml:space="preserve">, der afviger fra instruktionerne i produktresumeet kan øge forekomsten af resistens over for </w:t>
      </w:r>
      <w:proofErr w:type="spellStart"/>
      <w:r w:rsidRPr="00BB19C0">
        <w:rPr>
          <w:sz w:val="24"/>
          <w:szCs w:val="24"/>
        </w:rPr>
        <w:t>amoxicillin</w:t>
      </w:r>
      <w:proofErr w:type="spellEnd"/>
      <w:r w:rsidRPr="00BB19C0">
        <w:rPr>
          <w:sz w:val="24"/>
          <w:szCs w:val="24"/>
        </w:rPr>
        <w:t xml:space="preserve"> og kan reducere behandlingens virkning.</w:t>
      </w:r>
    </w:p>
    <w:p w14:paraId="224483D0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98193EF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sz w:val="24"/>
          <w:szCs w:val="24"/>
        </w:rPr>
        <w:tab/>
      </w:r>
      <w:r w:rsidRPr="00BB19C0">
        <w:rPr>
          <w:b/>
          <w:sz w:val="24"/>
          <w:szCs w:val="24"/>
        </w:rPr>
        <w:t>Særlige forsigtighedsregler for personer, der administrerer lægemidlet</w:t>
      </w:r>
    </w:p>
    <w:p w14:paraId="511B7C01" w14:textId="77777777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 xml:space="preserve">Penicilliner og </w:t>
      </w:r>
      <w:proofErr w:type="spellStart"/>
      <w:r w:rsidR="001803E6" w:rsidRPr="00BB19C0">
        <w:rPr>
          <w:sz w:val="24"/>
          <w:szCs w:val="24"/>
        </w:rPr>
        <w:t>cefalosporiner</w:t>
      </w:r>
      <w:proofErr w:type="spellEnd"/>
      <w:r w:rsidR="001803E6" w:rsidRPr="00BB19C0">
        <w:rPr>
          <w:sz w:val="24"/>
          <w:szCs w:val="24"/>
        </w:rPr>
        <w:t xml:space="preserve"> kan forårsage overfølsomhed (allergi) efter injektion, inhalation, indtagelse eller kontakt med huden. Overfølsomhed over for penicilliner kan medføre krydsreaktioner over for </w:t>
      </w:r>
      <w:proofErr w:type="spellStart"/>
      <w:r w:rsidR="001803E6" w:rsidRPr="00BB19C0">
        <w:rPr>
          <w:sz w:val="24"/>
          <w:szCs w:val="24"/>
        </w:rPr>
        <w:t>cefalosporiner</w:t>
      </w:r>
      <w:proofErr w:type="spellEnd"/>
      <w:r w:rsidR="001803E6" w:rsidRPr="00BB19C0">
        <w:rPr>
          <w:sz w:val="24"/>
          <w:szCs w:val="24"/>
        </w:rPr>
        <w:t xml:space="preserve"> og omvendt. Allergiske reaktioner over for disse stoffer kan af og til være alvorlige. </w:t>
      </w:r>
    </w:p>
    <w:p w14:paraId="2671197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5BEAC1AC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Personer med kendt overfølsomhed over for det aktive stof, eller personer, der er blevet frarådet at arbejde med sådanne præparater, bør undgå kontakt med veterinærlægemidlet.</w:t>
      </w:r>
    </w:p>
    <w:p w14:paraId="5814BC59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2E8A8C82" w14:textId="14FB345C" w:rsidR="001803E6" w:rsidRPr="00BB19C0" w:rsidRDefault="00E942E6" w:rsidP="00BB19C0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</w:t>
      </w:r>
      <w:r w:rsidR="001803E6" w:rsidRPr="00BB19C0">
        <w:rPr>
          <w:sz w:val="24"/>
          <w:szCs w:val="24"/>
        </w:rPr>
        <w:t xml:space="preserve"> bør håndteres omhyggeligt, og alle anbefalede forholdsregler bør følges for at undgå kontakt.</w:t>
      </w:r>
    </w:p>
    <w:p w14:paraId="143D197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0706B397" w14:textId="6BAE45D3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Ved symptomer som </w:t>
      </w:r>
      <w:r w:rsidR="00C06F07">
        <w:rPr>
          <w:sz w:val="24"/>
          <w:szCs w:val="24"/>
        </w:rPr>
        <w:t>f.eks.</w:t>
      </w:r>
      <w:r w:rsidRPr="00BB19C0">
        <w:rPr>
          <w:sz w:val="24"/>
          <w:szCs w:val="24"/>
        </w:rPr>
        <w:t xml:space="preserve"> udslæt efter kontakt bør man søge lægehjælp og vise lægen denne advarsel. Hævelser i ansigtet, på læberne eller ved øjnene eller vejrtrækningsproblemer er alvorligere symptomer og kræver omgående lægehjælp.</w:t>
      </w:r>
    </w:p>
    <w:p w14:paraId="272454AA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37D0C910" w14:textId="1B37F3A8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Undgå at inhalere støv. Personer, der arbejder med </w:t>
      </w:r>
      <w:r w:rsidR="00E942E6">
        <w:rPr>
          <w:sz w:val="24"/>
          <w:szCs w:val="24"/>
        </w:rPr>
        <w:t>lægemidlet</w:t>
      </w:r>
      <w:r w:rsidRPr="00BB19C0">
        <w:rPr>
          <w:sz w:val="24"/>
          <w:szCs w:val="24"/>
        </w:rPr>
        <w:t xml:space="preserve">, bør anvende en engangshalvmaske i henhold til Europæisk Standard EN149 eller en flergangsmaske i henhold til Europæisk Standard EN140 med et filter i henhold til EN143. </w:t>
      </w:r>
    </w:p>
    <w:p w14:paraId="5FBE335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1EC48A37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Anvend handsker under klargøring og indgift af det medicinerede vand eller det flydende foder.</w:t>
      </w:r>
    </w:p>
    <w:p w14:paraId="74F73240" w14:textId="77777777" w:rsidR="001803E6" w:rsidRPr="00BB19C0" w:rsidRDefault="001803E6" w:rsidP="00BB19C0">
      <w:pPr>
        <w:pStyle w:val="Brdtekstindrykning2"/>
        <w:tabs>
          <w:tab w:val="clear" w:pos="567"/>
        </w:tabs>
        <w:ind w:left="851" w:hanging="851"/>
        <w:rPr>
          <w:b w:val="0"/>
          <w:bCs/>
          <w:sz w:val="24"/>
          <w:szCs w:val="24"/>
        </w:rPr>
      </w:pPr>
    </w:p>
    <w:p w14:paraId="33D4A71A" w14:textId="4E621F25" w:rsidR="00FA66E4" w:rsidRPr="00BB19C0" w:rsidRDefault="001803E6" w:rsidP="00290E49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Vask hud, der har været i kontakt med </w:t>
      </w:r>
      <w:r w:rsidR="00E942E6">
        <w:rPr>
          <w:sz w:val="24"/>
          <w:szCs w:val="24"/>
        </w:rPr>
        <w:t>lægemidlet</w:t>
      </w:r>
      <w:r w:rsidRPr="00BB19C0">
        <w:rPr>
          <w:sz w:val="24"/>
          <w:szCs w:val="24"/>
        </w:rPr>
        <w:t xml:space="preserve"> efter håndtering af </w:t>
      </w:r>
      <w:r w:rsidR="00E942E6">
        <w:rPr>
          <w:sz w:val="24"/>
          <w:szCs w:val="24"/>
        </w:rPr>
        <w:t>lægemidlet</w:t>
      </w:r>
      <w:r w:rsidRPr="00BB19C0">
        <w:rPr>
          <w:sz w:val="24"/>
          <w:szCs w:val="24"/>
        </w:rPr>
        <w:t xml:space="preserve"> eller det medicinerede vand eller foder. Vask hænder efter brug.</w:t>
      </w:r>
      <w:r w:rsidR="00C06F07">
        <w:rPr>
          <w:sz w:val="24"/>
          <w:szCs w:val="24"/>
        </w:rPr>
        <w:br w:type="page"/>
      </w:r>
    </w:p>
    <w:p w14:paraId="001B5AB4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sz w:val="24"/>
          <w:szCs w:val="24"/>
        </w:rPr>
        <w:lastRenderedPageBreak/>
        <w:tab/>
      </w:r>
      <w:r w:rsidRPr="00BB19C0">
        <w:rPr>
          <w:b/>
          <w:sz w:val="24"/>
          <w:szCs w:val="24"/>
        </w:rPr>
        <w:t>Andre forsigtighedsregler</w:t>
      </w:r>
    </w:p>
    <w:p w14:paraId="000BB846" w14:textId="412FC058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Ingen.</w:t>
      </w:r>
    </w:p>
    <w:p w14:paraId="4913DBEF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19E93B3D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4.6</w:t>
      </w:r>
      <w:r w:rsidRPr="00BB19C0">
        <w:rPr>
          <w:b/>
          <w:sz w:val="24"/>
          <w:szCs w:val="24"/>
        </w:rPr>
        <w:tab/>
        <w:t>Bivirkninger</w:t>
      </w:r>
    </w:p>
    <w:p w14:paraId="474EA430" w14:textId="77777777" w:rsidR="001803E6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 xml:space="preserve">Penicilliner og </w:t>
      </w:r>
      <w:proofErr w:type="spellStart"/>
      <w:r w:rsidR="001803E6" w:rsidRPr="00BB19C0">
        <w:rPr>
          <w:sz w:val="24"/>
          <w:szCs w:val="24"/>
        </w:rPr>
        <w:t>cefalosporiner</w:t>
      </w:r>
      <w:proofErr w:type="spellEnd"/>
      <w:r w:rsidR="001803E6" w:rsidRPr="00BB19C0">
        <w:rPr>
          <w:sz w:val="24"/>
          <w:szCs w:val="24"/>
        </w:rPr>
        <w:t xml:space="preserve"> kan forårsage overfølsomhedsreaktioner, som kan være alvorlige.</w:t>
      </w:r>
    </w:p>
    <w:p w14:paraId="6DBAB57D" w14:textId="77777777" w:rsidR="00290E49" w:rsidRDefault="00290E49" w:rsidP="00BB19C0">
      <w:pPr>
        <w:ind w:left="851" w:hanging="851"/>
        <w:rPr>
          <w:sz w:val="24"/>
          <w:szCs w:val="24"/>
        </w:rPr>
      </w:pPr>
    </w:p>
    <w:p w14:paraId="32FD2382" w14:textId="77777777" w:rsidR="00290E49" w:rsidRDefault="00290E49" w:rsidP="00290E49">
      <w:pPr>
        <w:ind w:firstLine="851"/>
        <w:rPr>
          <w:szCs w:val="22"/>
        </w:rPr>
      </w:pPr>
      <w:r w:rsidRPr="00F73A00">
        <w:rPr>
          <w:szCs w:val="22"/>
        </w:rPr>
        <w:t>Hyppigheden af bivirkninger er defineret som:</w:t>
      </w:r>
    </w:p>
    <w:p w14:paraId="344804CC" w14:textId="77777777" w:rsidR="00290E49" w:rsidRPr="00F73A00" w:rsidRDefault="00290E49" w:rsidP="00290E49">
      <w:pPr>
        <w:ind w:firstLine="567"/>
        <w:rPr>
          <w:szCs w:val="22"/>
        </w:rPr>
      </w:pPr>
    </w:p>
    <w:p w14:paraId="49ECE664" w14:textId="77777777" w:rsidR="00290E49" w:rsidRPr="00F73A00" w:rsidRDefault="00290E49" w:rsidP="00290E49">
      <w:pPr>
        <w:ind w:firstLine="851"/>
        <w:rPr>
          <w:szCs w:val="22"/>
        </w:rPr>
      </w:pPr>
      <w:r w:rsidRPr="00F73A00">
        <w:rPr>
          <w:szCs w:val="22"/>
        </w:rPr>
        <w:t>- Meget almindelig (flere end 1 ud af 10 behandlede dyr, der viser bivirkninger i løbet af en</w:t>
      </w:r>
    </w:p>
    <w:p w14:paraId="204F73D4" w14:textId="77777777" w:rsidR="00290E49" w:rsidRPr="00F73A00" w:rsidRDefault="00290E49" w:rsidP="00290E49">
      <w:pPr>
        <w:ind w:firstLine="851"/>
        <w:rPr>
          <w:szCs w:val="22"/>
        </w:rPr>
      </w:pPr>
      <w:proofErr w:type="gramStart"/>
      <w:r w:rsidRPr="00F73A00">
        <w:rPr>
          <w:szCs w:val="22"/>
        </w:rPr>
        <w:t>behandling</w:t>
      </w:r>
      <w:proofErr w:type="gramEnd"/>
      <w:r w:rsidRPr="00F73A00">
        <w:rPr>
          <w:szCs w:val="22"/>
        </w:rPr>
        <w:t>)</w:t>
      </w:r>
    </w:p>
    <w:p w14:paraId="231B5C44" w14:textId="77777777" w:rsidR="00290E49" w:rsidRPr="00F73A00" w:rsidRDefault="00290E49" w:rsidP="00290E49">
      <w:pPr>
        <w:ind w:firstLine="851"/>
        <w:rPr>
          <w:szCs w:val="22"/>
        </w:rPr>
      </w:pPr>
      <w:r w:rsidRPr="00F73A00">
        <w:rPr>
          <w:szCs w:val="22"/>
        </w:rPr>
        <w:t>- Almindelige (flere end 1, men færre end 10 dyr af 100 behandlede dyr)</w:t>
      </w:r>
    </w:p>
    <w:p w14:paraId="6BAF64C8" w14:textId="77777777" w:rsidR="00290E49" w:rsidRPr="00F73A00" w:rsidRDefault="00290E49" w:rsidP="00290E49">
      <w:pPr>
        <w:ind w:firstLine="851"/>
        <w:rPr>
          <w:szCs w:val="22"/>
        </w:rPr>
      </w:pPr>
      <w:r w:rsidRPr="00F73A00">
        <w:rPr>
          <w:szCs w:val="22"/>
        </w:rPr>
        <w:t>- Ikke almindelige (flere end 1, men færre end 10 dyr af 1.000 behandlede dyr)</w:t>
      </w:r>
    </w:p>
    <w:p w14:paraId="42BA42D1" w14:textId="77777777" w:rsidR="00290E49" w:rsidRPr="00F73A00" w:rsidRDefault="00290E49" w:rsidP="00290E49">
      <w:pPr>
        <w:ind w:firstLine="851"/>
        <w:rPr>
          <w:szCs w:val="22"/>
        </w:rPr>
      </w:pPr>
      <w:r w:rsidRPr="00F73A00">
        <w:rPr>
          <w:szCs w:val="22"/>
        </w:rPr>
        <w:t>- Sjældne (flere end 1, men færre end 10 dyr ud af 10.000 behandlede dyr)</w:t>
      </w:r>
    </w:p>
    <w:p w14:paraId="2ED16ADB" w14:textId="7782AB82" w:rsidR="00290E49" w:rsidRPr="00290E49" w:rsidRDefault="00290E49" w:rsidP="00290E49">
      <w:pPr>
        <w:ind w:firstLine="851"/>
        <w:rPr>
          <w:szCs w:val="22"/>
        </w:rPr>
      </w:pPr>
      <w:r>
        <w:rPr>
          <w:szCs w:val="22"/>
        </w:rPr>
        <w:t>-</w:t>
      </w:r>
      <w:r w:rsidRPr="00F73A00">
        <w:rPr>
          <w:szCs w:val="22"/>
        </w:rPr>
        <w:t xml:space="preserve"> Meget sjælden (færre end 1 dyr ud af 10.000 behandlede dyr, herunder isolerede rapporter)</w:t>
      </w:r>
    </w:p>
    <w:p w14:paraId="4122050E" w14:textId="77777777" w:rsidR="00FA66E4" w:rsidRPr="00290E49" w:rsidRDefault="00FA66E4" w:rsidP="00290E49">
      <w:pPr>
        <w:ind w:firstLine="851"/>
        <w:rPr>
          <w:szCs w:val="22"/>
        </w:rPr>
      </w:pPr>
    </w:p>
    <w:p w14:paraId="5128C02E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4.7</w:t>
      </w:r>
      <w:r w:rsidRPr="00BB19C0">
        <w:rPr>
          <w:b/>
          <w:sz w:val="24"/>
          <w:szCs w:val="24"/>
        </w:rPr>
        <w:tab/>
        <w:t>Drægtighed, diegivning eller æglægning</w:t>
      </w:r>
    </w:p>
    <w:p w14:paraId="69CB45FC" w14:textId="77777777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 xml:space="preserve">Laboratorieundersøgelser med rotter har ikke påvist nogen </w:t>
      </w:r>
      <w:proofErr w:type="spellStart"/>
      <w:r w:rsidR="001803E6" w:rsidRPr="00BB19C0">
        <w:rPr>
          <w:sz w:val="24"/>
          <w:szCs w:val="24"/>
        </w:rPr>
        <w:t>teratogen</w:t>
      </w:r>
      <w:proofErr w:type="spellEnd"/>
      <w:r w:rsidR="001803E6" w:rsidRPr="00BB19C0">
        <w:rPr>
          <w:sz w:val="24"/>
          <w:szCs w:val="24"/>
        </w:rPr>
        <w:t xml:space="preserve"> virkning grundet indgift af </w:t>
      </w:r>
      <w:proofErr w:type="spellStart"/>
      <w:r w:rsidR="001803E6" w:rsidRPr="00BB19C0">
        <w:rPr>
          <w:sz w:val="24"/>
          <w:szCs w:val="24"/>
        </w:rPr>
        <w:t>amoxicillin</w:t>
      </w:r>
      <w:proofErr w:type="spellEnd"/>
      <w:r w:rsidR="001803E6" w:rsidRPr="00BB19C0">
        <w:rPr>
          <w:sz w:val="24"/>
          <w:szCs w:val="24"/>
        </w:rPr>
        <w:t>.</w:t>
      </w:r>
    </w:p>
    <w:p w14:paraId="3648C3F7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2092B865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Må kun anvendes i overensstemmelse med den ansvarlige dyrlæges vurdering af </w:t>
      </w:r>
      <w:proofErr w:type="spellStart"/>
      <w:r w:rsidRPr="00BB19C0">
        <w:rPr>
          <w:sz w:val="24"/>
          <w:szCs w:val="24"/>
        </w:rPr>
        <w:t>risk</w:t>
      </w:r>
      <w:proofErr w:type="spellEnd"/>
      <w:r w:rsidRPr="00BB19C0">
        <w:rPr>
          <w:sz w:val="24"/>
          <w:szCs w:val="24"/>
        </w:rPr>
        <w:t>-</w:t>
      </w:r>
      <w:proofErr w:type="spellStart"/>
      <w:r w:rsidRPr="00BB19C0">
        <w:rPr>
          <w:sz w:val="24"/>
          <w:szCs w:val="24"/>
        </w:rPr>
        <w:t>benefit</w:t>
      </w:r>
      <w:proofErr w:type="spellEnd"/>
      <w:r w:rsidRPr="00BB19C0">
        <w:rPr>
          <w:sz w:val="24"/>
          <w:szCs w:val="24"/>
        </w:rPr>
        <w:t>-forholdet.</w:t>
      </w:r>
    </w:p>
    <w:p w14:paraId="37B8B01E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1D50AB22" w14:textId="38AC78AB" w:rsidR="00290E49" w:rsidRPr="00BB19C0" w:rsidRDefault="0034614C" w:rsidP="00290E49">
      <w:pPr>
        <w:ind w:left="851"/>
        <w:rPr>
          <w:sz w:val="24"/>
          <w:szCs w:val="24"/>
        </w:rPr>
      </w:pPr>
      <w:r w:rsidRPr="0034614C">
        <w:t>Må ikke anvendes til fjerkræ der producerer æg til konsum og inden for 3 uger forud for æglægningsperiodens begyndelse.</w:t>
      </w:r>
    </w:p>
    <w:p w14:paraId="6C8EAC6C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8798D17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4.8</w:t>
      </w:r>
      <w:r w:rsidRPr="00BB19C0">
        <w:rPr>
          <w:b/>
          <w:sz w:val="24"/>
          <w:szCs w:val="24"/>
        </w:rPr>
        <w:tab/>
        <w:t>Interaktion med andre lægemidler og andre former for interaktion</w:t>
      </w:r>
    </w:p>
    <w:p w14:paraId="5E266BC6" w14:textId="77777777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 xml:space="preserve">Bør ikke gives sammen med antibiotika med </w:t>
      </w:r>
      <w:proofErr w:type="spellStart"/>
      <w:r w:rsidR="001803E6" w:rsidRPr="00BB19C0">
        <w:rPr>
          <w:sz w:val="24"/>
          <w:szCs w:val="24"/>
        </w:rPr>
        <w:t>bakteriostatisk</w:t>
      </w:r>
      <w:proofErr w:type="spellEnd"/>
      <w:r w:rsidR="001803E6" w:rsidRPr="00BB19C0">
        <w:rPr>
          <w:sz w:val="24"/>
          <w:szCs w:val="24"/>
        </w:rPr>
        <w:t xml:space="preserve"> virkning såsom </w:t>
      </w:r>
      <w:proofErr w:type="spellStart"/>
      <w:r w:rsidR="001803E6" w:rsidRPr="00BB19C0">
        <w:rPr>
          <w:sz w:val="24"/>
          <w:szCs w:val="24"/>
        </w:rPr>
        <w:t>tetracykliner</w:t>
      </w:r>
      <w:proofErr w:type="spellEnd"/>
      <w:r w:rsidR="001803E6" w:rsidRPr="00BB19C0">
        <w:rPr>
          <w:sz w:val="24"/>
          <w:szCs w:val="24"/>
        </w:rPr>
        <w:t>, makrolider, sulfonamider.</w:t>
      </w:r>
    </w:p>
    <w:p w14:paraId="241E11D6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09F0673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4.9</w:t>
      </w:r>
      <w:r w:rsidRPr="00BB19C0">
        <w:rPr>
          <w:b/>
          <w:sz w:val="24"/>
          <w:szCs w:val="24"/>
        </w:rPr>
        <w:tab/>
        <w:t>Dosering og indgivelsesmåde</w:t>
      </w:r>
    </w:p>
    <w:p w14:paraId="313E8DDF" w14:textId="77777777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Til anvendelse i drikkevand.</w:t>
      </w:r>
    </w:p>
    <w:p w14:paraId="47D57B9A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63F3A9BF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Opløs pulveret i frisk drikkevand umiddelbart før brug. Medicineret vand, der ikke anvendes inden for 12 timer, bør kasseres, og der bør fyldes op med det medicinerede drikkevand.</w:t>
      </w:r>
    </w:p>
    <w:p w14:paraId="15C3E652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17679AC7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For at sikre optagelse af det medicinerede vand bør dyrene ikke have adgang til anden vandforsyning, mens de er under behandling.</w:t>
      </w:r>
    </w:p>
    <w:p w14:paraId="7CA9869A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0E9DB8A3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Følgende formel kan bruges til at beregne den nødvendige koncentration af produktet (i mg af produktet pr. liter drikkevand):</w:t>
      </w:r>
    </w:p>
    <w:p w14:paraId="53C0EDE6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57"/>
        <w:gridCol w:w="3222"/>
        <w:gridCol w:w="3066"/>
      </w:tblGrid>
      <w:tr w:rsidR="001803E6" w:rsidRPr="00BB19C0" w14:paraId="5D6C8A57" w14:textId="77777777" w:rsidTr="00BB19C0">
        <w:trPr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38299" w14:textId="717286BE" w:rsidR="001803E6" w:rsidRPr="00BB19C0" w:rsidRDefault="001803E6" w:rsidP="00BB19C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BB19C0">
              <w:rPr>
                <w:b/>
                <w:sz w:val="24"/>
                <w:szCs w:val="24"/>
              </w:rPr>
              <w:t>x</w:t>
            </w:r>
            <w:proofErr w:type="gramEnd"/>
            <w:r w:rsidRPr="00BB19C0">
              <w:rPr>
                <w:sz w:val="24"/>
                <w:szCs w:val="24"/>
              </w:rPr>
              <w:t xml:space="preserve"> mg </w:t>
            </w:r>
            <w:r w:rsidR="00BB19C0">
              <w:rPr>
                <w:sz w:val="24"/>
                <w:szCs w:val="24"/>
              </w:rPr>
              <w:t>lægemidlet</w:t>
            </w:r>
            <w:r w:rsidRPr="00BB19C0">
              <w:rPr>
                <w:sz w:val="24"/>
                <w:szCs w:val="24"/>
              </w:rPr>
              <w:t xml:space="preserve"> pr. kg legemsvægt pr. dag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65EC98" w14:textId="77777777" w:rsidR="001803E6" w:rsidRPr="00BB19C0" w:rsidRDefault="001803E6" w:rsidP="00BB19C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BB19C0">
              <w:rPr>
                <w:sz w:val="24"/>
                <w:szCs w:val="24"/>
              </w:rPr>
              <w:t>X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241DC" w14:textId="77777777" w:rsidR="001803E6" w:rsidRPr="00BB19C0" w:rsidRDefault="001803E6" w:rsidP="00BB19C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BB19C0">
              <w:rPr>
                <w:sz w:val="24"/>
                <w:szCs w:val="24"/>
              </w:rPr>
              <w:t>gennemsnitlig</w:t>
            </w:r>
            <w:proofErr w:type="gramEnd"/>
            <w:r w:rsidRPr="00BB19C0">
              <w:rPr>
                <w:sz w:val="24"/>
                <w:szCs w:val="24"/>
              </w:rPr>
              <w:t xml:space="preserve"> legemsvægt (kg) for de dyr, der skal behandles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6910" w14:textId="5C634179" w:rsidR="001803E6" w:rsidRPr="00BB19C0" w:rsidRDefault="001803E6" w:rsidP="00BB19C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BB19C0">
              <w:rPr>
                <w:sz w:val="24"/>
                <w:szCs w:val="24"/>
              </w:rPr>
              <w:t xml:space="preserve">= </w:t>
            </w:r>
            <w:r w:rsidRPr="00BB19C0">
              <w:rPr>
                <w:b/>
                <w:sz w:val="24"/>
                <w:szCs w:val="24"/>
              </w:rPr>
              <w:t>x</w:t>
            </w:r>
            <w:r w:rsidRPr="00BB19C0">
              <w:rPr>
                <w:sz w:val="24"/>
                <w:szCs w:val="24"/>
              </w:rPr>
              <w:t xml:space="preserve"> mg </w:t>
            </w:r>
            <w:r w:rsidR="00BB19C0">
              <w:rPr>
                <w:sz w:val="24"/>
                <w:szCs w:val="24"/>
              </w:rPr>
              <w:t>lægemidlet</w:t>
            </w:r>
            <w:r w:rsidRPr="00BB19C0">
              <w:rPr>
                <w:sz w:val="24"/>
                <w:szCs w:val="24"/>
              </w:rPr>
              <w:t xml:space="preserve"> pr. liter drikkevand</w:t>
            </w:r>
          </w:p>
        </w:tc>
      </w:tr>
      <w:tr w:rsidR="001803E6" w:rsidRPr="00BB19C0" w14:paraId="791114A2" w14:textId="77777777" w:rsidTr="00BB19C0">
        <w:trPr>
          <w:jc w:val="center"/>
        </w:trPr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040B71" w14:textId="67DB96B8" w:rsidR="001803E6" w:rsidRPr="00BB19C0" w:rsidRDefault="001803E6" w:rsidP="00BB19C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BB19C0">
              <w:rPr>
                <w:sz w:val="24"/>
                <w:szCs w:val="24"/>
              </w:rPr>
              <w:t>Gennemsnitligt dagligt vandforbrug (l) pr. dyr</w:t>
            </w: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ADBE" w14:textId="77777777" w:rsidR="001803E6" w:rsidRPr="00BB19C0" w:rsidRDefault="001803E6" w:rsidP="00BB19C0">
            <w:pPr>
              <w:ind w:hanging="851"/>
              <w:jc w:val="center"/>
              <w:rPr>
                <w:sz w:val="24"/>
                <w:szCs w:val="24"/>
              </w:rPr>
            </w:pPr>
          </w:p>
        </w:tc>
      </w:tr>
    </w:tbl>
    <w:p w14:paraId="1F51770D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1350EC4A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For at sikre en korrekt dosering bør legemsvægten fastsættes så præcist som muligt for at undgå underdosering. Optagelsen af det medicinerede vand afhænger af dyrets kliniske </w:t>
      </w:r>
      <w:r w:rsidRPr="00BB19C0">
        <w:rPr>
          <w:sz w:val="24"/>
          <w:szCs w:val="24"/>
        </w:rPr>
        <w:lastRenderedPageBreak/>
        <w:t xml:space="preserve">tilstand. For at opnå den korrekte dosering skal koncentrationen af </w:t>
      </w:r>
      <w:proofErr w:type="spellStart"/>
      <w:r w:rsidRPr="00BB19C0">
        <w:rPr>
          <w:sz w:val="24"/>
          <w:szCs w:val="24"/>
        </w:rPr>
        <w:t>amoxicillin</w:t>
      </w:r>
      <w:proofErr w:type="spellEnd"/>
      <w:r w:rsidRPr="00BB19C0">
        <w:rPr>
          <w:sz w:val="24"/>
          <w:szCs w:val="24"/>
        </w:rPr>
        <w:t xml:space="preserve"> tilpasses under hensyntagen til vandindtagelsen.</w:t>
      </w:r>
    </w:p>
    <w:p w14:paraId="2285A010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7B5A3CBB" w14:textId="77777777" w:rsidR="001803E6" w:rsidRPr="00BB19C0" w:rsidRDefault="001803E6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ab/>
        <w:t>Kyllinger</w:t>
      </w:r>
    </w:p>
    <w:p w14:paraId="4CD430F2" w14:textId="544FD858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Den anbefalede dosis er 15 mg </w:t>
      </w:r>
      <w:proofErr w:type="spellStart"/>
      <w:r w:rsidRPr="00BB19C0">
        <w:rPr>
          <w:sz w:val="24"/>
          <w:szCs w:val="24"/>
        </w:rPr>
        <w:t>amoxicillintrihydrat</w:t>
      </w:r>
      <w:proofErr w:type="spellEnd"/>
      <w:r w:rsidRPr="00BB19C0">
        <w:rPr>
          <w:sz w:val="24"/>
          <w:szCs w:val="24"/>
        </w:rPr>
        <w:t xml:space="preserve"> pr. kg legemsvægt pr. dag (svarende til 30 mg </w:t>
      </w:r>
      <w:r w:rsidR="00E942E6">
        <w:rPr>
          <w:sz w:val="24"/>
          <w:szCs w:val="24"/>
        </w:rPr>
        <w:t>lægemiddel</w:t>
      </w:r>
      <w:r w:rsidRPr="00BB19C0">
        <w:rPr>
          <w:sz w:val="24"/>
          <w:szCs w:val="24"/>
        </w:rPr>
        <w:t>/kg legemsvægt/dag).</w:t>
      </w:r>
    </w:p>
    <w:p w14:paraId="03669360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11308D17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Den samlede behandlingsperiode bør være 3 dage eller 5 dage i svære tilfælde.</w:t>
      </w:r>
    </w:p>
    <w:p w14:paraId="0EA15C36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5F5B4793" w14:textId="77777777" w:rsidR="001803E6" w:rsidRPr="00BB19C0" w:rsidRDefault="001803E6" w:rsidP="00BB19C0">
      <w:pPr>
        <w:ind w:left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Ænder</w:t>
      </w:r>
    </w:p>
    <w:p w14:paraId="638A86A9" w14:textId="4810797E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Den anbefalede dosis er 20 mg </w:t>
      </w:r>
      <w:proofErr w:type="spellStart"/>
      <w:r w:rsidRPr="00BB19C0">
        <w:rPr>
          <w:sz w:val="24"/>
          <w:szCs w:val="24"/>
        </w:rPr>
        <w:t>amoxicillin</w:t>
      </w:r>
      <w:r w:rsidR="00E942E6">
        <w:rPr>
          <w:sz w:val="24"/>
          <w:szCs w:val="24"/>
        </w:rPr>
        <w:t>trihydrat</w:t>
      </w:r>
      <w:proofErr w:type="spellEnd"/>
      <w:r w:rsidRPr="00BB19C0">
        <w:rPr>
          <w:sz w:val="24"/>
          <w:szCs w:val="24"/>
        </w:rPr>
        <w:t xml:space="preserve">/kg legemsvægt pr. dag (svarende til 40 mg </w:t>
      </w:r>
      <w:r w:rsidR="00E942E6">
        <w:rPr>
          <w:sz w:val="24"/>
          <w:szCs w:val="24"/>
        </w:rPr>
        <w:t>lægemiddel</w:t>
      </w:r>
      <w:r w:rsidRPr="00BB19C0">
        <w:rPr>
          <w:sz w:val="24"/>
          <w:szCs w:val="24"/>
        </w:rPr>
        <w:t>/kg legemsvægt/dag) i 3 dage i træk.</w:t>
      </w:r>
    </w:p>
    <w:p w14:paraId="545CFBAD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0E300679" w14:textId="77777777" w:rsidR="001803E6" w:rsidRPr="00BB19C0" w:rsidRDefault="001803E6" w:rsidP="00BB19C0">
      <w:pPr>
        <w:ind w:left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Kalkuner</w:t>
      </w:r>
    </w:p>
    <w:p w14:paraId="1DCC0B93" w14:textId="6BE1E998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Den anbefalede dosis er 15-20 mg </w:t>
      </w:r>
      <w:proofErr w:type="spellStart"/>
      <w:r w:rsidRPr="00BB19C0">
        <w:rPr>
          <w:sz w:val="24"/>
          <w:szCs w:val="24"/>
        </w:rPr>
        <w:t>amoxicillintrihydrat</w:t>
      </w:r>
      <w:proofErr w:type="spellEnd"/>
      <w:r w:rsidRPr="00BB19C0">
        <w:rPr>
          <w:sz w:val="24"/>
          <w:szCs w:val="24"/>
        </w:rPr>
        <w:t xml:space="preserve">/kg legemsvægt pr. dag (svarende til 30-40 mg </w:t>
      </w:r>
      <w:r w:rsidR="00E942E6">
        <w:rPr>
          <w:sz w:val="24"/>
          <w:szCs w:val="24"/>
        </w:rPr>
        <w:t>lægemiddel</w:t>
      </w:r>
      <w:r w:rsidRPr="00BB19C0">
        <w:rPr>
          <w:sz w:val="24"/>
          <w:szCs w:val="24"/>
        </w:rPr>
        <w:t>/kg legemsvægt/dag) i 3 dage eller i 5 dage i svære tilfælde.</w:t>
      </w:r>
    </w:p>
    <w:p w14:paraId="37E4B575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5C12260A" w14:textId="77777777" w:rsidR="001803E6" w:rsidRPr="00BB19C0" w:rsidRDefault="001803E6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ab/>
        <w:t>Svin</w:t>
      </w:r>
    </w:p>
    <w:p w14:paraId="1CB92909" w14:textId="6F63A8E1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 xml:space="preserve">Indgives i drikkevandet for at give 20 mg </w:t>
      </w:r>
      <w:proofErr w:type="spellStart"/>
      <w:r w:rsidRPr="00BB19C0">
        <w:rPr>
          <w:sz w:val="24"/>
          <w:szCs w:val="24"/>
        </w:rPr>
        <w:t>amoxicillintrihydrat</w:t>
      </w:r>
      <w:proofErr w:type="spellEnd"/>
      <w:r w:rsidRPr="00BB19C0">
        <w:rPr>
          <w:sz w:val="24"/>
          <w:szCs w:val="24"/>
        </w:rPr>
        <w:t xml:space="preserve">/kg legemsvægt (svarende til 40 mg </w:t>
      </w:r>
      <w:r w:rsidR="00E942E6">
        <w:rPr>
          <w:sz w:val="24"/>
          <w:szCs w:val="24"/>
        </w:rPr>
        <w:t>lægemiddel</w:t>
      </w:r>
      <w:r w:rsidRPr="00BB19C0">
        <w:rPr>
          <w:sz w:val="24"/>
          <w:szCs w:val="24"/>
        </w:rPr>
        <w:t>/kg legemsvægt) dagligt i op til 5 dage.</w:t>
      </w:r>
    </w:p>
    <w:p w14:paraId="0667F39F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5CF9DAD3" w14:textId="77777777" w:rsidR="001803E6" w:rsidRPr="00BB19C0" w:rsidRDefault="001803E6" w:rsidP="00BB19C0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Efter endt medicinering bør vandforsyningssystemet renses på behørig vis for at undgå subterapeutisk indtag af det aktive stof.</w:t>
      </w:r>
    </w:p>
    <w:p w14:paraId="797FC152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5284D71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4.10</w:t>
      </w:r>
      <w:r w:rsidRPr="00BB19C0">
        <w:rPr>
          <w:b/>
          <w:sz w:val="24"/>
          <w:szCs w:val="24"/>
        </w:rPr>
        <w:tab/>
        <w:t>Overdosering</w:t>
      </w:r>
    </w:p>
    <w:p w14:paraId="3D7D54F0" w14:textId="77777777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Der er ikke rapporteret problemer med overdosering. Behandlingen bør være symptomatisk. Der forefindes ingen modgift.</w:t>
      </w:r>
    </w:p>
    <w:p w14:paraId="5053A354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3ADAD33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4.11</w:t>
      </w:r>
      <w:r w:rsidRPr="00BB19C0">
        <w:rPr>
          <w:b/>
          <w:sz w:val="24"/>
          <w:szCs w:val="24"/>
        </w:rPr>
        <w:tab/>
        <w:t>Tilbageholdelsestid</w:t>
      </w:r>
    </w:p>
    <w:p w14:paraId="2CB4A91B" w14:textId="03FC07BC" w:rsidR="001803E6" w:rsidRPr="00BB19C0" w:rsidRDefault="00E942E6" w:rsidP="00BB19C0">
      <w:pPr>
        <w:ind w:left="851"/>
        <w:rPr>
          <w:sz w:val="24"/>
          <w:szCs w:val="24"/>
        </w:rPr>
      </w:pPr>
      <w:r>
        <w:rPr>
          <w:sz w:val="24"/>
          <w:szCs w:val="24"/>
        </w:rPr>
        <w:t>Slagtning</w:t>
      </w:r>
      <w:r w:rsidR="001803E6" w:rsidRPr="00BB19C0">
        <w:rPr>
          <w:sz w:val="24"/>
          <w:szCs w:val="24"/>
        </w:rPr>
        <w:t>:</w:t>
      </w:r>
    </w:p>
    <w:p w14:paraId="29C83166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001BDF90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Kyllinger:</w:t>
      </w:r>
      <w:r w:rsidRPr="00BB19C0">
        <w:rPr>
          <w:sz w:val="24"/>
          <w:szCs w:val="24"/>
        </w:rPr>
        <w:tab/>
        <w:t>1 dag</w:t>
      </w:r>
    </w:p>
    <w:p w14:paraId="18C4CC84" w14:textId="76E4ABAF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Ænder:</w:t>
      </w:r>
      <w:r w:rsidRPr="00BB19C0">
        <w:rPr>
          <w:sz w:val="24"/>
          <w:szCs w:val="24"/>
        </w:rPr>
        <w:tab/>
        <w:t>9 dage</w:t>
      </w:r>
    </w:p>
    <w:p w14:paraId="38F8CC62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Kalkuner:</w:t>
      </w:r>
      <w:r w:rsidRPr="00BB19C0">
        <w:rPr>
          <w:sz w:val="24"/>
          <w:szCs w:val="24"/>
        </w:rPr>
        <w:tab/>
        <w:t>5 dage</w:t>
      </w:r>
    </w:p>
    <w:p w14:paraId="29010ADF" w14:textId="3D9B437F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Svin:</w:t>
      </w:r>
      <w:r w:rsidRPr="00BB19C0">
        <w:rPr>
          <w:sz w:val="24"/>
          <w:szCs w:val="24"/>
        </w:rPr>
        <w:tab/>
        <w:t>2 dage</w:t>
      </w:r>
    </w:p>
    <w:p w14:paraId="280ACBCE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6ACB67D5" w14:textId="34555D50" w:rsidR="00290E49" w:rsidRPr="00BB19C0" w:rsidRDefault="0034614C" w:rsidP="00290E49">
      <w:pPr>
        <w:ind w:left="851"/>
        <w:rPr>
          <w:sz w:val="24"/>
          <w:szCs w:val="24"/>
        </w:rPr>
      </w:pPr>
      <w:r w:rsidRPr="0034614C">
        <w:rPr>
          <w:sz w:val="24"/>
          <w:szCs w:val="24"/>
        </w:rPr>
        <w:t>Må ikke anvendes til fjerkræ der producerer æg til konsum og inden for 3 uger forud for æglægningsperiodens begyndelse.</w:t>
      </w:r>
    </w:p>
    <w:p w14:paraId="185B3D7C" w14:textId="77777777" w:rsidR="00290E49" w:rsidRPr="00BB19C0" w:rsidRDefault="00290E49" w:rsidP="00290E4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55512BC5" w14:textId="351732F0" w:rsidR="00FA66E4" w:rsidRPr="00460908" w:rsidRDefault="00FA66E4" w:rsidP="00BB19C0">
      <w:pPr>
        <w:ind w:left="851" w:hanging="851"/>
        <w:rPr>
          <w:b/>
          <w:sz w:val="24"/>
          <w:szCs w:val="24"/>
        </w:rPr>
      </w:pPr>
      <w:r w:rsidRPr="00460908">
        <w:rPr>
          <w:b/>
          <w:sz w:val="24"/>
          <w:szCs w:val="24"/>
        </w:rPr>
        <w:t>5.</w:t>
      </w:r>
      <w:r w:rsidRPr="00460908">
        <w:rPr>
          <w:b/>
          <w:sz w:val="24"/>
          <w:szCs w:val="24"/>
        </w:rPr>
        <w:tab/>
        <w:t>FARMAKOLOGISKE EGENSKABER</w:t>
      </w:r>
    </w:p>
    <w:p w14:paraId="4B0E53A2" w14:textId="2EB6930B" w:rsidR="001803E6" w:rsidRPr="00460908" w:rsidRDefault="001803E6" w:rsidP="00460908">
      <w:pPr>
        <w:ind w:left="851"/>
        <w:rPr>
          <w:sz w:val="24"/>
          <w:szCs w:val="24"/>
        </w:rPr>
      </w:pPr>
      <w:proofErr w:type="spellStart"/>
      <w:r w:rsidRPr="00460908">
        <w:rPr>
          <w:sz w:val="24"/>
          <w:szCs w:val="24"/>
        </w:rPr>
        <w:t>Farmakoterapeutisk</w:t>
      </w:r>
      <w:proofErr w:type="spellEnd"/>
      <w:r w:rsidRPr="00460908">
        <w:rPr>
          <w:sz w:val="24"/>
          <w:szCs w:val="24"/>
        </w:rPr>
        <w:t xml:space="preserve"> gruppe: </w:t>
      </w:r>
      <w:proofErr w:type="spellStart"/>
      <w:r w:rsidRPr="00460908">
        <w:rPr>
          <w:sz w:val="24"/>
          <w:szCs w:val="24"/>
        </w:rPr>
        <w:t>Betalactamantibiotika</w:t>
      </w:r>
      <w:proofErr w:type="spellEnd"/>
      <w:r w:rsidRPr="00460908">
        <w:rPr>
          <w:sz w:val="24"/>
          <w:szCs w:val="24"/>
        </w:rPr>
        <w:t>, penicilliner</w:t>
      </w:r>
      <w:r w:rsidR="00E942E6">
        <w:rPr>
          <w:sz w:val="24"/>
          <w:szCs w:val="24"/>
        </w:rPr>
        <w:t>.</w:t>
      </w:r>
    </w:p>
    <w:p w14:paraId="69F576F1" w14:textId="77777777" w:rsidR="001803E6" w:rsidRPr="00460908" w:rsidRDefault="001803E6" w:rsidP="00460908">
      <w:pPr>
        <w:ind w:left="851"/>
        <w:rPr>
          <w:sz w:val="24"/>
          <w:szCs w:val="24"/>
        </w:rPr>
      </w:pPr>
      <w:proofErr w:type="spellStart"/>
      <w:r w:rsidRPr="00460908">
        <w:rPr>
          <w:sz w:val="24"/>
          <w:szCs w:val="24"/>
        </w:rPr>
        <w:t>ATCvet</w:t>
      </w:r>
      <w:proofErr w:type="spellEnd"/>
      <w:r w:rsidRPr="00460908">
        <w:rPr>
          <w:sz w:val="24"/>
          <w:szCs w:val="24"/>
        </w:rPr>
        <w:t>-kode: QJ01CA04</w:t>
      </w:r>
    </w:p>
    <w:p w14:paraId="26091AF4" w14:textId="77777777" w:rsidR="00FA66E4" w:rsidRPr="00460908" w:rsidRDefault="00FA66E4" w:rsidP="00BB19C0">
      <w:pPr>
        <w:ind w:left="851" w:hanging="851"/>
        <w:rPr>
          <w:sz w:val="24"/>
          <w:szCs w:val="24"/>
        </w:rPr>
      </w:pPr>
    </w:p>
    <w:p w14:paraId="465BDC2E" w14:textId="0EB40FCD" w:rsidR="00FA66E4" w:rsidRPr="00460908" w:rsidRDefault="00FA66E4" w:rsidP="00BB19C0">
      <w:pPr>
        <w:ind w:left="851" w:hanging="851"/>
        <w:rPr>
          <w:b/>
          <w:sz w:val="24"/>
          <w:szCs w:val="24"/>
        </w:rPr>
      </w:pPr>
      <w:r w:rsidRPr="00460908">
        <w:rPr>
          <w:b/>
          <w:sz w:val="24"/>
          <w:szCs w:val="24"/>
        </w:rPr>
        <w:t>5.1</w:t>
      </w:r>
      <w:r w:rsidRPr="00460908">
        <w:rPr>
          <w:b/>
          <w:sz w:val="24"/>
          <w:szCs w:val="24"/>
        </w:rPr>
        <w:tab/>
      </w:r>
      <w:proofErr w:type="spellStart"/>
      <w:r w:rsidRPr="00460908">
        <w:rPr>
          <w:b/>
          <w:sz w:val="24"/>
          <w:szCs w:val="24"/>
        </w:rPr>
        <w:t>Farmakodynamiske</w:t>
      </w:r>
      <w:proofErr w:type="spellEnd"/>
      <w:r w:rsidRPr="00460908">
        <w:rPr>
          <w:b/>
          <w:sz w:val="24"/>
          <w:szCs w:val="24"/>
        </w:rPr>
        <w:t xml:space="preserve"> egenskaber</w:t>
      </w:r>
    </w:p>
    <w:p w14:paraId="710FE663" w14:textId="2CCEF3A1" w:rsidR="001803E6" w:rsidRPr="00460908" w:rsidRDefault="00FA66E4" w:rsidP="00BB19C0">
      <w:pPr>
        <w:ind w:left="851" w:hanging="851"/>
        <w:rPr>
          <w:sz w:val="24"/>
          <w:szCs w:val="24"/>
        </w:rPr>
      </w:pPr>
      <w:r w:rsidRPr="00460908">
        <w:rPr>
          <w:sz w:val="24"/>
          <w:szCs w:val="24"/>
        </w:rPr>
        <w:tab/>
      </w:r>
      <w:proofErr w:type="spellStart"/>
      <w:r w:rsidR="001803E6" w:rsidRPr="00460908">
        <w:rPr>
          <w:sz w:val="24"/>
          <w:szCs w:val="24"/>
        </w:rPr>
        <w:t>Amoxicillin</w:t>
      </w:r>
      <w:proofErr w:type="spellEnd"/>
      <w:r w:rsidR="001803E6" w:rsidRPr="00460908">
        <w:rPr>
          <w:sz w:val="24"/>
          <w:szCs w:val="24"/>
        </w:rPr>
        <w:t xml:space="preserve"> er et baktericidt antibiotikum tilhørende gruppen af semisyntetiske penicilliner med bredspektret aktivitet over for grampositive og gramnegative bakterier. Denne aktivitet skyldes, at </w:t>
      </w:r>
      <w:proofErr w:type="spellStart"/>
      <w:r w:rsidR="001803E6" w:rsidRPr="00460908">
        <w:rPr>
          <w:sz w:val="24"/>
          <w:szCs w:val="24"/>
        </w:rPr>
        <w:t>amoxicillin</w:t>
      </w:r>
      <w:proofErr w:type="spellEnd"/>
      <w:r w:rsidR="001803E6" w:rsidRPr="00460908">
        <w:rPr>
          <w:sz w:val="24"/>
          <w:szCs w:val="24"/>
        </w:rPr>
        <w:t xml:space="preserve"> virker ved at hæmme udviklingen af </w:t>
      </w:r>
      <w:proofErr w:type="spellStart"/>
      <w:r w:rsidR="001803E6" w:rsidRPr="00460908">
        <w:rPr>
          <w:sz w:val="24"/>
          <w:szCs w:val="24"/>
        </w:rPr>
        <w:t>peptidoglykan</w:t>
      </w:r>
      <w:proofErr w:type="spellEnd"/>
      <w:r w:rsidR="001803E6" w:rsidRPr="00460908">
        <w:rPr>
          <w:sz w:val="24"/>
          <w:szCs w:val="24"/>
        </w:rPr>
        <w:t>-netværksstrukturen i den bakterielle cellevæg.</w:t>
      </w:r>
    </w:p>
    <w:p w14:paraId="3C017CB2" w14:textId="49E9921D" w:rsidR="0034614C" w:rsidRDefault="0034614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0974A63" w14:textId="77777777" w:rsidR="00290E49" w:rsidRDefault="00290E49">
      <w:pPr>
        <w:rPr>
          <w:b/>
          <w:sz w:val="24"/>
          <w:szCs w:val="24"/>
        </w:rPr>
      </w:pPr>
    </w:p>
    <w:p w14:paraId="6A686130" w14:textId="3AC1E881" w:rsidR="00FA66E4" w:rsidRPr="00460908" w:rsidRDefault="00FA66E4" w:rsidP="00BB19C0">
      <w:pPr>
        <w:ind w:left="851" w:hanging="851"/>
        <w:rPr>
          <w:b/>
          <w:sz w:val="24"/>
          <w:szCs w:val="24"/>
        </w:rPr>
      </w:pPr>
      <w:r w:rsidRPr="00460908">
        <w:rPr>
          <w:b/>
          <w:sz w:val="24"/>
          <w:szCs w:val="24"/>
        </w:rPr>
        <w:t>5.2</w:t>
      </w:r>
      <w:r w:rsidRPr="00460908">
        <w:rPr>
          <w:b/>
          <w:sz w:val="24"/>
          <w:szCs w:val="24"/>
        </w:rPr>
        <w:tab/>
      </w:r>
      <w:proofErr w:type="spellStart"/>
      <w:r w:rsidRPr="00460908">
        <w:rPr>
          <w:b/>
          <w:sz w:val="24"/>
          <w:szCs w:val="24"/>
        </w:rPr>
        <w:t>Farmakokinetiske</w:t>
      </w:r>
      <w:proofErr w:type="spellEnd"/>
      <w:r w:rsidRPr="00460908">
        <w:rPr>
          <w:b/>
          <w:sz w:val="24"/>
          <w:szCs w:val="24"/>
        </w:rPr>
        <w:t xml:space="preserve"> egenskaber</w:t>
      </w:r>
    </w:p>
    <w:p w14:paraId="7ADE9796" w14:textId="39122A7E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460908">
        <w:rPr>
          <w:sz w:val="24"/>
          <w:szCs w:val="24"/>
        </w:rPr>
        <w:tab/>
      </w:r>
      <w:proofErr w:type="spellStart"/>
      <w:r w:rsidRPr="00460908">
        <w:rPr>
          <w:sz w:val="24"/>
          <w:szCs w:val="24"/>
        </w:rPr>
        <w:t>Amoxicillin</w:t>
      </w:r>
      <w:proofErr w:type="spellEnd"/>
      <w:r w:rsidRPr="00460908">
        <w:rPr>
          <w:sz w:val="24"/>
          <w:szCs w:val="24"/>
        </w:rPr>
        <w:t xml:space="preserve"> absorberes hurtigt efter oral indgift og er stabilt under tilstedeværelse af mavesyrer. Udskillelse af </w:t>
      </w:r>
      <w:proofErr w:type="spellStart"/>
      <w:r w:rsidRPr="00460908">
        <w:rPr>
          <w:sz w:val="24"/>
          <w:szCs w:val="24"/>
        </w:rPr>
        <w:t>amoxicillin</w:t>
      </w:r>
      <w:proofErr w:type="spellEnd"/>
      <w:r w:rsidRPr="00460908">
        <w:rPr>
          <w:sz w:val="24"/>
          <w:szCs w:val="24"/>
        </w:rPr>
        <w:t xml:space="preserve"> sker hovedsageligt i uændret form via nyrerne, hvilket giver en høj koncentration i nyrevævet og urinen. </w:t>
      </w:r>
      <w:proofErr w:type="spellStart"/>
      <w:r w:rsidRPr="00460908">
        <w:rPr>
          <w:sz w:val="24"/>
          <w:szCs w:val="24"/>
        </w:rPr>
        <w:t>Amoxicillin</w:t>
      </w:r>
      <w:proofErr w:type="spellEnd"/>
      <w:r w:rsidRPr="00460908">
        <w:rPr>
          <w:sz w:val="24"/>
          <w:szCs w:val="24"/>
        </w:rPr>
        <w:t xml:space="preserve"> spredes bredt i legemsvæskerne.</w:t>
      </w:r>
    </w:p>
    <w:p w14:paraId="486A5BEA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3354F4C1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 xml:space="preserve">Undersøgelser med fugle har indikeret, at </w:t>
      </w:r>
      <w:proofErr w:type="spellStart"/>
      <w:r w:rsidRPr="00BB19C0">
        <w:rPr>
          <w:sz w:val="24"/>
          <w:szCs w:val="24"/>
        </w:rPr>
        <w:t>amoxicillin</w:t>
      </w:r>
      <w:proofErr w:type="spellEnd"/>
      <w:r w:rsidRPr="00BB19C0">
        <w:rPr>
          <w:sz w:val="24"/>
          <w:szCs w:val="24"/>
        </w:rPr>
        <w:t xml:space="preserve"> spredes og elimineres hurtigere hos fugle end hos hovdyr.</w:t>
      </w:r>
    </w:p>
    <w:p w14:paraId="5D3E544C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3B34CCB0" w14:textId="2D33DFCB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Biotransformering forekom</w:t>
      </w:r>
      <w:r w:rsidR="00E942E6">
        <w:rPr>
          <w:sz w:val="24"/>
          <w:szCs w:val="24"/>
        </w:rPr>
        <w:t>mer</w:t>
      </w:r>
      <w:r w:rsidRPr="00BB19C0">
        <w:rPr>
          <w:sz w:val="24"/>
          <w:szCs w:val="24"/>
        </w:rPr>
        <w:t xml:space="preserve"> at være en mere vigtig elimineringsrute hos fugle end hos hovdyr.</w:t>
      </w:r>
    </w:p>
    <w:p w14:paraId="6B525B3F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51837FA4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5.3</w:t>
      </w:r>
      <w:r w:rsidRPr="00BB19C0">
        <w:rPr>
          <w:b/>
          <w:sz w:val="24"/>
          <w:szCs w:val="24"/>
        </w:rPr>
        <w:tab/>
        <w:t>Miljømæssige forhold</w:t>
      </w:r>
    </w:p>
    <w:p w14:paraId="3CC484E1" w14:textId="79D6D955" w:rsidR="00FA66E4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-</w:t>
      </w:r>
    </w:p>
    <w:p w14:paraId="5A2A7E75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2B423CBA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27206677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</w:t>
      </w:r>
      <w:r w:rsidRPr="00BB19C0">
        <w:rPr>
          <w:b/>
          <w:sz w:val="24"/>
          <w:szCs w:val="24"/>
        </w:rPr>
        <w:tab/>
        <w:t>FARMACEUTISKE OPLYSNINGER</w:t>
      </w:r>
    </w:p>
    <w:p w14:paraId="2107B43B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F99FC79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6.1</w:t>
      </w:r>
      <w:r w:rsidRPr="00BB19C0">
        <w:rPr>
          <w:b/>
          <w:sz w:val="24"/>
          <w:szCs w:val="24"/>
        </w:rPr>
        <w:tab/>
        <w:t>Hjælpestoffer</w:t>
      </w:r>
    </w:p>
    <w:p w14:paraId="57684364" w14:textId="5BE4C373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b/>
          <w:sz w:val="24"/>
          <w:szCs w:val="24"/>
        </w:rPr>
        <w:tab/>
      </w:r>
      <w:r w:rsidRPr="00BB19C0">
        <w:rPr>
          <w:sz w:val="24"/>
          <w:szCs w:val="24"/>
        </w:rPr>
        <w:t>Vandfri citronsyre</w:t>
      </w:r>
    </w:p>
    <w:p w14:paraId="2FB30507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01D4A2DB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6.2</w:t>
      </w:r>
      <w:r w:rsidRPr="00BB19C0">
        <w:rPr>
          <w:b/>
          <w:sz w:val="24"/>
          <w:szCs w:val="24"/>
        </w:rPr>
        <w:tab/>
        <w:t>Uforligeligheder</w:t>
      </w:r>
    </w:p>
    <w:p w14:paraId="41D8505E" w14:textId="77777777" w:rsidR="001803E6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05FC8CC9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44B19FF6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6.3</w:t>
      </w:r>
      <w:r w:rsidRPr="00BB19C0">
        <w:rPr>
          <w:b/>
          <w:sz w:val="24"/>
          <w:szCs w:val="24"/>
        </w:rPr>
        <w:tab/>
        <w:t>Opbevaringstid</w:t>
      </w:r>
    </w:p>
    <w:p w14:paraId="68F30019" w14:textId="0ECFE72E" w:rsidR="001803E6" w:rsidRPr="00BB19C0" w:rsidRDefault="00FA66E4" w:rsidP="00BB19C0">
      <w:pPr>
        <w:ind w:left="851" w:right="-318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E942E6">
        <w:rPr>
          <w:sz w:val="24"/>
          <w:szCs w:val="24"/>
        </w:rPr>
        <w:t>I</w:t>
      </w:r>
      <w:r w:rsidR="001803E6" w:rsidRPr="00BB19C0">
        <w:rPr>
          <w:sz w:val="24"/>
          <w:szCs w:val="24"/>
        </w:rPr>
        <w:t xml:space="preserve"> salgspakning: 21 måneder</w:t>
      </w:r>
    </w:p>
    <w:p w14:paraId="3775262C" w14:textId="5044C8B9" w:rsidR="001803E6" w:rsidRPr="00BB19C0" w:rsidRDefault="00E942E6" w:rsidP="00460908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>E</w:t>
      </w:r>
      <w:r w:rsidR="001803E6" w:rsidRPr="00BB19C0">
        <w:rPr>
          <w:sz w:val="24"/>
          <w:szCs w:val="24"/>
        </w:rPr>
        <w:t>fter første åbning af den indre emballage: 3 måneder</w:t>
      </w:r>
    </w:p>
    <w:p w14:paraId="327C1C52" w14:textId="0501E4A1" w:rsidR="001803E6" w:rsidRPr="00BB19C0" w:rsidRDefault="00E942E6" w:rsidP="00460908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>E</w:t>
      </w:r>
      <w:r w:rsidR="001803E6" w:rsidRPr="00BB19C0">
        <w:rPr>
          <w:sz w:val="24"/>
          <w:szCs w:val="24"/>
        </w:rPr>
        <w:t>fter fortynding eller rekonstituering ifølge anvisning: 12 timer</w:t>
      </w:r>
    </w:p>
    <w:p w14:paraId="0D8F12CE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44D114D2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6.4</w:t>
      </w:r>
      <w:r w:rsidRPr="00BB19C0">
        <w:rPr>
          <w:b/>
          <w:sz w:val="24"/>
          <w:szCs w:val="24"/>
        </w:rPr>
        <w:tab/>
        <w:t>Særlige opbevaringsforhold</w:t>
      </w:r>
    </w:p>
    <w:p w14:paraId="4D20D72E" w14:textId="722AEC8A" w:rsidR="001803E6" w:rsidRPr="00BB19C0" w:rsidRDefault="001803E6" w:rsidP="00BB19C0">
      <w:pPr>
        <w:ind w:left="851" w:hanging="851"/>
        <w:rPr>
          <w:noProof/>
          <w:sz w:val="24"/>
          <w:szCs w:val="24"/>
        </w:rPr>
      </w:pPr>
      <w:r w:rsidRPr="00BB19C0">
        <w:rPr>
          <w:noProof/>
          <w:sz w:val="24"/>
          <w:szCs w:val="24"/>
        </w:rPr>
        <w:tab/>
        <w:t>Må ikke opbevares over 30°C</w:t>
      </w:r>
    </w:p>
    <w:p w14:paraId="7FEBD427" w14:textId="77777777" w:rsidR="001803E6" w:rsidRPr="00BB19C0" w:rsidRDefault="001803E6" w:rsidP="00BB19C0">
      <w:pPr>
        <w:ind w:left="851" w:hanging="851"/>
        <w:rPr>
          <w:noProof/>
          <w:sz w:val="24"/>
          <w:szCs w:val="24"/>
        </w:rPr>
      </w:pPr>
    </w:p>
    <w:p w14:paraId="1536D135" w14:textId="77777777" w:rsidR="001803E6" w:rsidRPr="00BB19C0" w:rsidRDefault="001803E6" w:rsidP="00BB19C0">
      <w:pPr>
        <w:ind w:left="851" w:hanging="851"/>
        <w:rPr>
          <w:noProof/>
          <w:sz w:val="24"/>
          <w:szCs w:val="24"/>
        </w:rPr>
      </w:pPr>
      <w:r w:rsidRPr="00BB19C0">
        <w:rPr>
          <w:noProof/>
          <w:sz w:val="24"/>
          <w:szCs w:val="24"/>
        </w:rPr>
        <w:tab/>
        <w:t>Hold posen tæt tillukket.</w:t>
      </w:r>
    </w:p>
    <w:p w14:paraId="5C197A9E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5881F4E3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6.5</w:t>
      </w:r>
      <w:r w:rsidRPr="00BB19C0">
        <w:rPr>
          <w:b/>
          <w:sz w:val="24"/>
          <w:szCs w:val="24"/>
        </w:rPr>
        <w:tab/>
        <w:t>Emballage</w:t>
      </w:r>
    </w:p>
    <w:p w14:paraId="2F91E77A" w14:textId="5EBFFFE2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Varmeforse</w:t>
      </w:r>
      <w:r w:rsidR="00E942E6">
        <w:rPr>
          <w:sz w:val="24"/>
          <w:szCs w:val="24"/>
        </w:rPr>
        <w:t>g</w:t>
      </w:r>
      <w:r w:rsidRPr="00BB19C0">
        <w:rPr>
          <w:sz w:val="24"/>
          <w:szCs w:val="24"/>
        </w:rPr>
        <w:t>lede poser bestående af et kompleks af polyester, aluminium og polyætylen.</w:t>
      </w:r>
    </w:p>
    <w:p w14:paraId="0B69FE8D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7C5728C8" w14:textId="77777777" w:rsidR="001803E6" w:rsidRPr="00E942E6" w:rsidRDefault="001803E6" w:rsidP="00460908">
      <w:pPr>
        <w:ind w:left="851"/>
        <w:rPr>
          <w:sz w:val="24"/>
          <w:szCs w:val="24"/>
          <w:u w:val="single"/>
        </w:rPr>
      </w:pPr>
      <w:r w:rsidRPr="00E942E6">
        <w:rPr>
          <w:sz w:val="24"/>
          <w:szCs w:val="24"/>
          <w:u w:val="single"/>
        </w:rPr>
        <w:t>Pakningsstørrelser:</w:t>
      </w:r>
    </w:p>
    <w:p w14:paraId="2B316E03" w14:textId="77777777" w:rsidR="001803E6" w:rsidRPr="00BB19C0" w:rsidRDefault="001803E6" w:rsidP="00460908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400 g pose</w:t>
      </w:r>
    </w:p>
    <w:p w14:paraId="22563EF6" w14:textId="77777777" w:rsidR="001803E6" w:rsidRPr="00BB19C0" w:rsidRDefault="001803E6" w:rsidP="00460908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1 kg pose</w:t>
      </w:r>
    </w:p>
    <w:p w14:paraId="61BA1CFC" w14:textId="77777777" w:rsidR="001803E6" w:rsidRPr="00BB19C0" w:rsidRDefault="001803E6" w:rsidP="00460908">
      <w:pPr>
        <w:ind w:left="851"/>
        <w:rPr>
          <w:sz w:val="24"/>
          <w:szCs w:val="24"/>
        </w:rPr>
      </w:pPr>
      <w:r w:rsidRPr="00BB19C0">
        <w:rPr>
          <w:sz w:val="24"/>
          <w:szCs w:val="24"/>
        </w:rPr>
        <w:t>Kasse med 15 poser á 1 kg</w:t>
      </w:r>
    </w:p>
    <w:p w14:paraId="3BF6E389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</w:p>
    <w:p w14:paraId="0983DF81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  <w:t>Ikke alle pakningsstørrelser er nødvendigvis markedsført.</w:t>
      </w:r>
    </w:p>
    <w:p w14:paraId="6A2BC86C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2CB4BC9D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6.6</w:t>
      </w:r>
      <w:r w:rsidRPr="00BB19C0">
        <w:rPr>
          <w:b/>
          <w:sz w:val="24"/>
          <w:szCs w:val="24"/>
        </w:rPr>
        <w:tab/>
        <w:t>Særlige forholdsregler ved bortskaffelse af rester af lægemidlet eller affald</w:t>
      </w:r>
    </w:p>
    <w:p w14:paraId="153B3B22" w14:textId="77777777" w:rsidR="001803E6" w:rsidRPr="00BB19C0" w:rsidRDefault="00FA66E4" w:rsidP="00BB19C0">
      <w:pPr>
        <w:ind w:left="851" w:right="-318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Ikke anvendte veterinærlægemidler samt affald heraf bør destrueres i henhold til lokale retningslinjer.</w:t>
      </w:r>
    </w:p>
    <w:p w14:paraId="28F74EF5" w14:textId="187DF77E" w:rsidR="00290E49" w:rsidRDefault="00290E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38C60BC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</w:p>
    <w:p w14:paraId="329CC833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7.</w:t>
      </w:r>
      <w:r w:rsidRPr="00BB19C0">
        <w:rPr>
          <w:b/>
          <w:sz w:val="24"/>
          <w:szCs w:val="24"/>
        </w:rPr>
        <w:tab/>
        <w:t>INDEHAVER AF MARKEDSFØRINGSTILLADELSEN</w:t>
      </w:r>
    </w:p>
    <w:p w14:paraId="20E6A7C0" w14:textId="279B0BE7" w:rsidR="001803E6" w:rsidRPr="00BB19C0" w:rsidRDefault="00FA66E4" w:rsidP="00BB19C0">
      <w:pPr>
        <w:ind w:left="851" w:hanging="851"/>
        <w:rPr>
          <w:bCs/>
          <w:sz w:val="24"/>
          <w:szCs w:val="24"/>
        </w:rPr>
      </w:pPr>
      <w:r w:rsidRPr="00BB19C0">
        <w:rPr>
          <w:sz w:val="24"/>
          <w:szCs w:val="24"/>
        </w:rPr>
        <w:tab/>
      </w:r>
      <w:proofErr w:type="spellStart"/>
      <w:r w:rsidR="001803E6" w:rsidRPr="00BB19C0">
        <w:rPr>
          <w:bCs/>
          <w:sz w:val="24"/>
          <w:szCs w:val="24"/>
        </w:rPr>
        <w:t>V</w:t>
      </w:r>
      <w:r w:rsidR="00460908">
        <w:rPr>
          <w:bCs/>
          <w:sz w:val="24"/>
          <w:szCs w:val="24"/>
        </w:rPr>
        <w:t>etpharma</w:t>
      </w:r>
      <w:proofErr w:type="spellEnd"/>
      <w:r w:rsidR="001803E6" w:rsidRPr="00BB19C0">
        <w:rPr>
          <w:bCs/>
          <w:sz w:val="24"/>
          <w:szCs w:val="24"/>
        </w:rPr>
        <w:t xml:space="preserve"> A</w:t>
      </w:r>
      <w:r w:rsidR="00460908">
        <w:rPr>
          <w:bCs/>
          <w:sz w:val="24"/>
          <w:szCs w:val="24"/>
        </w:rPr>
        <w:t>nimal</w:t>
      </w:r>
      <w:r w:rsidR="001803E6" w:rsidRPr="00BB19C0">
        <w:rPr>
          <w:bCs/>
          <w:sz w:val="24"/>
          <w:szCs w:val="24"/>
        </w:rPr>
        <w:t xml:space="preserve"> H</w:t>
      </w:r>
      <w:r w:rsidR="00460908">
        <w:rPr>
          <w:bCs/>
          <w:sz w:val="24"/>
          <w:szCs w:val="24"/>
        </w:rPr>
        <w:t>ealth,</w:t>
      </w:r>
      <w:r w:rsidR="001803E6" w:rsidRPr="00BB19C0">
        <w:rPr>
          <w:bCs/>
          <w:sz w:val="24"/>
          <w:szCs w:val="24"/>
        </w:rPr>
        <w:t xml:space="preserve"> S.L.</w:t>
      </w:r>
    </w:p>
    <w:p w14:paraId="4BBE2653" w14:textId="77777777" w:rsidR="001803E6" w:rsidRPr="00BB19C0" w:rsidRDefault="001803E6" w:rsidP="00460908">
      <w:pPr>
        <w:ind w:left="851"/>
        <w:rPr>
          <w:bCs/>
          <w:sz w:val="24"/>
          <w:szCs w:val="24"/>
          <w:lang w:val="en-US"/>
        </w:rPr>
      </w:pPr>
      <w:r w:rsidRPr="00BB19C0">
        <w:rPr>
          <w:bCs/>
          <w:sz w:val="24"/>
          <w:szCs w:val="24"/>
          <w:lang w:val="en-US"/>
        </w:rPr>
        <w:t xml:space="preserve">Les </w:t>
      </w:r>
      <w:proofErr w:type="spellStart"/>
      <w:r w:rsidRPr="00BB19C0">
        <w:rPr>
          <w:bCs/>
          <w:sz w:val="24"/>
          <w:szCs w:val="24"/>
          <w:lang w:val="en-US"/>
        </w:rPr>
        <w:t>Corts</w:t>
      </w:r>
      <w:proofErr w:type="spellEnd"/>
      <w:r w:rsidRPr="00BB19C0">
        <w:rPr>
          <w:bCs/>
          <w:sz w:val="24"/>
          <w:szCs w:val="24"/>
          <w:lang w:val="en-US"/>
        </w:rPr>
        <w:t>, 23</w:t>
      </w:r>
    </w:p>
    <w:p w14:paraId="58D1131F" w14:textId="29129EE9" w:rsidR="001803E6" w:rsidRPr="00BB19C0" w:rsidRDefault="001803E6" w:rsidP="00460908">
      <w:pPr>
        <w:ind w:left="851"/>
        <w:rPr>
          <w:bCs/>
          <w:sz w:val="24"/>
          <w:szCs w:val="24"/>
          <w:lang w:val="en-US"/>
        </w:rPr>
      </w:pPr>
      <w:proofErr w:type="gramStart"/>
      <w:r w:rsidRPr="00BB19C0">
        <w:rPr>
          <w:bCs/>
          <w:sz w:val="24"/>
          <w:szCs w:val="24"/>
          <w:lang w:val="en-US"/>
        </w:rPr>
        <w:t>08028</w:t>
      </w:r>
      <w:proofErr w:type="gramEnd"/>
      <w:r w:rsidRPr="00BB19C0">
        <w:rPr>
          <w:bCs/>
          <w:sz w:val="24"/>
          <w:szCs w:val="24"/>
          <w:lang w:val="en-US"/>
        </w:rPr>
        <w:t xml:space="preserve"> B</w:t>
      </w:r>
      <w:r w:rsidR="00460908">
        <w:rPr>
          <w:bCs/>
          <w:sz w:val="24"/>
          <w:szCs w:val="24"/>
          <w:lang w:val="en-US"/>
        </w:rPr>
        <w:t>arcelona</w:t>
      </w:r>
    </w:p>
    <w:p w14:paraId="67D76559" w14:textId="4DAF38CB" w:rsidR="001803E6" w:rsidRPr="00BB19C0" w:rsidRDefault="001803E6" w:rsidP="00460908">
      <w:pPr>
        <w:ind w:left="851"/>
        <w:rPr>
          <w:sz w:val="24"/>
          <w:szCs w:val="24"/>
          <w:lang w:val="en-US"/>
        </w:rPr>
      </w:pPr>
      <w:proofErr w:type="spellStart"/>
      <w:r w:rsidRPr="00BB19C0">
        <w:rPr>
          <w:bCs/>
          <w:sz w:val="24"/>
          <w:szCs w:val="24"/>
          <w:lang w:val="en-US"/>
        </w:rPr>
        <w:t>S</w:t>
      </w:r>
      <w:r w:rsidR="00460908">
        <w:rPr>
          <w:bCs/>
          <w:sz w:val="24"/>
          <w:szCs w:val="24"/>
          <w:lang w:val="en-US"/>
        </w:rPr>
        <w:t>panien</w:t>
      </w:r>
      <w:proofErr w:type="spellEnd"/>
    </w:p>
    <w:p w14:paraId="4D580669" w14:textId="77777777" w:rsidR="001803E6" w:rsidRPr="00BB19C0" w:rsidRDefault="001803E6" w:rsidP="00BB19C0">
      <w:pPr>
        <w:ind w:left="851" w:right="-318" w:hanging="851"/>
        <w:rPr>
          <w:sz w:val="24"/>
          <w:szCs w:val="24"/>
          <w:lang w:val="en-US"/>
        </w:rPr>
      </w:pPr>
    </w:p>
    <w:p w14:paraId="44FAC662" w14:textId="5622A155" w:rsidR="001803E6" w:rsidRPr="009E2CDA" w:rsidRDefault="001803E6" w:rsidP="00460908">
      <w:pPr>
        <w:ind w:left="851"/>
        <w:rPr>
          <w:b/>
          <w:sz w:val="24"/>
          <w:szCs w:val="24"/>
          <w:lang w:val="en-US"/>
        </w:rPr>
      </w:pPr>
      <w:proofErr w:type="spellStart"/>
      <w:r w:rsidRPr="009E2CDA">
        <w:rPr>
          <w:b/>
          <w:sz w:val="24"/>
          <w:szCs w:val="24"/>
          <w:lang w:val="en-US"/>
        </w:rPr>
        <w:t>Repræsentant</w:t>
      </w:r>
      <w:proofErr w:type="spellEnd"/>
    </w:p>
    <w:p w14:paraId="63996814" w14:textId="13782ADE" w:rsidR="001803E6" w:rsidRPr="00BB19C0" w:rsidRDefault="001803E6" w:rsidP="00BB19C0">
      <w:pPr>
        <w:ind w:left="851" w:hanging="851"/>
        <w:rPr>
          <w:sz w:val="24"/>
          <w:szCs w:val="24"/>
          <w:lang w:val="en-US"/>
        </w:rPr>
      </w:pPr>
      <w:r w:rsidRPr="00BB19C0">
        <w:rPr>
          <w:sz w:val="24"/>
          <w:szCs w:val="24"/>
          <w:lang w:val="en-US"/>
        </w:rPr>
        <w:tab/>
      </w:r>
      <w:proofErr w:type="spellStart"/>
      <w:r w:rsidRPr="00BB19C0">
        <w:rPr>
          <w:sz w:val="24"/>
          <w:szCs w:val="24"/>
          <w:lang w:val="en-US"/>
        </w:rPr>
        <w:t>C</w:t>
      </w:r>
      <w:r w:rsidR="00460908">
        <w:rPr>
          <w:sz w:val="24"/>
          <w:szCs w:val="24"/>
          <w:lang w:val="en-US"/>
        </w:rPr>
        <w:t>hemvet</w:t>
      </w:r>
      <w:proofErr w:type="spellEnd"/>
      <w:r w:rsidRPr="00BB19C0">
        <w:rPr>
          <w:sz w:val="24"/>
          <w:szCs w:val="24"/>
          <w:lang w:val="en-US"/>
        </w:rPr>
        <w:t xml:space="preserve"> DK A/S</w:t>
      </w:r>
    </w:p>
    <w:p w14:paraId="0F3AB63D" w14:textId="77777777" w:rsidR="001803E6" w:rsidRPr="00F60611" w:rsidRDefault="001803E6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  <w:lang w:val="en-US"/>
        </w:rPr>
        <w:tab/>
      </w:r>
      <w:r w:rsidRPr="00F60611">
        <w:rPr>
          <w:sz w:val="24"/>
          <w:szCs w:val="24"/>
        </w:rPr>
        <w:t>A. C. Illums Vej 6</w:t>
      </w:r>
    </w:p>
    <w:p w14:paraId="5A6DF602" w14:textId="77777777" w:rsidR="001803E6" w:rsidRPr="00BB19C0" w:rsidRDefault="001803E6" w:rsidP="00BB19C0">
      <w:pPr>
        <w:ind w:left="851" w:hanging="851"/>
        <w:rPr>
          <w:sz w:val="24"/>
          <w:szCs w:val="24"/>
        </w:rPr>
      </w:pPr>
      <w:r w:rsidRPr="00F60611">
        <w:rPr>
          <w:sz w:val="24"/>
          <w:szCs w:val="24"/>
        </w:rPr>
        <w:tab/>
      </w:r>
      <w:r w:rsidRPr="00BB19C0">
        <w:rPr>
          <w:sz w:val="24"/>
          <w:szCs w:val="24"/>
        </w:rPr>
        <w:t>8600 Silkeborg</w:t>
      </w:r>
    </w:p>
    <w:p w14:paraId="2E1C1730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06B25AE4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8.</w:t>
      </w:r>
      <w:r w:rsidRPr="00BB19C0">
        <w:rPr>
          <w:b/>
          <w:sz w:val="24"/>
          <w:szCs w:val="24"/>
        </w:rPr>
        <w:tab/>
        <w:t>MARKEDSFØRINGSTILLADELSESNUMMER (NUMRE)</w:t>
      </w:r>
    </w:p>
    <w:p w14:paraId="03559720" w14:textId="413B35F0" w:rsidR="00FA66E4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52881</w:t>
      </w:r>
    </w:p>
    <w:p w14:paraId="0593663E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02C6142C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9.</w:t>
      </w:r>
      <w:r w:rsidRPr="00BB19C0">
        <w:rPr>
          <w:b/>
          <w:sz w:val="24"/>
          <w:szCs w:val="24"/>
        </w:rPr>
        <w:tab/>
        <w:t>DATO FOR FØRSTE MARKEDSFØRINGSTILLADELSE</w:t>
      </w:r>
    </w:p>
    <w:p w14:paraId="04007F94" w14:textId="68EA137E" w:rsidR="00FA66E4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1803E6" w:rsidRPr="00BB19C0">
        <w:rPr>
          <w:sz w:val="24"/>
          <w:szCs w:val="24"/>
        </w:rPr>
        <w:t>25. juli 2014</w:t>
      </w:r>
    </w:p>
    <w:p w14:paraId="222B0EF6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68E9B4B1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10.</w:t>
      </w:r>
      <w:r w:rsidRPr="00BB19C0">
        <w:rPr>
          <w:b/>
          <w:sz w:val="24"/>
          <w:szCs w:val="24"/>
        </w:rPr>
        <w:tab/>
        <w:t>DATO FOR ÆNDRING AF TEKSTEN</w:t>
      </w:r>
    </w:p>
    <w:p w14:paraId="68C5EA3D" w14:textId="0D352DCE" w:rsidR="00FA66E4" w:rsidRPr="00BB19C0" w:rsidRDefault="00FA66E4" w:rsidP="00BB19C0">
      <w:pPr>
        <w:ind w:left="851" w:hanging="851"/>
        <w:rPr>
          <w:sz w:val="24"/>
          <w:szCs w:val="24"/>
        </w:rPr>
      </w:pPr>
      <w:r w:rsidRPr="00BB19C0">
        <w:rPr>
          <w:sz w:val="24"/>
          <w:szCs w:val="24"/>
        </w:rPr>
        <w:tab/>
      </w:r>
      <w:r w:rsidR="0034614C">
        <w:rPr>
          <w:sz w:val="24"/>
          <w:szCs w:val="24"/>
        </w:rPr>
        <w:t>8</w:t>
      </w:r>
      <w:r w:rsidR="00290E49">
        <w:rPr>
          <w:sz w:val="24"/>
          <w:szCs w:val="24"/>
        </w:rPr>
        <w:t>. august 2019</w:t>
      </w:r>
    </w:p>
    <w:p w14:paraId="0BB818F4" w14:textId="77777777" w:rsidR="00FA66E4" w:rsidRPr="00BB19C0" w:rsidRDefault="00FA66E4" w:rsidP="00BB19C0">
      <w:pPr>
        <w:ind w:left="851" w:hanging="851"/>
        <w:rPr>
          <w:sz w:val="24"/>
          <w:szCs w:val="24"/>
        </w:rPr>
      </w:pPr>
    </w:p>
    <w:p w14:paraId="30A2069C" w14:textId="77777777" w:rsidR="00FA66E4" w:rsidRPr="00BB19C0" w:rsidRDefault="00FA66E4" w:rsidP="00BB19C0">
      <w:pPr>
        <w:ind w:left="851" w:hanging="851"/>
        <w:rPr>
          <w:b/>
          <w:sz w:val="24"/>
          <w:szCs w:val="24"/>
        </w:rPr>
      </w:pPr>
      <w:r w:rsidRPr="00BB19C0">
        <w:rPr>
          <w:b/>
          <w:sz w:val="24"/>
          <w:szCs w:val="24"/>
        </w:rPr>
        <w:t>11.</w:t>
      </w:r>
      <w:r w:rsidRPr="00BB19C0">
        <w:rPr>
          <w:b/>
          <w:sz w:val="24"/>
          <w:szCs w:val="24"/>
        </w:rPr>
        <w:tab/>
        <w:t>UDLEVERINGSBESTEMMELSE</w:t>
      </w:r>
    </w:p>
    <w:p w14:paraId="52E44A77" w14:textId="1B3ACFED" w:rsidR="00FA66E4" w:rsidRPr="00BB19C0" w:rsidRDefault="00FA66E4" w:rsidP="00BB19C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BB19C0">
        <w:rPr>
          <w:szCs w:val="24"/>
        </w:rPr>
        <w:tab/>
      </w:r>
      <w:r w:rsidR="001803E6" w:rsidRPr="00BB19C0">
        <w:rPr>
          <w:szCs w:val="24"/>
        </w:rPr>
        <w:t>BP</w:t>
      </w:r>
    </w:p>
    <w:sectPr w:rsidR="00FA66E4" w:rsidRPr="00BB19C0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0E68" w14:textId="77777777" w:rsidR="00D20B57" w:rsidRDefault="00D20B57">
      <w:r>
        <w:separator/>
      </w:r>
    </w:p>
  </w:endnote>
  <w:endnote w:type="continuationSeparator" w:id="0">
    <w:p w14:paraId="0B7851B5" w14:textId="77777777" w:rsidR="00D20B57" w:rsidRDefault="00D2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A6A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452270A4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55480A9C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60611">
      <w:rPr>
        <w:i/>
        <w:noProof/>
        <w:snapToGrid w:val="0"/>
        <w:sz w:val="18"/>
      </w:rPr>
      <w:t>Maxyl, pulver til anvendelse i drikkevand 500 mg-g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701A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701A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3683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74330B6A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549DAD1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60611">
      <w:rPr>
        <w:i/>
        <w:noProof/>
        <w:snapToGrid w:val="0"/>
        <w:sz w:val="18"/>
      </w:rPr>
      <w:t>Maxyl, pulver til anvendelse i drikkevand 500 mg-g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701AE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701AE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FEDC" w14:textId="77777777" w:rsidR="00D20B57" w:rsidRDefault="00D20B57">
      <w:r>
        <w:separator/>
      </w:r>
    </w:p>
  </w:footnote>
  <w:footnote w:type="continuationSeparator" w:id="0">
    <w:p w14:paraId="04D1A194" w14:textId="77777777" w:rsidR="00D20B57" w:rsidRDefault="00D2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094B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D254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57"/>
    <w:rsid w:val="0003527F"/>
    <w:rsid w:val="000C6CD4"/>
    <w:rsid w:val="001577E4"/>
    <w:rsid w:val="001803E6"/>
    <w:rsid w:val="001858CA"/>
    <w:rsid w:val="001C4AEF"/>
    <w:rsid w:val="001D3CC5"/>
    <w:rsid w:val="00290E49"/>
    <w:rsid w:val="00322BDE"/>
    <w:rsid w:val="0034614C"/>
    <w:rsid w:val="00353E8A"/>
    <w:rsid w:val="00391433"/>
    <w:rsid w:val="00406EE7"/>
    <w:rsid w:val="00407013"/>
    <w:rsid w:val="00460908"/>
    <w:rsid w:val="004A62CC"/>
    <w:rsid w:val="00603B18"/>
    <w:rsid w:val="00662012"/>
    <w:rsid w:val="00666B01"/>
    <w:rsid w:val="006B1539"/>
    <w:rsid w:val="006F5621"/>
    <w:rsid w:val="007E2A00"/>
    <w:rsid w:val="007F1DEF"/>
    <w:rsid w:val="009202AE"/>
    <w:rsid w:val="009B485D"/>
    <w:rsid w:val="009D66C6"/>
    <w:rsid w:val="009E2CDA"/>
    <w:rsid w:val="00A701AE"/>
    <w:rsid w:val="00A96525"/>
    <w:rsid w:val="00AE29E5"/>
    <w:rsid w:val="00AE5757"/>
    <w:rsid w:val="00BB19C0"/>
    <w:rsid w:val="00BC634B"/>
    <w:rsid w:val="00BF2AE0"/>
    <w:rsid w:val="00C06F07"/>
    <w:rsid w:val="00D20B57"/>
    <w:rsid w:val="00D62B4D"/>
    <w:rsid w:val="00DD6D71"/>
    <w:rsid w:val="00DF32BE"/>
    <w:rsid w:val="00E14F0A"/>
    <w:rsid w:val="00E6560F"/>
    <w:rsid w:val="00E942E6"/>
    <w:rsid w:val="00EE5253"/>
    <w:rsid w:val="00F60611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B4B88A"/>
  <w15:chartTrackingRefBased/>
  <w15:docId w15:val="{CE130C3D-A394-4645-A7BE-E10ACEF9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styleId="Brdtekstindrykning2">
    <w:name w:val="Body Text Indent 2"/>
    <w:basedOn w:val="Normal"/>
    <w:link w:val="Brdtekstindrykning2Tegn"/>
    <w:semiHidden/>
    <w:unhideWhenUsed/>
    <w:rsid w:val="001803E6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lang w:val="x-none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803E6"/>
    <w:rPr>
      <w:b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2018121913 - MT forlængelse (ændring i pkt. 4.7 og 4.11)</dc:description>
  <cp:lastModifiedBy>Helle Venn</cp:lastModifiedBy>
  <cp:revision>4</cp:revision>
  <cp:lastPrinted>2014-07-25T10:42:00Z</cp:lastPrinted>
  <dcterms:created xsi:type="dcterms:W3CDTF">2019-08-08T06:46:00Z</dcterms:created>
  <dcterms:modified xsi:type="dcterms:W3CDTF">2019-08-08T06:48:00Z</dcterms:modified>
</cp:coreProperties>
</file>