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82FA8" w14:textId="77777777" w:rsidR="005B0036" w:rsidRPr="000F3968" w:rsidRDefault="005B0036" w:rsidP="005B0036">
      <w:pPr>
        <w:rPr>
          <w:sz w:val="24"/>
          <w:szCs w:val="24"/>
        </w:rPr>
      </w:pPr>
      <w:bookmarkStart w:id="0" w:name="_GoBack"/>
      <w:bookmarkEnd w:id="0"/>
      <w:r w:rsidRPr="000F3968">
        <w:rPr>
          <w:noProof/>
          <w:sz w:val="24"/>
          <w:szCs w:val="24"/>
          <w:lang w:eastAsia="da-DK"/>
        </w:rPr>
        <w:drawing>
          <wp:inline distT="0" distB="0" distL="0" distR="0" wp14:anchorId="5E4F9C99" wp14:editId="2F3770F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914C7" w14:textId="77777777" w:rsidR="00C479BF" w:rsidRPr="000F3968" w:rsidRDefault="00C479BF" w:rsidP="005B0036">
      <w:pPr>
        <w:rPr>
          <w:sz w:val="24"/>
          <w:szCs w:val="24"/>
        </w:rPr>
      </w:pPr>
    </w:p>
    <w:p w14:paraId="4A705F66" w14:textId="001E4153" w:rsidR="005B0036" w:rsidRPr="000F3968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ab/>
      </w:r>
      <w:r w:rsidR="00E16502">
        <w:rPr>
          <w:b/>
          <w:sz w:val="24"/>
          <w:szCs w:val="24"/>
        </w:rPr>
        <w:t>24. juni 2022</w:t>
      </w:r>
    </w:p>
    <w:p w14:paraId="5408A72B" w14:textId="342959F0" w:rsidR="005B0036" w:rsidRPr="000F3968" w:rsidRDefault="005B0036" w:rsidP="005B0036">
      <w:pPr>
        <w:rPr>
          <w:sz w:val="24"/>
          <w:szCs w:val="24"/>
        </w:rPr>
      </w:pPr>
    </w:p>
    <w:p w14:paraId="316C146B" w14:textId="77777777" w:rsidR="00CC42FB" w:rsidRPr="000F3968" w:rsidRDefault="00CC42FB" w:rsidP="005B0036">
      <w:pPr>
        <w:rPr>
          <w:sz w:val="24"/>
          <w:szCs w:val="24"/>
        </w:rPr>
      </w:pPr>
    </w:p>
    <w:p w14:paraId="6B01F1AA" w14:textId="77777777" w:rsidR="005B0036" w:rsidRPr="000F3968" w:rsidRDefault="005B0036" w:rsidP="005B0036">
      <w:pPr>
        <w:rPr>
          <w:sz w:val="24"/>
          <w:szCs w:val="24"/>
        </w:rPr>
      </w:pPr>
    </w:p>
    <w:p w14:paraId="4DF6EEAB" w14:textId="77777777" w:rsidR="005B0036" w:rsidRPr="000F396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PRODUKTRESUMÉ</w:t>
      </w:r>
    </w:p>
    <w:p w14:paraId="152EFB5A" w14:textId="77777777" w:rsidR="005B0036" w:rsidRPr="000F396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466D6E62" w14:textId="77777777" w:rsidR="005B0036" w:rsidRPr="000F396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for</w:t>
      </w:r>
    </w:p>
    <w:p w14:paraId="6F307267" w14:textId="77777777" w:rsidR="005B0036" w:rsidRPr="000F3968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0A1BA3A" w14:textId="37238234" w:rsidR="005B0036" w:rsidRPr="000F3968" w:rsidRDefault="00C67399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0F3968">
        <w:rPr>
          <w:b/>
          <w:sz w:val="24"/>
          <w:szCs w:val="24"/>
        </w:rPr>
        <w:t>Maycetam</w:t>
      </w:r>
      <w:proofErr w:type="spellEnd"/>
      <w:r w:rsidRPr="000F3968">
        <w:rPr>
          <w:b/>
          <w:sz w:val="24"/>
          <w:szCs w:val="24"/>
        </w:rPr>
        <w:t xml:space="preserve">, </w:t>
      </w:r>
      <w:r w:rsidR="00C97C3A" w:rsidRPr="000F3968">
        <w:rPr>
          <w:b/>
          <w:sz w:val="24"/>
          <w:szCs w:val="24"/>
        </w:rPr>
        <w:t>opløsning til anvendelse i drikkevand</w:t>
      </w:r>
    </w:p>
    <w:p w14:paraId="4772109F" w14:textId="77777777" w:rsidR="005B0036" w:rsidRPr="000F3968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7DF47D86" w14:textId="77777777" w:rsidR="005B0036" w:rsidRPr="000F3968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27806EC0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0.</w:t>
      </w:r>
      <w:r w:rsidRPr="000F3968">
        <w:rPr>
          <w:b/>
          <w:sz w:val="24"/>
          <w:szCs w:val="24"/>
        </w:rPr>
        <w:tab/>
        <w:t>D.SP.NR.</w:t>
      </w:r>
    </w:p>
    <w:p w14:paraId="052572FA" w14:textId="26417AEB" w:rsidR="005B0036" w:rsidRPr="000F3968" w:rsidRDefault="00C97C3A" w:rsidP="005B0036">
      <w:pPr>
        <w:tabs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32433</w:t>
      </w:r>
    </w:p>
    <w:p w14:paraId="08B88F48" w14:textId="77777777" w:rsidR="005B0036" w:rsidRPr="000F396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B5D61F3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1.</w:t>
      </w:r>
      <w:r w:rsidRPr="000F3968">
        <w:rPr>
          <w:b/>
          <w:sz w:val="24"/>
          <w:szCs w:val="24"/>
        </w:rPr>
        <w:tab/>
        <w:t>VETERINÆRLÆGEMIDLETS NAVN</w:t>
      </w:r>
    </w:p>
    <w:p w14:paraId="388361DF" w14:textId="11FA393E" w:rsidR="005B0036" w:rsidRPr="000F3968" w:rsidRDefault="00C97C3A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0F3968">
        <w:rPr>
          <w:sz w:val="24"/>
          <w:szCs w:val="24"/>
        </w:rPr>
        <w:t>Maycetam</w:t>
      </w:r>
      <w:proofErr w:type="spellEnd"/>
    </w:p>
    <w:p w14:paraId="234E8380" w14:textId="77777777" w:rsidR="005B0036" w:rsidRPr="000F396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6179706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2.</w:t>
      </w:r>
      <w:r w:rsidRPr="000F3968">
        <w:rPr>
          <w:b/>
          <w:sz w:val="24"/>
          <w:szCs w:val="24"/>
        </w:rPr>
        <w:tab/>
        <w:t>KVALITATIV OG KVANTITATIV SAMMENSÆTNING</w:t>
      </w:r>
    </w:p>
    <w:p w14:paraId="0F6EF120" w14:textId="77777777" w:rsidR="00EF4F24" w:rsidRPr="000F3968" w:rsidRDefault="00EF4F24" w:rsidP="00EF4F24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Hver ml indeholder:</w:t>
      </w:r>
    </w:p>
    <w:p w14:paraId="2E2516E4" w14:textId="77777777" w:rsidR="00EF4F24" w:rsidRPr="000F3968" w:rsidRDefault="00EF4F24" w:rsidP="00EF4F24">
      <w:pPr>
        <w:tabs>
          <w:tab w:val="left" w:pos="8222"/>
        </w:tabs>
        <w:ind w:left="851"/>
        <w:rPr>
          <w:sz w:val="24"/>
          <w:szCs w:val="24"/>
        </w:rPr>
      </w:pPr>
    </w:p>
    <w:p w14:paraId="5FEC007E" w14:textId="77777777" w:rsidR="00EF4F24" w:rsidRPr="000F3968" w:rsidRDefault="00EF4F24" w:rsidP="00EF4F24">
      <w:pPr>
        <w:tabs>
          <w:tab w:val="left" w:pos="8222"/>
        </w:tabs>
        <w:ind w:left="851"/>
        <w:rPr>
          <w:b/>
          <w:bCs/>
          <w:sz w:val="24"/>
          <w:szCs w:val="24"/>
        </w:rPr>
      </w:pPr>
      <w:r w:rsidRPr="000F3968">
        <w:rPr>
          <w:b/>
          <w:bCs/>
          <w:sz w:val="24"/>
          <w:szCs w:val="24"/>
        </w:rPr>
        <w:t>Aktivt stof:</w:t>
      </w:r>
    </w:p>
    <w:p w14:paraId="7BDBCF8A" w14:textId="4DA51B81" w:rsidR="00EF4F24" w:rsidRPr="000F3968" w:rsidRDefault="00EF4F24" w:rsidP="00EF4F24">
      <w:pPr>
        <w:tabs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Paracetamol 400 mg</w:t>
      </w:r>
    </w:p>
    <w:p w14:paraId="3AB5E54F" w14:textId="77777777" w:rsidR="00EF4F24" w:rsidRPr="000F3968" w:rsidRDefault="00EF4F24" w:rsidP="00EF4F24">
      <w:pPr>
        <w:tabs>
          <w:tab w:val="left" w:pos="8222"/>
        </w:tabs>
        <w:ind w:left="851"/>
        <w:rPr>
          <w:sz w:val="24"/>
          <w:szCs w:val="24"/>
        </w:rPr>
      </w:pPr>
    </w:p>
    <w:p w14:paraId="6F2ACB0F" w14:textId="77777777" w:rsidR="00EF4F24" w:rsidRPr="000F3968" w:rsidRDefault="00EF4F24" w:rsidP="00EF4F24">
      <w:pPr>
        <w:tabs>
          <w:tab w:val="left" w:pos="8222"/>
        </w:tabs>
        <w:ind w:left="851"/>
        <w:rPr>
          <w:b/>
          <w:bCs/>
          <w:sz w:val="24"/>
          <w:szCs w:val="24"/>
        </w:rPr>
      </w:pPr>
      <w:r w:rsidRPr="000F3968">
        <w:rPr>
          <w:b/>
          <w:bCs/>
          <w:sz w:val="24"/>
          <w:szCs w:val="24"/>
        </w:rPr>
        <w:t>Hjælpestoffer:</w:t>
      </w:r>
    </w:p>
    <w:p w14:paraId="57BCE39A" w14:textId="77777777" w:rsidR="00EF4F24" w:rsidRPr="000F3968" w:rsidRDefault="00EF4F24" w:rsidP="00EF4F24">
      <w:pPr>
        <w:tabs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Alle hjælpestoffer er anført under pkt. 6.1</w:t>
      </w:r>
    </w:p>
    <w:p w14:paraId="6364F951" w14:textId="77777777" w:rsidR="005B0036" w:rsidRPr="000F396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3BD89CB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3.</w:t>
      </w:r>
      <w:r w:rsidRPr="000F3968">
        <w:rPr>
          <w:b/>
          <w:sz w:val="24"/>
          <w:szCs w:val="24"/>
        </w:rPr>
        <w:tab/>
        <w:t>LÆGEMIDDELFORM</w:t>
      </w:r>
    </w:p>
    <w:p w14:paraId="3FF8E1E4" w14:textId="0402BA9E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Opløsning til anvendelse i drikkevand</w:t>
      </w:r>
    </w:p>
    <w:p w14:paraId="49FEC484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DC5C9E1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Klar viskøs lyserød opløsning.</w:t>
      </w:r>
    </w:p>
    <w:p w14:paraId="2A0959EF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3CBF699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C01E15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</w:t>
      </w:r>
      <w:r w:rsidRPr="000F3968">
        <w:rPr>
          <w:b/>
          <w:sz w:val="24"/>
          <w:szCs w:val="24"/>
        </w:rPr>
        <w:tab/>
        <w:t>KLINISKE OPLYSNINGER</w:t>
      </w:r>
    </w:p>
    <w:p w14:paraId="1F4EBE95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AF22164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0F3968">
        <w:rPr>
          <w:b/>
          <w:sz w:val="24"/>
          <w:szCs w:val="24"/>
        </w:rPr>
        <w:t>4.1</w:t>
      </w:r>
      <w:r w:rsidRPr="000F3968">
        <w:rPr>
          <w:b/>
          <w:sz w:val="24"/>
          <w:szCs w:val="24"/>
        </w:rPr>
        <w:tab/>
        <w:t>Dyrearter</w:t>
      </w:r>
    </w:p>
    <w:p w14:paraId="1534457E" w14:textId="77777777" w:rsidR="00EF4F24" w:rsidRPr="000F3968" w:rsidRDefault="00EF4F24" w:rsidP="00EF4F24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Svin.</w:t>
      </w:r>
    </w:p>
    <w:p w14:paraId="2BA15602" w14:textId="77777777" w:rsidR="005B0036" w:rsidRPr="000F396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76D4997" w14:textId="77777777" w:rsidR="005B0036" w:rsidRPr="000F3968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0F3968">
        <w:rPr>
          <w:b/>
          <w:szCs w:val="24"/>
        </w:rPr>
        <w:t>4.2</w:t>
      </w:r>
      <w:r w:rsidRPr="000F3968">
        <w:rPr>
          <w:b/>
          <w:szCs w:val="24"/>
        </w:rPr>
        <w:tab/>
        <w:t>Terapeutiske indikationer</w:t>
      </w:r>
    </w:p>
    <w:p w14:paraId="59BCB4BD" w14:textId="77777777" w:rsidR="00EF4F24" w:rsidRPr="000F3968" w:rsidRDefault="00EF4F24" w:rsidP="00EF4F24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  <w:r w:rsidRPr="000F3968">
        <w:rPr>
          <w:szCs w:val="24"/>
        </w:rPr>
        <w:t>Symptomatisk behandling af feber i forbindelse med luftvejssygdomme, kombineret med en passende antibiotisk behandling, hvis dette skønnes påkrævet.</w:t>
      </w:r>
    </w:p>
    <w:p w14:paraId="1821A716" w14:textId="77777777" w:rsidR="005B0036" w:rsidRPr="000F396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E13B16F" w14:textId="77777777" w:rsidR="005B0036" w:rsidRPr="000F3968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0F3968">
        <w:rPr>
          <w:b/>
          <w:szCs w:val="24"/>
        </w:rPr>
        <w:t>4.3</w:t>
      </w:r>
      <w:r w:rsidRPr="000F3968">
        <w:rPr>
          <w:b/>
          <w:szCs w:val="24"/>
        </w:rPr>
        <w:tab/>
        <w:t>Kontraindikationer</w:t>
      </w:r>
    </w:p>
    <w:p w14:paraId="15550C26" w14:textId="77777777" w:rsidR="00EF4F24" w:rsidRPr="000F3968" w:rsidRDefault="00EF4F24" w:rsidP="00EF4F24">
      <w:pPr>
        <w:pStyle w:val="Sidehoved"/>
        <w:tabs>
          <w:tab w:val="left" w:pos="8222"/>
        </w:tabs>
        <w:ind w:left="851"/>
        <w:rPr>
          <w:szCs w:val="24"/>
        </w:rPr>
      </w:pPr>
      <w:r w:rsidRPr="000F3968">
        <w:rPr>
          <w:szCs w:val="24"/>
        </w:rPr>
        <w:t xml:space="preserve">Bør ikke anvendes i tilfælde af overfølsomhed over for det aktive stof eller over for et eller flere af hjælpestofferne. </w:t>
      </w:r>
    </w:p>
    <w:p w14:paraId="7ABFCB78" w14:textId="521CFE4D" w:rsidR="00EF4F24" w:rsidRPr="000F3968" w:rsidRDefault="00EF4F24" w:rsidP="00EF4F24">
      <w:pPr>
        <w:pStyle w:val="Sidehoved"/>
        <w:tabs>
          <w:tab w:val="left" w:pos="8222"/>
        </w:tabs>
        <w:ind w:left="851"/>
        <w:rPr>
          <w:szCs w:val="24"/>
        </w:rPr>
      </w:pPr>
      <w:r w:rsidRPr="000F3968">
        <w:rPr>
          <w:szCs w:val="24"/>
        </w:rPr>
        <w:t>Bør ikke anvendes til dyr med svært nedsat leverfunktion.</w:t>
      </w:r>
    </w:p>
    <w:p w14:paraId="2AEDA73E" w14:textId="3D54B307" w:rsidR="00EF4F24" w:rsidRPr="000F3968" w:rsidRDefault="00EF4F24" w:rsidP="00EF4F24">
      <w:pPr>
        <w:pStyle w:val="Sidehoved"/>
        <w:tabs>
          <w:tab w:val="left" w:pos="8222"/>
        </w:tabs>
        <w:ind w:left="851"/>
        <w:rPr>
          <w:szCs w:val="24"/>
        </w:rPr>
      </w:pPr>
      <w:r w:rsidRPr="000F3968">
        <w:rPr>
          <w:szCs w:val="24"/>
        </w:rPr>
        <w:t>Bør ikke anvendes til dyr med svært nedsat nyrefunktion. Se også pkt. 4.8.</w:t>
      </w:r>
    </w:p>
    <w:p w14:paraId="7A35B7AF" w14:textId="7564F253" w:rsidR="00EF4F24" w:rsidRPr="000F3968" w:rsidRDefault="00EF4F24" w:rsidP="00EF4F24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  <w:r w:rsidRPr="000F3968">
        <w:rPr>
          <w:szCs w:val="24"/>
        </w:rPr>
        <w:lastRenderedPageBreak/>
        <w:t xml:space="preserve">Bør ikke anvendes til dyr, der lider af dehydrering eller </w:t>
      </w:r>
      <w:proofErr w:type="spellStart"/>
      <w:r w:rsidRPr="000F3968">
        <w:rPr>
          <w:szCs w:val="24"/>
        </w:rPr>
        <w:t>hypovolæmi</w:t>
      </w:r>
      <w:proofErr w:type="spellEnd"/>
      <w:r w:rsidRPr="000F3968">
        <w:rPr>
          <w:szCs w:val="24"/>
        </w:rPr>
        <w:t>.</w:t>
      </w:r>
    </w:p>
    <w:p w14:paraId="4F3C74EC" w14:textId="77777777" w:rsidR="005B0036" w:rsidRPr="000F396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D5E72CD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4.4</w:t>
      </w:r>
      <w:r w:rsidRPr="000F3968">
        <w:rPr>
          <w:b/>
          <w:sz w:val="24"/>
          <w:szCs w:val="24"/>
        </w:rPr>
        <w:tab/>
        <w:t>Særlige advarsler</w:t>
      </w:r>
    </w:p>
    <w:p w14:paraId="0E2D9B23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Dyr med nedsat væskeindtag og/eller påvirket almentilstand skal behandles parenteralt.</w:t>
      </w:r>
    </w:p>
    <w:p w14:paraId="06A53CA0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Når der er tale om en blandingsinfektion med både virus og bakterier, skal der sideløbende iværksættes en passende antibiotisk behandling.</w:t>
      </w:r>
    </w:p>
    <w:p w14:paraId="0C136E5D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Den febernedsættende effekt af dette veterinærlægemiddel forventes at indtræde 12-24 timer efter behandlingens start.</w:t>
      </w:r>
    </w:p>
    <w:p w14:paraId="09773467" w14:textId="77777777" w:rsidR="005B0036" w:rsidRPr="000F396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D21FC54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4.5</w:t>
      </w:r>
      <w:r w:rsidRPr="000F3968">
        <w:rPr>
          <w:b/>
          <w:sz w:val="24"/>
          <w:szCs w:val="24"/>
        </w:rPr>
        <w:tab/>
        <w:t>Særlige forsigtighedsregler vedrørende brugen</w:t>
      </w:r>
    </w:p>
    <w:p w14:paraId="5BDA0319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5B5B517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Særlige forsigtighedsregler for dyret</w:t>
      </w:r>
    </w:p>
    <w:p w14:paraId="55E05A92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Ikke relevant.</w:t>
      </w:r>
    </w:p>
    <w:p w14:paraId="5A6B73A0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73FA933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Særlige forsigtighedsregler for personer, der administrerer lægemidlet</w:t>
      </w:r>
    </w:p>
    <w:p w14:paraId="16ED0EC3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Produktet kan være skadeligt ved indtagelse. Undgå at spise, drikke eller ryge ved håndtering af produktet. Hvis produktet indtages ved hændeligt uheld, skal der søges lægehjælp.</w:t>
      </w:r>
    </w:p>
    <w:p w14:paraId="1F5C1F64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Dette veterinærlægemiddel kan være skadeligt ved utilsigtet kontakt med hud eller øjne. Personligt beskyttelsesudstyr i form af beskyttelsesdragt, handsker, maske og beskyttelsesbriller bør anvendes ved håndtering af lægemidlet. I tilfælde af kontakt med hud eller øjnene ved hændeligt uheld, skylles straks med rigeligt vand. Ved vedvarende symptomer skal der søges lægehjælp. Vask hænder efter håndtering.</w:t>
      </w:r>
    </w:p>
    <w:p w14:paraId="2C2CFCEC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Dette veterinærlægemiddel kan forårsage overfølsomhedsreaktioner (allergi). Personer med kendt overfølsomhed over for paracetamol eller nogen af hjælpestofferne bør undgå kontakt med produktet.</w:t>
      </w:r>
    </w:p>
    <w:p w14:paraId="25B92B09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BB4C0F3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Andre forsigtighedsregler</w:t>
      </w:r>
    </w:p>
    <w:p w14:paraId="705B0B75" w14:textId="55C734FF" w:rsidR="005B0036" w:rsidRPr="000F3968" w:rsidRDefault="00EF4F24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-</w:t>
      </w:r>
    </w:p>
    <w:p w14:paraId="6FD377E5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EAB77B7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4.6</w:t>
      </w:r>
      <w:r w:rsidRPr="000F3968">
        <w:rPr>
          <w:b/>
          <w:sz w:val="24"/>
          <w:szCs w:val="24"/>
        </w:rPr>
        <w:tab/>
        <w:t>Bivirkninger</w:t>
      </w:r>
    </w:p>
    <w:p w14:paraId="2A6EF935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I sjældne tilfælde kan forekomme forbigående løs afføring i op til 8 dage efter ophør af behandling. Dette påvirker ikke dyrenes almentilstand og forsvinder uden behandlingsmæssige tiltag.</w:t>
      </w:r>
    </w:p>
    <w:p w14:paraId="7E5B251E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9ABD8F4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Hyppigheden af bivirkninger er defineret som:</w:t>
      </w:r>
    </w:p>
    <w:p w14:paraId="20AEAF3B" w14:textId="4F811E8E" w:rsidR="00EF4F24" w:rsidRPr="000F3968" w:rsidRDefault="00EF4F24" w:rsidP="00771375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0F3968">
        <w:rPr>
          <w:sz w:val="24"/>
          <w:szCs w:val="24"/>
        </w:rPr>
        <w:t>Meget almindelig (flere end 1 ud af 10 behandlede dyr, der viser bivirkninger i løbet af en behandling)</w:t>
      </w:r>
    </w:p>
    <w:p w14:paraId="688532D0" w14:textId="5CE927A4" w:rsidR="00EF4F24" w:rsidRPr="000F3968" w:rsidRDefault="00EF4F24" w:rsidP="00771375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0F3968">
        <w:rPr>
          <w:sz w:val="24"/>
          <w:szCs w:val="24"/>
        </w:rPr>
        <w:t>Almindelig (flere end 1, men færre end 10 dyr af 100 behandlede dyr)</w:t>
      </w:r>
    </w:p>
    <w:p w14:paraId="58FB413C" w14:textId="5BA3F62E" w:rsidR="00EF4F24" w:rsidRPr="000F3968" w:rsidRDefault="00EF4F24" w:rsidP="00771375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0F3968">
        <w:rPr>
          <w:sz w:val="24"/>
          <w:szCs w:val="24"/>
        </w:rPr>
        <w:t>Ikke almindelig (flere end 1, men færre end 10 dyr af 1.000 behandlede dyr)</w:t>
      </w:r>
    </w:p>
    <w:p w14:paraId="3A027550" w14:textId="68DF1007" w:rsidR="00EF4F24" w:rsidRPr="000F3968" w:rsidRDefault="00EF4F24" w:rsidP="00771375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0F3968">
        <w:rPr>
          <w:sz w:val="24"/>
          <w:szCs w:val="24"/>
        </w:rPr>
        <w:t>Sjælden (flere end 1, men færre end 10 dyr ud af 10.000 behandlede dyr)</w:t>
      </w:r>
    </w:p>
    <w:p w14:paraId="0B5B41BA" w14:textId="3DA486B3" w:rsidR="00EF4F24" w:rsidRPr="000F3968" w:rsidRDefault="00EF4F24" w:rsidP="00771375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0F3968">
        <w:rPr>
          <w:sz w:val="24"/>
          <w:szCs w:val="24"/>
        </w:rPr>
        <w:t>Meget sjælden (færre end 1 dyr ud af 10.000 behandlede dyr, herunder isolerede rapporter)</w:t>
      </w:r>
    </w:p>
    <w:p w14:paraId="65A00F38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874D380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4.7</w:t>
      </w:r>
      <w:r w:rsidRPr="000F3968">
        <w:rPr>
          <w:b/>
          <w:sz w:val="24"/>
          <w:szCs w:val="24"/>
        </w:rPr>
        <w:tab/>
        <w:t>Drægtighed, diegivning eller æglægning</w:t>
      </w:r>
    </w:p>
    <w:p w14:paraId="22F1FBC0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 xml:space="preserve">Laboratorieundersøgelser af rotter har ikke afsløret </w:t>
      </w:r>
      <w:proofErr w:type="spellStart"/>
      <w:r w:rsidRPr="000F3968">
        <w:rPr>
          <w:sz w:val="24"/>
          <w:szCs w:val="24"/>
        </w:rPr>
        <w:t>teratogene</w:t>
      </w:r>
      <w:proofErr w:type="spellEnd"/>
      <w:r w:rsidRPr="000F3968">
        <w:rPr>
          <w:sz w:val="24"/>
          <w:szCs w:val="24"/>
        </w:rPr>
        <w:t xml:space="preserve"> virkninger eller </w:t>
      </w:r>
      <w:proofErr w:type="spellStart"/>
      <w:r w:rsidRPr="000F3968">
        <w:rPr>
          <w:sz w:val="24"/>
          <w:szCs w:val="24"/>
        </w:rPr>
        <w:t>føtal</w:t>
      </w:r>
      <w:proofErr w:type="spellEnd"/>
      <w:r w:rsidRPr="000F3968">
        <w:rPr>
          <w:sz w:val="24"/>
          <w:szCs w:val="24"/>
        </w:rPr>
        <w:t xml:space="preserve"> toksicitet. Dosering på op til tre gange anbefalet dosis under drægtighed og diegivning har ikke resulteret i bivirkninger. Produktet kan anvendes under drægtighed og diegivning.</w:t>
      </w:r>
    </w:p>
    <w:p w14:paraId="474DCFB3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F25E663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4.8</w:t>
      </w:r>
      <w:r w:rsidRPr="000F3968">
        <w:rPr>
          <w:b/>
          <w:sz w:val="24"/>
          <w:szCs w:val="24"/>
        </w:rPr>
        <w:tab/>
        <w:t>Interaktion med andre lægemidler og andre former for interaktion</w:t>
      </w:r>
    </w:p>
    <w:p w14:paraId="0E24AB52" w14:textId="77777777" w:rsidR="00EF4F24" w:rsidRPr="000F3968" w:rsidRDefault="00EF4F24" w:rsidP="00EF4F24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 xml:space="preserve">Samtidig administration af </w:t>
      </w:r>
      <w:proofErr w:type="spellStart"/>
      <w:r w:rsidRPr="000F3968">
        <w:rPr>
          <w:sz w:val="24"/>
          <w:szCs w:val="24"/>
        </w:rPr>
        <w:t>nefrotoksiske</w:t>
      </w:r>
      <w:proofErr w:type="spellEnd"/>
      <w:r w:rsidRPr="000F3968">
        <w:rPr>
          <w:sz w:val="24"/>
          <w:szCs w:val="24"/>
        </w:rPr>
        <w:t xml:space="preserve"> stoffer bør undgås.</w:t>
      </w:r>
    </w:p>
    <w:p w14:paraId="076834AC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3B94C94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4.9</w:t>
      </w:r>
      <w:r w:rsidRPr="000F3968">
        <w:rPr>
          <w:b/>
          <w:sz w:val="24"/>
          <w:szCs w:val="24"/>
        </w:rPr>
        <w:tab/>
        <w:t>Dosering og indgivelsesmåde</w:t>
      </w:r>
    </w:p>
    <w:p w14:paraId="108F69ED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Til anvendelse i drikkevand.</w:t>
      </w:r>
    </w:p>
    <w:p w14:paraId="68DF517B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30 mg paracetamol pr. kg legemsvægt oralt i drikkevandet daglig i 5 dage. Dette svarer til 0,75 ml opløsning pr. 10 kg legemsvægt daglig i 5 dage.</w:t>
      </w:r>
    </w:p>
    <w:p w14:paraId="5A45D837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Den mængde (milliliter) af veterinærlægemidlet, der skal tilsættes pr. liter vand, bør beregnes som følger:</w:t>
      </w:r>
    </w:p>
    <w:p w14:paraId="44848B79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tbl>
      <w:tblPr>
        <w:tblW w:w="8381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494"/>
        <w:gridCol w:w="3314"/>
        <w:gridCol w:w="494"/>
        <w:gridCol w:w="1863"/>
      </w:tblGrid>
      <w:tr w:rsidR="00140EEF" w:rsidRPr="007067DA" w14:paraId="6ED2E32E" w14:textId="77777777" w:rsidTr="009D60A4">
        <w:trPr>
          <w:trHeight w:val="70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566FDA" w14:textId="71EADBB1" w:rsidR="00140EEF" w:rsidRPr="007067DA" w:rsidRDefault="00140EEF" w:rsidP="009D60A4">
            <w:pPr>
              <w:widowControl w:val="0"/>
              <w:autoSpaceDE w:val="0"/>
              <w:autoSpaceDN w:val="0"/>
              <w:spacing w:before="6" w:line="242" w:lineRule="auto"/>
              <w:ind w:left="118" w:right="116"/>
              <w:rPr>
                <w:rFonts w:eastAsia="Arial"/>
                <w:sz w:val="24"/>
                <w:szCs w:val="24"/>
                <w:lang w:eastAsia="de-DE" w:bidi="de-DE"/>
              </w:rPr>
            </w:pPr>
            <w:r w:rsidRPr="007067DA">
              <w:rPr>
                <w:rFonts w:eastAsia="Arial"/>
                <w:sz w:val="24"/>
                <w:szCs w:val="24"/>
                <w:lang w:eastAsia="de-DE" w:bidi="de-DE"/>
              </w:rPr>
              <w:t>0,075 ml</w:t>
            </w:r>
            <w:r w:rsidR="009D60A4" w:rsidRPr="007067DA">
              <w:rPr>
                <w:rFonts w:eastAsia="Arial"/>
                <w:sz w:val="24"/>
                <w:szCs w:val="24"/>
                <w:lang w:eastAsia="de-DE" w:bidi="de-DE"/>
              </w:rPr>
              <w:t xml:space="preserve"> </w:t>
            </w:r>
            <w:r w:rsidRPr="007067DA">
              <w:rPr>
                <w:rFonts w:eastAsia="Arial"/>
                <w:sz w:val="24"/>
                <w:szCs w:val="24"/>
                <w:lang w:eastAsia="de-DE" w:bidi="de-DE"/>
              </w:rPr>
              <w:t>produkt/kg legemsvægt/dag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0DCCF2" w14:textId="77777777" w:rsidR="00140EEF" w:rsidRPr="007067DA" w:rsidRDefault="00140EEF" w:rsidP="009D60A4">
            <w:pPr>
              <w:widowControl w:val="0"/>
              <w:autoSpaceDE w:val="0"/>
              <w:autoSpaceDN w:val="0"/>
              <w:spacing w:before="6" w:line="242" w:lineRule="auto"/>
              <w:ind w:left="118" w:right="116"/>
              <w:rPr>
                <w:rFonts w:eastAsia="Arial"/>
                <w:sz w:val="24"/>
                <w:szCs w:val="24"/>
                <w:highlight w:val="yellow"/>
                <w:lang w:eastAsia="de-DE" w:bidi="de-DE"/>
              </w:rPr>
            </w:pPr>
            <w:r w:rsidRPr="007067DA">
              <w:rPr>
                <w:rFonts w:eastAsia="Arial"/>
                <w:sz w:val="24"/>
                <w:szCs w:val="24"/>
                <w:lang w:eastAsia="de-DE" w:bidi="de-DE"/>
              </w:rPr>
              <w:t>x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7C3614" w14:textId="77777777" w:rsidR="00140EEF" w:rsidRPr="007067DA" w:rsidRDefault="00140EEF" w:rsidP="009D60A4">
            <w:pPr>
              <w:widowControl w:val="0"/>
              <w:autoSpaceDE w:val="0"/>
              <w:autoSpaceDN w:val="0"/>
              <w:spacing w:before="6" w:line="242" w:lineRule="auto"/>
              <w:ind w:left="118" w:right="116"/>
              <w:rPr>
                <w:rFonts w:eastAsia="Arial"/>
                <w:sz w:val="24"/>
                <w:szCs w:val="24"/>
                <w:lang w:eastAsia="de-DE" w:bidi="de-DE"/>
              </w:rPr>
            </w:pPr>
            <w:r w:rsidRPr="007067DA">
              <w:rPr>
                <w:rFonts w:eastAsia="Arial"/>
                <w:sz w:val="24"/>
                <w:szCs w:val="24"/>
                <w:lang w:eastAsia="de-DE" w:bidi="de-DE"/>
              </w:rPr>
              <w:t>gennemsnitlig legemsvægt pr. dyr (kg)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33991F" w14:textId="77777777" w:rsidR="00140EEF" w:rsidRPr="007067DA" w:rsidRDefault="00140EEF" w:rsidP="009D60A4">
            <w:pPr>
              <w:widowControl w:val="0"/>
              <w:autoSpaceDE w:val="0"/>
              <w:autoSpaceDN w:val="0"/>
              <w:spacing w:before="6" w:line="242" w:lineRule="auto"/>
              <w:ind w:left="118" w:right="116"/>
              <w:rPr>
                <w:rFonts w:eastAsia="Arial"/>
                <w:sz w:val="24"/>
                <w:szCs w:val="24"/>
                <w:lang w:eastAsia="de-DE" w:bidi="de-DE"/>
              </w:rPr>
            </w:pPr>
            <w:r w:rsidRPr="007067DA">
              <w:rPr>
                <w:rFonts w:eastAsia="Arial"/>
                <w:sz w:val="24"/>
                <w:szCs w:val="24"/>
                <w:lang w:eastAsia="de-DE" w:bidi="de-DE"/>
              </w:rPr>
              <w:t>x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1DC5" w14:textId="77777777" w:rsidR="00140EEF" w:rsidRPr="007067DA" w:rsidRDefault="00140EEF" w:rsidP="009D60A4">
            <w:pPr>
              <w:widowControl w:val="0"/>
              <w:autoSpaceDE w:val="0"/>
              <w:autoSpaceDN w:val="0"/>
              <w:spacing w:before="6" w:line="242" w:lineRule="auto"/>
              <w:ind w:left="118" w:right="116"/>
              <w:rPr>
                <w:rFonts w:eastAsia="Arial"/>
                <w:sz w:val="24"/>
                <w:szCs w:val="24"/>
                <w:lang w:eastAsia="de-DE" w:bidi="de-DE"/>
              </w:rPr>
            </w:pPr>
            <w:r w:rsidRPr="007067DA">
              <w:rPr>
                <w:rFonts w:eastAsia="Arial"/>
                <w:sz w:val="24"/>
                <w:szCs w:val="24"/>
                <w:lang w:eastAsia="de-DE" w:bidi="de-DE"/>
              </w:rPr>
              <w:t>antal dyr, der skal behandles</w:t>
            </w:r>
          </w:p>
        </w:tc>
      </w:tr>
      <w:tr w:rsidR="00140EEF" w:rsidRPr="007067DA" w14:paraId="667D5C99" w14:textId="77777777" w:rsidTr="009D60A4">
        <w:trPr>
          <w:trHeight w:val="375"/>
        </w:trPr>
        <w:tc>
          <w:tcPr>
            <w:tcW w:w="838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499" w14:textId="77777777" w:rsidR="00140EEF" w:rsidRPr="007067DA" w:rsidRDefault="00140EEF">
            <w:pPr>
              <w:widowControl w:val="0"/>
              <w:autoSpaceDE w:val="0"/>
              <w:autoSpaceDN w:val="0"/>
              <w:spacing w:before="6" w:line="242" w:lineRule="auto"/>
              <w:ind w:left="118" w:right="116"/>
              <w:jc w:val="center"/>
              <w:rPr>
                <w:rFonts w:eastAsia="Arial"/>
                <w:sz w:val="24"/>
                <w:szCs w:val="24"/>
                <w:highlight w:val="yellow"/>
                <w:lang w:eastAsia="de-DE" w:bidi="de-DE"/>
              </w:rPr>
            </w:pPr>
            <w:r w:rsidRPr="007067DA">
              <w:rPr>
                <w:rFonts w:eastAsia="Arial"/>
                <w:sz w:val="24"/>
                <w:szCs w:val="24"/>
                <w:lang w:eastAsia="de-DE" w:bidi="de-DE"/>
              </w:rPr>
              <w:t>Samlet vandindtag (liter) for disse dyr dagen før</w:t>
            </w:r>
          </w:p>
        </w:tc>
      </w:tr>
      <w:tr w:rsidR="00140EEF" w:rsidRPr="007067DA" w14:paraId="3A1DB165" w14:textId="77777777" w:rsidTr="009D60A4">
        <w:trPr>
          <w:trHeight w:val="375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FC10" w14:textId="77777777" w:rsidR="00140EEF" w:rsidRPr="007067DA" w:rsidRDefault="00140EEF">
            <w:pPr>
              <w:rPr>
                <w:rFonts w:eastAsia="Arial"/>
                <w:sz w:val="24"/>
                <w:szCs w:val="24"/>
                <w:highlight w:val="yellow"/>
                <w:lang w:eastAsia="de-DE" w:bidi="de-DE"/>
              </w:rPr>
            </w:pPr>
          </w:p>
        </w:tc>
      </w:tr>
    </w:tbl>
    <w:p w14:paraId="23055B9E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14:paraId="1F9873C6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Indtaget af medicineret drikkevand afhænger af dyrets kliniske tilstand. Med henblik på at opnå en korrekt dosering skal drikkevandets medicinkoncentration justeres løbende.</w:t>
      </w:r>
    </w:p>
    <w:p w14:paraId="369E2F53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b/>
          <w:bCs/>
          <w:sz w:val="24"/>
          <w:szCs w:val="24"/>
          <w:u w:val="single"/>
        </w:rPr>
      </w:pPr>
    </w:p>
    <w:p w14:paraId="6D8A4610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b/>
          <w:bCs/>
          <w:sz w:val="24"/>
          <w:szCs w:val="24"/>
          <w:u w:val="single"/>
        </w:rPr>
      </w:pPr>
      <w:r w:rsidRPr="000F3968">
        <w:rPr>
          <w:b/>
          <w:bCs/>
          <w:sz w:val="24"/>
          <w:szCs w:val="24"/>
          <w:u w:val="single"/>
        </w:rPr>
        <w:t>For at undgå underdosering og sikre korrekt dosering bør dyrets legemsvægt bestemmes så nøjagtigt som muligt.</w:t>
      </w:r>
    </w:p>
    <w:p w14:paraId="6CAEB584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57683C4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0F3968">
        <w:rPr>
          <w:sz w:val="24"/>
          <w:szCs w:val="24"/>
          <w:u w:val="single"/>
        </w:rPr>
        <w:t>Vejledning for fremstilling af opløsning:</w:t>
      </w:r>
    </w:p>
    <w:p w14:paraId="3C35DD06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Den maksimale opløselighed af produktet i (blødt/hårdt) vand ved (5 ºC/20 ºC) er 30 ml/l.</w:t>
      </w:r>
    </w:p>
    <w:p w14:paraId="796D04AB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6591DFD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 xml:space="preserve">Den nødvendige mængde vand til den endelige opløsning hældes først i en passende beholder. Produktet tilsættes derefter under omrøring. Ved stamopløsninger, og ved </w:t>
      </w:r>
      <w:bookmarkStart w:id="1" w:name="_Hlk106708370"/>
      <w:r w:rsidRPr="000F3968">
        <w:rPr>
          <w:sz w:val="24"/>
          <w:szCs w:val="24"/>
        </w:rPr>
        <w:t>brug af en doseringspumpe</w:t>
      </w:r>
      <w:bookmarkEnd w:id="1"/>
      <w:r w:rsidRPr="000F3968">
        <w:rPr>
          <w:sz w:val="24"/>
          <w:szCs w:val="24"/>
        </w:rPr>
        <w:t>, skal det sikres, at den maksimale opløselighed, der kan opnås under de givne omstændigheder, ikke overskrides. Tilpas doseringspumpens indsprøjtnings-hastighed til stamopløsningens koncentration og vandindtaget hos de dyr, der skal behandles.</w:t>
      </w:r>
    </w:p>
    <w:p w14:paraId="03E05525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02F24F0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Frisk opløsning bør tilberedes med 24 timers interval. Der bør ikke være adgang til andet drikkevand i medicineringsperioden.</w:t>
      </w:r>
    </w:p>
    <w:p w14:paraId="5577FA63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6CD925C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4.10</w:t>
      </w:r>
      <w:r w:rsidRPr="000F3968">
        <w:rPr>
          <w:b/>
          <w:sz w:val="24"/>
          <w:szCs w:val="24"/>
        </w:rPr>
        <w:tab/>
        <w:t>Overdosering</w:t>
      </w:r>
    </w:p>
    <w:p w14:paraId="0C9F43AD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Efter administration af 5 gange den anbefalede dosis af paracetamol kan der lejlighedsvis forekomme tynd afføring med faste bestanddele. Dette påvirker ikke dyrets almentilstand.</w:t>
      </w:r>
    </w:p>
    <w:p w14:paraId="54F3F646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N-</w:t>
      </w:r>
      <w:proofErr w:type="spellStart"/>
      <w:r w:rsidRPr="000F3968">
        <w:rPr>
          <w:sz w:val="24"/>
          <w:szCs w:val="24"/>
        </w:rPr>
        <w:t>acetylcystein</w:t>
      </w:r>
      <w:proofErr w:type="spellEnd"/>
      <w:r w:rsidRPr="000F3968">
        <w:rPr>
          <w:sz w:val="24"/>
          <w:szCs w:val="24"/>
        </w:rPr>
        <w:t xml:space="preserve"> kan anvendes i tilfælde af utilsigtet overdosering.</w:t>
      </w:r>
    </w:p>
    <w:p w14:paraId="677FF787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347D14F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4.11</w:t>
      </w:r>
      <w:r w:rsidRPr="000F3968">
        <w:rPr>
          <w:b/>
          <w:sz w:val="24"/>
          <w:szCs w:val="24"/>
        </w:rPr>
        <w:tab/>
        <w:t>Tilbageholdelsestid</w:t>
      </w:r>
    </w:p>
    <w:p w14:paraId="74EA9F4A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  <w:u w:val="single"/>
        </w:rPr>
        <w:t>Slagtning:</w:t>
      </w:r>
      <w:r w:rsidRPr="000F3968">
        <w:rPr>
          <w:sz w:val="24"/>
          <w:szCs w:val="24"/>
        </w:rPr>
        <w:t xml:space="preserve"> 0 dage.</w:t>
      </w:r>
    </w:p>
    <w:p w14:paraId="50887B3E" w14:textId="77777777" w:rsidR="005B0036" w:rsidRPr="000F3968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1EECCEDE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DC8F037" w14:textId="26796B9A" w:rsidR="005B0036" w:rsidRPr="007067DA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067DA">
        <w:rPr>
          <w:b/>
          <w:sz w:val="24"/>
          <w:szCs w:val="24"/>
        </w:rPr>
        <w:t>5.</w:t>
      </w:r>
      <w:r w:rsidRPr="007067DA">
        <w:rPr>
          <w:b/>
          <w:sz w:val="24"/>
          <w:szCs w:val="24"/>
        </w:rPr>
        <w:tab/>
        <w:t>FARMAKOLOGISKE EGENSKABER</w:t>
      </w:r>
    </w:p>
    <w:p w14:paraId="20B45875" w14:textId="77777777" w:rsidR="005B0036" w:rsidRPr="007067DA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0C9A184" w14:textId="77777777" w:rsidR="00B50950" w:rsidRPr="007067DA" w:rsidRDefault="00B50950" w:rsidP="00B50950">
      <w:pPr>
        <w:tabs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7067DA">
        <w:rPr>
          <w:sz w:val="24"/>
          <w:szCs w:val="24"/>
        </w:rPr>
        <w:t>Farmakoterapeutisk</w:t>
      </w:r>
      <w:proofErr w:type="spellEnd"/>
      <w:r w:rsidRPr="007067DA">
        <w:rPr>
          <w:sz w:val="24"/>
          <w:szCs w:val="24"/>
        </w:rPr>
        <w:t xml:space="preserve"> gruppe: Andre </w:t>
      </w:r>
      <w:proofErr w:type="spellStart"/>
      <w:r w:rsidRPr="007067DA">
        <w:rPr>
          <w:sz w:val="24"/>
          <w:szCs w:val="24"/>
        </w:rPr>
        <w:t>analgetika</w:t>
      </w:r>
      <w:proofErr w:type="spellEnd"/>
      <w:r w:rsidRPr="007067DA">
        <w:rPr>
          <w:sz w:val="24"/>
          <w:szCs w:val="24"/>
        </w:rPr>
        <w:t xml:space="preserve"> og </w:t>
      </w:r>
      <w:proofErr w:type="spellStart"/>
      <w:r w:rsidRPr="007067DA">
        <w:rPr>
          <w:sz w:val="24"/>
          <w:szCs w:val="24"/>
        </w:rPr>
        <w:t>Antipyretika</w:t>
      </w:r>
      <w:proofErr w:type="spellEnd"/>
      <w:r w:rsidRPr="007067DA">
        <w:rPr>
          <w:sz w:val="24"/>
          <w:szCs w:val="24"/>
        </w:rPr>
        <w:t>.</w:t>
      </w:r>
    </w:p>
    <w:p w14:paraId="5245FA27" w14:textId="77777777" w:rsidR="00B50950" w:rsidRPr="007067DA" w:rsidRDefault="00B50950" w:rsidP="00B50950">
      <w:pPr>
        <w:tabs>
          <w:tab w:val="left" w:pos="8222"/>
        </w:tabs>
        <w:ind w:left="851"/>
        <w:rPr>
          <w:sz w:val="24"/>
          <w:szCs w:val="24"/>
        </w:rPr>
      </w:pPr>
      <w:r w:rsidRPr="007067DA">
        <w:rPr>
          <w:sz w:val="24"/>
          <w:szCs w:val="24"/>
        </w:rPr>
        <w:t>ATC-</w:t>
      </w:r>
      <w:proofErr w:type="spellStart"/>
      <w:r w:rsidRPr="007067DA">
        <w:rPr>
          <w:sz w:val="24"/>
          <w:szCs w:val="24"/>
        </w:rPr>
        <w:t>vet</w:t>
      </w:r>
      <w:proofErr w:type="spellEnd"/>
      <w:r w:rsidRPr="007067DA">
        <w:rPr>
          <w:sz w:val="24"/>
          <w:szCs w:val="24"/>
        </w:rPr>
        <w:t>-kode: QN 02 BE 01.</w:t>
      </w:r>
    </w:p>
    <w:p w14:paraId="6D27AE5A" w14:textId="77777777" w:rsidR="005B0036" w:rsidRPr="007067DA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658A99C" w14:textId="1B21C24C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067DA">
        <w:rPr>
          <w:b/>
          <w:sz w:val="24"/>
          <w:szCs w:val="24"/>
        </w:rPr>
        <w:t>5.1</w:t>
      </w:r>
      <w:r w:rsidRPr="007067DA">
        <w:rPr>
          <w:b/>
          <w:sz w:val="24"/>
          <w:szCs w:val="24"/>
        </w:rPr>
        <w:tab/>
      </w:r>
      <w:proofErr w:type="spellStart"/>
      <w:r w:rsidRPr="007067DA">
        <w:rPr>
          <w:b/>
          <w:sz w:val="24"/>
          <w:szCs w:val="24"/>
        </w:rPr>
        <w:t>Farmakodynamiske</w:t>
      </w:r>
      <w:proofErr w:type="spellEnd"/>
      <w:r w:rsidRPr="007067DA">
        <w:rPr>
          <w:b/>
          <w:sz w:val="24"/>
          <w:szCs w:val="24"/>
        </w:rPr>
        <w:t xml:space="preserve"> egenskaber</w:t>
      </w:r>
    </w:p>
    <w:p w14:paraId="09DE065A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 xml:space="preserve">Paracetamol eller </w:t>
      </w:r>
      <w:proofErr w:type="spellStart"/>
      <w:r w:rsidRPr="000F3968">
        <w:rPr>
          <w:sz w:val="24"/>
          <w:szCs w:val="24"/>
        </w:rPr>
        <w:t>acetaminofen</w:t>
      </w:r>
      <w:proofErr w:type="spellEnd"/>
      <w:r w:rsidRPr="000F3968">
        <w:rPr>
          <w:sz w:val="24"/>
          <w:szCs w:val="24"/>
        </w:rPr>
        <w:t xml:space="preserve"> eller N-acetyl-</w:t>
      </w:r>
      <w:proofErr w:type="spellStart"/>
      <w:r w:rsidRPr="000F3968">
        <w:rPr>
          <w:sz w:val="24"/>
          <w:szCs w:val="24"/>
        </w:rPr>
        <w:t>para</w:t>
      </w:r>
      <w:proofErr w:type="spellEnd"/>
      <w:r w:rsidRPr="000F3968">
        <w:rPr>
          <w:sz w:val="24"/>
          <w:szCs w:val="24"/>
        </w:rPr>
        <w:t xml:space="preserve">-aminofenol er et </w:t>
      </w:r>
      <w:proofErr w:type="spellStart"/>
      <w:r w:rsidRPr="000F3968">
        <w:rPr>
          <w:sz w:val="24"/>
          <w:szCs w:val="24"/>
        </w:rPr>
        <w:t>paraaminofenolderivat</w:t>
      </w:r>
      <w:proofErr w:type="spellEnd"/>
      <w:r w:rsidRPr="000F3968">
        <w:rPr>
          <w:sz w:val="24"/>
          <w:szCs w:val="24"/>
        </w:rPr>
        <w:t xml:space="preserve"> med analgetiske og </w:t>
      </w:r>
      <w:proofErr w:type="spellStart"/>
      <w:r w:rsidRPr="000F3968">
        <w:rPr>
          <w:sz w:val="24"/>
          <w:szCs w:val="24"/>
        </w:rPr>
        <w:t>antipyretiske</w:t>
      </w:r>
      <w:proofErr w:type="spellEnd"/>
      <w:r w:rsidRPr="000F3968">
        <w:rPr>
          <w:sz w:val="24"/>
          <w:szCs w:val="24"/>
        </w:rPr>
        <w:t xml:space="preserve"> egenskaber. Dets </w:t>
      </w:r>
      <w:proofErr w:type="spellStart"/>
      <w:r w:rsidRPr="000F3968">
        <w:rPr>
          <w:sz w:val="24"/>
          <w:szCs w:val="24"/>
        </w:rPr>
        <w:t>antipyretiske</w:t>
      </w:r>
      <w:proofErr w:type="spellEnd"/>
      <w:r w:rsidRPr="000F3968">
        <w:rPr>
          <w:sz w:val="24"/>
          <w:szCs w:val="24"/>
        </w:rPr>
        <w:t xml:space="preserve"> virkning kan forklares ved </w:t>
      </w:r>
      <w:r w:rsidRPr="000F3968">
        <w:rPr>
          <w:sz w:val="24"/>
          <w:szCs w:val="24"/>
        </w:rPr>
        <w:lastRenderedPageBreak/>
        <w:t xml:space="preserve">stoffets evne til at hæmme </w:t>
      </w:r>
      <w:proofErr w:type="spellStart"/>
      <w:r w:rsidRPr="000F3968">
        <w:rPr>
          <w:sz w:val="24"/>
          <w:szCs w:val="24"/>
        </w:rPr>
        <w:t>cyklooxygenaser</w:t>
      </w:r>
      <w:proofErr w:type="spellEnd"/>
      <w:r w:rsidRPr="000F3968">
        <w:rPr>
          <w:sz w:val="24"/>
          <w:szCs w:val="24"/>
        </w:rPr>
        <w:t xml:space="preserve"> i hjernen. Paracetamol er kun en svag hæmmer af COX-1-syntese, og derfor medfører det ingen </w:t>
      </w:r>
      <w:proofErr w:type="spellStart"/>
      <w:r w:rsidRPr="000F3968">
        <w:rPr>
          <w:sz w:val="24"/>
          <w:szCs w:val="24"/>
        </w:rPr>
        <w:t>gastrointestinale</w:t>
      </w:r>
      <w:proofErr w:type="spellEnd"/>
      <w:r w:rsidRPr="000F3968">
        <w:rPr>
          <w:sz w:val="24"/>
          <w:szCs w:val="24"/>
        </w:rPr>
        <w:t xml:space="preserve"> bivirkninger og har ingen effekt på </w:t>
      </w:r>
      <w:proofErr w:type="spellStart"/>
      <w:r w:rsidRPr="000F3968">
        <w:rPr>
          <w:sz w:val="24"/>
          <w:szCs w:val="24"/>
        </w:rPr>
        <w:t>trombocytaggregation</w:t>
      </w:r>
      <w:proofErr w:type="spellEnd"/>
      <w:r w:rsidRPr="000F3968">
        <w:rPr>
          <w:sz w:val="24"/>
          <w:szCs w:val="24"/>
        </w:rPr>
        <w:t>.</w:t>
      </w:r>
    </w:p>
    <w:p w14:paraId="7B0E66E3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28DFAD6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067DA">
        <w:rPr>
          <w:b/>
          <w:sz w:val="24"/>
          <w:szCs w:val="24"/>
        </w:rPr>
        <w:t>5.2</w:t>
      </w:r>
      <w:r w:rsidRPr="007067DA">
        <w:rPr>
          <w:b/>
          <w:sz w:val="24"/>
          <w:szCs w:val="24"/>
        </w:rPr>
        <w:tab/>
      </w:r>
      <w:proofErr w:type="spellStart"/>
      <w:r w:rsidRPr="007067DA">
        <w:rPr>
          <w:b/>
          <w:sz w:val="24"/>
          <w:szCs w:val="24"/>
        </w:rPr>
        <w:t>Farmakokinetiske</w:t>
      </w:r>
      <w:proofErr w:type="spellEnd"/>
      <w:r w:rsidRPr="007067DA">
        <w:rPr>
          <w:b/>
          <w:sz w:val="24"/>
          <w:szCs w:val="24"/>
        </w:rPr>
        <w:t xml:space="preserve"> egenskaber</w:t>
      </w:r>
    </w:p>
    <w:p w14:paraId="0958AB0F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Paracetamol optages hurtigt og næsten fuldstændigt efter oral administration (biotilgængeligheden er omkring 90 % efter administration i drikkevand). Den maksimale plasmakoncentration af paracetamol opnås knap 2 timer efter indgivelse.</w:t>
      </w:r>
    </w:p>
    <w:p w14:paraId="29A70D6E" w14:textId="4B85AAB8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 xml:space="preserve">Paracetamol </w:t>
      </w:r>
      <w:proofErr w:type="spellStart"/>
      <w:r w:rsidRPr="000F3968">
        <w:rPr>
          <w:sz w:val="24"/>
          <w:szCs w:val="24"/>
        </w:rPr>
        <w:t>metaboliseres</w:t>
      </w:r>
      <w:proofErr w:type="spellEnd"/>
      <w:r w:rsidRPr="000F3968">
        <w:rPr>
          <w:sz w:val="24"/>
          <w:szCs w:val="24"/>
        </w:rPr>
        <w:t xml:space="preserve"> hovedsageligt i leveren. De to væsentligste mekanismer er </w:t>
      </w:r>
      <w:proofErr w:type="spellStart"/>
      <w:r w:rsidRPr="000F3968">
        <w:rPr>
          <w:sz w:val="24"/>
          <w:szCs w:val="24"/>
        </w:rPr>
        <w:t>konjugering</w:t>
      </w:r>
      <w:proofErr w:type="spellEnd"/>
      <w:r w:rsidRPr="000F3968">
        <w:rPr>
          <w:sz w:val="24"/>
          <w:szCs w:val="24"/>
        </w:rPr>
        <w:t xml:space="preserve"> til </w:t>
      </w:r>
      <w:proofErr w:type="spellStart"/>
      <w:r w:rsidRPr="000F3968">
        <w:rPr>
          <w:sz w:val="24"/>
          <w:szCs w:val="24"/>
        </w:rPr>
        <w:t>glukoronider</w:t>
      </w:r>
      <w:proofErr w:type="spellEnd"/>
      <w:r w:rsidRPr="000F3968">
        <w:rPr>
          <w:sz w:val="24"/>
          <w:szCs w:val="24"/>
        </w:rPr>
        <w:t xml:space="preserve"> og </w:t>
      </w:r>
      <w:proofErr w:type="spellStart"/>
      <w:r w:rsidRPr="000F3968">
        <w:rPr>
          <w:sz w:val="24"/>
          <w:szCs w:val="24"/>
        </w:rPr>
        <w:t>konjugering</w:t>
      </w:r>
      <w:proofErr w:type="spellEnd"/>
      <w:r w:rsidRPr="000F3968">
        <w:rPr>
          <w:sz w:val="24"/>
          <w:szCs w:val="24"/>
        </w:rPr>
        <w:t xml:space="preserve"> til sulfater. Sidstnævnte mekanisme mættes hurtigt ved doseringer højere end terapeutisk dosis. En mindre betydende metabolisk proces katalyseres af </w:t>
      </w:r>
      <w:proofErr w:type="spellStart"/>
      <w:r w:rsidRPr="000F3968">
        <w:rPr>
          <w:sz w:val="24"/>
          <w:szCs w:val="24"/>
        </w:rPr>
        <w:t>cytochrom</w:t>
      </w:r>
      <w:proofErr w:type="spellEnd"/>
      <w:r w:rsidRPr="000F3968">
        <w:rPr>
          <w:sz w:val="24"/>
          <w:szCs w:val="24"/>
        </w:rPr>
        <w:t xml:space="preserve"> P450 (CYP) og fører til dannelse af det </w:t>
      </w:r>
      <w:proofErr w:type="spellStart"/>
      <w:r w:rsidRPr="000F3968">
        <w:rPr>
          <w:sz w:val="24"/>
          <w:szCs w:val="24"/>
        </w:rPr>
        <w:t>intermediære</w:t>
      </w:r>
      <w:proofErr w:type="spellEnd"/>
      <w:r w:rsidRPr="000F3968">
        <w:rPr>
          <w:sz w:val="24"/>
          <w:szCs w:val="24"/>
        </w:rPr>
        <w:t xml:space="preserve"> stof N-acetyl </w:t>
      </w:r>
      <w:proofErr w:type="spellStart"/>
      <w:r w:rsidRPr="000F3968">
        <w:rPr>
          <w:sz w:val="24"/>
          <w:szCs w:val="24"/>
        </w:rPr>
        <w:t>benzoquinonimin</w:t>
      </w:r>
      <w:proofErr w:type="spellEnd"/>
      <w:r w:rsidRPr="000F3968">
        <w:rPr>
          <w:sz w:val="24"/>
          <w:szCs w:val="24"/>
        </w:rPr>
        <w:t xml:space="preserve">, som ved normale betingelser inaktiveres hurtigt af reduceret </w:t>
      </w:r>
      <w:proofErr w:type="spellStart"/>
      <w:r w:rsidRPr="000F3968">
        <w:rPr>
          <w:sz w:val="24"/>
          <w:szCs w:val="24"/>
        </w:rPr>
        <w:t>glutathion</w:t>
      </w:r>
      <w:proofErr w:type="spellEnd"/>
      <w:r w:rsidRPr="000F3968">
        <w:rPr>
          <w:sz w:val="24"/>
          <w:szCs w:val="24"/>
        </w:rPr>
        <w:t xml:space="preserve"> og </w:t>
      </w:r>
      <w:proofErr w:type="spellStart"/>
      <w:r w:rsidRPr="000F3968">
        <w:rPr>
          <w:sz w:val="24"/>
          <w:szCs w:val="24"/>
        </w:rPr>
        <w:t>udskillesi</w:t>
      </w:r>
      <w:proofErr w:type="spellEnd"/>
      <w:r w:rsidRPr="000F3968">
        <w:rPr>
          <w:sz w:val="24"/>
          <w:szCs w:val="24"/>
        </w:rPr>
        <w:t xml:space="preserve"> urin koblet til </w:t>
      </w:r>
      <w:proofErr w:type="spellStart"/>
      <w:r w:rsidRPr="000F3968">
        <w:rPr>
          <w:sz w:val="24"/>
          <w:szCs w:val="24"/>
        </w:rPr>
        <w:t>cystein</w:t>
      </w:r>
      <w:proofErr w:type="spellEnd"/>
      <w:r w:rsidRPr="000F3968">
        <w:rPr>
          <w:sz w:val="24"/>
          <w:szCs w:val="24"/>
        </w:rPr>
        <w:t xml:space="preserve"> og </w:t>
      </w:r>
      <w:proofErr w:type="spellStart"/>
      <w:r w:rsidRPr="000F3968">
        <w:rPr>
          <w:sz w:val="24"/>
          <w:szCs w:val="24"/>
        </w:rPr>
        <w:t>mercaptursyre</w:t>
      </w:r>
      <w:proofErr w:type="spellEnd"/>
      <w:r w:rsidRPr="000F3968">
        <w:rPr>
          <w:sz w:val="24"/>
          <w:szCs w:val="24"/>
        </w:rPr>
        <w:t>. Efter massiv forgiftning øges mængden af denne giftige metabolit imidlertid.</w:t>
      </w:r>
    </w:p>
    <w:p w14:paraId="08BB0A88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 xml:space="preserve">Paracetamol udskilles primært gennem urinen. Hos svin udskilles 63 % af den indgivne dosis via nyrerne inden for 24 timer hovedsageligt i form af </w:t>
      </w:r>
      <w:proofErr w:type="spellStart"/>
      <w:r w:rsidRPr="000F3968">
        <w:rPr>
          <w:sz w:val="24"/>
          <w:szCs w:val="24"/>
        </w:rPr>
        <w:t>glukuronat</w:t>
      </w:r>
      <w:proofErr w:type="spellEnd"/>
      <w:r w:rsidRPr="000F3968">
        <w:rPr>
          <w:sz w:val="24"/>
          <w:szCs w:val="24"/>
        </w:rPr>
        <w:t xml:space="preserve"> og sulfat. Mindre end 5 % elimineres </w:t>
      </w:r>
      <w:proofErr w:type="spellStart"/>
      <w:r w:rsidRPr="000F3968">
        <w:rPr>
          <w:sz w:val="24"/>
          <w:szCs w:val="24"/>
        </w:rPr>
        <w:t>uomdannet</w:t>
      </w:r>
      <w:proofErr w:type="spellEnd"/>
      <w:r w:rsidRPr="000F3968">
        <w:rPr>
          <w:sz w:val="24"/>
          <w:szCs w:val="24"/>
        </w:rPr>
        <w:t>. Halveringstiden for eliminationen er ca. 5 timer.</w:t>
      </w:r>
    </w:p>
    <w:p w14:paraId="7449CAD9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DF7DA39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5.3</w:t>
      </w:r>
      <w:r w:rsidRPr="000F3968">
        <w:rPr>
          <w:b/>
          <w:sz w:val="24"/>
          <w:szCs w:val="24"/>
        </w:rPr>
        <w:tab/>
        <w:t>Miljømæssige forhold</w:t>
      </w:r>
    </w:p>
    <w:p w14:paraId="387B8C0F" w14:textId="48E5F110" w:rsidR="005B0036" w:rsidRPr="000F3968" w:rsidRDefault="00B50950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-</w:t>
      </w:r>
    </w:p>
    <w:p w14:paraId="76B8DCA2" w14:textId="77777777" w:rsidR="005B0036" w:rsidRPr="000F396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CF5341B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5DCB005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6.</w:t>
      </w:r>
      <w:r w:rsidRPr="000F3968">
        <w:rPr>
          <w:b/>
          <w:sz w:val="24"/>
          <w:szCs w:val="24"/>
        </w:rPr>
        <w:tab/>
        <w:t>FARMACEUTISKE OPLYSNINGER</w:t>
      </w:r>
    </w:p>
    <w:p w14:paraId="0E59A336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FD6F79B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6.1</w:t>
      </w:r>
      <w:r w:rsidRPr="000F3968">
        <w:rPr>
          <w:b/>
          <w:sz w:val="24"/>
          <w:szCs w:val="24"/>
        </w:rPr>
        <w:tab/>
        <w:t>Hjælpestoffer</w:t>
      </w:r>
    </w:p>
    <w:p w14:paraId="454F28BA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F3968">
        <w:rPr>
          <w:sz w:val="24"/>
          <w:szCs w:val="24"/>
        </w:rPr>
        <w:t>Dimethylsulfoxid</w:t>
      </w:r>
      <w:proofErr w:type="spellEnd"/>
    </w:p>
    <w:p w14:paraId="08DA3832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0F3968">
        <w:rPr>
          <w:sz w:val="24"/>
          <w:szCs w:val="24"/>
        </w:rPr>
        <w:t>Ponceau</w:t>
      </w:r>
      <w:proofErr w:type="spellEnd"/>
      <w:r w:rsidRPr="000F3968">
        <w:rPr>
          <w:sz w:val="24"/>
          <w:szCs w:val="24"/>
        </w:rPr>
        <w:t xml:space="preserve"> 4R (E124)</w:t>
      </w:r>
    </w:p>
    <w:p w14:paraId="36AA9AB9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0F3968">
        <w:rPr>
          <w:sz w:val="24"/>
          <w:szCs w:val="24"/>
        </w:rPr>
        <w:t>Macrogol</w:t>
      </w:r>
      <w:proofErr w:type="spellEnd"/>
      <w:r w:rsidRPr="000F3968">
        <w:rPr>
          <w:sz w:val="24"/>
          <w:szCs w:val="24"/>
        </w:rPr>
        <w:t xml:space="preserve"> 300</w:t>
      </w:r>
    </w:p>
    <w:p w14:paraId="4B970106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B0F29AE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6.2</w:t>
      </w:r>
      <w:r w:rsidRPr="000F3968">
        <w:rPr>
          <w:b/>
          <w:sz w:val="24"/>
          <w:szCs w:val="24"/>
        </w:rPr>
        <w:tab/>
        <w:t>Uforligeligheder</w:t>
      </w:r>
    </w:p>
    <w:p w14:paraId="271B1065" w14:textId="61F320BF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 xml:space="preserve">Produktet er fundet fysisk og kemisk kompatibelt med de aktive stoffer </w:t>
      </w:r>
      <w:proofErr w:type="spellStart"/>
      <w:r w:rsidRPr="000F3968">
        <w:rPr>
          <w:sz w:val="24"/>
          <w:szCs w:val="24"/>
        </w:rPr>
        <w:t>amoxicillin</w:t>
      </w:r>
      <w:proofErr w:type="spellEnd"/>
      <w:r w:rsidRPr="000F3968">
        <w:rPr>
          <w:sz w:val="24"/>
          <w:szCs w:val="24"/>
        </w:rPr>
        <w:t xml:space="preserve">, </w:t>
      </w:r>
      <w:proofErr w:type="spellStart"/>
      <w:r w:rsidRPr="000F3968">
        <w:rPr>
          <w:sz w:val="24"/>
          <w:szCs w:val="24"/>
        </w:rPr>
        <w:t>sulfadiazin</w:t>
      </w:r>
      <w:proofErr w:type="spellEnd"/>
      <w:r w:rsidRPr="000F3968">
        <w:rPr>
          <w:sz w:val="24"/>
          <w:szCs w:val="24"/>
        </w:rPr>
        <w:t>/</w:t>
      </w:r>
      <w:proofErr w:type="spellStart"/>
      <w:r w:rsidRPr="000F3968">
        <w:rPr>
          <w:sz w:val="24"/>
          <w:szCs w:val="24"/>
        </w:rPr>
        <w:t>trimethoprim</w:t>
      </w:r>
      <w:proofErr w:type="spellEnd"/>
      <w:r w:rsidRPr="000F3968">
        <w:rPr>
          <w:sz w:val="24"/>
          <w:szCs w:val="24"/>
        </w:rPr>
        <w:t xml:space="preserve">, </w:t>
      </w:r>
      <w:proofErr w:type="spellStart"/>
      <w:r w:rsidRPr="000F3968">
        <w:rPr>
          <w:sz w:val="24"/>
          <w:szCs w:val="24"/>
        </w:rPr>
        <w:t>doxycyclin</w:t>
      </w:r>
      <w:proofErr w:type="spellEnd"/>
      <w:r w:rsidRPr="000F3968">
        <w:rPr>
          <w:sz w:val="24"/>
          <w:szCs w:val="24"/>
        </w:rPr>
        <w:t xml:space="preserve">, </w:t>
      </w:r>
      <w:proofErr w:type="spellStart"/>
      <w:r w:rsidRPr="000F3968">
        <w:rPr>
          <w:sz w:val="24"/>
          <w:szCs w:val="24"/>
        </w:rPr>
        <w:t>tylosin</w:t>
      </w:r>
      <w:proofErr w:type="spellEnd"/>
      <w:r w:rsidRPr="000F3968">
        <w:rPr>
          <w:sz w:val="24"/>
          <w:szCs w:val="24"/>
        </w:rPr>
        <w:t xml:space="preserve">, </w:t>
      </w:r>
      <w:proofErr w:type="spellStart"/>
      <w:r w:rsidRPr="000F3968">
        <w:rPr>
          <w:sz w:val="24"/>
          <w:szCs w:val="24"/>
        </w:rPr>
        <w:t>tetracyclin</w:t>
      </w:r>
      <w:proofErr w:type="spellEnd"/>
      <w:r w:rsidRPr="000F3968">
        <w:rPr>
          <w:sz w:val="24"/>
          <w:szCs w:val="24"/>
        </w:rPr>
        <w:t xml:space="preserve"> og </w:t>
      </w:r>
      <w:proofErr w:type="spellStart"/>
      <w:r w:rsidRPr="000F3968">
        <w:rPr>
          <w:sz w:val="24"/>
          <w:szCs w:val="24"/>
        </w:rPr>
        <w:t>colistin</w:t>
      </w:r>
      <w:proofErr w:type="spellEnd"/>
      <w:r w:rsidRPr="000F3968">
        <w:rPr>
          <w:sz w:val="24"/>
          <w:szCs w:val="24"/>
        </w:rPr>
        <w:t>.</w:t>
      </w:r>
    </w:p>
    <w:p w14:paraId="5450A9C3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58D8B16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2955EE66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0A786D6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6.3</w:t>
      </w:r>
      <w:r w:rsidRPr="000F3968">
        <w:rPr>
          <w:b/>
          <w:sz w:val="24"/>
          <w:szCs w:val="24"/>
        </w:rPr>
        <w:tab/>
        <w:t>Opbevaringstid</w:t>
      </w:r>
    </w:p>
    <w:p w14:paraId="368697CC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I salgspakning: 2 år.</w:t>
      </w:r>
    </w:p>
    <w:p w14:paraId="647A2EAB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Efter første åbning af den indre emballage: 6 måneder.</w:t>
      </w:r>
    </w:p>
    <w:p w14:paraId="3E5D53DA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Efter fortynding ifølge anvisning: 24 timer.</w:t>
      </w:r>
    </w:p>
    <w:p w14:paraId="30DDFA07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ECD9F35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6.4</w:t>
      </w:r>
      <w:r w:rsidRPr="000F3968">
        <w:rPr>
          <w:b/>
          <w:sz w:val="24"/>
          <w:szCs w:val="24"/>
        </w:rPr>
        <w:tab/>
        <w:t>Særlige opbevaringsforhold</w:t>
      </w:r>
    </w:p>
    <w:p w14:paraId="5FBAB7B7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Dette veterinærlægemiddel kræver ingen særlige forholdsregler vedrørende opbevaringen.</w:t>
      </w:r>
    </w:p>
    <w:p w14:paraId="1926DA0C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87CDCA" w14:textId="473C194D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Efter første åbning skal flasken og beholderen holdes tæt tillukket.</w:t>
      </w:r>
    </w:p>
    <w:p w14:paraId="552DB08E" w14:textId="1D5B07E4" w:rsidR="00ED1E1E" w:rsidRDefault="00ED1E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4A845A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4DB2162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6.5</w:t>
      </w:r>
      <w:r w:rsidRPr="000F3968">
        <w:rPr>
          <w:b/>
          <w:sz w:val="24"/>
          <w:szCs w:val="24"/>
        </w:rPr>
        <w:tab/>
        <w:t>Emballage</w:t>
      </w:r>
    </w:p>
    <w:p w14:paraId="2DC26737" w14:textId="77777777" w:rsidR="003275B6" w:rsidRPr="000F3968" w:rsidRDefault="003275B6" w:rsidP="00B50950">
      <w:pPr>
        <w:tabs>
          <w:tab w:val="left" w:pos="851"/>
          <w:tab w:val="left" w:pos="8222"/>
        </w:tabs>
        <w:ind w:left="851"/>
        <w:rPr>
          <w:iCs/>
          <w:sz w:val="24"/>
          <w:szCs w:val="24"/>
          <w:u w:val="single"/>
        </w:rPr>
      </w:pPr>
    </w:p>
    <w:p w14:paraId="69316F64" w14:textId="0003D300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iCs/>
          <w:sz w:val="24"/>
          <w:szCs w:val="24"/>
          <w:u w:val="single"/>
          <w:lang w:eastAsia="da-DK"/>
        </w:rPr>
      </w:pPr>
      <w:r w:rsidRPr="000F3968">
        <w:rPr>
          <w:iCs/>
          <w:sz w:val="24"/>
          <w:szCs w:val="24"/>
          <w:u w:val="single"/>
        </w:rPr>
        <w:t>1 liter-beholder:</w:t>
      </w:r>
    </w:p>
    <w:p w14:paraId="288B2D37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 xml:space="preserve">a) Flaske af </w:t>
      </w:r>
      <w:proofErr w:type="spellStart"/>
      <w:r w:rsidRPr="000F3968">
        <w:rPr>
          <w:sz w:val="24"/>
          <w:szCs w:val="24"/>
        </w:rPr>
        <w:t>højdensitetspolyetylen</w:t>
      </w:r>
      <w:proofErr w:type="spellEnd"/>
      <w:r w:rsidRPr="000F3968">
        <w:rPr>
          <w:sz w:val="24"/>
          <w:szCs w:val="24"/>
        </w:rPr>
        <w:t xml:space="preserve"> (HDPE) med skruelåg af HDPE og induktionsforsegling af AL/PET/PE.</w:t>
      </w:r>
    </w:p>
    <w:p w14:paraId="7E52614E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 xml:space="preserve">b) Flaske af </w:t>
      </w:r>
      <w:proofErr w:type="spellStart"/>
      <w:r w:rsidRPr="000F3968">
        <w:rPr>
          <w:sz w:val="24"/>
          <w:szCs w:val="24"/>
        </w:rPr>
        <w:t>højdensitetspolyetylen</w:t>
      </w:r>
      <w:proofErr w:type="spellEnd"/>
      <w:r w:rsidRPr="000F3968">
        <w:rPr>
          <w:sz w:val="24"/>
          <w:szCs w:val="24"/>
        </w:rPr>
        <w:t xml:space="preserve"> (HDPE) med skruelåg af HDPE og varmeinduceret garantiforsegling af plast/aluminium (PEHD/PP/PE/AL).</w:t>
      </w:r>
    </w:p>
    <w:p w14:paraId="396BF4BB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D988C76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iCs/>
          <w:sz w:val="24"/>
          <w:szCs w:val="24"/>
          <w:u w:val="single"/>
        </w:rPr>
      </w:pPr>
      <w:r w:rsidRPr="000F3968">
        <w:rPr>
          <w:iCs/>
          <w:sz w:val="24"/>
          <w:szCs w:val="24"/>
          <w:u w:val="single"/>
        </w:rPr>
        <w:t>5 liter-beholder:</w:t>
      </w:r>
    </w:p>
    <w:p w14:paraId="60518599" w14:textId="67A3779C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 xml:space="preserve">Beholder af </w:t>
      </w:r>
      <w:proofErr w:type="spellStart"/>
      <w:r w:rsidRPr="000F3968">
        <w:rPr>
          <w:sz w:val="24"/>
          <w:szCs w:val="24"/>
        </w:rPr>
        <w:t>højdensitetspolyetylen</w:t>
      </w:r>
      <w:proofErr w:type="spellEnd"/>
      <w:r w:rsidRPr="000F3968">
        <w:rPr>
          <w:sz w:val="24"/>
          <w:szCs w:val="24"/>
        </w:rPr>
        <w:t xml:space="preserve"> (HDPE) med skruelåg af HDPE og induktionsforsegling af AL/PET/PE.</w:t>
      </w:r>
    </w:p>
    <w:p w14:paraId="327F2CCD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3E695BB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0F3968">
        <w:rPr>
          <w:sz w:val="24"/>
          <w:szCs w:val="24"/>
          <w:u w:val="single"/>
        </w:rPr>
        <w:t>Pakningsstørrelser:</w:t>
      </w:r>
    </w:p>
    <w:p w14:paraId="500AF7EE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1 liter-flasker</w:t>
      </w:r>
    </w:p>
    <w:p w14:paraId="4FD64CDD" w14:textId="0530974F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5 liter-beholder</w:t>
      </w:r>
    </w:p>
    <w:p w14:paraId="6B4F873C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503F78A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Ikke alle pakningsstørrelser er nødvendigvis markedsført.</w:t>
      </w:r>
    </w:p>
    <w:p w14:paraId="139BCF2C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B677611" w14:textId="77777777" w:rsidR="005B0036" w:rsidRPr="000F3968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6.6</w:t>
      </w:r>
      <w:r w:rsidRPr="000F3968">
        <w:rPr>
          <w:b/>
          <w:sz w:val="24"/>
          <w:szCs w:val="24"/>
        </w:rPr>
        <w:tab/>
        <w:t>Særlige forholdsregler ved bortskaffelse af rester af lægemidlet eller affald</w:t>
      </w:r>
    </w:p>
    <w:p w14:paraId="6E5F77E5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0F3968">
        <w:rPr>
          <w:sz w:val="24"/>
          <w:szCs w:val="24"/>
        </w:rPr>
        <w:t>Ikke anvendte veterinærlægemidler samt affald heraf bør destrueres i henhold til lokale retningslinjer.</w:t>
      </w:r>
    </w:p>
    <w:p w14:paraId="6BAFA1C4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BDDCD32" w14:textId="77777777" w:rsidR="005B0036" w:rsidRPr="000F3968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7.</w:t>
      </w:r>
      <w:r w:rsidRPr="000F3968">
        <w:rPr>
          <w:b/>
          <w:sz w:val="24"/>
          <w:szCs w:val="24"/>
        </w:rPr>
        <w:tab/>
        <w:t>INDEHAVER AF MARKEDSFØRINGSTILLADELSEN</w:t>
      </w:r>
    </w:p>
    <w:p w14:paraId="0BEB6739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 w:rsidRPr="000F3968">
        <w:rPr>
          <w:sz w:val="24"/>
          <w:szCs w:val="24"/>
        </w:rPr>
        <w:t>Laboratorios</w:t>
      </w:r>
      <w:proofErr w:type="spellEnd"/>
      <w:r w:rsidRPr="000F3968">
        <w:rPr>
          <w:sz w:val="24"/>
          <w:szCs w:val="24"/>
        </w:rPr>
        <w:t xml:space="preserve"> </w:t>
      </w:r>
      <w:proofErr w:type="spellStart"/>
      <w:r w:rsidRPr="000F3968">
        <w:rPr>
          <w:sz w:val="24"/>
          <w:szCs w:val="24"/>
        </w:rPr>
        <w:t>Maymó</w:t>
      </w:r>
      <w:proofErr w:type="spellEnd"/>
      <w:r w:rsidRPr="000F3968">
        <w:rPr>
          <w:sz w:val="24"/>
          <w:szCs w:val="24"/>
        </w:rPr>
        <w:t>, S.A.</w:t>
      </w:r>
    </w:p>
    <w:p w14:paraId="60E3B67B" w14:textId="77777777" w:rsidR="00B50950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Via Augusta, 302</w:t>
      </w:r>
    </w:p>
    <w:p w14:paraId="0EF5EA99" w14:textId="77777777" w:rsidR="003275B6" w:rsidRPr="000F3968" w:rsidRDefault="00B50950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08017 Barcelona</w:t>
      </w:r>
    </w:p>
    <w:p w14:paraId="1ADC7ACB" w14:textId="27516CDB" w:rsidR="00B50950" w:rsidRPr="000F3968" w:rsidRDefault="003275B6" w:rsidP="00B5095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Spanien</w:t>
      </w:r>
    </w:p>
    <w:p w14:paraId="3A816ABA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1E83079" w14:textId="77777777" w:rsidR="005B0036" w:rsidRPr="000F396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8.</w:t>
      </w:r>
      <w:r w:rsidRPr="000F3968">
        <w:rPr>
          <w:b/>
          <w:sz w:val="24"/>
          <w:szCs w:val="24"/>
        </w:rPr>
        <w:tab/>
        <w:t>MARKEDSFØRINGSTILLADELSESNUMMER (NUMRE)</w:t>
      </w:r>
    </w:p>
    <w:p w14:paraId="13984FB3" w14:textId="6C572599" w:rsidR="005B0036" w:rsidRPr="000F3968" w:rsidRDefault="008F3467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65897</w:t>
      </w:r>
    </w:p>
    <w:p w14:paraId="55365347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025AF0D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9.</w:t>
      </w:r>
      <w:r w:rsidRPr="000F3968">
        <w:rPr>
          <w:b/>
          <w:sz w:val="24"/>
          <w:szCs w:val="24"/>
        </w:rPr>
        <w:tab/>
        <w:t>DATO FOR FØRSTE MARKEDSFØRINGSTILLADELSE</w:t>
      </w:r>
    </w:p>
    <w:p w14:paraId="60B93A8C" w14:textId="03497723" w:rsidR="005B0036" w:rsidRPr="000F3968" w:rsidRDefault="00E1650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juni 2022</w:t>
      </w:r>
    </w:p>
    <w:p w14:paraId="3D07E8DF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37D8EF2" w14:textId="77777777" w:rsidR="005B0036" w:rsidRPr="000F3968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10.</w:t>
      </w:r>
      <w:r w:rsidRPr="000F3968">
        <w:rPr>
          <w:b/>
          <w:sz w:val="24"/>
          <w:szCs w:val="24"/>
        </w:rPr>
        <w:tab/>
        <w:t>DATO FOR ÆNDRING AF TEKSTEN</w:t>
      </w:r>
    </w:p>
    <w:p w14:paraId="32E1D53F" w14:textId="6049F622" w:rsidR="005B0036" w:rsidRPr="000F3968" w:rsidRDefault="008F3467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F3968">
        <w:rPr>
          <w:sz w:val="24"/>
          <w:szCs w:val="24"/>
        </w:rPr>
        <w:t>-</w:t>
      </w:r>
    </w:p>
    <w:p w14:paraId="1CBEAB21" w14:textId="77777777" w:rsidR="005B0036" w:rsidRPr="000F396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9B7D147" w14:textId="77777777" w:rsidR="005B0036" w:rsidRPr="000F396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F3968">
        <w:rPr>
          <w:b/>
          <w:sz w:val="24"/>
          <w:szCs w:val="24"/>
        </w:rPr>
        <w:t>11.</w:t>
      </w:r>
      <w:r w:rsidRPr="000F3968">
        <w:rPr>
          <w:b/>
          <w:sz w:val="24"/>
          <w:szCs w:val="24"/>
        </w:rPr>
        <w:tab/>
        <w:t>UDLEVERINGSBESTEMMELSE</w:t>
      </w:r>
    </w:p>
    <w:p w14:paraId="03FB649D" w14:textId="79C9CD05" w:rsidR="0003527F" w:rsidRPr="000F3968" w:rsidRDefault="008F3467" w:rsidP="003275B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0F3968">
        <w:rPr>
          <w:szCs w:val="24"/>
        </w:rPr>
        <w:t>BP</w:t>
      </w:r>
    </w:p>
    <w:sectPr w:rsidR="0003527F" w:rsidRPr="000F3968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BC5E2" w14:textId="77777777" w:rsidR="003C7326" w:rsidRDefault="003C7326">
      <w:r>
        <w:separator/>
      </w:r>
    </w:p>
  </w:endnote>
  <w:endnote w:type="continuationSeparator" w:id="0">
    <w:p w14:paraId="585960E8" w14:textId="77777777" w:rsidR="003C7326" w:rsidRDefault="003C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3CD3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2DF938A7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CFF3BE1" w14:textId="35BDE712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067DA">
      <w:rPr>
        <w:i/>
        <w:noProof/>
        <w:snapToGrid w:val="0"/>
        <w:sz w:val="18"/>
      </w:rPr>
      <w:t>Maycetam, opløsning til anvendelse i drikkevand 400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95A2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4055415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B77540A" w14:textId="797FC053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067DA">
      <w:rPr>
        <w:i/>
        <w:noProof/>
        <w:snapToGrid w:val="0"/>
        <w:sz w:val="18"/>
      </w:rPr>
      <w:t>Maycetam, opløsning til anvendelse i drikkevand 400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1A6F" w14:textId="77777777" w:rsidR="003C7326" w:rsidRDefault="003C7326">
      <w:r>
        <w:separator/>
      </w:r>
    </w:p>
  </w:footnote>
  <w:footnote w:type="continuationSeparator" w:id="0">
    <w:p w14:paraId="2F168684" w14:textId="77777777" w:rsidR="003C7326" w:rsidRDefault="003C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8579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8206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6A7"/>
    <w:multiLevelType w:val="hybridMultilevel"/>
    <w:tmpl w:val="35823ED4"/>
    <w:lvl w:ilvl="0" w:tplc="367EEA48">
      <w:numFmt w:val="bullet"/>
      <w:lvlText w:val="⁃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7D27C7"/>
    <w:multiLevelType w:val="hybridMultilevel"/>
    <w:tmpl w:val="3EE2E782"/>
    <w:lvl w:ilvl="0" w:tplc="893C24D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301314"/>
    <w:multiLevelType w:val="hybridMultilevel"/>
    <w:tmpl w:val="4762F05A"/>
    <w:lvl w:ilvl="0" w:tplc="893C24D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26"/>
    <w:rsid w:val="0003527F"/>
    <w:rsid w:val="00065C7D"/>
    <w:rsid w:val="000C6CD4"/>
    <w:rsid w:val="000F3968"/>
    <w:rsid w:val="00140EEF"/>
    <w:rsid w:val="001577E4"/>
    <w:rsid w:val="001858CA"/>
    <w:rsid w:val="001C4AEF"/>
    <w:rsid w:val="001D3CC5"/>
    <w:rsid w:val="00322BDE"/>
    <w:rsid w:val="003275B6"/>
    <w:rsid w:val="003C7326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F5621"/>
    <w:rsid w:val="007067DA"/>
    <w:rsid w:val="00771375"/>
    <w:rsid w:val="007E2A00"/>
    <w:rsid w:val="008010F2"/>
    <w:rsid w:val="0089728B"/>
    <w:rsid w:val="008F3467"/>
    <w:rsid w:val="009202AE"/>
    <w:rsid w:val="009D60A4"/>
    <w:rsid w:val="009D66C6"/>
    <w:rsid w:val="00A96525"/>
    <w:rsid w:val="00AE29E5"/>
    <w:rsid w:val="00AE5757"/>
    <w:rsid w:val="00B25EB8"/>
    <w:rsid w:val="00B50950"/>
    <w:rsid w:val="00BC634B"/>
    <w:rsid w:val="00BF2AE0"/>
    <w:rsid w:val="00C479BF"/>
    <w:rsid w:val="00C67399"/>
    <w:rsid w:val="00C97C3A"/>
    <w:rsid w:val="00CC42FB"/>
    <w:rsid w:val="00DD6D71"/>
    <w:rsid w:val="00DF32BE"/>
    <w:rsid w:val="00E14F0A"/>
    <w:rsid w:val="00E16502"/>
    <w:rsid w:val="00EB5778"/>
    <w:rsid w:val="00ED1E1E"/>
    <w:rsid w:val="00EE5253"/>
    <w:rsid w:val="00EF4F24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7632B"/>
  <w15:chartTrackingRefBased/>
  <w15:docId w15:val="{96709976-DA7A-4D4B-8955-EA024ED2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uiPriority w:val="99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77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9-00-SKB%20SPC%20Vet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009-00-SKB SPC Vet skabelon.dotx</Template>
  <TotalTime>13</TotalTime>
  <Pages>5</Pages>
  <Words>1139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2021032843, MT</dc:description>
  <cp:lastModifiedBy>Gitte Jørgensen</cp:lastModifiedBy>
  <cp:revision>8</cp:revision>
  <dcterms:created xsi:type="dcterms:W3CDTF">2022-06-23T06:57:00Z</dcterms:created>
  <dcterms:modified xsi:type="dcterms:W3CDTF">2022-06-24T13:02:00Z</dcterms:modified>
</cp:coreProperties>
</file>