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33E" w:rsidRPr="00406EE7" w:rsidRDefault="00FC433E" w:rsidP="00FC433E">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CD6AEB">
        <w:fldChar w:fldCharType="begin"/>
      </w:r>
      <w:r w:rsidR="00CD6AEB">
        <w:instrText xml:space="preserve"> INCLUDEPICTURE  "cid:image004.jpg@01D117E9.E5553340" \* MERGEFORMATINET </w:instrText>
      </w:r>
      <w:r w:rsidR="00CD6AEB">
        <w:fldChar w:fldCharType="separate"/>
      </w:r>
      <w:r w:rsidR="0098560B">
        <w:fldChar w:fldCharType="begin"/>
      </w:r>
      <w:r w:rsidR="0098560B">
        <w:instrText xml:space="preserve"> INCLUDEPICTURE  "cid:image004.jpg@01D117E9.E5553340" \* MERGEFORMATINET </w:instrText>
      </w:r>
      <w:r w:rsidR="0098560B">
        <w:fldChar w:fldCharType="separate"/>
      </w:r>
      <w:r w:rsidR="007A7F59">
        <w:fldChar w:fldCharType="begin"/>
      </w:r>
      <w:r w:rsidR="007A7F59">
        <w:instrText xml:space="preserve"> INCLUDEPICTURE  "cid:image004.jpg@01D117E9.E5553340" \* MERGEFORMATINET </w:instrText>
      </w:r>
      <w:r w:rsidR="007A7F59">
        <w:fldChar w:fldCharType="separate"/>
      </w:r>
      <w:r w:rsidR="00AB2651">
        <w:fldChar w:fldCharType="begin"/>
      </w:r>
      <w:r w:rsidR="00AB2651">
        <w:instrText xml:space="preserve"> </w:instrText>
      </w:r>
      <w:r w:rsidR="00AB2651">
        <w:instrText>INCLUDEPICTURE  "cid:image004.jpg@01</w:instrText>
      </w:r>
      <w:r w:rsidR="00AB2651">
        <w:instrText>D117E9.E5553340" \* MERGEFORMATINET</w:instrText>
      </w:r>
      <w:r w:rsidR="00AB2651">
        <w:instrText xml:space="preserve"> </w:instrText>
      </w:r>
      <w:r w:rsidR="00AB2651">
        <w:fldChar w:fldCharType="separate"/>
      </w:r>
      <w:r w:rsidR="00FC589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LMST_auto_stor" style="width:192.85pt;height:55.1pt">
            <v:imagedata r:id="rId7" r:href="rId8"/>
          </v:shape>
        </w:pict>
      </w:r>
      <w:r w:rsidR="00AB2651">
        <w:fldChar w:fldCharType="end"/>
      </w:r>
      <w:r w:rsidR="007A7F59">
        <w:fldChar w:fldCharType="end"/>
      </w:r>
      <w:r w:rsidR="0098560B">
        <w:fldChar w:fldCharType="end"/>
      </w:r>
      <w:r w:rsidR="00CD6AEB">
        <w:fldChar w:fldCharType="end"/>
      </w:r>
      <w:r>
        <w:fldChar w:fldCharType="end"/>
      </w:r>
      <w:r>
        <w:fldChar w:fldCharType="end"/>
      </w:r>
      <w:r>
        <w:fldChar w:fldCharType="end"/>
      </w:r>
    </w:p>
    <w:p w:rsidR="00FC433E" w:rsidRPr="00406EE7" w:rsidRDefault="00FC433E" w:rsidP="00FC433E">
      <w:pPr>
        <w:tabs>
          <w:tab w:val="left" w:pos="6804"/>
        </w:tabs>
        <w:rPr>
          <w:b/>
          <w:sz w:val="24"/>
          <w:szCs w:val="24"/>
        </w:rPr>
      </w:pPr>
    </w:p>
    <w:p w:rsidR="00FC433E" w:rsidRPr="00406EE7" w:rsidRDefault="007E2D89" w:rsidP="00FC433E">
      <w:pPr>
        <w:tabs>
          <w:tab w:val="left" w:pos="6804"/>
        </w:tabs>
        <w:jc w:val="right"/>
        <w:rPr>
          <w:b/>
          <w:sz w:val="24"/>
          <w:szCs w:val="24"/>
        </w:rPr>
      </w:pPr>
      <w:r>
        <w:rPr>
          <w:b/>
          <w:sz w:val="24"/>
          <w:szCs w:val="24"/>
        </w:rPr>
        <w:t>23</w:t>
      </w:r>
      <w:r w:rsidR="00FC433E">
        <w:rPr>
          <w:b/>
          <w:sz w:val="24"/>
          <w:szCs w:val="24"/>
        </w:rPr>
        <w:t xml:space="preserve">. </w:t>
      </w:r>
      <w:r>
        <w:rPr>
          <w:b/>
          <w:sz w:val="24"/>
          <w:szCs w:val="24"/>
        </w:rPr>
        <w:t>juli</w:t>
      </w:r>
      <w:r w:rsidR="00FC433E">
        <w:rPr>
          <w:b/>
          <w:sz w:val="24"/>
          <w:szCs w:val="24"/>
        </w:rPr>
        <w:t xml:space="preserve"> 20</w:t>
      </w:r>
      <w:r w:rsidR="00CD6AEB">
        <w:rPr>
          <w:b/>
          <w:sz w:val="24"/>
          <w:szCs w:val="24"/>
        </w:rPr>
        <w:t>2</w:t>
      </w:r>
      <w:r>
        <w:rPr>
          <w:b/>
          <w:sz w:val="24"/>
          <w:szCs w:val="24"/>
        </w:rPr>
        <w:t>4</w:t>
      </w:r>
    </w:p>
    <w:p w:rsidR="00FC433E" w:rsidRPr="00406EE7" w:rsidRDefault="00FC433E" w:rsidP="00FC433E">
      <w:pPr>
        <w:tabs>
          <w:tab w:val="left" w:pos="8222"/>
        </w:tabs>
        <w:rPr>
          <w:sz w:val="24"/>
          <w:szCs w:val="24"/>
        </w:rPr>
      </w:pPr>
    </w:p>
    <w:p w:rsidR="00FC433E" w:rsidRPr="00406EE7" w:rsidRDefault="00FC433E" w:rsidP="00FC433E">
      <w:pPr>
        <w:tabs>
          <w:tab w:val="left" w:pos="8222"/>
        </w:tabs>
        <w:rPr>
          <w:sz w:val="24"/>
          <w:szCs w:val="24"/>
        </w:rPr>
      </w:pPr>
    </w:p>
    <w:p w:rsidR="00FC433E" w:rsidRPr="00406EE7" w:rsidRDefault="00FC433E" w:rsidP="00FC433E">
      <w:pPr>
        <w:tabs>
          <w:tab w:val="left" w:pos="8222"/>
        </w:tabs>
        <w:jc w:val="center"/>
        <w:rPr>
          <w:b/>
          <w:sz w:val="24"/>
          <w:szCs w:val="24"/>
        </w:rPr>
      </w:pPr>
      <w:r w:rsidRPr="00406EE7">
        <w:rPr>
          <w:b/>
          <w:sz w:val="24"/>
          <w:szCs w:val="24"/>
        </w:rPr>
        <w:t>PRODUKTRESUMÉ</w:t>
      </w:r>
    </w:p>
    <w:p w:rsidR="00FC433E" w:rsidRPr="00406EE7" w:rsidRDefault="00FC433E" w:rsidP="00FC433E">
      <w:pPr>
        <w:tabs>
          <w:tab w:val="left" w:pos="8222"/>
        </w:tabs>
        <w:jc w:val="center"/>
        <w:rPr>
          <w:b/>
          <w:sz w:val="24"/>
          <w:szCs w:val="24"/>
        </w:rPr>
      </w:pPr>
    </w:p>
    <w:p w:rsidR="00FC433E" w:rsidRPr="00406EE7" w:rsidRDefault="00FC433E" w:rsidP="00FC433E">
      <w:pPr>
        <w:tabs>
          <w:tab w:val="left" w:pos="8222"/>
        </w:tabs>
        <w:jc w:val="center"/>
        <w:rPr>
          <w:b/>
          <w:sz w:val="24"/>
          <w:szCs w:val="24"/>
        </w:rPr>
      </w:pPr>
      <w:r w:rsidRPr="00406EE7">
        <w:rPr>
          <w:b/>
          <w:sz w:val="24"/>
          <w:szCs w:val="24"/>
        </w:rPr>
        <w:t>for</w:t>
      </w:r>
    </w:p>
    <w:p w:rsidR="00FC433E" w:rsidRPr="00406EE7" w:rsidRDefault="00FC433E" w:rsidP="00FC433E">
      <w:pPr>
        <w:tabs>
          <w:tab w:val="left" w:pos="8222"/>
        </w:tabs>
        <w:jc w:val="center"/>
        <w:rPr>
          <w:b/>
          <w:sz w:val="24"/>
          <w:szCs w:val="24"/>
        </w:rPr>
      </w:pPr>
    </w:p>
    <w:p w:rsidR="00FC433E" w:rsidRPr="00406EE7" w:rsidRDefault="00FC433E" w:rsidP="00FC433E">
      <w:pPr>
        <w:tabs>
          <w:tab w:val="left" w:pos="8222"/>
        </w:tabs>
        <w:jc w:val="center"/>
        <w:rPr>
          <w:b/>
          <w:sz w:val="24"/>
          <w:szCs w:val="24"/>
        </w:rPr>
      </w:pPr>
      <w:proofErr w:type="spellStart"/>
      <w:r>
        <w:rPr>
          <w:b/>
          <w:sz w:val="24"/>
          <w:szCs w:val="24"/>
        </w:rPr>
        <w:t>Metomotyl</w:t>
      </w:r>
      <w:proofErr w:type="spellEnd"/>
      <w:r>
        <w:rPr>
          <w:b/>
          <w:sz w:val="24"/>
          <w:szCs w:val="24"/>
        </w:rPr>
        <w:t>, injektionsvæske, opløsning</w:t>
      </w:r>
    </w:p>
    <w:p w:rsidR="00FC433E" w:rsidRPr="00406EE7" w:rsidRDefault="00FC433E" w:rsidP="00FC433E">
      <w:pPr>
        <w:tabs>
          <w:tab w:val="left" w:pos="8222"/>
        </w:tabs>
        <w:jc w:val="both"/>
        <w:rPr>
          <w:sz w:val="24"/>
          <w:szCs w:val="24"/>
        </w:rPr>
      </w:pPr>
    </w:p>
    <w:p w:rsidR="00FC433E" w:rsidRPr="004A234C" w:rsidRDefault="00FC433E" w:rsidP="00FC433E">
      <w:pPr>
        <w:ind w:left="851" w:hanging="851"/>
        <w:jc w:val="both"/>
        <w:rPr>
          <w:sz w:val="24"/>
          <w:szCs w:val="24"/>
        </w:rPr>
      </w:pPr>
    </w:p>
    <w:p w:rsidR="00FC433E" w:rsidRPr="004A234C" w:rsidRDefault="00FC433E" w:rsidP="007E2D89">
      <w:pPr>
        <w:ind w:left="851" w:hanging="851"/>
        <w:rPr>
          <w:b/>
          <w:sz w:val="24"/>
          <w:szCs w:val="24"/>
        </w:rPr>
      </w:pPr>
      <w:r w:rsidRPr="004A234C">
        <w:rPr>
          <w:b/>
          <w:sz w:val="24"/>
          <w:szCs w:val="24"/>
        </w:rPr>
        <w:t>0.</w:t>
      </w:r>
      <w:r w:rsidR="007E2D89">
        <w:rPr>
          <w:b/>
          <w:sz w:val="24"/>
          <w:szCs w:val="24"/>
        </w:rPr>
        <w:tab/>
      </w:r>
      <w:r w:rsidRPr="004A234C">
        <w:rPr>
          <w:b/>
          <w:sz w:val="24"/>
          <w:szCs w:val="24"/>
        </w:rPr>
        <w:t>D.SP.NR.</w:t>
      </w:r>
    </w:p>
    <w:p w:rsidR="00FC433E" w:rsidRPr="004A234C" w:rsidRDefault="00FC433E" w:rsidP="007E2D89">
      <w:pPr>
        <w:ind w:left="851"/>
        <w:rPr>
          <w:sz w:val="24"/>
          <w:szCs w:val="24"/>
        </w:rPr>
      </w:pPr>
      <w:r w:rsidRPr="004A234C">
        <w:rPr>
          <w:sz w:val="24"/>
          <w:szCs w:val="24"/>
        </w:rPr>
        <w:t>28870</w:t>
      </w:r>
    </w:p>
    <w:p w:rsidR="00FC433E" w:rsidRPr="004A234C" w:rsidRDefault="00FC433E" w:rsidP="00FC433E">
      <w:pPr>
        <w:ind w:left="851" w:hanging="851"/>
        <w:rPr>
          <w:sz w:val="24"/>
          <w:szCs w:val="24"/>
        </w:rPr>
      </w:pPr>
    </w:p>
    <w:p w:rsidR="007E2D89" w:rsidRPr="00154784" w:rsidRDefault="007E2D89" w:rsidP="007E2D89">
      <w:pPr>
        <w:pStyle w:val="Style1"/>
        <w:ind w:left="851" w:hanging="851"/>
      </w:pPr>
      <w:r w:rsidRPr="00154784">
        <w:t>1.</w:t>
      </w:r>
      <w:r w:rsidRPr="00154784">
        <w:tab/>
        <w:t>VETERINÆRLÆGEMIDLETS NAVN</w:t>
      </w:r>
    </w:p>
    <w:p w:rsidR="007E2D89" w:rsidRPr="00154784" w:rsidRDefault="007E2D89" w:rsidP="007E2D89">
      <w:pPr>
        <w:rPr>
          <w:szCs w:val="22"/>
        </w:rPr>
      </w:pPr>
    </w:p>
    <w:p w:rsidR="007E2D89" w:rsidRPr="00154784" w:rsidRDefault="007E2D89" w:rsidP="007E2D89">
      <w:pPr>
        <w:ind w:firstLine="851"/>
        <w:rPr>
          <w:szCs w:val="22"/>
        </w:rPr>
      </w:pPr>
      <w:proofErr w:type="spellStart"/>
      <w:r w:rsidRPr="00154784">
        <w:rPr>
          <w:szCs w:val="22"/>
        </w:rPr>
        <w:t>Metomotyl</w:t>
      </w:r>
      <w:proofErr w:type="spellEnd"/>
      <w:r>
        <w:rPr>
          <w:szCs w:val="22"/>
        </w:rPr>
        <w:t xml:space="preserve"> 2,5 mg/ml injektionsvæske, opløsning til katte og hunde</w:t>
      </w:r>
    </w:p>
    <w:p w:rsidR="007E2D89" w:rsidRDefault="007E2D89" w:rsidP="007E2D89">
      <w:pPr>
        <w:ind w:firstLine="851"/>
        <w:rPr>
          <w:szCs w:val="22"/>
        </w:rPr>
      </w:pPr>
      <w:proofErr w:type="spellStart"/>
      <w:r w:rsidRPr="00154784">
        <w:rPr>
          <w:szCs w:val="22"/>
        </w:rPr>
        <w:t>Metomotyl</w:t>
      </w:r>
      <w:proofErr w:type="spellEnd"/>
      <w:r>
        <w:rPr>
          <w:szCs w:val="22"/>
        </w:rPr>
        <w:t xml:space="preserve"> 5 mg/ml injektionsvæske, opløsning til katte og hunde</w:t>
      </w:r>
    </w:p>
    <w:p w:rsidR="0092124E" w:rsidRDefault="0092124E" w:rsidP="007E2D89">
      <w:pPr>
        <w:ind w:firstLine="851"/>
        <w:rPr>
          <w:szCs w:val="22"/>
        </w:rPr>
      </w:pPr>
    </w:p>
    <w:p w:rsidR="007E2D89" w:rsidRPr="00154784" w:rsidRDefault="007E2D89" w:rsidP="007E2D89">
      <w:pPr>
        <w:ind w:firstLine="567"/>
        <w:rPr>
          <w:szCs w:val="22"/>
        </w:rPr>
      </w:pPr>
    </w:p>
    <w:p w:rsidR="00FC433E" w:rsidRPr="004A234C" w:rsidRDefault="00FC433E" w:rsidP="00FC433E">
      <w:pPr>
        <w:ind w:left="851" w:hanging="851"/>
        <w:rPr>
          <w:b/>
          <w:sz w:val="24"/>
          <w:szCs w:val="24"/>
        </w:rPr>
      </w:pPr>
      <w:r w:rsidRPr="004A234C">
        <w:rPr>
          <w:b/>
          <w:sz w:val="24"/>
          <w:szCs w:val="24"/>
        </w:rPr>
        <w:t>2.</w:t>
      </w:r>
      <w:r w:rsidRPr="004A234C">
        <w:rPr>
          <w:b/>
          <w:sz w:val="24"/>
          <w:szCs w:val="24"/>
        </w:rPr>
        <w:tab/>
        <w:t>KVALITATIV OG KVANTITATIV SAMMENSÆTNING</w:t>
      </w:r>
    </w:p>
    <w:p w:rsidR="0092124E" w:rsidRPr="00154784" w:rsidRDefault="0092124E" w:rsidP="0092124E">
      <w:pPr>
        <w:ind w:firstLine="851"/>
        <w:rPr>
          <w:szCs w:val="22"/>
          <w:lang w:eastAsia="da-DK"/>
        </w:rPr>
      </w:pPr>
      <w:r w:rsidRPr="00154784">
        <w:rPr>
          <w:szCs w:val="22"/>
        </w:rPr>
        <w:t>Hver ml i 2,5 mg/ml opløsning indeholder:</w:t>
      </w:r>
    </w:p>
    <w:p w:rsidR="0092124E" w:rsidRPr="00154784" w:rsidRDefault="0092124E" w:rsidP="0092124E">
      <w:pPr>
        <w:rPr>
          <w:b/>
          <w:szCs w:val="22"/>
        </w:rPr>
      </w:pPr>
    </w:p>
    <w:p w:rsidR="0092124E" w:rsidRPr="00154784" w:rsidRDefault="0092124E" w:rsidP="0092124E">
      <w:pPr>
        <w:ind w:firstLine="851"/>
        <w:rPr>
          <w:b/>
          <w:szCs w:val="22"/>
        </w:rPr>
      </w:pPr>
      <w:r w:rsidRPr="00154784">
        <w:rPr>
          <w:b/>
          <w:szCs w:val="22"/>
        </w:rPr>
        <w:t>Aktivt stof:</w:t>
      </w:r>
    </w:p>
    <w:p w:rsidR="0092124E" w:rsidRPr="00154784" w:rsidRDefault="0092124E" w:rsidP="0092124E">
      <w:pPr>
        <w:ind w:firstLine="851"/>
        <w:rPr>
          <w:iCs/>
          <w:szCs w:val="22"/>
        </w:rPr>
      </w:pPr>
      <w:proofErr w:type="spellStart"/>
      <w:r w:rsidRPr="00154784">
        <w:rPr>
          <w:iCs/>
          <w:szCs w:val="22"/>
        </w:rPr>
        <w:t>Metoclopramid</w:t>
      </w:r>
      <w:proofErr w:type="spellEnd"/>
      <w:r w:rsidRPr="00154784">
        <w:rPr>
          <w:iCs/>
          <w:szCs w:val="22"/>
        </w:rPr>
        <w:tab/>
        <w:t>2,23 mg</w:t>
      </w:r>
    </w:p>
    <w:p w:rsidR="0092124E" w:rsidRPr="00154784" w:rsidRDefault="0092124E" w:rsidP="0092124E">
      <w:pPr>
        <w:ind w:firstLine="851"/>
        <w:rPr>
          <w:iCs/>
          <w:szCs w:val="22"/>
        </w:rPr>
      </w:pPr>
      <w:r w:rsidRPr="00154784">
        <w:rPr>
          <w:iCs/>
          <w:szCs w:val="22"/>
        </w:rPr>
        <w:t xml:space="preserve">svarende til 2,5 mg </w:t>
      </w:r>
      <w:proofErr w:type="spellStart"/>
      <w:r w:rsidRPr="00154784">
        <w:rPr>
          <w:iCs/>
          <w:szCs w:val="22"/>
        </w:rPr>
        <w:t>metoclopramidhydrochlorid</w:t>
      </w:r>
      <w:proofErr w:type="spellEnd"/>
    </w:p>
    <w:p w:rsidR="0092124E" w:rsidRPr="00154784" w:rsidRDefault="0092124E" w:rsidP="0092124E">
      <w:pPr>
        <w:rPr>
          <w:b/>
          <w:szCs w:val="22"/>
        </w:rPr>
      </w:pPr>
    </w:p>
    <w:p w:rsidR="0092124E" w:rsidRPr="00154784" w:rsidRDefault="0092124E" w:rsidP="0092124E">
      <w:pPr>
        <w:rPr>
          <w:b/>
          <w:szCs w:val="22"/>
        </w:rPr>
      </w:pPr>
    </w:p>
    <w:p w:rsidR="0092124E" w:rsidRPr="00154784" w:rsidRDefault="0092124E" w:rsidP="0092124E">
      <w:pPr>
        <w:ind w:firstLine="851"/>
        <w:rPr>
          <w:szCs w:val="22"/>
        </w:rPr>
      </w:pPr>
      <w:r w:rsidRPr="00154784">
        <w:rPr>
          <w:szCs w:val="22"/>
        </w:rPr>
        <w:t>Hver ml i 5 mg/ml opløsning indeholder:</w:t>
      </w:r>
    </w:p>
    <w:p w:rsidR="0092124E" w:rsidRPr="00154784" w:rsidRDefault="0092124E" w:rsidP="0092124E">
      <w:pPr>
        <w:rPr>
          <w:b/>
          <w:szCs w:val="22"/>
        </w:rPr>
      </w:pPr>
    </w:p>
    <w:p w:rsidR="0092124E" w:rsidRPr="00154784" w:rsidRDefault="0092124E" w:rsidP="0092124E">
      <w:pPr>
        <w:ind w:firstLine="851"/>
        <w:rPr>
          <w:szCs w:val="22"/>
        </w:rPr>
      </w:pPr>
      <w:r w:rsidRPr="00154784">
        <w:rPr>
          <w:b/>
          <w:szCs w:val="22"/>
        </w:rPr>
        <w:t>Aktivt stof</w:t>
      </w:r>
      <w:r w:rsidRPr="00154784">
        <w:rPr>
          <w:szCs w:val="22"/>
        </w:rPr>
        <w:t>:</w:t>
      </w:r>
    </w:p>
    <w:p w:rsidR="0092124E" w:rsidRPr="00154784" w:rsidRDefault="0092124E" w:rsidP="0092124E">
      <w:pPr>
        <w:ind w:firstLine="851"/>
        <w:rPr>
          <w:szCs w:val="22"/>
        </w:rPr>
      </w:pPr>
      <w:proofErr w:type="spellStart"/>
      <w:r w:rsidRPr="00154784">
        <w:rPr>
          <w:szCs w:val="22"/>
        </w:rPr>
        <w:t>Metoclopramid</w:t>
      </w:r>
      <w:proofErr w:type="spellEnd"/>
      <w:r w:rsidRPr="00154784">
        <w:rPr>
          <w:szCs w:val="22"/>
        </w:rPr>
        <w:tab/>
        <w:t>4,457 mg</w:t>
      </w:r>
    </w:p>
    <w:p w:rsidR="0092124E" w:rsidRPr="00154784" w:rsidRDefault="0092124E" w:rsidP="0092124E">
      <w:pPr>
        <w:ind w:firstLine="851"/>
        <w:rPr>
          <w:b/>
          <w:szCs w:val="22"/>
        </w:rPr>
      </w:pPr>
      <w:r w:rsidRPr="00154784">
        <w:rPr>
          <w:szCs w:val="22"/>
        </w:rPr>
        <w:t xml:space="preserve">svarende til 5 mg </w:t>
      </w:r>
      <w:proofErr w:type="spellStart"/>
      <w:r w:rsidRPr="00154784">
        <w:rPr>
          <w:szCs w:val="22"/>
        </w:rPr>
        <w:t>metoclopramidhydrochlorid</w:t>
      </w:r>
      <w:proofErr w:type="spellEnd"/>
    </w:p>
    <w:p w:rsidR="0092124E" w:rsidRPr="00154784" w:rsidRDefault="0092124E" w:rsidP="0092124E">
      <w:pPr>
        <w:rPr>
          <w:b/>
          <w:szCs w:val="22"/>
        </w:rPr>
      </w:pPr>
    </w:p>
    <w:p w:rsidR="0092124E" w:rsidRPr="00154784" w:rsidRDefault="0092124E" w:rsidP="0092124E">
      <w:pPr>
        <w:ind w:firstLine="851"/>
        <w:rPr>
          <w:szCs w:val="22"/>
        </w:rPr>
      </w:pPr>
      <w:r w:rsidRPr="00154784">
        <w:rPr>
          <w:b/>
          <w:szCs w:val="22"/>
        </w:rPr>
        <w:t>Hjælpestoffer: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92124E" w:rsidRPr="00154784" w:rsidTr="0090789C">
        <w:tc>
          <w:tcPr>
            <w:tcW w:w="4521" w:type="dxa"/>
            <w:shd w:val="clear" w:color="auto" w:fill="auto"/>
            <w:vAlign w:val="center"/>
          </w:tcPr>
          <w:p w:rsidR="0092124E" w:rsidRPr="00154784" w:rsidRDefault="0092124E" w:rsidP="0090789C">
            <w:pPr>
              <w:spacing w:before="60" w:after="60"/>
              <w:rPr>
                <w:b/>
                <w:bCs/>
                <w:iCs/>
                <w:szCs w:val="22"/>
              </w:rPr>
            </w:pPr>
            <w:r w:rsidRPr="00154784">
              <w:rPr>
                <w:b/>
                <w:bCs/>
                <w:iCs/>
                <w:szCs w:val="22"/>
              </w:rPr>
              <w:t>Kvalitativ sammensætning af hjælpestoffer og andre bestanddele</w:t>
            </w:r>
          </w:p>
        </w:tc>
        <w:tc>
          <w:tcPr>
            <w:tcW w:w="4540" w:type="dxa"/>
            <w:shd w:val="clear" w:color="auto" w:fill="auto"/>
            <w:vAlign w:val="center"/>
          </w:tcPr>
          <w:p w:rsidR="0092124E" w:rsidRPr="00154784" w:rsidRDefault="0092124E" w:rsidP="0090789C">
            <w:pPr>
              <w:spacing w:before="60" w:after="60"/>
              <w:rPr>
                <w:b/>
                <w:bCs/>
                <w:iCs/>
                <w:szCs w:val="22"/>
              </w:rPr>
            </w:pPr>
            <w:r w:rsidRPr="00154784">
              <w:rPr>
                <w:b/>
                <w:bCs/>
                <w:iCs/>
                <w:szCs w:val="22"/>
              </w:rPr>
              <w:t>Kvantitativ sammensætning, hvis oplysningen er vigtig for korrekt administration af veterinærlægemidlet</w:t>
            </w:r>
          </w:p>
        </w:tc>
      </w:tr>
      <w:tr w:rsidR="0092124E" w:rsidRPr="00154784" w:rsidTr="0090789C">
        <w:tc>
          <w:tcPr>
            <w:tcW w:w="4521" w:type="dxa"/>
            <w:shd w:val="clear" w:color="auto" w:fill="auto"/>
            <w:vAlign w:val="center"/>
          </w:tcPr>
          <w:p w:rsidR="0092124E" w:rsidRPr="00154784" w:rsidRDefault="0092124E" w:rsidP="0090789C">
            <w:pPr>
              <w:spacing w:before="60" w:after="60"/>
              <w:ind w:left="567" w:hanging="567"/>
              <w:rPr>
                <w:iCs/>
                <w:szCs w:val="22"/>
              </w:rPr>
            </w:pPr>
            <w:proofErr w:type="spellStart"/>
            <w:r w:rsidRPr="00154784">
              <w:rPr>
                <w:szCs w:val="22"/>
              </w:rPr>
              <w:t>Metacresol</w:t>
            </w:r>
            <w:proofErr w:type="spellEnd"/>
          </w:p>
        </w:tc>
        <w:tc>
          <w:tcPr>
            <w:tcW w:w="4540" w:type="dxa"/>
            <w:shd w:val="clear" w:color="auto" w:fill="auto"/>
            <w:vAlign w:val="center"/>
          </w:tcPr>
          <w:p w:rsidR="0092124E" w:rsidRPr="00154784" w:rsidRDefault="0092124E" w:rsidP="0090789C">
            <w:pPr>
              <w:spacing w:before="60" w:after="60"/>
              <w:rPr>
                <w:iCs/>
                <w:szCs w:val="22"/>
              </w:rPr>
            </w:pPr>
            <w:r w:rsidRPr="00154784">
              <w:rPr>
                <w:iCs/>
                <w:szCs w:val="22"/>
              </w:rPr>
              <w:t>2</w:t>
            </w:r>
            <w:r>
              <w:rPr>
                <w:iCs/>
                <w:szCs w:val="22"/>
              </w:rPr>
              <w:t> </w:t>
            </w:r>
            <w:r w:rsidRPr="00154784">
              <w:rPr>
                <w:iCs/>
                <w:szCs w:val="22"/>
              </w:rPr>
              <w:t>mg</w:t>
            </w:r>
          </w:p>
        </w:tc>
      </w:tr>
      <w:tr w:rsidR="0092124E" w:rsidRPr="00154784" w:rsidTr="0090789C">
        <w:tc>
          <w:tcPr>
            <w:tcW w:w="4521" w:type="dxa"/>
            <w:shd w:val="clear" w:color="auto" w:fill="auto"/>
          </w:tcPr>
          <w:p w:rsidR="0092124E" w:rsidRPr="00154784" w:rsidRDefault="0092124E" w:rsidP="0090789C">
            <w:pPr>
              <w:spacing w:before="60" w:after="60"/>
              <w:rPr>
                <w:iCs/>
                <w:szCs w:val="22"/>
              </w:rPr>
            </w:pPr>
            <w:proofErr w:type="spellStart"/>
            <w:r w:rsidRPr="00154784">
              <w:rPr>
                <w:szCs w:val="22"/>
              </w:rPr>
              <w:t>Natriumchlorid</w:t>
            </w:r>
            <w:proofErr w:type="spellEnd"/>
          </w:p>
        </w:tc>
        <w:tc>
          <w:tcPr>
            <w:tcW w:w="4540" w:type="dxa"/>
            <w:shd w:val="clear" w:color="auto" w:fill="auto"/>
            <w:vAlign w:val="center"/>
          </w:tcPr>
          <w:p w:rsidR="0092124E" w:rsidRPr="00154784" w:rsidRDefault="0092124E" w:rsidP="0090789C">
            <w:pPr>
              <w:spacing w:before="60" w:after="60"/>
              <w:rPr>
                <w:iCs/>
                <w:szCs w:val="22"/>
              </w:rPr>
            </w:pPr>
          </w:p>
        </w:tc>
      </w:tr>
      <w:tr w:rsidR="0092124E" w:rsidRPr="00154784" w:rsidTr="0090789C">
        <w:tc>
          <w:tcPr>
            <w:tcW w:w="4521" w:type="dxa"/>
            <w:shd w:val="clear" w:color="auto" w:fill="auto"/>
          </w:tcPr>
          <w:p w:rsidR="0092124E" w:rsidRPr="00154784" w:rsidRDefault="0092124E" w:rsidP="0090789C">
            <w:pPr>
              <w:spacing w:before="60" w:after="60"/>
              <w:rPr>
                <w:iCs/>
                <w:szCs w:val="22"/>
              </w:rPr>
            </w:pPr>
            <w:r w:rsidRPr="00154784">
              <w:rPr>
                <w:szCs w:val="22"/>
              </w:rPr>
              <w:t>Vand til injektioner</w:t>
            </w:r>
          </w:p>
        </w:tc>
        <w:tc>
          <w:tcPr>
            <w:tcW w:w="4540" w:type="dxa"/>
            <w:shd w:val="clear" w:color="auto" w:fill="auto"/>
            <w:vAlign w:val="center"/>
          </w:tcPr>
          <w:p w:rsidR="0092124E" w:rsidRPr="00154784" w:rsidRDefault="0092124E" w:rsidP="0090789C">
            <w:pPr>
              <w:spacing w:before="60" w:after="60"/>
              <w:rPr>
                <w:iCs/>
                <w:szCs w:val="22"/>
              </w:rPr>
            </w:pPr>
          </w:p>
        </w:tc>
      </w:tr>
    </w:tbl>
    <w:p w:rsidR="0092124E" w:rsidRPr="00154784" w:rsidRDefault="0092124E" w:rsidP="0092124E">
      <w:pPr>
        <w:ind w:left="851" w:hanging="851"/>
        <w:rPr>
          <w:szCs w:val="22"/>
        </w:rPr>
      </w:pPr>
    </w:p>
    <w:p w:rsidR="0092124E" w:rsidRPr="00154784" w:rsidRDefault="0092124E" w:rsidP="0092124E">
      <w:pPr>
        <w:ind w:firstLine="851"/>
        <w:rPr>
          <w:szCs w:val="22"/>
        </w:rPr>
      </w:pPr>
      <w:r w:rsidRPr="00154784">
        <w:rPr>
          <w:szCs w:val="22"/>
        </w:rPr>
        <w:t>Klar, farveløs opløsning.</w:t>
      </w:r>
    </w:p>
    <w:p w:rsidR="0092124E" w:rsidRDefault="0092124E" w:rsidP="00FC433E">
      <w:pPr>
        <w:ind w:left="851" w:hanging="851"/>
        <w:rPr>
          <w:b/>
          <w:sz w:val="24"/>
          <w:szCs w:val="24"/>
        </w:rPr>
      </w:pPr>
    </w:p>
    <w:p w:rsidR="0092124E" w:rsidRDefault="0092124E" w:rsidP="00FC433E">
      <w:pPr>
        <w:ind w:left="851" w:hanging="851"/>
        <w:rPr>
          <w:b/>
          <w:sz w:val="24"/>
          <w:szCs w:val="24"/>
        </w:rPr>
      </w:pPr>
    </w:p>
    <w:p w:rsidR="0092124E" w:rsidRDefault="0092124E" w:rsidP="00FC433E">
      <w:pPr>
        <w:ind w:left="851" w:hanging="851"/>
        <w:rPr>
          <w:b/>
          <w:sz w:val="24"/>
          <w:szCs w:val="24"/>
        </w:rPr>
      </w:pPr>
    </w:p>
    <w:p w:rsidR="0092124E" w:rsidRPr="00154784" w:rsidRDefault="0092124E" w:rsidP="0092124E">
      <w:pPr>
        <w:pStyle w:val="Style1"/>
        <w:ind w:left="851" w:hanging="851"/>
      </w:pPr>
      <w:r w:rsidRPr="00154784">
        <w:lastRenderedPageBreak/>
        <w:t>3.</w:t>
      </w:r>
      <w:r w:rsidRPr="00154784">
        <w:tab/>
        <w:t>KLINISKE OPLYSNINGER</w:t>
      </w:r>
    </w:p>
    <w:p w:rsidR="0092124E" w:rsidRPr="00154784" w:rsidRDefault="0092124E" w:rsidP="0092124E">
      <w:pPr>
        <w:rPr>
          <w:szCs w:val="22"/>
        </w:rPr>
      </w:pPr>
    </w:p>
    <w:p w:rsidR="0092124E" w:rsidRPr="00154784" w:rsidRDefault="0092124E" w:rsidP="0092124E">
      <w:pPr>
        <w:pStyle w:val="Style1"/>
        <w:ind w:left="851" w:hanging="851"/>
      </w:pPr>
      <w:r w:rsidRPr="00154784">
        <w:t>3.1</w:t>
      </w:r>
      <w:r w:rsidRPr="00154784">
        <w:tab/>
        <w:t>Dyrearter, som lægemidlet er beregnet til</w:t>
      </w:r>
    </w:p>
    <w:p w:rsidR="0092124E" w:rsidRPr="00154784" w:rsidRDefault="0092124E" w:rsidP="0092124E">
      <w:pPr>
        <w:rPr>
          <w:szCs w:val="22"/>
        </w:rPr>
      </w:pPr>
    </w:p>
    <w:p w:rsidR="0092124E" w:rsidRPr="00154784" w:rsidRDefault="0092124E" w:rsidP="0092124E">
      <w:pPr>
        <w:ind w:firstLine="851"/>
        <w:rPr>
          <w:szCs w:val="22"/>
        </w:rPr>
      </w:pPr>
      <w:r w:rsidRPr="00154784">
        <w:rPr>
          <w:szCs w:val="22"/>
        </w:rPr>
        <w:t>Katte og hunde.</w:t>
      </w:r>
    </w:p>
    <w:p w:rsidR="0092124E" w:rsidRPr="00154784" w:rsidRDefault="0092124E" w:rsidP="0092124E">
      <w:pPr>
        <w:rPr>
          <w:szCs w:val="22"/>
        </w:rPr>
      </w:pPr>
    </w:p>
    <w:p w:rsidR="0092124E" w:rsidRPr="00154784" w:rsidRDefault="0092124E" w:rsidP="0092124E">
      <w:pPr>
        <w:pStyle w:val="Style1"/>
        <w:ind w:left="851" w:hanging="851"/>
      </w:pPr>
      <w:r w:rsidRPr="00154784">
        <w:t>3.2</w:t>
      </w:r>
      <w:r w:rsidRPr="00154784">
        <w:tab/>
        <w:t>Terapeutiske indikationer for hver dyreart, som lægemidlet er beregnet til</w:t>
      </w:r>
    </w:p>
    <w:p w:rsidR="0092124E" w:rsidRPr="00154784" w:rsidRDefault="0092124E" w:rsidP="0092124E">
      <w:pPr>
        <w:rPr>
          <w:szCs w:val="22"/>
        </w:rPr>
      </w:pPr>
    </w:p>
    <w:p w:rsidR="0092124E" w:rsidRPr="00154784" w:rsidRDefault="0092124E" w:rsidP="000337A8">
      <w:pPr>
        <w:ind w:left="851"/>
        <w:rPr>
          <w:szCs w:val="22"/>
        </w:rPr>
      </w:pPr>
      <w:r w:rsidRPr="00154784">
        <w:rPr>
          <w:szCs w:val="22"/>
        </w:rPr>
        <w:t xml:space="preserve">Symptomatisk behandling af opkastning og reduceret </w:t>
      </w:r>
      <w:proofErr w:type="spellStart"/>
      <w:r w:rsidRPr="00154784">
        <w:rPr>
          <w:szCs w:val="22"/>
        </w:rPr>
        <w:t>gastrointestinal</w:t>
      </w:r>
      <w:proofErr w:type="spellEnd"/>
      <w:r w:rsidRPr="00154784">
        <w:rPr>
          <w:szCs w:val="22"/>
        </w:rPr>
        <w:t xml:space="preserve"> </w:t>
      </w:r>
      <w:proofErr w:type="spellStart"/>
      <w:r w:rsidRPr="00154784">
        <w:rPr>
          <w:szCs w:val="22"/>
        </w:rPr>
        <w:t>motilitet</w:t>
      </w:r>
      <w:proofErr w:type="spellEnd"/>
      <w:r w:rsidRPr="00154784">
        <w:rPr>
          <w:szCs w:val="22"/>
        </w:rPr>
        <w:t xml:space="preserve"> i forbindelse med gastritis, </w:t>
      </w:r>
      <w:proofErr w:type="spellStart"/>
      <w:r w:rsidRPr="00154784">
        <w:rPr>
          <w:szCs w:val="22"/>
        </w:rPr>
        <w:t>pylorusspasmer</w:t>
      </w:r>
      <w:proofErr w:type="spellEnd"/>
      <w:r w:rsidRPr="00154784">
        <w:rPr>
          <w:szCs w:val="22"/>
        </w:rPr>
        <w:t xml:space="preserve">, kronisk </w:t>
      </w:r>
      <w:proofErr w:type="spellStart"/>
      <w:r w:rsidRPr="00154784">
        <w:rPr>
          <w:szCs w:val="22"/>
        </w:rPr>
        <w:t>nefritis</w:t>
      </w:r>
      <w:proofErr w:type="spellEnd"/>
      <w:r w:rsidRPr="00154784">
        <w:rPr>
          <w:szCs w:val="22"/>
        </w:rPr>
        <w:t xml:space="preserve"> og fordøjelsesmæssig intolerance over for nogle lægemidler. Forebyggelse af postoperativ opkastning.</w:t>
      </w:r>
    </w:p>
    <w:p w:rsidR="0092124E" w:rsidRPr="00154784" w:rsidRDefault="0092124E" w:rsidP="0092124E">
      <w:pPr>
        <w:rPr>
          <w:szCs w:val="22"/>
        </w:rPr>
      </w:pPr>
    </w:p>
    <w:p w:rsidR="0092124E" w:rsidRPr="00154784" w:rsidRDefault="0092124E" w:rsidP="000337A8">
      <w:pPr>
        <w:pStyle w:val="Style1"/>
        <w:ind w:left="851" w:hanging="851"/>
      </w:pPr>
      <w:r w:rsidRPr="00154784">
        <w:t>3.3</w:t>
      </w:r>
      <w:r w:rsidRPr="00154784">
        <w:tab/>
        <w:t>Kontraindikationer</w:t>
      </w:r>
    </w:p>
    <w:p w:rsidR="0092124E" w:rsidRPr="00154784" w:rsidRDefault="0092124E" w:rsidP="0092124E">
      <w:pPr>
        <w:rPr>
          <w:szCs w:val="22"/>
        </w:rPr>
      </w:pPr>
    </w:p>
    <w:p w:rsidR="0092124E" w:rsidRPr="00154784" w:rsidRDefault="0092124E" w:rsidP="000337A8">
      <w:pPr>
        <w:ind w:firstLine="851"/>
        <w:rPr>
          <w:szCs w:val="22"/>
        </w:rPr>
      </w:pPr>
      <w:r>
        <w:rPr>
          <w:szCs w:val="22"/>
        </w:rPr>
        <w:t>Må</w:t>
      </w:r>
      <w:r w:rsidRPr="00154784">
        <w:rPr>
          <w:szCs w:val="22"/>
        </w:rPr>
        <w:t xml:space="preserve"> ikke anvendes i tilfælde af:</w:t>
      </w:r>
    </w:p>
    <w:p w:rsidR="0092124E" w:rsidRPr="00154784" w:rsidRDefault="0092124E" w:rsidP="000337A8">
      <w:pPr>
        <w:ind w:firstLine="851"/>
        <w:rPr>
          <w:szCs w:val="22"/>
        </w:rPr>
      </w:pPr>
      <w:r w:rsidRPr="00154784">
        <w:rPr>
          <w:szCs w:val="22"/>
        </w:rPr>
        <w:t xml:space="preserve">- </w:t>
      </w:r>
      <w:proofErr w:type="spellStart"/>
      <w:r w:rsidRPr="00154784">
        <w:rPr>
          <w:szCs w:val="22"/>
        </w:rPr>
        <w:t>gastrointestinal</w:t>
      </w:r>
      <w:proofErr w:type="spellEnd"/>
      <w:r w:rsidRPr="00154784">
        <w:rPr>
          <w:szCs w:val="22"/>
        </w:rPr>
        <w:t xml:space="preserve"> perforation eller obstruktion.</w:t>
      </w:r>
    </w:p>
    <w:p w:rsidR="0092124E" w:rsidRPr="00154784" w:rsidRDefault="0092124E" w:rsidP="000337A8">
      <w:pPr>
        <w:ind w:firstLine="851"/>
        <w:rPr>
          <w:szCs w:val="22"/>
        </w:rPr>
      </w:pPr>
      <w:r w:rsidRPr="00154784">
        <w:rPr>
          <w:szCs w:val="22"/>
        </w:rPr>
        <w:t xml:space="preserve">- </w:t>
      </w:r>
      <w:proofErr w:type="spellStart"/>
      <w:r w:rsidRPr="00154784">
        <w:rPr>
          <w:szCs w:val="22"/>
        </w:rPr>
        <w:t>gastrointestinal</w:t>
      </w:r>
      <w:proofErr w:type="spellEnd"/>
      <w:r w:rsidRPr="00154784">
        <w:rPr>
          <w:szCs w:val="22"/>
        </w:rPr>
        <w:t xml:space="preserve"> blødning.</w:t>
      </w:r>
    </w:p>
    <w:p w:rsidR="0092124E" w:rsidRPr="00154784" w:rsidRDefault="0092124E" w:rsidP="000337A8">
      <w:pPr>
        <w:ind w:firstLine="851"/>
        <w:rPr>
          <w:szCs w:val="22"/>
        </w:rPr>
      </w:pPr>
      <w:r w:rsidRPr="00154784">
        <w:rPr>
          <w:szCs w:val="22"/>
        </w:rPr>
        <w:t>- overfølsomhed over for det aktive stof eller over for et eller flere af hjælpestofferne.</w:t>
      </w:r>
    </w:p>
    <w:p w:rsidR="0092124E" w:rsidRPr="00154784" w:rsidRDefault="0092124E" w:rsidP="0092124E">
      <w:pPr>
        <w:pStyle w:val="Style1"/>
      </w:pPr>
    </w:p>
    <w:p w:rsidR="0092124E" w:rsidRPr="00154784" w:rsidRDefault="0092124E" w:rsidP="000337A8">
      <w:pPr>
        <w:pStyle w:val="Style1"/>
        <w:ind w:left="851" w:hanging="851"/>
      </w:pPr>
      <w:r w:rsidRPr="00154784">
        <w:t>3.4</w:t>
      </w:r>
      <w:r w:rsidRPr="00154784">
        <w:tab/>
        <w:t>Særlige advarsler</w:t>
      </w:r>
    </w:p>
    <w:p w:rsidR="0092124E" w:rsidRPr="00154784" w:rsidRDefault="0092124E" w:rsidP="0092124E">
      <w:pPr>
        <w:rPr>
          <w:szCs w:val="22"/>
        </w:rPr>
      </w:pPr>
    </w:p>
    <w:p w:rsidR="0092124E" w:rsidRPr="00154784" w:rsidRDefault="0092124E" w:rsidP="000337A8">
      <w:pPr>
        <w:ind w:firstLine="851"/>
        <w:rPr>
          <w:szCs w:val="22"/>
        </w:rPr>
      </w:pPr>
      <w:r w:rsidRPr="00154784">
        <w:rPr>
          <w:szCs w:val="22"/>
        </w:rPr>
        <w:t>Ingen.</w:t>
      </w:r>
    </w:p>
    <w:p w:rsidR="0092124E" w:rsidRPr="00154784" w:rsidRDefault="0092124E" w:rsidP="0092124E">
      <w:pPr>
        <w:rPr>
          <w:szCs w:val="22"/>
        </w:rPr>
      </w:pPr>
    </w:p>
    <w:p w:rsidR="0092124E" w:rsidRPr="00154784" w:rsidRDefault="0092124E" w:rsidP="000337A8">
      <w:pPr>
        <w:pStyle w:val="Style1"/>
        <w:ind w:left="851" w:hanging="851"/>
      </w:pPr>
      <w:r w:rsidRPr="00154784">
        <w:t>3.5</w:t>
      </w:r>
      <w:r w:rsidRPr="00154784">
        <w:tab/>
        <w:t>Særlige forholdsregler vedrørende brugen</w:t>
      </w:r>
    </w:p>
    <w:p w:rsidR="0092124E" w:rsidRPr="00154784" w:rsidRDefault="0092124E" w:rsidP="0092124E">
      <w:pPr>
        <w:rPr>
          <w:szCs w:val="22"/>
        </w:rPr>
      </w:pPr>
    </w:p>
    <w:p w:rsidR="0092124E" w:rsidRPr="00154784" w:rsidRDefault="0092124E" w:rsidP="000337A8">
      <w:pPr>
        <w:ind w:firstLine="851"/>
        <w:rPr>
          <w:szCs w:val="22"/>
          <w:u w:val="single"/>
        </w:rPr>
      </w:pPr>
      <w:r w:rsidRPr="00154784">
        <w:rPr>
          <w:szCs w:val="22"/>
          <w:u w:val="single"/>
        </w:rPr>
        <w:t>Særlige forholdsregler vedrørende sikker brug hos de dyrearter, som lægemidlet er beregnet til:</w:t>
      </w:r>
    </w:p>
    <w:p w:rsidR="0092124E" w:rsidRPr="00154784" w:rsidRDefault="0092124E" w:rsidP="0092124E">
      <w:pPr>
        <w:rPr>
          <w:szCs w:val="22"/>
        </w:rPr>
      </w:pPr>
    </w:p>
    <w:p w:rsidR="0092124E" w:rsidRPr="00154784" w:rsidRDefault="0092124E" w:rsidP="000337A8">
      <w:pPr>
        <w:ind w:left="851"/>
        <w:rPr>
          <w:szCs w:val="22"/>
        </w:rPr>
      </w:pPr>
      <w:r w:rsidRPr="00154784">
        <w:rPr>
          <w:szCs w:val="22"/>
        </w:rPr>
        <w:t>Doseringen skal justeres til dyr med nyre- eller leverinsufficiens (pga. en øget risiko for bivirkninger).</w:t>
      </w:r>
    </w:p>
    <w:p w:rsidR="0092124E" w:rsidRPr="00154784" w:rsidRDefault="0092124E" w:rsidP="000337A8">
      <w:pPr>
        <w:ind w:left="851"/>
        <w:rPr>
          <w:szCs w:val="22"/>
        </w:rPr>
      </w:pPr>
      <w:r w:rsidRPr="00154784">
        <w:rPr>
          <w:szCs w:val="22"/>
        </w:rPr>
        <w:t xml:space="preserve">Undgå indgivelse til dyr med </w:t>
      </w:r>
      <w:proofErr w:type="spellStart"/>
      <w:r w:rsidRPr="00154784">
        <w:rPr>
          <w:szCs w:val="22"/>
        </w:rPr>
        <w:t>anfaldslidelser</w:t>
      </w:r>
      <w:proofErr w:type="spellEnd"/>
      <w:r w:rsidRPr="00154784">
        <w:rPr>
          <w:szCs w:val="22"/>
        </w:rPr>
        <w:t xml:space="preserve"> eller hovedtraume. Undgå til hunde med pseudograviditet.</w:t>
      </w:r>
    </w:p>
    <w:p w:rsidR="0092124E" w:rsidRPr="00154784" w:rsidRDefault="0092124E" w:rsidP="000337A8">
      <w:pPr>
        <w:ind w:left="851"/>
        <w:rPr>
          <w:szCs w:val="22"/>
        </w:rPr>
      </w:pPr>
      <w:r w:rsidRPr="00154784">
        <w:rPr>
          <w:szCs w:val="22"/>
        </w:rPr>
        <w:t>Undgå indgivelse til dyr med epilepsi. Doseringen skal overholdes nøje, især ved indgivelse til katte og små hunderacer.</w:t>
      </w:r>
    </w:p>
    <w:p w:rsidR="0092124E" w:rsidRPr="00154784" w:rsidRDefault="0092124E" w:rsidP="000337A8">
      <w:pPr>
        <w:ind w:firstLine="851"/>
        <w:rPr>
          <w:szCs w:val="22"/>
        </w:rPr>
      </w:pPr>
      <w:proofErr w:type="spellStart"/>
      <w:r w:rsidRPr="00154784">
        <w:rPr>
          <w:szCs w:val="22"/>
        </w:rPr>
        <w:t>Metoclopramid</w:t>
      </w:r>
      <w:proofErr w:type="spellEnd"/>
      <w:r w:rsidRPr="00154784">
        <w:rPr>
          <w:szCs w:val="22"/>
        </w:rPr>
        <w:t xml:space="preserve"> kan forårsage en </w:t>
      </w:r>
      <w:proofErr w:type="spellStart"/>
      <w:r w:rsidRPr="00154784">
        <w:rPr>
          <w:szCs w:val="22"/>
        </w:rPr>
        <w:t>hypertensiv</w:t>
      </w:r>
      <w:proofErr w:type="spellEnd"/>
      <w:r w:rsidRPr="00154784">
        <w:rPr>
          <w:szCs w:val="22"/>
        </w:rPr>
        <w:t xml:space="preserve"> krise hos dyr med </w:t>
      </w:r>
      <w:proofErr w:type="spellStart"/>
      <w:r w:rsidRPr="00154784">
        <w:rPr>
          <w:szCs w:val="22"/>
        </w:rPr>
        <w:t>fæokromocytom</w:t>
      </w:r>
      <w:proofErr w:type="spellEnd"/>
      <w:r w:rsidRPr="00154784">
        <w:rPr>
          <w:szCs w:val="22"/>
        </w:rPr>
        <w:t>.</w:t>
      </w:r>
    </w:p>
    <w:p w:rsidR="0092124E" w:rsidRPr="00154784" w:rsidRDefault="0092124E" w:rsidP="000337A8">
      <w:pPr>
        <w:ind w:left="851"/>
        <w:rPr>
          <w:szCs w:val="22"/>
        </w:rPr>
      </w:pPr>
      <w:r w:rsidRPr="00154784">
        <w:rPr>
          <w:szCs w:val="22"/>
        </w:rPr>
        <w:t>Efter længerevarende opkastning bør det derfor overvejes at give behandling med henblik på væske- og elektrolyterstatning.</w:t>
      </w:r>
    </w:p>
    <w:p w:rsidR="0092124E" w:rsidRPr="00154784" w:rsidRDefault="0092124E" w:rsidP="0092124E">
      <w:pPr>
        <w:rPr>
          <w:szCs w:val="22"/>
        </w:rPr>
      </w:pPr>
    </w:p>
    <w:p w:rsidR="0092124E" w:rsidRPr="00154784" w:rsidRDefault="0092124E" w:rsidP="000337A8">
      <w:pPr>
        <w:ind w:firstLine="851"/>
        <w:rPr>
          <w:szCs w:val="22"/>
          <w:u w:val="single"/>
        </w:rPr>
      </w:pPr>
      <w:r w:rsidRPr="00154784">
        <w:rPr>
          <w:szCs w:val="22"/>
          <w:u w:val="single"/>
        </w:rPr>
        <w:t>Særlige forholdsregler for personer, der administrerer veterinærlægemidlet til dyr:</w:t>
      </w:r>
    </w:p>
    <w:p w:rsidR="0092124E" w:rsidRPr="00154784" w:rsidRDefault="0092124E" w:rsidP="0092124E">
      <w:pPr>
        <w:rPr>
          <w:szCs w:val="22"/>
        </w:rPr>
      </w:pPr>
    </w:p>
    <w:p w:rsidR="0092124E" w:rsidRPr="00154784" w:rsidRDefault="0092124E" w:rsidP="000337A8">
      <w:pPr>
        <w:ind w:firstLine="851"/>
        <w:rPr>
          <w:szCs w:val="22"/>
        </w:rPr>
      </w:pPr>
      <w:r w:rsidRPr="00154784">
        <w:rPr>
          <w:szCs w:val="22"/>
        </w:rPr>
        <w:t>Vask hænder efter indgivelse til dyret.</w:t>
      </w:r>
    </w:p>
    <w:p w:rsidR="0092124E" w:rsidRPr="00154784" w:rsidRDefault="0092124E" w:rsidP="000337A8">
      <w:pPr>
        <w:ind w:left="851"/>
        <w:rPr>
          <w:szCs w:val="22"/>
        </w:rPr>
      </w:pPr>
      <w:r w:rsidRPr="00154784">
        <w:rPr>
          <w:szCs w:val="22"/>
        </w:rPr>
        <w:t xml:space="preserve">I tilfælde af </w:t>
      </w:r>
      <w:r>
        <w:rPr>
          <w:szCs w:val="22"/>
        </w:rPr>
        <w:t xml:space="preserve">utilsigtet </w:t>
      </w:r>
      <w:r w:rsidRPr="00154784">
        <w:rPr>
          <w:szCs w:val="22"/>
        </w:rPr>
        <w:t>selvinjektion ved hændeligt uheld skal der straks søges lægehjælp, og indlægssedlen eller etiketten bør vises til lægen.</w:t>
      </w:r>
    </w:p>
    <w:p w:rsidR="0092124E" w:rsidRPr="00154784" w:rsidRDefault="0092124E" w:rsidP="000337A8">
      <w:pPr>
        <w:ind w:left="851"/>
        <w:rPr>
          <w:szCs w:val="22"/>
        </w:rPr>
      </w:pPr>
      <w:r w:rsidRPr="00154784">
        <w:rPr>
          <w:szCs w:val="22"/>
        </w:rPr>
        <w:t xml:space="preserve">I tilfælde af </w:t>
      </w:r>
      <w:r>
        <w:rPr>
          <w:szCs w:val="22"/>
        </w:rPr>
        <w:t xml:space="preserve">utilsigtet </w:t>
      </w:r>
      <w:r w:rsidRPr="00154784">
        <w:rPr>
          <w:szCs w:val="22"/>
        </w:rPr>
        <w:t>spild ved hændeligt uheld på huden eller i øjnene skal der straks skylles med rigelige mængder vand. Hvis der forekommer bivirkninger, skal der straks søges lægehjælp, og indlægssedlen eller etiketten bør vises til lægen.</w:t>
      </w:r>
    </w:p>
    <w:p w:rsidR="0092124E" w:rsidRPr="00154784" w:rsidRDefault="0092124E" w:rsidP="0092124E">
      <w:pPr>
        <w:rPr>
          <w:szCs w:val="22"/>
        </w:rPr>
      </w:pPr>
    </w:p>
    <w:p w:rsidR="0092124E" w:rsidRPr="00154784" w:rsidRDefault="0092124E" w:rsidP="000337A8">
      <w:pPr>
        <w:ind w:firstLine="851"/>
        <w:rPr>
          <w:szCs w:val="22"/>
          <w:u w:val="single"/>
        </w:rPr>
      </w:pPr>
      <w:r w:rsidRPr="00154784">
        <w:rPr>
          <w:szCs w:val="22"/>
          <w:u w:val="single"/>
        </w:rPr>
        <w:t>Særlige forholdsregler vedrørende beskyttelse af miljøet:</w:t>
      </w:r>
    </w:p>
    <w:p w:rsidR="0092124E" w:rsidRPr="00154784" w:rsidRDefault="0092124E" w:rsidP="0092124E">
      <w:pPr>
        <w:rPr>
          <w:szCs w:val="22"/>
        </w:rPr>
      </w:pPr>
    </w:p>
    <w:p w:rsidR="0092124E" w:rsidRPr="00154784" w:rsidRDefault="0092124E" w:rsidP="000337A8">
      <w:pPr>
        <w:ind w:firstLine="851"/>
        <w:rPr>
          <w:szCs w:val="22"/>
        </w:rPr>
      </w:pPr>
      <w:r w:rsidRPr="00154784">
        <w:rPr>
          <w:szCs w:val="22"/>
        </w:rPr>
        <w:t>Ikke relevant.</w:t>
      </w:r>
    </w:p>
    <w:p w:rsidR="0092124E" w:rsidRPr="00154784" w:rsidRDefault="0092124E" w:rsidP="0092124E">
      <w:pPr>
        <w:rPr>
          <w:szCs w:val="22"/>
        </w:rPr>
      </w:pPr>
    </w:p>
    <w:p w:rsidR="0092124E" w:rsidRPr="00154784" w:rsidRDefault="0092124E" w:rsidP="000337A8">
      <w:pPr>
        <w:pStyle w:val="Style1"/>
        <w:ind w:left="851" w:hanging="851"/>
      </w:pPr>
      <w:r w:rsidRPr="00154784">
        <w:t>3.6</w:t>
      </w:r>
      <w:r w:rsidRPr="00154784">
        <w:tab/>
        <w:t>Bivirkninger</w:t>
      </w:r>
    </w:p>
    <w:p w:rsidR="0092124E" w:rsidRPr="00154784" w:rsidRDefault="0092124E" w:rsidP="0092124E">
      <w:pPr>
        <w:rPr>
          <w:szCs w:val="22"/>
        </w:rPr>
      </w:pPr>
    </w:p>
    <w:p w:rsidR="0092124E" w:rsidRPr="00154784" w:rsidRDefault="0092124E" w:rsidP="000337A8">
      <w:pPr>
        <w:ind w:firstLine="851"/>
        <w:rPr>
          <w:szCs w:val="22"/>
        </w:rPr>
      </w:pPr>
      <w:r w:rsidRPr="00154784">
        <w:rPr>
          <w:szCs w:val="22"/>
        </w:rPr>
        <w:t>Hunde: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92124E" w:rsidRPr="00154784" w:rsidTr="0090789C">
        <w:tc>
          <w:tcPr>
            <w:tcW w:w="2266" w:type="pct"/>
          </w:tcPr>
          <w:p w:rsidR="0092124E" w:rsidRPr="00154784" w:rsidRDefault="0092124E" w:rsidP="0090789C">
            <w:pPr>
              <w:spacing w:before="60" w:after="60"/>
              <w:rPr>
                <w:szCs w:val="22"/>
              </w:rPr>
            </w:pPr>
            <w:r w:rsidRPr="00154784">
              <w:rPr>
                <w:szCs w:val="22"/>
              </w:rPr>
              <w:lastRenderedPageBreak/>
              <w:t>Meget sjælden</w:t>
            </w:r>
          </w:p>
          <w:p w:rsidR="0092124E" w:rsidRPr="00154784" w:rsidRDefault="0092124E" w:rsidP="0090789C">
            <w:pPr>
              <w:spacing w:before="60" w:after="60"/>
              <w:rPr>
                <w:szCs w:val="22"/>
              </w:rPr>
            </w:pPr>
            <w:r>
              <w:rPr>
                <w:szCs w:val="22"/>
              </w:rPr>
              <w:t>(&lt; 1 dyr ud af 10 000 </w:t>
            </w:r>
            <w:r w:rsidRPr="00154784">
              <w:rPr>
                <w:szCs w:val="22"/>
              </w:rPr>
              <w:t>behandlede dyr, herunder enkeltstående indberetninger):</w:t>
            </w:r>
          </w:p>
        </w:tc>
        <w:tc>
          <w:tcPr>
            <w:tcW w:w="2734" w:type="pct"/>
            <w:hideMark/>
          </w:tcPr>
          <w:p w:rsidR="0092124E" w:rsidRPr="0034674A" w:rsidRDefault="0092124E" w:rsidP="0090789C">
            <w:pPr>
              <w:spacing w:line="250" w:lineRule="exact"/>
              <w:rPr>
                <w:szCs w:val="22"/>
              </w:rPr>
            </w:pPr>
            <w:r w:rsidRPr="0034674A">
              <w:rPr>
                <w:iCs/>
                <w:szCs w:val="22"/>
              </w:rPr>
              <w:t>Ekstrapyramidale bivirkninger (</w:t>
            </w:r>
            <w:r w:rsidRPr="0034674A">
              <w:rPr>
                <w:szCs w:val="22"/>
              </w:rPr>
              <w:t xml:space="preserve">(agitation, </w:t>
            </w:r>
            <w:proofErr w:type="spellStart"/>
            <w:r w:rsidRPr="0034674A">
              <w:rPr>
                <w:szCs w:val="22"/>
              </w:rPr>
              <w:t>ataksi</w:t>
            </w:r>
            <w:proofErr w:type="spellEnd"/>
            <w:r w:rsidRPr="0034674A">
              <w:rPr>
                <w:szCs w:val="22"/>
              </w:rPr>
              <w:t xml:space="preserve">, abnorme positurer og/eller bevægelser, prostration, rysten og </w:t>
            </w:r>
            <w:r w:rsidRPr="00793F2E">
              <w:rPr>
                <w:szCs w:val="22"/>
              </w:rPr>
              <w:t xml:space="preserve">aggression, </w:t>
            </w:r>
            <w:proofErr w:type="gramStart"/>
            <w:r w:rsidRPr="00793F2E">
              <w:rPr>
                <w:szCs w:val="22"/>
              </w:rPr>
              <w:t>vo</w:t>
            </w:r>
            <w:r>
              <w:rPr>
                <w:szCs w:val="22"/>
              </w:rPr>
              <w:t>k</w:t>
            </w:r>
            <w:r w:rsidRPr="0034674A">
              <w:rPr>
                <w:szCs w:val="22"/>
              </w:rPr>
              <w:t>alisation)*</w:t>
            </w:r>
            <w:proofErr w:type="gramEnd"/>
          </w:p>
          <w:p w:rsidR="0092124E" w:rsidRPr="00A66BA8" w:rsidRDefault="0092124E" w:rsidP="0090789C">
            <w:pPr>
              <w:spacing w:line="250" w:lineRule="exact"/>
              <w:rPr>
                <w:iCs/>
                <w:szCs w:val="22"/>
              </w:rPr>
            </w:pPr>
            <w:r w:rsidRPr="0034674A">
              <w:rPr>
                <w:iCs/>
                <w:szCs w:val="22"/>
              </w:rPr>
              <w:t>Allergisk reaktion</w:t>
            </w:r>
          </w:p>
        </w:tc>
      </w:tr>
    </w:tbl>
    <w:p w:rsidR="0092124E" w:rsidRDefault="0092124E" w:rsidP="0092124E">
      <w:pPr>
        <w:rPr>
          <w:szCs w:val="22"/>
        </w:rPr>
      </w:pPr>
      <w:r w:rsidRPr="00697FE3">
        <w:rPr>
          <w:szCs w:val="22"/>
        </w:rPr>
        <w:t>*</w:t>
      </w:r>
      <w:r>
        <w:rPr>
          <w:szCs w:val="22"/>
        </w:rPr>
        <w:t>De observerede bivirkninger er forbigående og forsvinder ved behandlingens ophør.</w:t>
      </w:r>
    </w:p>
    <w:p w:rsidR="0092124E" w:rsidRPr="00154784" w:rsidRDefault="0092124E" w:rsidP="0092124E">
      <w:pPr>
        <w:rPr>
          <w:szCs w:val="22"/>
        </w:rPr>
      </w:pPr>
    </w:p>
    <w:p w:rsidR="0092124E" w:rsidRPr="00154784" w:rsidRDefault="0092124E" w:rsidP="0092124E">
      <w:pPr>
        <w:rPr>
          <w:szCs w:val="22"/>
        </w:rPr>
      </w:pPr>
      <w:r w:rsidRPr="00154784">
        <w:rPr>
          <w:szCs w:val="22"/>
        </w:rPr>
        <w:t>Katte: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92124E" w:rsidRPr="00154784" w:rsidTr="0090789C">
        <w:tc>
          <w:tcPr>
            <w:tcW w:w="2266" w:type="pct"/>
          </w:tcPr>
          <w:p w:rsidR="0092124E" w:rsidRPr="00154784" w:rsidRDefault="0092124E" w:rsidP="0090789C">
            <w:pPr>
              <w:spacing w:before="60" w:after="60"/>
              <w:rPr>
                <w:szCs w:val="22"/>
              </w:rPr>
            </w:pPr>
            <w:r w:rsidRPr="00154784">
              <w:rPr>
                <w:szCs w:val="22"/>
              </w:rPr>
              <w:t>Meget sjælden</w:t>
            </w:r>
          </w:p>
          <w:p w:rsidR="0092124E" w:rsidRPr="00154784" w:rsidRDefault="0092124E" w:rsidP="0090789C">
            <w:pPr>
              <w:spacing w:before="60" w:after="60"/>
              <w:rPr>
                <w:szCs w:val="22"/>
              </w:rPr>
            </w:pPr>
            <w:r>
              <w:rPr>
                <w:szCs w:val="22"/>
              </w:rPr>
              <w:t>(&lt; 1 dyr ud af 10 000 </w:t>
            </w:r>
            <w:r w:rsidRPr="00154784">
              <w:rPr>
                <w:szCs w:val="22"/>
              </w:rPr>
              <w:t>behandlede dyr, herunder enkeltstående indberetninger):</w:t>
            </w:r>
          </w:p>
        </w:tc>
        <w:tc>
          <w:tcPr>
            <w:tcW w:w="2734" w:type="pct"/>
            <w:hideMark/>
          </w:tcPr>
          <w:p w:rsidR="0092124E" w:rsidRPr="00697FE3" w:rsidRDefault="0092124E" w:rsidP="0090789C">
            <w:pPr>
              <w:spacing w:line="250" w:lineRule="exact"/>
              <w:rPr>
                <w:szCs w:val="22"/>
              </w:rPr>
            </w:pPr>
            <w:r w:rsidRPr="00697FE3">
              <w:rPr>
                <w:iCs/>
                <w:szCs w:val="22"/>
              </w:rPr>
              <w:t>Ekstrapyramidale bivirkninger (</w:t>
            </w:r>
            <w:r w:rsidRPr="00697FE3">
              <w:rPr>
                <w:szCs w:val="22"/>
              </w:rPr>
              <w:t xml:space="preserve">(agitation, </w:t>
            </w:r>
            <w:proofErr w:type="spellStart"/>
            <w:r w:rsidRPr="00697FE3">
              <w:rPr>
                <w:szCs w:val="22"/>
              </w:rPr>
              <w:t>ataksi</w:t>
            </w:r>
            <w:proofErr w:type="spellEnd"/>
            <w:r w:rsidRPr="00697FE3">
              <w:rPr>
                <w:szCs w:val="22"/>
              </w:rPr>
              <w:t xml:space="preserve">, abnorme positurer og/eller bevægelser, prostration, rysten og </w:t>
            </w:r>
            <w:r w:rsidRPr="00793F2E">
              <w:rPr>
                <w:szCs w:val="22"/>
              </w:rPr>
              <w:t xml:space="preserve">aggression, </w:t>
            </w:r>
            <w:proofErr w:type="gramStart"/>
            <w:r w:rsidRPr="00793F2E">
              <w:rPr>
                <w:szCs w:val="22"/>
              </w:rPr>
              <w:t>vo</w:t>
            </w:r>
            <w:r>
              <w:rPr>
                <w:szCs w:val="22"/>
              </w:rPr>
              <w:t>k</w:t>
            </w:r>
            <w:r w:rsidRPr="00697FE3">
              <w:rPr>
                <w:szCs w:val="22"/>
              </w:rPr>
              <w:t>alisation)*</w:t>
            </w:r>
            <w:proofErr w:type="gramEnd"/>
          </w:p>
          <w:p w:rsidR="0092124E" w:rsidRPr="0034674A" w:rsidRDefault="0092124E" w:rsidP="0090789C">
            <w:pPr>
              <w:spacing w:line="250" w:lineRule="exact"/>
              <w:rPr>
                <w:iCs/>
                <w:szCs w:val="22"/>
              </w:rPr>
            </w:pPr>
            <w:r w:rsidRPr="0034674A">
              <w:rPr>
                <w:iCs/>
                <w:szCs w:val="22"/>
              </w:rPr>
              <w:t>Allergisk reaktion</w:t>
            </w:r>
          </w:p>
          <w:p w:rsidR="0092124E" w:rsidRDefault="0092124E" w:rsidP="0090789C">
            <w:pPr>
              <w:spacing w:line="250" w:lineRule="exact"/>
              <w:rPr>
                <w:iCs/>
                <w:szCs w:val="22"/>
                <w:lang w:val="pt-PT"/>
              </w:rPr>
            </w:pPr>
            <w:r>
              <w:rPr>
                <w:iCs/>
                <w:szCs w:val="22"/>
                <w:lang w:val="pt-PT"/>
              </w:rPr>
              <w:t>Døsighed</w:t>
            </w:r>
          </w:p>
          <w:p w:rsidR="0092124E" w:rsidRPr="00154784" w:rsidRDefault="0092124E" w:rsidP="0090789C">
            <w:pPr>
              <w:spacing w:before="60" w:after="60"/>
              <w:rPr>
                <w:iCs/>
                <w:szCs w:val="22"/>
              </w:rPr>
            </w:pPr>
            <w:r>
              <w:rPr>
                <w:iCs/>
                <w:szCs w:val="22"/>
                <w:lang w:val="pt-PT"/>
              </w:rPr>
              <w:t>Diarré</w:t>
            </w:r>
          </w:p>
        </w:tc>
      </w:tr>
    </w:tbl>
    <w:p w:rsidR="0092124E" w:rsidRPr="00154784" w:rsidRDefault="0092124E" w:rsidP="0092124E">
      <w:pPr>
        <w:rPr>
          <w:szCs w:val="22"/>
        </w:rPr>
      </w:pPr>
      <w:r w:rsidRPr="00697FE3">
        <w:rPr>
          <w:szCs w:val="22"/>
        </w:rPr>
        <w:t>*</w:t>
      </w:r>
      <w:r>
        <w:rPr>
          <w:szCs w:val="22"/>
        </w:rPr>
        <w:t>De observerede bivirkninger er forbigående og forsvinder ved behandlingens ophør.</w:t>
      </w:r>
    </w:p>
    <w:p w:rsidR="0092124E" w:rsidRPr="00154784" w:rsidRDefault="0092124E" w:rsidP="0092124E">
      <w:pPr>
        <w:rPr>
          <w:szCs w:val="22"/>
        </w:rPr>
      </w:pPr>
    </w:p>
    <w:p w:rsidR="0092124E" w:rsidRPr="00154784" w:rsidRDefault="0092124E" w:rsidP="000337A8">
      <w:pPr>
        <w:ind w:left="851"/>
        <w:rPr>
          <w:szCs w:val="22"/>
        </w:rPr>
      </w:pPr>
      <w:bookmarkStart w:id="0" w:name="_Hlk66891708"/>
      <w:r w:rsidRPr="00154784">
        <w:rPr>
          <w:szCs w:val="22"/>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0"/>
    <w:p w:rsidR="0092124E" w:rsidRPr="00154784" w:rsidRDefault="0092124E" w:rsidP="0092124E">
      <w:pPr>
        <w:rPr>
          <w:szCs w:val="22"/>
        </w:rPr>
      </w:pPr>
    </w:p>
    <w:p w:rsidR="0092124E" w:rsidRPr="00154784" w:rsidRDefault="0092124E" w:rsidP="000337A8">
      <w:pPr>
        <w:pStyle w:val="Style1"/>
        <w:ind w:left="851" w:hanging="851"/>
      </w:pPr>
      <w:r w:rsidRPr="00154784">
        <w:t>3.7</w:t>
      </w:r>
      <w:r w:rsidRPr="00154784">
        <w:tab/>
        <w:t>Anvendelse under drægtighed, laktation eller æglægning</w:t>
      </w:r>
    </w:p>
    <w:p w:rsidR="0092124E" w:rsidRPr="00154784" w:rsidRDefault="0092124E" w:rsidP="0092124E">
      <w:pPr>
        <w:rPr>
          <w:szCs w:val="22"/>
        </w:rPr>
      </w:pPr>
    </w:p>
    <w:p w:rsidR="0092124E" w:rsidRPr="00154784" w:rsidRDefault="0092124E" w:rsidP="000337A8">
      <w:pPr>
        <w:ind w:firstLine="851"/>
        <w:rPr>
          <w:szCs w:val="22"/>
        </w:rPr>
      </w:pPr>
      <w:r w:rsidRPr="00154784">
        <w:rPr>
          <w:szCs w:val="22"/>
          <w:u w:val="single"/>
        </w:rPr>
        <w:t>Drægtighed</w:t>
      </w:r>
      <w:r w:rsidRPr="00154784">
        <w:rPr>
          <w:szCs w:val="22"/>
        </w:rPr>
        <w:t xml:space="preserve"> </w:t>
      </w:r>
      <w:r w:rsidRPr="00154784">
        <w:rPr>
          <w:szCs w:val="22"/>
          <w:u w:val="single"/>
        </w:rPr>
        <w:t>og laktation</w:t>
      </w:r>
      <w:r w:rsidRPr="00154784">
        <w:rPr>
          <w:szCs w:val="22"/>
        </w:rPr>
        <w:t>:</w:t>
      </w:r>
    </w:p>
    <w:p w:rsidR="0092124E" w:rsidRPr="00154784" w:rsidRDefault="0092124E" w:rsidP="000337A8">
      <w:pPr>
        <w:ind w:left="851"/>
        <w:rPr>
          <w:szCs w:val="22"/>
        </w:rPr>
      </w:pPr>
      <w:r w:rsidRPr="00154784">
        <w:rPr>
          <w:szCs w:val="22"/>
        </w:rPr>
        <w:t xml:space="preserve">Laboratorieundersøgelser af laboratoriedyr har ikke afsløret </w:t>
      </w:r>
      <w:proofErr w:type="spellStart"/>
      <w:r w:rsidRPr="00154784">
        <w:rPr>
          <w:szCs w:val="22"/>
        </w:rPr>
        <w:t>teratogene</w:t>
      </w:r>
      <w:proofErr w:type="spellEnd"/>
      <w:r w:rsidRPr="00154784">
        <w:rPr>
          <w:szCs w:val="22"/>
        </w:rPr>
        <w:t xml:space="preserve"> eller </w:t>
      </w:r>
      <w:proofErr w:type="spellStart"/>
      <w:r>
        <w:t>føtotoksiske</w:t>
      </w:r>
      <w:proofErr w:type="spellEnd"/>
      <w:r>
        <w:t xml:space="preserve"> </w:t>
      </w:r>
      <w:r w:rsidRPr="00154784">
        <w:rPr>
          <w:szCs w:val="22"/>
        </w:rPr>
        <w:t>virkninger. Undersøgelser af laboratoriedyr er dog begrænsede, og sikkerheden af det aktive stof er ikke blevet evalueret hos de dyrearter, lægemidlet er beregnet til. Må kun anvendes i overensstemmelse med den ansvarlige dyrlæges vurdering af benefit/</w:t>
      </w:r>
      <w:proofErr w:type="spellStart"/>
      <w:r w:rsidRPr="00154784">
        <w:rPr>
          <w:szCs w:val="22"/>
        </w:rPr>
        <w:t>risk</w:t>
      </w:r>
      <w:proofErr w:type="spellEnd"/>
      <w:r w:rsidRPr="00154784">
        <w:rPr>
          <w:szCs w:val="22"/>
        </w:rPr>
        <w:t>-forholdet.</w:t>
      </w:r>
    </w:p>
    <w:p w:rsidR="0092124E" w:rsidRPr="00154784" w:rsidRDefault="0092124E" w:rsidP="0092124E">
      <w:pPr>
        <w:rPr>
          <w:szCs w:val="22"/>
        </w:rPr>
      </w:pPr>
    </w:p>
    <w:p w:rsidR="0092124E" w:rsidRPr="00154784" w:rsidRDefault="0092124E" w:rsidP="000337A8">
      <w:pPr>
        <w:pStyle w:val="Style1"/>
        <w:ind w:left="851" w:hanging="851"/>
      </w:pPr>
      <w:r w:rsidRPr="00154784">
        <w:t>3.8</w:t>
      </w:r>
      <w:r w:rsidRPr="00154784">
        <w:tab/>
        <w:t>Interaktion med andre lægemidler og andre former for interaktion</w:t>
      </w:r>
    </w:p>
    <w:p w:rsidR="0092124E" w:rsidRPr="00154784" w:rsidRDefault="0092124E" w:rsidP="0092124E">
      <w:pPr>
        <w:rPr>
          <w:szCs w:val="22"/>
        </w:rPr>
      </w:pPr>
    </w:p>
    <w:p w:rsidR="0092124E" w:rsidRPr="00154784" w:rsidRDefault="0092124E" w:rsidP="000337A8">
      <w:pPr>
        <w:ind w:left="851"/>
        <w:rPr>
          <w:szCs w:val="22"/>
        </w:rPr>
      </w:pPr>
      <w:r w:rsidRPr="00154784">
        <w:rPr>
          <w:szCs w:val="22"/>
        </w:rPr>
        <w:t xml:space="preserve">I tilfælde af gastritis skal samtidig administration af </w:t>
      </w:r>
      <w:proofErr w:type="spellStart"/>
      <w:r w:rsidRPr="00154784">
        <w:rPr>
          <w:szCs w:val="22"/>
        </w:rPr>
        <w:t>antikolinergika</w:t>
      </w:r>
      <w:proofErr w:type="spellEnd"/>
      <w:r w:rsidRPr="00154784">
        <w:rPr>
          <w:szCs w:val="22"/>
        </w:rPr>
        <w:t xml:space="preserve"> (atropin) undgås, da disse kan modvirke effekten af </w:t>
      </w:r>
      <w:proofErr w:type="spellStart"/>
      <w:r w:rsidRPr="00154784">
        <w:rPr>
          <w:szCs w:val="22"/>
        </w:rPr>
        <w:t>metoclopramid</w:t>
      </w:r>
      <w:proofErr w:type="spellEnd"/>
      <w:r w:rsidRPr="00154784">
        <w:rPr>
          <w:szCs w:val="22"/>
        </w:rPr>
        <w:t xml:space="preserve"> på </w:t>
      </w:r>
      <w:proofErr w:type="spellStart"/>
      <w:r w:rsidRPr="00154784">
        <w:rPr>
          <w:szCs w:val="22"/>
        </w:rPr>
        <w:t>gastrointestinal</w:t>
      </w:r>
      <w:proofErr w:type="spellEnd"/>
      <w:r w:rsidRPr="00154784">
        <w:rPr>
          <w:szCs w:val="22"/>
        </w:rPr>
        <w:t xml:space="preserve"> </w:t>
      </w:r>
      <w:proofErr w:type="spellStart"/>
      <w:r w:rsidRPr="00154784">
        <w:rPr>
          <w:szCs w:val="22"/>
        </w:rPr>
        <w:t>motilitet</w:t>
      </w:r>
      <w:proofErr w:type="spellEnd"/>
      <w:r w:rsidRPr="00154784">
        <w:rPr>
          <w:szCs w:val="22"/>
        </w:rPr>
        <w:t>.</w:t>
      </w:r>
    </w:p>
    <w:p w:rsidR="0092124E" w:rsidRPr="00154784" w:rsidRDefault="0092124E" w:rsidP="000337A8">
      <w:pPr>
        <w:ind w:firstLine="851"/>
        <w:rPr>
          <w:szCs w:val="22"/>
        </w:rPr>
      </w:pPr>
      <w:r w:rsidRPr="00154784">
        <w:rPr>
          <w:szCs w:val="22"/>
        </w:rPr>
        <w:t xml:space="preserve">I tilfælde af samtidig diarré er der ingen kontraindikationer ved brug af </w:t>
      </w:r>
      <w:proofErr w:type="spellStart"/>
      <w:r w:rsidRPr="00154784">
        <w:rPr>
          <w:szCs w:val="22"/>
        </w:rPr>
        <w:t>antikolinergika</w:t>
      </w:r>
      <w:proofErr w:type="spellEnd"/>
      <w:r w:rsidRPr="00154784">
        <w:rPr>
          <w:szCs w:val="22"/>
        </w:rPr>
        <w:t>.</w:t>
      </w:r>
    </w:p>
    <w:p w:rsidR="0092124E" w:rsidRPr="00154784" w:rsidRDefault="0092124E" w:rsidP="000337A8">
      <w:pPr>
        <w:ind w:left="851"/>
        <w:rPr>
          <w:szCs w:val="22"/>
        </w:rPr>
      </w:pPr>
      <w:r w:rsidRPr="00154784">
        <w:rPr>
          <w:szCs w:val="22"/>
        </w:rPr>
        <w:t xml:space="preserve">Samtidig anvendelse af </w:t>
      </w:r>
      <w:proofErr w:type="spellStart"/>
      <w:r w:rsidRPr="00154784">
        <w:rPr>
          <w:szCs w:val="22"/>
        </w:rPr>
        <w:t>metoclopramid</w:t>
      </w:r>
      <w:proofErr w:type="spellEnd"/>
      <w:r w:rsidRPr="00154784">
        <w:rPr>
          <w:szCs w:val="22"/>
        </w:rPr>
        <w:t xml:space="preserve"> og </w:t>
      </w:r>
      <w:proofErr w:type="spellStart"/>
      <w:r w:rsidRPr="00154784">
        <w:rPr>
          <w:szCs w:val="22"/>
        </w:rPr>
        <w:t>neuroleptika</w:t>
      </w:r>
      <w:proofErr w:type="spellEnd"/>
      <w:r w:rsidRPr="00154784">
        <w:rPr>
          <w:szCs w:val="22"/>
        </w:rPr>
        <w:t xml:space="preserve">, der er derivater af </w:t>
      </w:r>
      <w:proofErr w:type="spellStart"/>
      <w:r w:rsidRPr="00154784">
        <w:rPr>
          <w:szCs w:val="22"/>
        </w:rPr>
        <w:t>phenothiazin</w:t>
      </w:r>
      <w:proofErr w:type="spellEnd"/>
      <w:r w:rsidRPr="00154784">
        <w:rPr>
          <w:szCs w:val="22"/>
        </w:rPr>
        <w:t xml:space="preserve"> (</w:t>
      </w:r>
      <w:proofErr w:type="spellStart"/>
      <w:r w:rsidRPr="00154784">
        <w:rPr>
          <w:szCs w:val="22"/>
        </w:rPr>
        <w:t>acepromazin</w:t>
      </w:r>
      <w:proofErr w:type="spellEnd"/>
      <w:r w:rsidRPr="00154784">
        <w:rPr>
          <w:szCs w:val="22"/>
        </w:rPr>
        <w:t xml:space="preserve">) og </w:t>
      </w:r>
      <w:proofErr w:type="spellStart"/>
      <w:r w:rsidRPr="00154784">
        <w:rPr>
          <w:szCs w:val="22"/>
        </w:rPr>
        <w:t>butyrophenoner</w:t>
      </w:r>
      <w:proofErr w:type="spellEnd"/>
      <w:r w:rsidRPr="00154784">
        <w:rPr>
          <w:szCs w:val="22"/>
        </w:rPr>
        <w:t>, øger risikoen for ekstrapyramidale bivirkninger (se pkt.</w:t>
      </w:r>
      <w:r>
        <w:rPr>
          <w:szCs w:val="22"/>
        </w:rPr>
        <w:t> 3</w:t>
      </w:r>
      <w:r w:rsidRPr="00154784">
        <w:rPr>
          <w:szCs w:val="22"/>
        </w:rPr>
        <w:t>.6).</w:t>
      </w:r>
    </w:p>
    <w:p w:rsidR="0092124E" w:rsidRPr="00154784" w:rsidRDefault="0092124E" w:rsidP="000337A8">
      <w:pPr>
        <w:ind w:left="851"/>
        <w:rPr>
          <w:szCs w:val="22"/>
        </w:rPr>
      </w:pPr>
      <w:proofErr w:type="spellStart"/>
      <w:r w:rsidRPr="00154784">
        <w:rPr>
          <w:szCs w:val="22"/>
        </w:rPr>
        <w:t>Metoclopramid</w:t>
      </w:r>
      <w:proofErr w:type="spellEnd"/>
      <w:r w:rsidRPr="00154784">
        <w:rPr>
          <w:szCs w:val="22"/>
        </w:rPr>
        <w:t xml:space="preserve"> kan forstærke virkningen af centralnervesystemssedativer. Ved samtidig brug tilrådes det at anvende den laveste dosis </w:t>
      </w:r>
      <w:proofErr w:type="spellStart"/>
      <w:r w:rsidRPr="00154784">
        <w:rPr>
          <w:szCs w:val="22"/>
        </w:rPr>
        <w:t>metoclopramid</w:t>
      </w:r>
      <w:proofErr w:type="spellEnd"/>
      <w:r w:rsidRPr="00154784">
        <w:rPr>
          <w:szCs w:val="22"/>
        </w:rPr>
        <w:t xml:space="preserve"> for at undgå udtalt sedation.</w:t>
      </w:r>
    </w:p>
    <w:p w:rsidR="0092124E" w:rsidRPr="00154784" w:rsidRDefault="0092124E" w:rsidP="0092124E">
      <w:pPr>
        <w:rPr>
          <w:szCs w:val="22"/>
        </w:rPr>
      </w:pPr>
    </w:p>
    <w:p w:rsidR="0092124E" w:rsidRPr="00154784" w:rsidRDefault="0092124E" w:rsidP="000337A8">
      <w:pPr>
        <w:pStyle w:val="Style1"/>
        <w:ind w:left="851" w:hanging="851"/>
      </w:pPr>
      <w:r w:rsidRPr="00154784">
        <w:t>3.9</w:t>
      </w:r>
      <w:r w:rsidRPr="00154784">
        <w:tab/>
        <w:t>Administrationsveje og dosering</w:t>
      </w:r>
    </w:p>
    <w:p w:rsidR="0092124E" w:rsidRPr="00154784" w:rsidRDefault="0092124E" w:rsidP="0092124E">
      <w:pPr>
        <w:rPr>
          <w:szCs w:val="22"/>
        </w:rPr>
      </w:pPr>
    </w:p>
    <w:p w:rsidR="0092124E" w:rsidRPr="00154784" w:rsidRDefault="0092124E" w:rsidP="000337A8">
      <w:pPr>
        <w:ind w:firstLine="851"/>
        <w:rPr>
          <w:szCs w:val="22"/>
        </w:rPr>
      </w:pPr>
      <w:r w:rsidRPr="00154784">
        <w:rPr>
          <w:szCs w:val="22"/>
        </w:rPr>
        <w:t>Intramuskulær eller subkutan anvendelse</w:t>
      </w:r>
    </w:p>
    <w:p w:rsidR="0092124E" w:rsidRPr="00154784" w:rsidRDefault="0092124E" w:rsidP="0092124E">
      <w:pPr>
        <w:rPr>
          <w:szCs w:val="22"/>
        </w:rPr>
      </w:pPr>
    </w:p>
    <w:p w:rsidR="0092124E" w:rsidRPr="00154784" w:rsidRDefault="0092124E" w:rsidP="000337A8">
      <w:pPr>
        <w:ind w:left="851"/>
        <w:rPr>
          <w:szCs w:val="22"/>
        </w:rPr>
      </w:pPr>
      <w:r w:rsidRPr="00154784">
        <w:rPr>
          <w:szCs w:val="22"/>
        </w:rPr>
        <w:t>0,5</w:t>
      </w:r>
      <w:r>
        <w:rPr>
          <w:szCs w:val="22"/>
        </w:rPr>
        <w:noBreakHyphen/>
      </w:r>
      <w:r w:rsidRPr="00154784">
        <w:rPr>
          <w:szCs w:val="22"/>
        </w:rPr>
        <w:t xml:space="preserve">1 mg </w:t>
      </w:r>
      <w:proofErr w:type="spellStart"/>
      <w:r w:rsidRPr="00154784">
        <w:rPr>
          <w:szCs w:val="22"/>
        </w:rPr>
        <w:t>metoclopramidhydrochlorid</w:t>
      </w:r>
      <w:proofErr w:type="spellEnd"/>
      <w:r w:rsidRPr="00154784">
        <w:rPr>
          <w:szCs w:val="22"/>
        </w:rPr>
        <w:t xml:space="preserve"> pr. kg kropsvægt om dagen ved intramuskulær eller subkutan indgivelse fordelt på 2</w:t>
      </w:r>
      <w:r>
        <w:rPr>
          <w:szCs w:val="22"/>
        </w:rPr>
        <w:noBreakHyphen/>
      </w:r>
      <w:r w:rsidRPr="00154784">
        <w:rPr>
          <w:szCs w:val="22"/>
        </w:rPr>
        <w:t>3</w:t>
      </w:r>
      <w:r>
        <w:rPr>
          <w:szCs w:val="22"/>
        </w:rPr>
        <w:t> </w:t>
      </w:r>
      <w:r w:rsidRPr="00154784">
        <w:rPr>
          <w:szCs w:val="22"/>
        </w:rPr>
        <w:t>administrationer:</w:t>
      </w:r>
    </w:p>
    <w:p w:rsidR="0092124E" w:rsidRPr="00154784" w:rsidRDefault="0092124E" w:rsidP="000337A8">
      <w:pPr>
        <w:ind w:firstLine="851"/>
        <w:rPr>
          <w:b/>
          <w:szCs w:val="22"/>
        </w:rPr>
      </w:pPr>
      <w:r w:rsidRPr="00154784">
        <w:rPr>
          <w:b/>
          <w:szCs w:val="22"/>
        </w:rPr>
        <w:t>2,5</w:t>
      </w:r>
      <w:r>
        <w:rPr>
          <w:b/>
          <w:szCs w:val="22"/>
        </w:rPr>
        <w:t> </w:t>
      </w:r>
      <w:r w:rsidRPr="00154784">
        <w:rPr>
          <w:b/>
          <w:szCs w:val="22"/>
        </w:rPr>
        <w:t>mg/ml opløsning:</w:t>
      </w:r>
    </w:p>
    <w:p w:rsidR="0092124E" w:rsidRPr="00154784" w:rsidRDefault="0092124E" w:rsidP="000337A8">
      <w:pPr>
        <w:numPr>
          <w:ilvl w:val="0"/>
          <w:numId w:val="4"/>
        </w:numPr>
        <w:ind w:left="1276" w:hanging="425"/>
        <w:rPr>
          <w:szCs w:val="22"/>
        </w:rPr>
      </w:pPr>
      <w:r w:rsidRPr="00154784">
        <w:rPr>
          <w:szCs w:val="22"/>
        </w:rPr>
        <w:t>ved administration to gange dagligt: 2,5</w:t>
      </w:r>
      <w:r>
        <w:rPr>
          <w:szCs w:val="22"/>
        </w:rPr>
        <w:noBreakHyphen/>
      </w:r>
      <w:r w:rsidRPr="00154784">
        <w:rPr>
          <w:szCs w:val="22"/>
        </w:rPr>
        <w:t>5 mg/10 kg kropsvægt pr. injektion, dvs. 1</w:t>
      </w:r>
      <w:r>
        <w:rPr>
          <w:szCs w:val="22"/>
        </w:rPr>
        <w:noBreakHyphen/>
      </w:r>
      <w:r w:rsidRPr="00154784">
        <w:rPr>
          <w:szCs w:val="22"/>
        </w:rPr>
        <w:t>2 ml/10 kg kropsvægt pr. injektion.</w:t>
      </w:r>
    </w:p>
    <w:p w:rsidR="000337A8" w:rsidRDefault="0092124E" w:rsidP="000337A8">
      <w:pPr>
        <w:numPr>
          <w:ilvl w:val="0"/>
          <w:numId w:val="4"/>
        </w:numPr>
        <w:ind w:left="426" w:firstLine="425"/>
        <w:rPr>
          <w:szCs w:val="22"/>
        </w:rPr>
      </w:pPr>
      <w:r w:rsidRPr="00154784">
        <w:rPr>
          <w:szCs w:val="22"/>
        </w:rPr>
        <w:t>ved administration tre gange dagligt: 1,7</w:t>
      </w:r>
      <w:r>
        <w:rPr>
          <w:szCs w:val="22"/>
        </w:rPr>
        <w:noBreakHyphen/>
      </w:r>
      <w:r w:rsidRPr="00154784">
        <w:rPr>
          <w:szCs w:val="22"/>
        </w:rPr>
        <w:t xml:space="preserve">3,3 mg/10 kg kropsvægt pr. injektion, dvs. </w:t>
      </w:r>
      <w:r w:rsidR="000337A8">
        <w:rPr>
          <w:szCs w:val="22"/>
        </w:rPr>
        <w:t xml:space="preserve">   </w:t>
      </w:r>
    </w:p>
    <w:p w:rsidR="0092124E" w:rsidRPr="00154784" w:rsidRDefault="000337A8" w:rsidP="000337A8">
      <w:pPr>
        <w:ind w:left="851"/>
        <w:rPr>
          <w:szCs w:val="22"/>
        </w:rPr>
      </w:pPr>
      <w:r>
        <w:rPr>
          <w:szCs w:val="22"/>
        </w:rPr>
        <w:t xml:space="preserve">        </w:t>
      </w:r>
      <w:r w:rsidR="0092124E" w:rsidRPr="00154784">
        <w:rPr>
          <w:szCs w:val="22"/>
        </w:rPr>
        <w:t>0,68</w:t>
      </w:r>
      <w:r w:rsidR="0092124E">
        <w:rPr>
          <w:szCs w:val="22"/>
        </w:rPr>
        <w:noBreakHyphen/>
      </w:r>
      <w:r w:rsidR="0092124E" w:rsidRPr="00154784">
        <w:rPr>
          <w:szCs w:val="22"/>
        </w:rPr>
        <w:t>1,32 ml/10 kg kropsvægt pr. injektion.</w:t>
      </w:r>
    </w:p>
    <w:p w:rsidR="0092124E" w:rsidRPr="00154784" w:rsidRDefault="0092124E" w:rsidP="000337A8">
      <w:pPr>
        <w:ind w:left="426" w:firstLine="425"/>
        <w:rPr>
          <w:b/>
          <w:szCs w:val="22"/>
        </w:rPr>
      </w:pPr>
      <w:r w:rsidRPr="00154784">
        <w:rPr>
          <w:b/>
          <w:szCs w:val="22"/>
        </w:rPr>
        <w:t>5</w:t>
      </w:r>
      <w:r>
        <w:rPr>
          <w:b/>
          <w:szCs w:val="22"/>
        </w:rPr>
        <w:t> </w:t>
      </w:r>
      <w:r w:rsidRPr="00154784">
        <w:rPr>
          <w:b/>
          <w:szCs w:val="22"/>
        </w:rPr>
        <w:t>mg/ml opløsning:</w:t>
      </w:r>
    </w:p>
    <w:p w:rsidR="0092124E" w:rsidRPr="00154784" w:rsidRDefault="0092124E" w:rsidP="009A1260">
      <w:pPr>
        <w:numPr>
          <w:ilvl w:val="0"/>
          <w:numId w:val="5"/>
        </w:numPr>
        <w:ind w:left="1276" w:hanging="425"/>
        <w:rPr>
          <w:szCs w:val="22"/>
        </w:rPr>
      </w:pPr>
      <w:r w:rsidRPr="00154784">
        <w:rPr>
          <w:szCs w:val="22"/>
        </w:rPr>
        <w:lastRenderedPageBreak/>
        <w:t>ved administration to gange dagligt: 2,5</w:t>
      </w:r>
      <w:r>
        <w:rPr>
          <w:szCs w:val="22"/>
        </w:rPr>
        <w:noBreakHyphen/>
      </w:r>
      <w:r w:rsidRPr="00154784">
        <w:rPr>
          <w:szCs w:val="22"/>
        </w:rPr>
        <w:t>5 mg/10 kg kropsvægt pr. injektion, dvs. 0,50</w:t>
      </w:r>
      <w:r>
        <w:rPr>
          <w:szCs w:val="22"/>
        </w:rPr>
        <w:noBreakHyphen/>
      </w:r>
      <w:r w:rsidRPr="00154784">
        <w:rPr>
          <w:szCs w:val="22"/>
        </w:rPr>
        <w:t>1 ml/10 kg kropsvægt pr. injektion.</w:t>
      </w:r>
    </w:p>
    <w:p w:rsidR="0092124E" w:rsidRPr="00154784" w:rsidRDefault="0092124E" w:rsidP="009A1260">
      <w:pPr>
        <w:numPr>
          <w:ilvl w:val="0"/>
          <w:numId w:val="5"/>
        </w:numPr>
        <w:ind w:left="1276" w:hanging="425"/>
        <w:rPr>
          <w:szCs w:val="22"/>
        </w:rPr>
      </w:pPr>
      <w:r w:rsidRPr="00154784">
        <w:rPr>
          <w:szCs w:val="22"/>
        </w:rPr>
        <w:t>ved administration tre gange dagligt: 1,7</w:t>
      </w:r>
      <w:r>
        <w:rPr>
          <w:szCs w:val="22"/>
        </w:rPr>
        <w:noBreakHyphen/>
      </w:r>
      <w:r w:rsidRPr="00154784">
        <w:rPr>
          <w:szCs w:val="22"/>
        </w:rPr>
        <w:t>3,3 mg/10 kg kropsvægt pr. injektion, dvs. 0,34</w:t>
      </w:r>
      <w:r>
        <w:rPr>
          <w:szCs w:val="22"/>
        </w:rPr>
        <w:noBreakHyphen/>
      </w:r>
      <w:r w:rsidRPr="00154784">
        <w:rPr>
          <w:szCs w:val="22"/>
        </w:rPr>
        <w:t>0,66 ml/10 kg kropsvægt pr. injektion.</w:t>
      </w:r>
    </w:p>
    <w:p w:rsidR="0092124E" w:rsidRPr="00154784" w:rsidRDefault="0092124E" w:rsidP="0092124E">
      <w:pPr>
        <w:rPr>
          <w:szCs w:val="22"/>
        </w:rPr>
      </w:pPr>
    </w:p>
    <w:p w:rsidR="0092124E" w:rsidRPr="00154784" w:rsidRDefault="0092124E" w:rsidP="009A1260">
      <w:pPr>
        <w:ind w:firstLine="851"/>
        <w:rPr>
          <w:szCs w:val="22"/>
        </w:rPr>
      </w:pPr>
      <w:r w:rsidRPr="00154784">
        <w:rPr>
          <w:szCs w:val="22"/>
        </w:rPr>
        <w:t>Der bør gå mindst 6 timer mellem to administrationer.</w:t>
      </w:r>
    </w:p>
    <w:p w:rsidR="0092124E" w:rsidRPr="00154784" w:rsidRDefault="0092124E" w:rsidP="0092124E">
      <w:pPr>
        <w:rPr>
          <w:szCs w:val="22"/>
        </w:rPr>
      </w:pPr>
    </w:p>
    <w:p w:rsidR="0092124E" w:rsidRPr="00154784" w:rsidRDefault="0092124E" w:rsidP="009A1260">
      <w:pPr>
        <w:ind w:firstLine="851"/>
        <w:rPr>
          <w:szCs w:val="22"/>
        </w:rPr>
      </w:pPr>
      <w:r w:rsidRPr="00154784">
        <w:rPr>
          <w:szCs w:val="22"/>
        </w:rPr>
        <w:t>Proppen må ikke perforeres mere end 20 gange.</w:t>
      </w:r>
    </w:p>
    <w:p w:rsidR="0092124E" w:rsidRPr="00154784" w:rsidRDefault="0092124E" w:rsidP="0092124E">
      <w:pPr>
        <w:rPr>
          <w:szCs w:val="22"/>
        </w:rPr>
      </w:pPr>
    </w:p>
    <w:p w:rsidR="0092124E" w:rsidRPr="00154784" w:rsidRDefault="0092124E" w:rsidP="009A1260">
      <w:pPr>
        <w:pStyle w:val="Style1"/>
        <w:ind w:left="851" w:hanging="851"/>
      </w:pPr>
      <w:r w:rsidRPr="00154784">
        <w:t>3.10</w:t>
      </w:r>
      <w:r w:rsidRPr="00154784">
        <w:tab/>
        <w:t>Symptomer på overdosering (og, hvis relevant, nødforanstaltninger og modgift)</w:t>
      </w:r>
    </w:p>
    <w:p w:rsidR="0092124E" w:rsidRPr="00154784" w:rsidRDefault="0092124E" w:rsidP="0092124E">
      <w:pPr>
        <w:rPr>
          <w:szCs w:val="22"/>
        </w:rPr>
      </w:pPr>
    </w:p>
    <w:p w:rsidR="0092124E" w:rsidRPr="00154784" w:rsidRDefault="0092124E" w:rsidP="000C06F9">
      <w:pPr>
        <w:ind w:left="851"/>
        <w:rPr>
          <w:szCs w:val="22"/>
        </w:rPr>
      </w:pPr>
      <w:r w:rsidRPr="00154784">
        <w:rPr>
          <w:szCs w:val="22"/>
        </w:rPr>
        <w:t>De fleste af de kliniske tegn, der er rapporteret efter en overdosering, er velkendte, ekstrapyramidale bivirkninger (se pkt</w:t>
      </w:r>
      <w:r>
        <w:rPr>
          <w:szCs w:val="22"/>
        </w:rPr>
        <w:t>.</w:t>
      </w:r>
      <w:r w:rsidRPr="00154784">
        <w:rPr>
          <w:szCs w:val="22"/>
        </w:rPr>
        <w:t xml:space="preserve"> </w:t>
      </w:r>
      <w:r>
        <w:rPr>
          <w:szCs w:val="22"/>
        </w:rPr>
        <w:t>3</w:t>
      </w:r>
      <w:r w:rsidRPr="00154784">
        <w:rPr>
          <w:szCs w:val="22"/>
        </w:rPr>
        <w:t>.6).</w:t>
      </w:r>
    </w:p>
    <w:p w:rsidR="0092124E" w:rsidRPr="00154784" w:rsidRDefault="0092124E" w:rsidP="000C06F9">
      <w:pPr>
        <w:ind w:left="851"/>
        <w:rPr>
          <w:szCs w:val="22"/>
        </w:rPr>
      </w:pPr>
      <w:r w:rsidRPr="00154784">
        <w:rPr>
          <w:szCs w:val="22"/>
        </w:rPr>
        <w:t xml:space="preserve">Ved fravær af en specifik </w:t>
      </w:r>
      <w:proofErr w:type="spellStart"/>
      <w:r w:rsidRPr="00154784">
        <w:rPr>
          <w:szCs w:val="22"/>
        </w:rPr>
        <w:t>antidot</w:t>
      </w:r>
      <w:proofErr w:type="spellEnd"/>
      <w:r w:rsidRPr="00154784">
        <w:rPr>
          <w:szCs w:val="22"/>
        </w:rPr>
        <w:t xml:space="preserve"> anbefales det at holde dyret i et roligt miljø, indtil de ekstrapyramidale bivirkninger forsvinder.</w:t>
      </w:r>
    </w:p>
    <w:p w:rsidR="0092124E" w:rsidRPr="00154784" w:rsidRDefault="0092124E" w:rsidP="000C06F9">
      <w:pPr>
        <w:ind w:left="851"/>
        <w:rPr>
          <w:szCs w:val="22"/>
        </w:rPr>
      </w:pPr>
      <w:r w:rsidRPr="00154784">
        <w:rPr>
          <w:szCs w:val="22"/>
        </w:rPr>
        <w:t xml:space="preserve">Eftersom </w:t>
      </w:r>
      <w:proofErr w:type="spellStart"/>
      <w:r w:rsidRPr="00154784">
        <w:rPr>
          <w:szCs w:val="22"/>
        </w:rPr>
        <w:t>metoclopramid</w:t>
      </w:r>
      <w:proofErr w:type="spellEnd"/>
      <w:r w:rsidRPr="00154784">
        <w:rPr>
          <w:szCs w:val="22"/>
        </w:rPr>
        <w:t xml:space="preserve"> hurtigt </w:t>
      </w:r>
      <w:proofErr w:type="spellStart"/>
      <w:r w:rsidRPr="00154784">
        <w:rPr>
          <w:szCs w:val="22"/>
        </w:rPr>
        <w:t>metaboliseres</w:t>
      </w:r>
      <w:proofErr w:type="spellEnd"/>
      <w:r w:rsidRPr="00154784">
        <w:rPr>
          <w:szCs w:val="22"/>
        </w:rPr>
        <w:t xml:space="preserve"> og elimineres, forsvinder bivirkningerne generelt hurtigt.</w:t>
      </w:r>
    </w:p>
    <w:p w:rsidR="0092124E" w:rsidRPr="00154784" w:rsidRDefault="0092124E" w:rsidP="0092124E">
      <w:pPr>
        <w:rPr>
          <w:szCs w:val="22"/>
        </w:rPr>
      </w:pPr>
    </w:p>
    <w:p w:rsidR="0092124E" w:rsidRPr="00154784" w:rsidRDefault="0092124E" w:rsidP="000C06F9">
      <w:pPr>
        <w:pStyle w:val="Style1"/>
        <w:ind w:left="851" w:hanging="851"/>
      </w:pPr>
      <w:r w:rsidRPr="00154784">
        <w:t>3.11</w:t>
      </w:r>
      <w:r w:rsidRPr="00154784">
        <w:tab/>
        <w:t>Særlige begrænsninger og betingelser for anvendelse, herunder begrænsninger for anvendelsen af antimikrobielle og antiparasitære veterinærlægemidler for at begrænse risikoen for udvikling af resistens</w:t>
      </w:r>
    </w:p>
    <w:p w:rsidR="0092124E" w:rsidRPr="00154784" w:rsidRDefault="0092124E" w:rsidP="0092124E">
      <w:pPr>
        <w:rPr>
          <w:szCs w:val="22"/>
        </w:rPr>
      </w:pPr>
    </w:p>
    <w:p w:rsidR="0092124E" w:rsidRPr="00154784" w:rsidRDefault="0092124E" w:rsidP="000C06F9">
      <w:pPr>
        <w:ind w:firstLine="851"/>
        <w:rPr>
          <w:szCs w:val="22"/>
        </w:rPr>
      </w:pPr>
      <w:r w:rsidRPr="00154784">
        <w:rPr>
          <w:szCs w:val="22"/>
        </w:rPr>
        <w:t>Ikke relevant.</w:t>
      </w:r>
    </w:p>
    <w:p w:rsidR="0092124E" w:rsidRPr="00154784" w:rsidRDefault="0092124E" w:rsidP="0092124E">
      <w:pPr>
        <w:rPr>
          <w:szCs w:val="22"/>
        </w:rPr>
      </w:pPr>
    </w:p>
    <w:p w:rsidR="0092124E" w:rsidRPr="00154784" w:rsidRDefault="0092124E" w:rsidP="000C06F9">
      <w:pPr>
        <w:pStyle w:val="Style1"/>
        <w:ind w:left="851" w:hanging="851"/>
      </w:pPr>
      <w:r w:rsidRPr="00154784">
        <w:t>3.12</w:t>
      </w:r>
      <w:r w:rsidRPr="00154784">
        <w:tab/>
        <w:t>Tilbageholdelsestider</w:t>
      </w:r>
    </w:p>
    <w:p w:rsidR="0092124E" w:rsidRPr="00154784" w:rsidRDefault="0092124E" w:rsidP="0092124E">
      <w:pPr>
        <w:rPr>
          <w:szCs w:val="22"/>
        </w:rPr>
      </w:pPr>
    </w:p>
    <w:p w:rsidR="0092124E" w:rsidRPr="00154784" w:rsidRDefault="0092124E" w:rsidP="000C06F9">
      <w:pPr>
        <w:ind w:firstLine="851"/>
        <w:rPr>
          <w:szCs w:val="22"/>
        </w:rPr>
      </w:pPr>
      <w:r w:rsidRPr="00154784">
        <w:rPr>
          <w:szCs w:val="22"/>
        </w:rPr>
        <w:t>Ikke relevant.</w:t>
      </w:r>
    </w:p>
    <w:p w:rsidR="0092124E" w:rsidRPr="00154784" w:rsidRDefault="0092124E" w:rsidP="0092124E">
      <w:pPr>
        <w:rPr>
          <w:szCs w:val="22"/>
        </w:rPr>
      </w:pPr>
    </w:p>
    <w:p w:rsidR="0092124E" w:rsidRPr="00154784" w:rsidRDefault="0092124E" w:rsidP="0092124E">
      <w:pPr>
        <w:rPr>
          <w:szCs w:val="22"/>
        </w:rPr>
      </w:pPr>
    </w:p>
    <w:p w:rsidR="0092124E" w:rsidRPr="00154784" w:rsidRDefault="0092124E" w:rsidP="000C06F9">
      <w:pPr>
        <w:pStyle w:val="Style1"/>
        <w:ind w:left="851" w:hanging="851"/>
      </w:pPr>
      <w:r w:rsidRPr="00154784">
        <w:t>4.</w:t>
      </w:r>
      <w:r w:rsidRPr="00154784">
        <w:tab/>
        <w:t>FARMAKOLOGISKE OPLYSNINGER</w:t>
      </w:r>
    </w:p>
    <w:p w:rsidR="0092124E" w:rsidRPr="00154784" w:rsidRDefault="0092124E" w:rsidP="0092124E">
      <w:pPr>
        <w:rPr>
          <w:szCs w:val="22"/>
        </w:rPr>
      </w:pPr>
    </w:p>
    <w:p w:rsidR="0092124E" w:rsidRPr="00154784" w:rsidRDefault="0092124E" w:rsidP="000C06F9">
      <w:pPr>
        <w:pStyle w:val="Style1"/>
        <w:ind w:left="851" w:hanging="851"/>
      </w:pPr>
      <w:r w:rsidRPr="00154784">
        <w:t>4.1</w:t>
      </w:r>
      <w:r w:rsidRPr="00154784">
        <w:tab/>
      </w:r>
      <w:proofErr w:type="spellStart"/>
      <w:r w:rsidRPr="00154784">
        <w:t>ATCvet</w:t>
      </w:r>
      <w:proofErr w:type="spellEnd"/>
      <w:r w:rsidRPr="00154784">
        <w:t xml:space="preserve">-kode: </w:t>
      </w:r>
      <w:r w:rsidRPr="00154784">
        <w:rPr>
          <w:b w:val="0"/>
          <w:bCs/>
        </w:rPr>
        <w:t>QA03FA01</w:t>
      </w:r>
    </w:p>
    <w:p w:rsidR="0092124E" w:rsidRPr="00154784" w:rsidRDefault="0092124E" w:rsidP="0092124E">
      <w:pPr>
        <w:rPr>
          <w:szCs w:val="22"/>
        </w:rPr>
      </w:pPr>
    </w:p>
    <w:p w:rsidR="0092124E" w:rsidRPr="00154784" w:rsidRDefault="0092124E" w:rsidP="000C06F9">
      <w:pPr>
        <w:pStyle w:val="Style1"/>
        <w:ind w:left="851" w:hanging="851"/>
      </w:pPr>
      <w:r w:rsidRPr="00154784">
        <w:t>4.2</w:t>
      </w:r>
      <w:r w:rsidRPr="00154784">
        <w:tab/>
      </w:r>
      <w:proofErr w:type="spellStart"/>
      <w:r w:rsidRPr="00154784">
        <w:t>Farmakodynamiske</w:t>
      </w:r>
      <w:proofErr w:type="spellEnd"/>
      <w:r w:rsidRPr="00154784">
        <w:t xml:space="preserve"> oplysninger</w:t>
      </w:r>
    </w:p>
    <w:p w:rsidR="0092124E" w:rsidRPr="00154784" w:rsidRDefault="0092124E" w:rsidP="0092124E">
      <w:pPr>
        <w:rPr>
          <w:szCs w:val="22"/>
        </w:rPr>
      </w:pPr>
    </w:p>
    <w:p w:rsidR="0092124E" w:rsidRPr="00154784" w:rsidRDefault="0092124E" w:rsidP="000C06F9">
      <w:pPr>
        <w:ind w:firstLine="851"/>
        <w:rPr>
          <w:szCs w:val="22"/>
        </w:rPr>
      </w:pPr>
      <w:proofErr w:type="spellStart"/>
      <w:r w:rsidRPr="00154784">
        <w:rPr>
          <w:szCs w:val="22"/>
        </w:rPr>
        <w:t>Metoclopramid</w:t>
      </w:r>
      <w:proofErr w:type="spellEnd"/>
      <w:r w:rsidRPr="00154784">
        <w:rPr>
          <w:szCs w:val="22"/>
        </w:rPr>
        <w:t xml:space="preserve"> er en original </w:t>
      </w:r>
      <w:proofErr w:type="spellStart"/>
      <w:r w:rsidRPr="00154784">
        <w:rPr>
          <w:szCs w:val="22"/>
        </w:rPr>
        <w:t>orthopramidmolekyle</w:t>
      </w:r>
      <w:proofErr w:type="spellEnd"/>
      <w:r w:rsidRPr="00154784">
        <w:rPr>
          <w:szCs w:val="22"/>
        </w:rPr>
        <w:t>.</w:t>
      </w:r>
    </w:p>
    <w:p w:rsidR="0092124E" w:rsidRPr="00154784" w:rsidRDefault="0092124E" w:rsidP="000C06F9">
      <w:pPr>
        <w:ind w:left="851"/>
        <w:rPr>
          <w:szCs w:val="22"/>
        </w:rPr>
      </w:pPr>
      <w:proofErr w:type="spellStart"/>
      <w:r w:rsidRPr="00154784">
        <w:rPr>
          <w:szCs w:val="22"/>
        </w:rPr>
        <w:t>Metoclopramids</w:t>
      </w:r>
      <w:proofErr w:type="spellEnd"/>
      <w:r w:rsidRPr="00154784">
        <w:rPr>
          <w:szCs w:val="22"/>
        </w:rPr>
        <w:t xml:space="preserve"> </w:t>
      </w:r>
      <w:proofErr w:type="spellStart"/>
      <w:r w:rsidRPr="00154784">
        <w:rPr>
          <w:szCs w:val="22"/>
        </w:rPr>
        <w:t>antiemetiske</w:t>
      </w:r>
      <w:proofErr w:type="spellEnd"/>
      <w:r w:rsidRPr="00154784">
        <w:rPr>
          <w:szCs w:val="22"/>
        </w:rPr>
        <w:t xml:space="preserve"> virkning skyldes hovedsageligt antagonistaktiviteten på D2-receptorer i centralnervesystemet, der forhindrer kvalme og opkastning udløst af de fleste stimuli.</w:t>
      </w:r>
    </w:p>
    <w:p w:rsidR="0092124E" w:rsidRPr="00154784" w:rsidRDefault="0092124E" w:rsidP="000C06F9">
      <w:pPr>
        <w:ind w:left="851"/>
        <w:rPr>
          <w:szCs w:val="22"/>
        </w:rPr>
      </w:pPr>
      <w:r w:rsidRPr="00154784">
        <w:rPr>
          <w:szCs w:val="22"/>
        </w:rPr>
        <w:t xml:space="preserve">Den prokinetiske virkning på den </w:t>
      </w:r>
      <w:proofErr w:type="spellStart"/>
      <w:r w:rsidRPr="00154784">
        <w:rPr>
          <w:szCs w:val="22"/>
        </w:rPr>
        <w:t>gastroduodenale</w:t>
      </w:r>
      <w:proofErr w:type="spellEnd"/>
      <w:r w:rsidRPr="00154784">
        <w:rPr>
          <w:szCs w:val="22"/>
        </w:rPr>
        <w:t xml:space="preserve"> passage (øget intensitet og rytme af mavesammentrækninger og åbning af </w:t>
      </w:r>
      <w:proofErr w:type="spellStart"/>
      <w:r w:rsidRPr="00154784">
        <w:rPr>
          <w:szCs w:val="22"/>
        </w:rPr>
        <w:t>pylorus</w:t>
      </w:r>
      <w:proofErr w:type="spellEnd"/>
      <w:r w:rsidRPr="00154784">
        <w:rPr>
          <w:szCs w:val="22"/>
        </w:rPr>
        <w:t xml:space="preserve">) medieres af </w:t>
      </w:r>
      <w:proofErr w:type="spellStart"/>
      <w:r w:rsidRPr="00154784">
        <w:rPr>
          <w:szCs w:val="22"/>
        </w:rPr>
        <w:t>muskarin</w:t>
      </w:r>
      <w:proofErr w:type="spellEnd"/>
      <w:r w:rsidRPr="00154784">
        <w:rPr>
          <w:szCs w:val="22"/>
        </w:rPr>
        <w:t xml:space="preserve"> aktivitet, D2-receptor antagonistaktivitet og 5-HT4-receptor agonistaktivitet på det </w:t>
      </w:r>
      <w:proofErr w:type="spellStart"/>
      <w:r w:rsidRPr="00154784">
        <w:rPr>
          <w:szCs w:val="22"/>
        </w:rPr>
        <w:t>gastrointestinale</w:t>
      </w:r>
      <w:proofErr w:type="spellEnd"/>
      <w:r w:rsidRPr="00154784">
        <w:rPr>
          <w:szCs w:val="22"/>
        </w:rPr>
        <w:t xml:space="preserve"> niveau.</w:t>
      </w:r>
    </w:p>
    <w:p w:rsidR="0092124E" w:rsidRPr="00154784" w:rsidRDefault="0092124E" w:rsidP="0092124E">
      <w:pPr>
        <w:rPr>
          <w:szCs w:val="22"/>
        </w:rPr>
      </w:pPr>
    </w:p>
    <w:p w:rsidR="0092124E" w:rsidRPr="00154784" w:rsidRDefault="0092124E" w:rsidP="000C06F9">
      <w:pPr>
        <w:pStyle w:val="Style1"/>
        <w:ind w:left="851" w:hanging="851"/>
      </w:pPr>
      <w:r w:rsidRPr="00154784">
        <w:t>4.3</w:t>
      </w:r>
      <w:r w:rsidRPr="00154784">
        <w:tab/>
      </w:r>
      <w:proofErr w:type="spellStart"/>
      <w:r w:rsidRPr="00154784">
        <w:t>Farmakokinetiske</w:t>
      </w:r>
      <w:proofErr w:type="spellEnd"/>
      <w:r w:rsidRPr="00154784">
        <w:t xml:space="preserve"> oplysninger</w:t>
      </w:r>
    </w:p>
    <w:p w:rsidR="0092124E" w:rsidRPr="00154784" w:rsidRDefault="0092124E" w:rsidP="0092124E">
      <w:pPr>
        <w:rPr>
          <w:szCs w:val="22"/>
        </w:rPr>
      </w:pPr>
    </w:p>
    <w:p w:rsidR="0092124E" w:rsidRPr="00154784" w:rsidRDefault="0092124E" w:rsidP="000C06F9">
      <w:pPr>
        <w:ind w:firstLine="851"/>
        <w:rPr>
          <w:bCs/>
          <w:szCs w:val="22"/>
        </w:rPr>
      </w:pPr>
      <w:proofErr w:type="spellStart"/>
      <w:r w:rsidRPr="00154784">
        <w:rPr>
          <w:bCs/>
          <w:szCs w:val="22"/>
        </w:rPr>
        <w:t>Metoclopramid</w:t>
      </w:r>
      <w:proofErr w:type="spellEnd"/>
      <w:r w:rsidRPr="00154784">
        <w:rPr>
          <w:bCs/>
          <w:szCs w:val="22"/>
        </w:rPr>
        <w:t xml:space="preserve"> absorberes hurtigt og fuldstændigt efter parenteral administration.</w:t>
      </w:r>
    </w:p>
    <w:p w:rsidR="0092124E" w:rsidRPr="00154784" w:rsidRDefault="0092124E" w:rsidP="000C06F9">
      <w:pPr>
        <w:ind w:left="851"/>
        <w:rPr>
          <w:bCs/>
          <w:szCs w:val="22"/>
        </w:rPr>
      </w:pPr>
      <w:r w:rsidRPr="00154784">
        <w:rPr>
          <w:bCs/>
          <w:szCs w:val="22"/>
        </w:rPr>
        <w:t>Efter subkutan administration til hunde og katte opnås maksimale koncentrationer efter 15-30 minutter.</w:t>
      </w:r>
    </w:p>
    <w:p w:rsidR="0092124E" w:rsidRPr="00154784" w:rsidRDefault="0092124E" w:rsidP="000C06F9">
      <w:pPr>
        <w:ind w:left="851"/>
        <w:rPr>
          <w:bCs/>
          <w:szCs w:val="22"/>
        </w:rPr>
      </w:pPr>
      <w:proofErr w:type="spellStart"/>
      <w:r w:rsidRPr="00154784">
        <w:rPr>
          <w:bCs/>
          <w:szCs w:val="22"/>
        </w:rPr>
        <w:t>Metoclopramid</w:t>
      </w:r>
      <w:proofErr w:type="spellEnd"/>
      <w:r w:rsidRPr="00154784">
        <w:rPr>
          <w:bCs/>
          <w:szCs w:val="22"/>
        </w:rPr>
        <w:t xml:space="preserve"> distribueres hurtigt til de fleste væv og væsker, penetrerer blodhjerne-barrieren og kommer ind i centralnervesystemet.</w:t>
      </w:r>
    </w:p>
    <w:p w:rsidR="0092124E" w:rsidRPr="00154784" w:rsidRDefault="0092124E" w:rsidP="000C06F9">
      <w:pPr>
        <w:ind w:firstLine="851"/>
        <w:rPr>
          <w:bCs/>
          <w:szCs w:val="22"/>
        </w:rPr>
      </w:pPr>
      <w:proofErr w:type="spellStart"/>
      <w:r w:rsidRPr="00154784">
        <w:rPr>
          <w:bCs/>
          <w:szCs w:val="22"/>
        </w:rPr>
        <w:t>Metoclopramid</w:t>
      </w:r>
      <w:proofErr w:type="spellEnd"/>
      <w:r w:rsidRPr="00154784">
        <w:rPr>
          <w:bCs/>
          <w:szCs w:val="22"/>
        </w:rPr>
        <w:t xml:space="preserve"> </w:t>
      </w:r>
      <w:proofErr w:type="spellStart"/>
      <w:r w:rsidRPr="00154784">
        <w:rPr>
          <w:bCs/>
          <w:szCs w:val="22"/>
        </w:rPr>
        <w:t>metaboliseres</w:t>
      </w:r>
      <w:proofErr w:type="spellEnd"/>
      <w:r w:rsidRPr="00154784">
        <w:rPr>
          <w:bCs/>
          <w:szCs w:val="22"/>
        </w:rPr>
        <w:t xml:space="preserve"> af leveren.</w:t>
      </w:r>
    </w:p>
    <w:p w:rsidR="0092124E" w:rsidRPr="00154784" w:rsidRDefault="0092124E" w:rsidP="000C06F9">
      <w:pPr>
        <w:ind w:left="851"/>
        <w:rPr>
          <w:bCs/>
          <w:szCs w:val="22"/>
        </w:rPr>
      </w:pPr>
      <w:r w:rsidRPr="00154784">
        <w:rPr>
          <w:bCs/>
          <w:szCs w:val="22"/>
        </w:rPr>
        <w:t xml:space="preserve">Elimination af </w:t>
      </w:r>
      <w:proofErr w:type="spellStart"/>
      <w:r w:rsidRPr="00154784">
        <w:rPr>
          <w:bCs/>
          <w:szCs w:val="22"/>
        </w:rPr>
        <w:t>metoclopramid</w:t>
      </w:r>
      <w:proofErr w:type="spellEnd"/>
      <w:r w:rsidRPr="00154784">
        <w:rPr>
          <w:bCs/>
          <w:szCs w:val="22"/>
        </w:rPr>
        <w:t xml:space="preserve"> er hurtig, og 65 % af den indgivne dosis elimineres i hunde, primært med urinen, inden for 24 timer.</w:t>
      </w:r>
    </w:p>
    <w:p w:rsidR="0092124E" w:rsidRPr="00154784" w:rsidRDefault="0092124E" w:rsidP="0092124E">
      <w:pPr>
        <w:rPr>
          <w:szCs w:val="22"/>
        </w:rPr>
      </w:pPr>
    </w:p>
    <w:p w:rsidR="0092124E" w:rsidRPr="00154784" w:rsidRDefault="0092124E" w:rsidP="0092124E">
      <w:pPr>
        <w:rPr>
          <w:szCs w:val="22"/>
        </w:rPr>
      </w:pPr>
    </w:p>
    <w:p w:rsidR="0092124E" w:rsidRPr="00154784" w:rsidRDefault="0092124E" w:rsidP="000C06F9">
      <w:pPr>
        <w:pStyle w:val="Style1"/>
        <w:ind w:left="851" w:hanging="851"/>
      </w:pPr>
      <w:r w:rsidRPr="00154784">
        <w:t>5.</w:t>
      </w:r>
      <w:r w:rsidRPr="00154784">
        <w:tab/>
        <w:t>FARMACEUTISKE OPLYSNINGER</w:t>
      </w:r>
    </w:p>
    <w:p w:rsidR="0092124E" w:rsidRPr="00154784" w:rsidRDefault="0092124E" w:rsidP="0092124E">
      <w:pPr>
        <w:rPr>
          <w:szCs w:val="22"/>
        </w:rPr>
      </w:pPr>
    </w:p>
    <w:p w:rsidR="0092124E" w:rsidRPr="00154784" w:rsidRDefault="0092124E" w:rsidP="000C06F9">
      <w:pPr>
        <w:pStyle w:val="Style1"/>
        <w:ind w:left="851" w:hanging="851"/>
      </w:pPr>
      <w:r w:rsidRPr="00154784">
        <w:t>5.1</w:t>
      </w:r>
      <w:r w:rsidRPr="00154784">
        <w:tab/>
        <w:t>Væsentlige uforligeligheder</w:t>
      </w:r>
    </w:p>
    <w:p w:rsidR="0092124E" w:rsidRPr="00154784" w:rsidRDefault="0092124E" w:rsidP="0092124E">
      <w:pPr>
        <w:rPr>
          <w:szCs w:val="22"/>
        </w:rPr>
      </w:pPr>
    </w:p>
    <w:p w:rsidR="0092124E" w:rsidRPr="00154784" w:rsidRDefault="0092124E" w:rsidP="000C06F9">
      <w:pPr>
        <w:ind w:left="851"/>
        <w:rPr>
          <w:szCs w:val="22"/>
        </w:rPr>
      </w:pPr>
      <w:r w:rsidRPr="00154784">
        <w:rPr>
          <w:szCs w:val="22"/>
        </w:rPr>
        <w:t>Da der ikke foreligger undersøgelser vedrørende eventuelle uforligeligheder, bør dette veterinærlægemiddel ikke blandes med andre veterinærlægemidler.</w:t>
      </w:r>
    </w:p>
    <w:p w:rsidR="0092124E" w:rsidRPr="00154784" w:rsidRDefault="0092124E" w:rsidP="0092124E">
      <w:pPr>
        <w:rPr>
          <w:szCs w:val="22"/>
        </w:rPr>
      </w:pPr>
    </w:p>
    <w:p w:rsidR="0092124E" w:rsidRPr="00154784" w:rsidRDefault="0092124E" w:rsidP="000C06F9">
      <w:pPr>
        <w:pStyle w:val="Style1"/>
        <w:ind w:left="851" w:hanging="851"/>
      </w:pPr>
      <w:r w:rsidRPr="00154784">
        <w:t>5.2</w:t>
      </w:r>
      <w:r w:rsidRPr="00154784">
        <w:tab/>
        <w:t>Opbevaringstid</w:t>
      </w:r>
    </w:p>
    <w:p w:rsidR="0092124E" w:rsidRPr="00154784" w:rsidRDefault="0092124E" w:rsidP="0092124E">
      <w:pPr>
        <w:rPr>
          <w:szCs w:val="22"/>
        </w:rPr>
      </w:pPr>
    </w:p>
    <w:p w:rsidR="0092124E" w:rsidRPr="00154784" w:rsidRDefault="0092124E" w:rsidP="000C06F9">
      <w:pPr>
        <w:ind w:left="851"/>
        <w:rPr>
          <w:szCs w:val="22"/>
          <w:lang w:eastAsia="da-DK"/>
        </w:rPr>
      </w:pPr>
      <w:r>
        <w:rPr>
          <w:szCs w:val="22"/>
        </w:rPr>
        <w:t>Opbevaringstid for veterinærlægemidlet i</w:t>
      </w:r>
      <w:r w:rsidRPr="00154784">
        <w:rPr>
          <w:szCs w:val="22"/>
        </w:rPr>
        <w:t xml:space="preserve"> salgspakning: 3 år. </w:t>
      </w:r>
    </w:p>
    <w:p w:rsidR="0092124E" w:rsidRPr="00154784" w:rsidRDefault="0092124E" w:rsidP="000C06F9">
      <w:pPr>
        <w:ind w:firstLine="851"/>
        <w:rPr>
          <w:szCs w:val="22"/>
        </w:rPr>
      </w:pPr>
      <w:r>
        <w:rPr>
          <w:szCs w:val="22"/>
        </w:rPr>
        <w:t>Opbevaringstid e</w:t>
      </w:r>
      <w:r w:rsidRPr="00154784">
        <w:rPr>
          <w:szCs w:val="22"/>
        </w:rPr>
        <w:t>fter første åbning af den indre emballage: 28 dage.</w:t>
      </w:r>
    </w:p>
    <w:p w:rsidR="0092124E" w:rsidRPr="00154784" w:rsidRDefault="0092124E" w:rsidP="0092124E">
      <w:pPr>
        <w:rPr>
          <w:szCs w:val="22"/>
        </w:rPr>
      </w:pPr>
    </w:p>
    <w:p w:rsidR="0092124E" w:rsidRPr="00154784" w:rsidRDefault="0092124E" w:rsidP="000C06F9">
      <w:pPr>
        <w:pStyle w:val="Style1"/>
        <w:ind w:left="851" w:hanging="851"/>
      </w:pPr>
      <w:r w:rsidRPr="00154784">
        <w:t>5.3</w:t>
      </w:r>
      <w:r w:rsidRPr="00154784">
        <w:tab/>
        <w:t>Særlige forholdsregler vedrørende opbevaring</w:t>
      </w:r>
    </w:p>
    <w:p w:rsidR="0092124E" w:rsidRPr="00154784" w:rsidRDefault="0092124E" w:rsidP="0092124E">
      <w:pPr>
        <w:rPr>
          <w:szCs w:val="22"/>
        </w:rPr>
      </w:pPr>
    </w:p>
    <w:p w:rsidR="0092124E" w:rsidRPr="00154784" w:rsidRDefault="0092124E" w:rsidP="000C06F9">
      <w:pPr>
        <w:ind w:left="851"/>
        <w:rPr>
          <w:szCs w:val="22"/>
          <w:lang w:eastAsia="da-DK"/>
        </w:rPr>
      </w:pPr>
      <w:r w:rsidRPr="00154784">
        <w:rPr>
          <w:szCs w:val="22"/>
        </w:rPr>
        <w:t xml:space="preserve">Opbevar hætteglasset i den ydre </w:t>
      </w:r>
      <w:r>
        <w:rPr>
          <w:szCs w:val="22"/>
        </w:rPr>
        <w:t>æske</w:t>
      </w:r>
      <w:r w:rsidRPr="00154784">
        <w:rPr>
          <w:szCs w:val="22"/>
        </w:rPr>
        <w:t xml:space="preserve"> for at beskytte mod lys.</w:t>
      </w:r>
    </w:p>
    <w:p w:rsidR="0092124E" w:rsidRPr="00154784" w:rsidRDefault="0092124E" w:rsidP="000C06F9">
      <w:pPr>
        <w:ind w:firstLine="851"/>
        <w:rPr>
          <w:szCs w:val="22"/>
        </w:rPr>
      </w:pPr>
      <w:r w:rsidRPr="00154784">
        <w:rPr>
          <w:szCs w:val="22"/>
        </w:rPr>
        <w:t>Må ikke nedfryses.</w:t>
      </w:r>
    </w:p>
    <w:p w:rsidR="0092124E" w:rsidRPr="00154784" w:rsidRDefault="0092124E" w:rsidP="0092124E">
      <w:pPr>
        <w:rPr>
          <w:szCs w:val="22"/>
        </w:rPr>
      </w:pPr>
    </w:p>
    <w:p w:rsidR="0092124E" w:rsidRPr="00154784" w:rsidRDefault="0092124E" w:rsidP="000C06F9">
      <w:pPr>
        <w:pStyle w:val="Style1"/>
        <w:ind w:left="851" w:hanging="851"/>
      </w:pPr>
      <w:r w:rsidRPr="00154784">
        <w:t>5.4</w:t>
      </w:r>
      <w:r w:rsidRPr="00154784">
        <w:tab/>
        <w:t>Den indre emballages art og indhold</w:t>
      </w:r>
    </w:p>
    <w:p w:rsidR="0092124E" w:rsidRPr="00154784" w:rsidRDefault="0092124E" w:rsidP="0092124E">
      <w:pPr>
        <w:rPr>
          <w:szCs w:val="22"/>
        </w:rPr>
      </w:pPr>
    </w:p>
    <w:p w:rsidR="0092124E" w:rsidRPr="00154784" w:rsidRDefault="0092124E" w:rsidP="000C06F9">
      <w:pPr>
        <w:ind w:firstLine="851"/>
        <w:rPr>
          <w:szCs w:val="22"/>
        </w:rPr>
      </w:pPr>
      <w:r w:rsidRPr="00154784">
        <w:rPr>
          <w:szCs w:val="22"/>
        </w:rPr>
        <w:t>Klart, farveløst hætteglas (type I)</w:t>
      </w:r>
    </w:p>
    <w:p w:rsidR="0092124E" w:rsidRPr="00154784" w:rsidRDefault="0092124E" w:rsidP="000C06F9">
      <w:pPr>
        <w:ind w:firstLine="851"/>
        <w:rPr>
          <w:szCs w:val="22"/>
        </w:rPr>
      </w:pPr>
      <w:r w:rsidRPr="00154784">
        <w:rPr>
          <w:szCs w:val="22"/>
        </w:rPr>
        <w:t xml:space="preserve">Rød </w:t>
      </w:r>
      <w:proofErr w:type="spellStart"/>
      <w:r w:rsidRPr="00154784">
        <w:rPr>
          <w:szCs w:val="22"/>
        </w:rPr>
        <w:t>chlorobutylprop</w:t>
      </w:r>
      <w:proofErr w:type="spellEnd"/>
      <w:r w:rsidRPr="00154784">
        <w:rPr>
          <w:szCs w:val="22"/>
        </w:rPr>
        <w:t xml:space="preserve"> (20</w:t>
      </w:r>
      <w:r>
        <w:rPr>
          <w:szCs w:val="22"/>
        </w:rPr>
        <w:t> </w:t>
      </w:r>
      <w:r w:rsidRPr="00154784">
        <w:rPr>
          <w:szCs w:val="22"/>
        </w:rPr>
        <w:t>mm)</w:t>
      </w:r>
    </w:p>
    <w:p w:rsidR="0092124E" w:rsidRPr="00154784" w:rsidRDefault="0092124E" w:rsidP="000C06F9">
      <w:pPr>
        <w:ind w:firstLine="851"/>
        <w:rPr>
          <w:szCs w:val="22"/>
        </w:rPr>
      </w:pPr>
      <w:r w:rsidRPr="00154784">
        <w:rPr>
          <w:szCs w:val="22"/>
        </w:rPr>
        <w:t>Aluminiumshætte (20</w:t>
      </w:r>
      <w:r>
        <w:rPr>
          <w:szCs w:val="22"/>
        </w:rPr>
        <w:t> </w:t>
      </w:r>
      <w:r w:rsidRPr="00154784">
        <w:rPr>
          <w:szCs w:val="22"/>
        </w:rPr>
        <w:t>mm)</w:t>
      </w:r>
    </w:p>
    <w:p w:rsidR="0092124E" w:rsidRPr="00154784" w:rsidRDefault="0092124E" w:rsidP="0092124E">
      <w:pPr>
        <w:rPr>
          <w:szCs w:val="22"/>
        </w:rPr>
      </w:pPr>
    </w:p>
    <w:p w:rsidR="0092124E" w:rsidRPr="00154784" w:rsidRDefault="0092124E" w:rsidP="000C06F9">
      <w:pPr>
        <w:ind w:firstLine="851"/>
        <w:rPr>
          <w:szCs w:val="22"/>
        </w:rPr>
      </w:pPr>
      <w:r w:rsidRPr="00154784">
        <w:rPr>
          <w:szCs w:val="22"/>
        </w:rPr>
        <w:t>Pakningsstørrelser:</w:t>
      </w:r>
    </w:p>
    <w:p w:rsidR="0092124E" w:rsidRPr="00154784" w:rsidRDefault="0092124E" w:rsidP="000C06F9">
      <w:pPr>
        <w:ind w:firstLine="851"/>
        <w:rPr>
          <w:szCs w:val="22"/>
        </w:rPr>
      </w:pPr>
      <w:r w:rsidRPr="00154784">
        <w:rPr>
          <w:szCs w:val="22"/>
        </w:rPr>
        <w:t>Karton med et hætteglas med 5, 10, 20, 25, 30 eller 50</w:t>
      </w:r>
      <w:r>
        <w:rPr>
          <w:szCs w:val="22"/>
        </w:rPr>
        <w:t> </w:t>
      </w:r>
      <w:r w:rsidRPr="00154784">
        <w:rPr>
          <w:szCs w:val="22"/>
        </w:rPr>
        <w:t>ml.</w:t>
      </w:r>
    </w:p>
    <w:p w:rsidR="0092124E" w:rsidRPr="00154784" w:rsidRDefault="0092124E" w:rsidP="0092124E">
      <w:pPr>
        <w:rPr>
          <w:szCs w:val="22"/>
        </w:rPr>
      </w:pPr>
    </w:p>
    <w:p w:rsidR="0092124E" w:rsidRPr="00154784" w:rsidRDefault="0092124E" w:rsidP="000C06F9">
      <w:pPr>
        <w:ind w:firstLine="851"/>
        <w:rPr>
          <w:szCs w:val="22"/>
        </w:rPr>
      </w:pPr>
      <w:r w:rsidRPr="00154784">
        <w:rPr>
          <w:szCs w:val="22"/>
        </w:rPr>
        <w:t>Ikke alle pakningsstørrelser er nødvendigvis markedsført.</w:t>
      </w:r>
    </w:p>
    <w:p w:rsidR="0092124E" w:rsidRPr="00154784" w:rsidRDefault="0092124E" w:rsidP="0092124E">
      <w:pPr>
        <w:rPr>
          <w:szCs w:val="22"/>
        </w:rPr>
      </w:pPr>
    </w:p>
    <w:p w:rsidR="0092124E" w:rsidRPr="00154784" w:rsidRDefault="0092124E" w:rsidP="000C06F9">
      <w:pPr>
        <w:pStyle w:val="Style1"/>
        <w:ind w:left="851" w:hanging="851"/>
      </w:pPr>
      <w:r w:rsidRPr="00154784">
        <w:t>5.5</w:t>
      </w:r>
      <w:r w:rsidRPr="00154784">
        <w:tab/>
        <w:t>Særlige forholdsregler vedrørende bortskaffelse af ubrugte veterinærlægemidler eller affaldsmaterialer fra brugen heraf</w:t>
      </w:r>
    </w:p>
    <w:p w:rsidR="0092124E" w:rsidRPr="00154784" w:rsidRDefault="0092124E" w:rsidP="0092124E">
      <w:pPr>
        <w:rPr>
          <w:szCs w:val="22"/>
        </w:rPr>
      </w:pPr>
    </w:p>
    <w:p w:rsidR="0092124E" w:rsidRPr="00154784" w:rsidRDefault="0092124E" w:rsidP="000C06F9">
      <w:pPr>
        <w:ind w:left="-142" w:firstLine="993"/>
        <w:rPr>
          <w:szCs w:val="22"/>
        </w:rPr>
      </w:pPr>
      <w:r w:rsidRPr="00154784">
        <w:rPr>
          <w:szCs w:val="22"/>
        </w:rPr>
        <w:t>Lægemidler må ikke bortskaffes sammen med spildevand eller husholdningsaffald.</w:t>
      </w:r>
    </w:p>
    <w:p w:rsidR="0092124E" w:rsidRPr="00154784" w:rsidRDefault="0092124E" w:rsidP="0092124E">
      <w:pPr>
        <w:rPr>
          <w:szCs w:val="22"/>
        </w:rPr>
      </w:pPr>
    </w:p>
    <w:p w:rsidR="0092124E" w:rsidRPr="00154784" w:rsidRDefault="0092124E" w:rsidP="000C06F9">
      <w:pPr>
        <w:ind w:left="851" w:right="-143"/>
        <w:rPr>
          <w:szCs w:val="22"/>
        </w:rPr>
      </w:pPr>
      <w:r w:rsidRPr="00154784">
        <w:rPr>
          <w:szCs w:val="22"/>
        </w:rPr>
        <w:t>Benyt returordninger ved bortskaffelse af ubrugte veterinærlægemidler eller affaldsmaterialer herfra i henhold til lokale retningslinjer og nationale indsamlingsordninger, der er relevante for det pågældende veterinærlægemiddel.</w:t>
      </w:r>
    </w:p>
    <w:p w:rsidR="0092124E" w:rsidRPr="00154784" w:rsidRDefault="0092124E" w:rsidP="0092124E">
      <w:pPr>
        <w:rPr>
          <w:szCs w:val="22"/>
        </w:rPr>
      </w:pPr>
    </w:p>
    <w:p w:rsidR="0092124E" w:rsidRPr="00154784" w:rsidRDefault="0092124E" w:rsidP="0092124E">
      <w:pPr>
        <w:rPr>
          <w:szCs w:val="22"/>
        </w:rPr>
      </w:pPr>
    </w:p>
    <w:p w:rsidR="0092124E" w:rsidRPr="00154784" w:rsidRDefault="0092124E" w:rsidP="000C06F9">
      <w:pPr>
        <w:pStyle w:val="Style1"/>
        <w:ind w:left="851" w:hanging="851"/>
      </w:pPr>
      <w:r w:rsidRPr="00154784">
        <w:t>6.</w:t>
      </w:r>
      <w:r w:rsidRPr="00154784">
        <w:tab/>
        <w:t>NAVN PÅ INDEHAVEREN AF MARKEDSFØRINGSTILLADELSEN</w:t>
      </w:r>
    </w:p>
    <w:p w:rsidR="0092124E" w:rsidRPr="00154784" w:rsidRDefault="0092124E" w:rsidP="0092124E">
      <w:pPr>
        <w:rPr>
          <w:szCs w:val="22"/>
        </w:rPr>
      </w:pPr>
    </w:p>
    <w:p w:rsidR="0092124E" w:rsidRPr="00154784" w:rsidRDefault="0092124E" w:rsidP="000C06F9">
      <w:pPr>
        <w:ind w:firstLine="851"/>
        <w:rPr>
          <w:szCs w:val="22"/>
        </w:rPr>
      </w:pPr>
      <w:r w:rsidRPr="00154784">
        <w:rPr>
          <w:szCs w:val="22"/>
        </w:rPr>
        <w:t xml:space="preserve">Le </w:t>
      </w:r>
      <w:proofErr w:type="spellStart"/>
      <w:r w:rsidRPr="00154784">
        <w:rPr>
          <w:szCs w:val="22"/>
        </w:rPr>
        <w:t>Vet</w:t>
      </w:r>
      <w:proofErr w:type="spellEnd"/>
      <w:r w:rsidRPr="00154784">
        <w:rPr>
          <w:szCs w:val="22"/>
        </w:rPr>
        <w:t xml:space="preserve"> </w:t>
      </w:r>
      <w:proofErr w:type="spellStart"/>
      <w:r w:rsidRPr="00154784">
        <w:rPr>
          <w:szCs w:val="22"/>
        </w:rPr>
        <w:t>Beheer</w:t>
      </w:r>
      <w:proofErr w:type="spellEnd"/>
      <w:r w:rsidRPr="00154784">
        <w:rPr>
          <w:szCs w:val="22"/>
        </w:rPr>
        <w:t xml:space="preserve"> B.V.</w:t>
      </w:r>
    </w:p>
    <w:p w:rsidR="0092124E" w:rsidRPr="00154784" w:rsidRDefault="0092124E" w:rsidP="0092124E">
      <w:pPr>
        <w:rPr>
          <w:szCs w:val="22"/>
        </w:rPr>
      </w:pPr>
    </w:p>
    <w:p w:rsidR="0092124E" w:rsidRPr="00154784" w:rsidRDefault="0092124E" w:rsidP="0092124E">
      <w:pPr>
        <w:pStyle w:val="Style1"/>
      </w:pPr>
    </w:p>
    <w:p w:rsidR="0092124E" w:rsidRPr="00154784" w:rsidRDefault="0092124E" w:rsidP="000C06F9">
      <w:pPr>
        <w:pStyle w:val="Style1"/>
        <w:ind w:left="851" w:hanging="851"/>
      </w:pPr>
      <w:r w:rsidRPr="00154784">
        <w:t>7.</w:t>
      </w:r>
      <w:r w:rsidRPr="00154784">
        <w:tab/>
        <w:t>MARKEDSFØRINGSTILLADELSESNUMM</w:t>
      </w:r>
      <w:r>
        <w:t>ER (-NUM</w:t>
      </w:r>
      <w:r w:rsidRPr="00154784">
        <w:t>RE</w:t>
      </w:r>
      <w:r>
        <w:t>)</w:t>
      </w:r>
    </w:p>
    <w:p w:rsidR="0092124E" w:rsidRPr="00154784" w:rsidRDefault="000C06F9" w:rsidP="0092124E">
      <w:pPr>
        <w:ind w:left="851" w:hanging="851"/>
        <w:rPr>
          <w:szCs w:val="22"/>
        </w:rPr>
      </w:pPr>
      <w:r>
        <w:rPr>
          <w:szCs w:val="22"/>
        </w:rPr>
        <w:tab/>
      </w:r>
    </w:p>
    <w:p w:rsidR="0092124E" w:rsidRPr="00154784" w:rsidRDefault="0092124E" w:rsidP="000C06F9">
      <w:pPr>
        <w:ind w:left="851"/>
        <w:rPr>
          <w:szCs w:val="22"/>
        </w:rPr>
      </w:pPr>
      <w:r w:rsidRPr="00154784">
        <w:rPr>
          <w:szCs w:val="22"/>
        </w:rPr>
        <w:t>2,5</w:t>
      </w:r>
      <w:r>
        <w:rPr>
          <w:szCs w:val="22"/>
        </w:rPr>
        <w:t> </w:t>
      </w:r>
      <w:r w:rsidRPr="00154784">
        <w:rPr>
          <w:szCs w:val="22"/>
        </w:rPr>
        <w:t>mg/ml:</w:t>
      </w:r>
      <w:r w:rsidRPr="00154784">
        <w:rPr>
          <w:szCs w:val="22"/>
        </w:rPr>
        <w:tab/>
        <w:t>52787</w:t>
      </w:r>
    </w:p>
    <w:p w:rsidR="0092124E" w:rsidRPr="00154784" w:rsidRDefault="0092124E" w:rsidP="000C06F9">
      <w:pPr>
        <w:ind w:firstLine="851"/>
        <w:rPr>
          <w:szCs w:val="22"/>
        </w:rPr>
      </w:pPr>
      <w:r w:rsidRPr="00154784">
        <w:rPr>
          <w:szCs w:val="22"/>
        </w:rPr>
        <w:t>5</w:t>
      </w:r>
      <w:r>
        <w:rPr>
          <w:szCs w:val="22"/>
        </w:rPr>
        <w:t> </w:t>
      </w:r>
      <w:r w:rsidRPr="00154784">
        <w:rPr>
          <w:szCs w:val="22"/>
        </w:rPr>
        <w:t>mg/ml:</w:t>
      </w:r>
      <w:r w:rsidRPr="00154784">
        <w:rPr>
          <w:szCs w:val="22"/>
        </w:rPr>
        <w:tab/>
        <w:t>52788</w:t>
      </w:r>
    </w:p>
    <w:p w:rsidR="0092124E" w:rsidRPr="00154784" w:rsidRDefault="0092124E" w:rsidP="0092124E">
      <w:pPr>
        <w:rPr>
          <w:szCs w:val="22"/>
        </w:rPr>
      </w:pPr>
    </w:p>
    <w:p w:rsidR="0092124E" w:rsidRPr="00154784" w:rsidRDefault="0092124E" w:rsidP="0092124E">
      <w:pPr>
        <w:rPr>
          <w:szCs w:val="22"/>
        </w:rPr>
      </w:pPr>
    </w:p>
    <w:p w:rsidR="0092124E" w:rsidRPr="00154784" w:rsidRDefault="0092124E" w:rsidP="000C06F9">
      <w:pPr>
        <w:pStyle w:val="Style1"/>
        <w:ind w:left="851" w:hanging="851"/>
      </w:pPr>
      <w:r w:rsidRPr="00154784">
        <w:t>8.</w:t>
      </w:r>
      <w:r w:rsidRPr="00154784">
        <w:tab/>
        <w:t>DATO FOR FØRSTE TILLADELSE</w:t>
      </w:r>
    </w:p>
    <w:p w:rsidR="0092124E" w:rsidRPr="00154784" w:rsidRDefault="0092124E" w:rsidP="0092124E">
      <w:pPr>
        <w:rPr>
          <w:szCs w:val="22"/>
        </w:rPr>
      </w:pPr>
    </w:p>
    <w:p w:rsidR="0092124E" w:rsidRPr="00154784" w:rsidRDefault="0092124E" w:rsidP="000C06F9">
      <w:pPr>
        <w:ind w:firstLine="851"/>
        <w:rPr>
          <w:szCs w:val="22"/>
        </w:rPr>
      </w:pPr>
      <w:r>
        <w:rPr>
          <w:szCs w:val="22"/>
        </w:rPr>
        <w:lastRenderedPageBreak/>
        <w:t xml:space="preserve">Dato for første markedsføringstilladelse: </w:t>
      </w:r>
      <w:r w:rsidRPr="007A02A3">
        <w:rPr>
          <w:szCs w:val="22"/>
        </w:rPr>
        <w:t>10. september 2014</w:t>
      </w:r>
    </w:p>
    <w:p w:rsidR="0092124E" w:rsidRPr="00154784" w:rsidRDefault="0092124E" w:rsidP="0092124E">
      <w:pPr>
        <w:rPr>
          <w:szCs w:val="22"/>
        </w:rPr>
      </w:pPr>
    </w:p>
    <w:p w:rsidR="0092124E" w:rsidRPr="00154784" w:rsidRDefault="0092124E" w:rsidP="0092124E">
      <w:pPr>
        <w:rPr>
          <w:szCs w:val="22"/>
        </w:rPr>
      </w:pPr>
    </w:p>
    <w:p w:rsidR="0092124E" w:rsidRPr="00154784" w:rsidRDefault="0092124E" w:rsidP="000C06F9">
      <w:pPr>
        <w:pStyle w:val="Style1"/>
        <w:ind w:left="851" w:hanging="851"/>
      </w:pPr>
      <w:r w:rsidRPr="00154784">
        <w:t>9.</w:t>
      </w:r>
      <w:r w:rsidRPr="00154784">
        <w:tab/>
        <w:t>DATO FOR SENESTE ÆNDRING AF PRODUKTRESUMÉET</w:t>
      </w:r>
    </w:p>
    <w:p w:rsidR="0092124E" w:rsidRPr="00154784" w:rsidRDefault="0092124E" w:rsidP="0092124E">
      <w:pPr>
        <w:rPr>
          <w:szCs w:val="22"/>
        </w:rPr>
      </w:pPr>
    </w:p>
    <w:p w:rsidR="0092124E" w:rsidRPr="00154784" w:rsidRDefault="0092124E" w:rsidP="000C06F9">
      <w:pPr>
        <w:ind w:firstLine="851"/>
        <w:rPr>
          <w:szCs w:val="22"/>
        </w:rPr>
      </w:pPr>
      <w:r>
        <w:rPr>
          <w:szCs w:val="22"/>
        </w:rPr>
        <w:t>23. juli 2024</w:t>
      </w:r>
    </w:p>
    <w:p w:rsidR="0092124E" w:rsidRPr="00154784" w:rsidRDefault="0092124E" w:rsidP="0092124E">
      <w:pPr>
        <w:rPr>
          <w:szCs w:val="22"/>
        </w:rPr>
      </w:pPr>
    </w:p>
    <w:p w:rsidR="0092124E" w:rsidRPr="00154784" w:rsidRDefault="0092124E" w:rsidP="0092124E">
      <w:pPr>
        <w:rPr>
          <w:szCs w:val="22"/>
        </w:rPr>
      </w:pPr>
    </w:p>
    <w:p w:rsidR="0092124E" w:rsidRPr="00154784" w:rsidRDefault="0092124E" w:rsidP="000C06F9">
      <w:pPr>
        <w:pStyle w:val="Style1"/>
        <w:ind w:left="851" w:hanging="851"/>
      </w:pPr>
      <w:r w:rsidRPr="00154784">
        <w:t>10.</w:t>
      </w:r>
      <w:r w:rsidRPr="00154784">
        <w:tab/>
        <w:t>KLASSIFICERING AF VETERINÆRLÆGEMIDLER</w:t>
      </w:r>
    </w:p>
    <w:p w:rsidR="0092124E" w:rsidRPr="00154784" w:rsidRDefault="0092124E" w:rsidP="0092124E">
      <w:pPr>
        <w:rPr>
          <w:szCs w:val="22"/>
        </w:rPr>
      </w:pPr>
    </w:p>
    <w:p w:rsidR="0092124E" w:rsidRPr="00154784" w:rsidRDefault="0092124E" w:rsidP="000C06F9">
      <w:pPr>
        <w:numPr>
          <w:ilvl w:val="12"/>
          <w:numId w:val="0"/>
        </w:numPr>
        <w:ind w:firstLine="851"/>
        <w:rPr>
          <w:szCs w:val="22"/>
        </w:rPr>
      </w:pPr>
      <w:bookmarkStart w:id="1" w:name="_Hlk73467306"/>
      <w:r w:rsidRPr="00154784">
        <w:rPr>
          <w:szCs w:val="22"/>
        </w:rPr>
        <w:t>Veterinærlægemidlet udleveres kun på recept.</w:t>
      </w:r>
    </w:p>
    <w:p w:rsidR="0092124E" w:rsidRPr="00154784" w:rsidRDefault="0092124E" w:rsidP="0092124E">
      <w:pPr>
        <w:ind w:right="-318"/>
        <w:rPr>
          <w:szCs w:val="22"/>
        </w:rPr>
      </w:pPr>
    </w:p>
    <w:p w:rsidR="0092124E" w:rsidRPr="00EA7622" w:rsidRDefault="0092124E" w:rsidP="000C06F9">
      <w:pPr>
        <w:ind w:left="851" w:right="-318"/>
        <w:rPr>
          <w:szCs w:val="22"/>
          <w:lang w:val="en-US"/>
        </w:rPr>
      </w:pPr>
      <w:r w:rsidRPr="00154784">
        <w:rPr>
          <w:szCs w:val="22"/>
        </w:rPr>
        <w:t>Der findes detaljerede oplysninger om dette veterinærlægemiddel i EU-lægemiddeldatabasen.</w:t>
      </w:r>
      <w:r w:rsidRPr="009710D8">
        <w:t xml:space="preserve"> </w:t>
      </w:r>
      <w:bookmarkStart w:id="2" w:name="_GoBack"/>
      <w:bookmarkEnd w:id="2"/>
      <w:r w:rsidRPr="00EA7622">
        <w:rPr>
          <w:szCs w:val="22"/>
          <w:lang w:val="en-US"/>
        </w:rPr>
        <w:t>Union Product Database (https://medicines.health.europa.eu/veterinary).</w:t>
      </w:r>
    </w:p>
    <w:bookmarkEnd w:id="1"/>
    <w:p w:rsidR="0092124E" w:rsidRPr="00EA7622" w:rsidRDefault="0092124E" w:rsidP="0092124E">
      <w:pPr>
        <w:rPr>
          <w:szCs w:val="22"/>
          <w:lang w:val="en-US"/>
        </w:rPr>
      </w:pPr>
      <w:r w:rsidRPr="00EA7622">
        <w:rPr>
          <w:szCs w:val="22"/>
          <w:lang w:val="en-US"/>
        </w:rPr>
        <w:br w:type="page"/>
      </w:r>
    </w:p>
    <w:p w:rsidR="0003527F" w:rsidRPr="00FC433E" w:rsidRDefault="0003527F" w:rsidP="00FC433E"/>
    <w:sectPr w:rsidR="0003527F" w:rsidRPr="00FC433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33E" w:rsidRDefault="00FC433E">
      <w:r>
        <w:separator/>
      </w:r>
    </w:p>
  </w:endnote>
  <w:endnote w:type="continuationSeparator" w:id="0">
    <w:p w:rsidR="00FC433E" w:rsidRDefault="00FC4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7A7F59">
      <w:rPr>
        <w:i/>
        <w:noProof/>
        <w:snapToGrid w:val="0"/>
        <w:sz w:val="18"/>
      </w:rPr>
      <w:t>Metomotyl, injektionsvæske, opløsning 2,5 mg-ml og 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C433E">
      <w:rPr>
        <w:i/>
        <w:noProof/>
        <w:snapToGrid w:val="0"/>
        <w:sz w:val="18"/>
      </w:rPr>
      <w:t>Dokument483</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33E" w:rsidRDefault="00FC433E">
      <w:r>
        <w:separator/>
      </w:r>
    </w:p>
  </w:footnote>
  <w:footnote w:type="continuationSeparator" w:id="0">
    <w:p w:rsidR="00FC433E" w:rsidRDefault="00FC4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972B4"/>
    <w:multiLevelType w:val="hybridMultilevel"/>
    <w:tmpl w:val="5D2E3FA0"/>
    <w:lvl w:ilvl="0" w:tplc="9CF284F0">
      <w:start w:val="1"/>
      <w:numFmt w:val="bullet"/>
      <w:lvlText w:val=""/>
      <w:lvlJc w:val="left"/>
      <w:pPr>
        <w:ind w:left="1712" w:hanging="360"/>
      </w:pPr>
      <w:rPr>
        <w:rFonts w:ascii="Symbol" w:hAnsi="Symbol" w:hint="default"/>
      </w:rPr>
    </w:lvl>
    <w:lvl w:ilvl="1" w:tplc="04060003">
      <w:start w:val="1"/>
      <w:numFmt w:val="bullet"/>
      <w:lvlText w:val="o"/>
      <w:lvlJc w:val="left"/>
      <w:pPr>
        <w:ind w:left="2432" w:hanging="360"/>
      </w:pPr>
      <w:rPr>
        <w:rFonts w:ascii="Courier New" w:hAnsi="Courier New" w:cs="Courier New" w:hint="default"/>
      </w:rPr>
    </w:lvl>
    <w:lvl w:ilvl="2" w:tplc="04060005" w:tentative="1">
      <w:start w:val="1"/>
      <w:numFmt w:val="bullet"/>
      <w:lvlText w:val=""/>
      <w:lvlJc w:val="left"/>
      <w:pPr>
        <w:ind w:left="3152" w:hanging="360"/>
      </w:pPr>
      <w:rPr>
        <w:rFonts w:ascii="Wingdings" w:hAnsi="Wingdings" w:hint="default"/>
      </w:rPr>
    </w:lvl>
    <w:lvl w:ilvl="3" w:tplc="04060001" w:tentative="1">
      <w:start w:val="1"/>
      <w:numFmt w:val="bullet"/>
      <w:lvlText w:val=""/>
      <w:lvlJc w:val="left"/>
      <w:pPr>
        <w:ind w:left="3872" w:hanging="360"/>
      </w:pPr>
      <w:rPr>
        <w:rFonts w:ascii="Symbol" w:hAnsi="Symbol" w:hint="default"/>
      </w:rPr>
    </w:lvl>
    <w:lvl w:ilvl="4" w:tplc="04060003" w:tentative="1">
      <w:start w:val="1"/>
      <w:numFmt w:val="bullet"/>
      <w:lvlText w:val="o"/>
      <w:lvlJc w:val="left"/>
      <w:pPr>
        <w:ind w:left="4592" w:hanging="360"/>
      </w:pPr>
      <w:rPr>
        <w:rFonts w:ascii="Courier New" w:hAnsi="Courier New" w:cs="Courier New" w:hint="default"/>
      </w:rPr>
    </w:lvl>
    <w:lvl w:ilvl="5" w:tplc="04060005" w:tentative="1">
      <w:start w:val="1"/>
      <w:numFmt w:val="bullet"/>
      <w:lvlText w:val=""/>
      <w:lvlJc w:val="left"/>
      <w:pPr>
        <w:ind w:left="5312" w:hanging="360"/>
      </w:pPr>
      <w:rPr>
        <w:rFonts w:ascii="Wingdings" w:hAnsi="Wingdings" w:hint="default"/>
      </w:rPr>
    </w:lvl>
    <w:lvl w:ilvl="6" w:tplc="04060001" w:tentative="1">
      <w:start w:val="1"/>
      <w:numFmt w:val="bullet"/>
      <w:lvlText w:val=""/>
      <w:lvlJc w:val="left"/>
      <w:pPr>
        <w:ind w:left="6032" w:hanging="360"/>
      </w:pPr>
      <w:rPr>
        <w:rFonts w:ascii="Symbol" w:hAnsi="Symbol" w:hint="default"/>
      </w:rPr>
    </w:lvl>
    <w:lvl w:ilvl="7" w:tplc="04060003" w:tentative="1">
      <w:start w:val="1"/>
      <w:numFmt w:val="bullet"/>
      <w:lvlText w:val="o"/>
      <w:lvlJc w:val="left"/>
      <w:pPr>
        <w:ind w:left="6752" w:hanging="360"/>
      </w:pPr>
      <w:rPr>
        <w:rFonts w:ascii="Courier New" w:hAnsi="Courier New" w:cs="Courier New" w:hint="default"/>
      </w:rPr>
    </w:lvl>
    <w:lvl w:ilvl="8" w:tplc="04060005" w:tentative="1">
      <w:start w:val="1"/>
      <w:numFmt w:val="bullet"/>
      <w:lvlText w:val=""/>
      <w:lvlJc w:val="left"/>
      <w:pPr>
        <w:ind w:left="7472" w:hanging="360"/>
      </w:pPr>
      <w:rPr>
        <w:rFonts w:ascii="Wingdings" w:hAnsi="Wingdings" w:hint="default"/>
      </w:rPr>
    </w:lvl>
  </w:abstractNum>
  <w:abstractNum w:abstractNumId="1" w15:restartNumberingAfterBreak="0">
    <w:nsid w:val="37893451"/>
    <w:multiLevelType w:val="hybridMultilevel"/>
    <w:tmpl w:val="99304640"/>
    <w:lvl w:ilvl="0" w:tplc="9CF284F0">
      <w:start w:val="1"/>
      <w:numFmt w:val="bullet"/>
      <w:lvlText w:val=""/>
      <w:lvlJc w:val="left"/>
      <w:pPr>
        <w:ind w:left="1995" w:hanging="360"/>
      </w:pPr>
      <w:rPr>
        <w:rFonts w:ascii="Symbol" w:hAnsi="Symbol" w:hint="default"/>
      </w:rPr>
    </w:lvl>
    <w:lvl w:ilvl="1" w:tplc="04060003">
      <w:start w:val="1"/>
      <w:numFmt w:val="bullet"/>
      <w:lvlText w:val="o"/>
      <w:lvlJc w:val="left"/>
      <w:pPr>
        <w:ind w:left="2715" w:hanging="360"/>
      </w:pPr>
      <w:rPr>
        <w:rFonts w:ascii="Courier New" w:hAnsi="Courier New" w:cs="Courier New" w:hint="default"/>
      </w:rPr>
    </w:lvl>
    <w:lvl w:ilvl="2" w:tplc="04060005" w:tentative="1">
      <w:start w:val="1"/>
      <w:numFmt w:val="bullet"/>
      <w:lvlText w:val=""/>
      <w:lvlJc w:val="left"/>
      <w:pPr>
        <w:ind w:left="3435" w:hanging="360"/>
      </w:pPr>
      <w:rPr>
        <w:rFonts w:ascii="Wingdings" w:hAnsi="Wingdings" w:hint="default"/>
      </w:rPr>
    </w:lvl>
    <w:lvl w:ilvl="3" w:tplc="04060001" w:tentative="1">
      <w:start w:val="1"/>
      <w:numFmt w:val="bullet"/>
      <w:lvlText w:val=""/>
      <w:lvlJc w:val="left"/>
      <w:pPr>
        <w:ind w:left="4155" w:hanging="360"/>
      </w:pPr>
      <w:rPr>
        <w:rFonts w:ascii="Symbol" w:hAnsi="Symbol" w:hint="default"/>
      </w:rPr>
    </w:lvl>
    <w:lvl w:ilvl="4" w:tplc="04060003" w:tentative="1">
      <w:start w:val="1"/>
      <w:numFmt w:val="bullet"/>
      <w:lvlText w:val="o"/>
      <w:lvlJc w:val="left"/>
      <w:pPr>
        <w:ind w:left="4875" w:hanging="360"/>
      </w:pPr>
      <w:rPr>
        <w:rFonts w:ascii="Courier New" w:hAnsi="Courier New" w:cs="Courier New" w:hint="default"/>
      </w:rPr>
    </w:lvl>
    <w:lvl w:ilvl="5" w:tplc="04060005" w:tentative="1">
      <w:start w:val="1"/>
      <w:numFmt w:val="bullet"/>
      <w:lvlText w:val=""/>
      <w:lvlJc w:val="left"/>
      <w:pPr>
        <w:ind w:left="5595" w:hanging="360"/>
      </w:pPr>
      <w:rPr>
        <w:rFonts w:ascii="Wingdings" w:hAnsi="Wingdings" w:hint="default"/>
      </w:rPr>
    </w:lvl>
    <w:lvl w:ilvl="6" w:tplc="04060001" w:tentative="1">
      <w:start w:val="1"/>
      <w:numFmt w:val="bullet"/>
      <w:lvlText w:val=""/>
      <w:lvlJc w:val="left"/>
      <w:pPr>
        <w:ind w:left="6315" w:hanging="360"/>
      </w:pPr>
      <w:rPr>
        <w:rFonts w:ascii="Symbol" w:hAnsi="Symbol" w:hint="default"/>
      </w:rPr>
    </w:lvl>
    <w:lvl w:ilvl="7" w:tplc="04060003" w:tentative="1">
      <w:start w:val="1"/>
      <w:numFmt w:val="bullet"/>
      <w:lvlText w:val="o"/>
      <w:lvlJc w:val="left"/>
      <w:pPr>
        <w:ind w:left="7035" w:hanging="360"/>
      </w:pPr>
      <w:rPr>
        <w:rFonts w:ascii="Courier New" w:hAnsi="Courier New" w:cs="Courier New" w:hint="default"/>
      </w:rPr>
    </w:lvl>
    <w:lvl w:ilvl="8" w:tplc="04060005" w:tentative="1">
      <w:start w:val="1"/>
      <w:numFmt w:val="bullet"/>
      <w:lvlText w:val=""/>
      <w:lvlJc w:val="left"/>
      <w:pPr>
        <w:ind w:left="7755"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3E"/>
    <w:rsid w:val="000337A8"/>
    <w:rsid w:val="0003527F"/>
    <w:rsid w:val="00065C7D"/>
    <w:rsid w:val="000C06F9"/>
    <w:rsid w:val="000C6CD4"/>
    <w:rsid w:val="001323F1"/>
    <w:rsid w:val="001577E4"/>
    <w:rsid w:val="001838DB"/>
    <w:rsid w:val="001858CA"/>
    <w:rsid w:val="001C4AEF"/>
    <w:rsid w:val="001D3CC5"/>
    <w:rsid w:val="00322BDE"/>
    <w:rsid w:val="00406EE7"/>
    <w:rsid w:val="00407013"/>
    <w:rsid w:val="004A62CC"/>
    <w:rsid w:val="00544EB1"/>
    <w:rsid w:val="00565A74"/>
    <w:rsid w:val="005B0036"/>
    <w:rsid w:val="005F5831"/>
    <w:rsid w:val="00662012"/>
    <w:rsid w:val="00666B01"/>
    <w:rsid w:val="006B1539"/>
    <w:rsid w:val="006D4B41"/>
    <w:rsid w:val="006F5621"/>
    <w:rsid w:val="007A7F59"/>
    <w:rsid w:val="007E2A00"/>
    <w:rsid w:val="007E2D89"/>
    <w:rsid w:val="008010F2"/>
    <w:rsid w:val="009202AE"/>
    <w:rsid w:val="0092124E"/>
    <w:rsid w:val="00932676"/>
    <w:rsid w:val="0098560B"/>
    <w:rsid w:val="009A1260"/>
    <w:rsid w:val="009D66C6"/>
    <w:rsid w:val="00A22556"/>
    <w:rsid w:val="00A96525"/>
    <w:rsid w:val="00AB2651"/>
    <w:rsid w:val="00AE29E5"/>
    <w:rsid w:val="00AE5757"/>
    <w:rsid w:val="00B25EB8"/>
    <w:rsid w:val="00BC634B"/>
    <w:rsid w:val="00BF2AE0"/>
    <w:rsid w:val="00C479BF"/>
    <w:rsid w:val="00CD6AEB"/>
    <w:rsid w:val="00D37E2A"/>
    <w:rsid w:val="00D567AA"/>
    <w:rsid w:val="00DD6D71"/>
    <w:rsid w:val="00DF32BE"/>
    <w:rsid w:val="00E14F0A"/>
    <w:rsid w:val="00EB5778"/>
    <w:rsid w:val="00EE5253"/>
    <w:rsid w:val="00FA66E4"/>
    <w:rsid w:val="00FC433E"/>
    <w:rsid w:val="00FC5899"/>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E211850"/>
  <w15:chartTrackingRefBased/>
  <w15:docId w15:val="{BA428933-A119-4F9C-980C-55149B6A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7E2D89"/>
    <w:pPr>
      <w:tabs>
        <w:tab w:val="left" w:pos="0"/>
      </w:tabs>
      <w:ind w:left="567" w:hanging="567"/>
    </w:pPr>
    <w:rPr>
      <w:b/>
      <w:sz w:val="22"/>
      <w:szCs w:val="22"/>
    </w:rPr>
  </w:style>
  <w:style w:type="paragraph" w:styleId="Listeafsnit">
    <w:name w:val="List Paragraph"/>
    <w:basedOn w:val="Normal"/>
    <w:uiPriority w:val="34"/>
    <w:qFormat/>
    <w:rsid w:val="007E2D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1181</Words>
  <Characters>8832</Characters>
  <Application>Microsoft Office Word</Application>
  <DocSecurity>0</DocSecurity>
  <Lines>73</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2023064451 _x000d_
SmPC Pkt.: 1., 2., 3.3, 3.5, 3.6, 3.7, 3.8, 3.10, 4., 6.1, 5.2, 5.5, 6., 7., 8. 10, QRD</dc:description>
  <cp:lastModifiedBy>Gitte Ronnovius</cp:lastModifiedBy>
  <cp:revision>3</cp:revision>
  <dcterms:created xsi:type="dcterms:W3CDTF">2024-07-19T05:02:00Z</dcterms:created>
  <dcterms:modified xsi:type="dcterms:W3CDTF">2024-07-19T05:02:00Z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