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417F1A69" wp14:editId="578A875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BF" w:rsidRDefault="00C479BF" w:rsidP="005B0036">
      <w:pPr>
        <w:rPr>
          <w:sz w:val="24"/>
          <w:szCs w:val="24"/>
        </w:rPr>
      </w:pPr>
    </w:p>
    <w:p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52FF">
        <w:rPr>
          <w:b/>
          <w:sz w:val="24"/>
          <w:szCs w:val="24"/>
        </w:rPr>
        <w:t>6</w:t>
      </w:r>
      <w:r w:rsidR="00B1643E">
        <w:rPr>
          <w:b/>
          <w:sz w:val="24"/>
          <w:szCs w:val="24"/>
        </w:rPr>
        <w:t xml:space="preserve">. </w:t>
      </w:r>
      <w:r w:rsidR="001F52FF">
        <w:rPr>
          <w:b/>
          <w:sz w:val="24"/>
          <w:szCs w:val="24"/>
        </w:rPr>
        <w:t>december</w:t>
      </w:r>
      <w:r w:rsidR="00B1643E">
        <w:rPr>
          <w:b/>
          <w:sz w:val="24"/>
          <w:szCs w:val="24"/>
        </w:rPr>
        <w:t xml:space="preserve"> 2019</w:t>
      </w:r>
    </w:p>
    <w:p w:rsidR="005B0036" w:rsidRDefault="005B0036" w:rsidP="005B0036">
      <w:pPr>
        <w:rPr>
          <w:sz w:val="24"/>
          <w:szCs w:val="24"/>
        </w:rPr>
      </w:pPr>
    </w:p>
    <w:p w:rsidR="00B1643E" w:rsidRPr="00406EE7" w:rsidRDefault="00B1643E" w:rsidP="005B0036">
      <w:pPr>
        <w:rPr>
          <w:sz w:val="24"/>
          <w:szCs w:val="24"/>
        </w:rPr>
      </w:pPr>
    </w:p>
    <w:p w:rsidR="005B0036" w:rsidRPr="00406EE7" w:rsidRDefault="005B0036" w:rsidP="005B0036">
      <w:pPr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565A74" w:rsidRDefault="00643E2C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Metrocare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tabletter</w:t>
      </w:r>
    </w:p>
    <w:p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5B0036" w:rsidRPr="00406EE7" w:rsidRDefault="00790C46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31081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5B0036" w:rsidRPr="00406EE7" w:rsidRDefault="00790C46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Metrocare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AF54ED" w:rsidRPr="00AF54ED" w:rsidRDefault="00AF54ED" w:rsidP="00AF54ED">
      <w:pPr>
        <w:ind w:left="851"/>
        <w:rPr>
          <w:sz w:val="24"/>
          <w:szCs w:val="24"/>
        </w:rPr>
      </w:pPr>
      <w:r w:rsidRPr="00AF54ED">
        <w:rPr>
          <w:sz w:val="24"/>
          <w:szCs w:val="24"/>
        </w:rPr>
        <w:t>Hver tablet indeholder:</w:t>
      </w:r>
    </w:p>
    <w:p w:rsidR="00AF54ED" w:rsidRPr="00AF54ED" w:rsidRDefault="00AF54ED" w:rsidP="00AF54ED">
      <w:pPr>
        <w:ind w:left="851"/>
        <w:rPr>
          <w:sz w:val="24"/>
          <w:szCs w:val="24"/>
        </w:rPr>
      </w:pPr>
    </w:p>
    <w:p w:rsidR="00AF54ED" w:rsidRPr="00AF54ED" w:rsidRDefault="00AF54ED" w:rsidP="00AF54ED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Aktivt stof</w:t>
      </w:r>
    </w:p>
    <w:p w:rsidR="00AF54ED" w:rsidRPr="00AF54ED" w:rsidRDefault="00AF54ED" w:rsidP="00AF54E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Metronidazol</w:t>
      </w:r>
      <w:proofErr w:type="spellEnd"/>
      <w:r>
        <w:rPr>
          <w:sz w:val="24"/>
          <w:szCs w:val="24"/>
        </w:rPr>
        <w:t xml:space="preserve"> </w:t>
      </w:r>
      <w:r w:rsidRPr="00AF54ED">
        <w:rPr>
          <w:sz w:val="24"/>
          <w:szCs w:val="24"/>
        </w:rPr>
        <w:t xml:space="preserve">250 mg </w:t>
      </w:r>
      <w:r>
        <w:rPr>
          <w:sz w:val="24"/>
          <w:szCs w:val="24"/>
        </w:rPr>
        <w:t xml:space="preserve">eller </w:t>
      </w:r>
      <w:r w:rsidRPr="00AF54ED">
        <w:rPr>
          <w:sz w:val="24"/>
          <w:szCs w:val="24"/>
        </w:rPr>
        <w:t>500 mg</w:t>
      </w:r>
    </w:p>
    <w:p w:rsidR="00AF54ED" w:rsidRPr="00AF54ED" w:rsidRDefault="00AF54ED" w:rsidP="00AF54ED">
      <w:pPr>
        <w:ind w:left="851"/>
        <w:rPr>
          <w:sz w:val="24"/>
          <w:szCs w:val="24"/>
        </w:rPr>
      </w:pPr>
    </w:p>
    <w:p w:rsidR="00AF54ED" w:rsidRPr="00AF54ED" w:rsidRDefault="00AF54ED" w:rsidP="00AF54ED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:rsidR="005B0036" w:rsidRPr="00406EE7" w:rsidRDefault="00AF54ED" w:rsidP="00AF54ED">
      <w:pPr>
        <w:tabs>
          <w:tab w:val="left" w:pos="567"/>
        </w:tabs>
        <w:ind w:left="851"/>
        <w:rPr>
          <w:sz w:val="24"/>
          <w:szCs w:val="24"/>
        </w:rPr>
      </w:pPr>
      <w:r w:rsidRPr="00AF54ED">
        <w:rPr>
          <w:sz w:val="24"/>
          <w:szCs w:val="24"/>
        </w:rPr>
        <w:t>Alle hjælpestoffer er anført under pkt. 6.1.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AF54ED" w:rsidRDefault="00AF54ED" w:rsidP="00AF54ED">
      <w:pPr>
        <w:ind w:left="851"/>
        <w:rPr>
          <w:rFonts w:cs="Arial"/>
          <w:sz w:val="24"/>
          <w:szCs w:val="24"/>
        </w:rPr>
      </w:pPr>
      <w:r w:rsidRPr="00AF54ED">
        <w:rPr>
          <w:rFonts w:cs="Arial"/>
          <w:sz w:val="24"/>
          <w:szCs w:val="24"/>
        </w:rPr>
        <w:t>Tablet</w:t>
      </w:r>
      <w:r>
        <w:rPr>
          <w:rFonts w:cs="Arial"/>
          <w:sz w:val="24"/>
          <w:szCs w:val="24"/>
        </w:rPr>
        <w:t>ter</w:t>
      </w:r>
    </w:p>
    <w:p w:rsidR="00AF54ED" w:rsidRPr="00AF54ED" w:rsidRDefault="00AF54ED" w:rsidP="00B86266">
      <w:pPr>
        <w:tabs>
          <w:tab w:val="left" w:pos="6804"/>
        </w:tabs>
        <w:ind w:left="851"/>
        <w:rPr>
          <w:rFonts w:cs="Arial"/>
          <w:sz w:val="24"/>
          <w:szCs w:val="24"/>
        </w:rPr>
      </w:pPr>
    </w:p>
    <w:p w:rsidR="00AF54ED" w:rsidRPr="00AF54ED" w:rsidRDefault="00AF54ED" w:rsidP="00AF54ED">
      <w:pPr>
        <w:ind w:left="851"/>
        <w:rPr>
          <w:rFonts w:cs="Arial"/>
          <w:sz w:val="24"/>
          <w:szCs w:val="24"/>
        </w:rPr>
      </w:pPr>
      <w:r w:rsidRPr="00AF54ED">
        <w:rPr>
          <w:rFonts w:cs="Arial"/>
          <w:sz w:val="24"/>
          <w:szCs w:val="24"/>
        </w:rPr>
        <w:t xml:space="preserve">Hvid til hvidlig, rund og konveks tablet med en korsformet </w:t>
      </w:r>
      <w:r w:rsidR="00B86266">
        <w:rPr>
          <w:rFonts w:cs="Arial"/>
          <w:sz w:val="24"/>
          <w:szCs w:val="24"/>
        </w:rPr>
        <w:t>delekærv</w:t>
      </w:r>
      <w:r w:rsidRPr="00AF54ED">
        <w:rPr>
          <w:rFonts w:cs="Arial"/>
          <w:sz w:val="24"/>
          <w:szCs w:val="24"/>
        </w:rPr>
        <w:t xml:space="preserve"> på den ene side.</w:t>
      </w:r>
    </w:p>
    <w:p w:rsidR="005B0036" w:rsidRPr="00406EE7" w:rsidRDefault="00AF54ED" w:rsidP="00F73A3F">
      <w:pPr>
        <w:ind w:left="851"/>
        <w:rPr>
          <w:sz w:val="24"/>
          <w:szCs w:val="24"/>
        </w:rPr>
      </w:pPr>
      <w:r w:rsidRPr="00AF54ED">
        <w:rPr>
          <w:rFonts w:cs="Arial"/>
          <w:sz w:val="24"/>
          <w:szCs w:val="24"/>
        </w:rPr>
        <w:t>Tabletterne kan deles i 2 eller 4 lige store dele.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5B0036" w:rsidRDefault="00B86266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Hund</w:t>
      </w:r>
    </w:p>
    <w:p w:rsidR="00B86266" w:rsidRPr="00406EE7" w:rsidRDefault="00B86266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Kat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B86266" w:rsidRPr="00B86266" w:rsidRDefault="00B86266" w:rsidP="00B86266">
      <w:pPr>
        <w:ind w:left="851"/>
        <w:rPr>
          <w:sz w:val="24"/>
          <w:szCs w:val="24"/>
        </w:rPr>
      </w:pPr>
      <w:r w:rsidRPr="00B86266">
        <w:rPr>
          <w:sz w:val="24"/>
          <w:szCs w:val="24"/>
        </w:rPr>
        <w:t>Behandling af infektioner i mave-tarm-kanalen, der skyldes</w:t>
      </w:r>
      <w:r>
        <w:rPr>
          <w:sz w:val="24"/>
          <w:szCs w:val="24"/>
        </w:rPr>
        <w:t xml:space="preserve"> </w:t>
      </w:r>
      <w:proofErr w:type="spellStart"/>
      <w:r w:rsidRPr="00B86266">
        <w:rPr>
          <w:i/>
          <w:sz w:val="24"/>
          <w:szCs w:val="24"/>
        </w:rPr>
        <w:t>Giardia</w:t>
      </w:r>
      <w:proofErr w:type="spellEnd"/>
      <w:r w:rsidRPr="00B86266">
        <w:rPr>
          <w:sz w:val="24"/>
          <w:szCs w:val="24"/>
        </w:rPr>
        <w:t xml:space="preserve"> </w:t>
      </w:r>
      <w:proofErr w:type="spellStart"/>
      <w:r w:rsidRPr="00B86266">
        <w:rPr>
          <w:sz w:val="24"/>
          <w:szCs w:val="24"/>
        </w:rPr>
        <w:t>spp</w:t>
      </w:r>
      <w:proofErr w:type="spellEnd"/>
      <w:r w:rsidRPr="00B86266">
        <w:rPr>
          <w:sz w:val="24"/>
          <w:szCs w:val="24"/>
        </w:rPr>
        <w:t xml:space="preserve">. </w:t>
      </w:r>
      <w:proofErr w:type="gramStart"/>
      <w:r w:rsidRPr="00B86266"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86266">
        <w:rPr>
          <w:i/>
          <w:sz w:val="24"/>
          <w:szCs w:val="24"/>
        </w:rPr>
        <w:t>Clostridia</w:t>
      </w:r>
      <w:proofErr w:type="spellEnd"/>
      <w:r w:rsidRPr="00B86266">
        <w:rPr>
          <w:sz w:val="24"/>
          <w:szCs w:val="24"/>
        </w:rPr>
        <w:t xml:space="preserve"> </w:t>
      </w:r>
      <w:proofErr w:type="spellStart"/>
      <w:r w:rsidRPr="00B86266">
        <w:rPr>
          <w:sz w:val="24"/>
          <w:szCs w:val="24"/>
        </w:rPr>
        <w:t>spp</w:t>
      </w:r>
      <w:proofErr w:type="spellEnd"/>
      <w:r w:rsidRPr="00B86266">
        <w:rPr>
          <w:sz w:val="24"/>
          <w:szCs w:val="24"/>
        </w:rPr>
        <w:t>. (</w:t>
      </w:r>
      <w:proofErr w:type="gramStart"/>
      <w:r w:rsidRPr="00B86266">
        <w:rPr>
          <w:sz w:val="24"/>
          <w:szCs w:val="24"/>
        </w:rPr>
        <w:t>dvs.</w:t>
      </w:r>
      <w:proofErr w:type="gramEnd"/>
      <w:r>
        <w:rPr>
          <w:sz w:val="24"/>
          <w:szCs w:val="24"/>
        </w:rPr>
        <w:t xml:space="preserve"> </w:t>
      </w:r>
      <w:r w:rsidRPr="00B86266">
        <w:rPr>
          <w:i/>
          <w:sz w:val="24"/>
          <w:szCs w:val="24"/>
        </w:rPr>
        <w:t>C. </w:t>
      </w:r>
      <w:proofErr w:type="spellStart"/>
      <w:r w:rsidRPr="00B86266">
        <w:rPr>
          <w:i/>
          <w:sz w:val="24"/>
          <w:szCs w:val="24"/>
        </w:rPr>
        <w:t>perfringens</w:t>
      </w:r>
      <w:proofErr w:type="spellEnd"/>
      <w:r>
        <w:rPr>
          <w:i/>
          <w:sz w:val="24"/>
          <w:szCs w:val="24"/>
        </w:rPr>
        <w:t xml:space="preserve"> </w:t>
      </w:r>
      <w:r w:rsidRPr="00B86266">
        <w:rPr>
          <w:sz w:val="24"/>
          <w:szCs w:val="24"/>
        </w:rPr>
        <w:t>eller</w:t>
      </w:r>
      <w:r>
        <w:rPr>
          <w:sz w:val="24"/>
          <w:szCs w:val="24"/>
        </w:rPr>
        <w:t xml:space="preserve"> </w:t>
      </w:r>
      <w:r w:rsidRPr="00B86266">
        <w:rPr>
          <w:i/>
          <w:sz w:val="24"/>
          <w:szCs w:val="24"/>
        </w:rPr>
        <w:t>C. difficile</w:t>
      </w:r>
      <w:r w:rsidRPr="00B86266">
        <w:rPr>
          <w:sz w:val="24"/>
          <w:szCs w:val="24"/>
        </w:rPr>
        <w:t>).</w:t>
      </w:r>
    </w:p>
    <w:p w:rsidR="005B0036" w:rsidRPr="00BF586A" w:rsidRDefault="00B86266" w:rsidP="00BF586A">
      <w:pPr>
        <w:ind w:left="851"/>
        <w:rPr>
          <w:sz w:val="24"/>
          <w:szCs w:val="24"/>
        </w:rPr>
      </w:pPr>
      <w:r w:rsidRPr="00B86266">
        <w:rPr>
          <w:sz w:val="24"/>
          <w:szCs w:val="24"/>
        </w:rPr>
        <w:t xml:space="preserve">Behandling af infektioner i urinvejene, mundhulen, svælget og huden, der skyldes obligate </w:t>
      </w:r>
      <w:proofErr w:type="spellStart"/>
      <w:r w:rsidRPr="00B86266">
        <w:rPr>
          <w:sz w:val="24"/>
          <w:szCs w:val="24"/>
        </w:rPr>
        <w:t>anaerobiske</w:t>
      </w:r>
      <w:proofErr w:type="spellEnd"/>
      <w:r w:rsidRPr="00B86266">
        <w:rPr>
          <w:sz w:val="24"/>
          <w:szCs w:val="24"/>
        </w:rPr>
        <w:t xml:space="preserve"> bakterier (f.eks.</w:t>
      </w:r>
      <w:r>
        <w:rPr>
          <w:sz w:val="24"/>
          <w:szCs w:val="24"/>
        </w:rPr>
        <w:t xml:space="preserve"> </w:t>
      </w:r>
      <w:proofErr w:type="spellStart"/>
      <w:r w:rsidRPr="00B86266">
        <w:rPr>
          <w:i/>
          <w:sz w:val="24"/>
          <w:szCs w:val="24"/>
        </w:rPr>
        <w:t>Clostridia</w:t>
      </w:r>
      <w:proofErr w:type="spellEnd"/>
      <w:r w:rsidRPr="00B86266">
        <w:rPr>
          <w:i/>
          <w:sz w:val="24"/>
          <w:szCs w:val="24"/>
        </w:rPr>
        <w:t xml:space="preserve"> </w:t>
      </w:r>
      <w:proofErr w:type="spellStart"/>
      <w:r w:rsidRPr="00B86266">
        <w:rPr>
          <w:sz w:val="24"/>
          <w:szCs w:val="24"/>
        </w:rPr>
        <w:t>spp</w:t>
      </w:r>
      <w:proofErr w:type="spellEnd"/>
      <w:r w:rsidRPr="00B86266">
        <w:rPr>
          <w:sz w:val="24"/>
          <w:szCs w:val="24"/>
        </w:rPr>
        <w:t xml:space="preserve">.), der er følsomme </w:t>
      </w:r>
      <w:r w:rsidR="00691E9D">
        <w:rPr>
          <w:sz w:val="24"/>
          <w:szCs w:val="24"/>
        </w:rPr>
        <w:t xml:space="preserve">over </w:t>
      </w:r>
      <w:r w:rsidRPr="00B86266">
        <w:rPr>
          <w:sz w:val="24"/>
          <w:szCs w:val="24"/>
        </w:rPr>
        <w:t xml:space="preserve">for </w:t>
      </w:r>
      <w:proofErr w:type="spellStart"/>
      <w:r w:rsidRPr="00B86266">
        <w:rPr>
          <w:sz w:val="24"/>
          <w:szCs w:val="24"/>
        </w:rPr>
        <w:t>metronidazol</w:t>
      </w:r>
      <w:proofErr w:type="spellEnd"/>
      <w:r w:rsidRPr="00B86266">
        <w:rPr>
          <w:sz w:val="24"/>
          <w:szCs w:val="24"/>
        </w:rPr>
        <w:t>.</w:t>
      </w:r>
    </w:p>
    <w:p w:rsidR="00B1643E" w:rsidRDefault="00B1643E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BF586A" w:rsidRPr="00BF586A" w:rsidRDefault="00BF586A" w:rsidP="00BF586A">
      <w:pPr>
        <w:ind w:left="851"/>
        <w:rPr>
          <w:sz w:val="24"/>
          <w:szCs w:val="24"/>
        </w:rPr>
      </w:pPr>
      <w:r w:rsidRPr="00BF586A">
        <w:rPr>
          <w:sz w:val="24"/>
          <w:szCs w:val="24"/>
        </w:rPr>
        <w:t xml:space="preserve">Bør ikke anvendes </w:t>
      </w:r>
      <w:r>
        <w:rPr>
          <w:sz w:val="24"/>
          <w:szCs w:val="24"/>
        </w:rPr>
        <w:t>i tilfælde af leversygdomme.</w:t>
      </w:r>
    </w:p>
    <w:p w:rsidR="005B0036" w:rsidRPr="00BF586A" w:rsidRDefault="00BF586A" w:rsidP="00BF586A">
      <w:pPr>
        <w:ind w:left="851"/>
        <w:rPr>
          <w:sz w:val="24"/>
          <w:szCs w:val="24"/>
        </w:rPr>
      </w:pPr>
      <w:r w:rsidRPr="00BF586A">
        <w:rPr>
          <w:sz w:val="24"/>
          <w:szCs w:val="24"/>
        </w:rPr>
        <w:t>Bør ikke anvendes i tilfælde af overfølsomhed over for det</w:t>
      </w:r>
      <w:r w:rsidR="00B1643E">
        <w:rPr>
          <w:sz w:val="24"/>
          <w:szCs w:val="24"/>
        </w:rPr>
        <w:t xml:space="preserve"> aktive stof eller over for et e</w:t>
      </w:r>
      <w:r w:rsidRPr="00BF586A">
        <w:rPr>
          <w:sz w:val="24"/>
          <w:szCs w:val="24"/>
        </w:rPr>
        <w:t>ller flere af hjælpestofferne.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5B0036" w:rsidRPr="00406EE7" w:rsidRDefault="00C4458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C44580" w:rsidRPr="00C44580" w:rsidRDefault="00C44580" w:rsidP="00C44580">
      <w:pPr>
        <w:keepNext/>
        <w:keepLines/>
        <w:ind w:left="851"/>
        <w:rPr>
          <w:b/>
          <w:sz w:val="24"/>
          <w:szCs w:val="24"/>
        </w:rPr>
      </w:pPr>
      <w:r w:rsidRPr="00C44580">
        <w:rPr>
          <w:sz w:val="24"/>
          <w:szCs w:val="24"/>
        </w:rPr>
        <w:t xml:space="preserve">Grundet den sandsynlige variabilitet (tidsmæssigt, geografisk) i forekomsten af </w:t>
      </w:r>
      <w:proofErr w:type="spellStart"/>
      <w:r w:rsidRPr="00C44580">
        <w:rPr>
          <w:sz w:val="24"/>
          <w:szCs w:val="24"/>
        </w:rPr>
        <w:t>metronidazol</w:t>
      </w:r>
      <w:proofErr w:type="spellEnd"/>
      <w:r w:rsidRPr="00C44580">
        <w:rPr>
          <w:sz w:val="24"/>
          <w:szCs w:val="24"/>
        </w:rPr>
        <w:t>-resistente bakterier, anbefales bakteriologisk prøvetagning og følsomhedstestning.</w:t>
      </w:r>
    </w:p>
    <w:p w:rsidR="00C44580" w:rsidRPr="00C44580" w:rsidRDefault="00C44580" w:rsidP="00C44580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C44580">
        <w:rPr>
          <w:sz w:val="24"/>
          <w:szCs w:val="24"/>
        </w:rPr>
        <w:t>Når</w:t>
      </w:r>
      <w:r>
        <w:rPr>
          <w:sz w:val="24"/>
          <w:szCs w:val="24"/>
        </w:rPr>
        <w:t xml:space="preserve"> </w:t>
      </w:r>
      <w:r w:rsidRPr="00C44580">
        <w:rPr>
          <w:sz w:val="24"/>
          <w:szCs w:val="24"/>
        </w:rPr>
        <w:t>som</w:t>
      </w:r>
      <w:r>
        <w:rPr>
          <w:sz w:val="24"/>
          <w:szCs w:val="24"/>
        </w:rPr>
        <w:t xml:space="preserve"> </w:t>
      </w:r>
      <w:r w:rsidRPr="00C44580">
        <w:rPr>
          <w:sz w:val="24"/>
          <w:szCs w:val="24"/>
        </w:rPr>
        <w:t>helst det er muligt, bør produktet kun anvendes baseret på følsomhedstestning.</w:t>
      </w:r>
    </w:p>
    <w:p w:rsidR="00C44580" w:rsidRPr="00C44580" w:rsidRDefault="00C44580" w:rsidP="00C44580">
      <w:pPr>
        <w:keepNext/>
        <w:keepLines/>
        <w:ind w:left="851"/>
        <w:rPr>
          <w:sz w:val="24"/>
          <w:szCs w:val="24"/>
        </w:rPr>
      </w:pPr>
      <w:r w:rsidRPr="00C44580">
        <w:rPr>
          <w:sz w:val="24"/>
          <w:szCs w:val="24"/>
        </w:rPr>
        <w:t>Officielle, nationale</w:t>
      </w:r>
      <w:r>
        <w:rPr>
          <w:sz w:val="24"/>
          <w:szCs w:val="24"/>
        </w:rPr>
        <w:t xml:space="preserve"> </w:t>
      </w:r>
      <w:r w:rsidRPr="00C44580">
        <w:rPr>
          <w:sz w:val="24"/>
          <w:szCs w:val="24"/>
        </w:rPr>
        <w:t xml:space="preserve">og regionale antimikrobielle </w:t>
      </w:r>
      <w:r>
        <w:rPr>
          <w:sz w:val="24"/>
          <w:szCs w:val="24"/>
        </w:rPr>
        <w:t>retningslinjer</w:t>
      </w:r>
      <w:r w:rsidRPr="00C44580">
        <w:rPr>
          <w:sz w:val="24"/>
          <w:szCs w:val="24"/>
        </w:rPr>
        <w:t xml:space="preserve"> bør tages i betragtning, når det veterinære lægemiddel anvendes.</w:t>
      </w:r>
    </w:p>
    <w:p w:rsidR="005B0036" w:rsidRDefault="00C44580" w:rsidP="00C44580">
      <w:pPr>
        <w:keepNext/>
        <w:keepLines/>
        <w:ind w:left="851"/>
        <w:rPr>
          <w:sz w:val="24"/>
          <w:szCs w:val="24"/>
        </w:rPr>
      </w:pPr>
      <w:bookmarkStart w:id="1" w:name="_Hlk9497310"/>
      <w:r w:rsidRPr="00C44580">
        <w:rPr>
          <w:sz w:val="24"/>
          <w:szCs w:val="24"/>
        </w:rPr>
        <w:t xml:space="preserve">I meget sjældne tilfælde </w:t>
      </w:r>
      <w:r w:rsidR="001F20B6">
        <w:rPr>
          <w:sz w:val="24"/>
          <w:szCs w:val="24"/>
        </w:rPr>
        <w:t>kan neurologiske tegn forekomme</w:t>
      </w:r>
      <w:r w:rsidRPr="00C44580">
        <w:rPr>
          <w:sz w:val="24"/>
          <w:szCs w:val="24"/>
        </w:rPr>
        <w:t xml:space="preserve"> især efter længerevarende behandling med </w:t>
      </w:r>
      <w:proofErr w:type="spellStart"/>
      <w:r w:rsidRPr="00C44580">
        <w:rPr>
          <w:sz w:val="24"/>
          <w:szCs w:val="24"/>
        </w:rPr>
        <w:t>metronidazol</w:t>
      </w:r>
      <w:proofErr w:type="spellEnd"/>
      <w:r w:rsidRPr="00C44580">
        <w:rPr>
          <w:sz w:val="24"/>
          <w:szCs w:val="24"/>
        </w:rPr>
        <w:t>.</w:t>
      </w:r>
      <w:bookmarkEnd w:id="1"/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1F20B6" w:rsidRPr="001F20B6" w:rsidRDefault="001F20B6" w:rsidP="001F20B6">
      <w:pPr>
        <w:ind w:left="851"/>
        <w:textAlignment w:val="baseline"/>
        <w:rPr>
          <w:bCs/>
          <w:sz w:val="24"/>
          <w:szCs w:val="24"/>
        </w:rPr>
      </w:pPr>
      <w:proofErr w:type="spellStart"/>
      <w:r w:rsidRPr="001F20B6">
        <w:rPr>
          <w:bCs/>
          <w:sz w:val="24"/>
          <w:szCs w:val="24"/>
        </w:rPr>
        <w:t>Metronidazol</w:t>
      </w:r>
      <w:proofErr w:type="spellEnd"/>
      <w:r w:rsidRPr="001F20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har </w:t>
      </w:r>
      <w:r w:rsidRPr="001F20B6">
        <w:rPr>
          <w:bCs/>
          <w:sz w:val="24"/>
          <w:szCs w:val="24"/>
        </w:rPr>
        <w:t xml:space="preserve">bekræftede mutagene og genotoksiske egenskaber hos laboratoriedyr såvel som hos mennesker. </w:t>
      </w:r>
      <w:proofErr w:type="spellStart"/>
      <w:r w:rsidRPr="001F20B6">
        <w:rPr>
          <w:bCs/>
          <w:sz w:val="24"/>
          <w:szCs w:val="24"/>
        </w:rPr>
        <w:t>Metronidazol</w:t>
      </w:r>
      <w:proofErr w:type="spellEnd"/>
      <w:r w:rsidRPr="001F20B6">
        <w:rPr>
          <w:bCs/>
          <w:sz w:val="24"/>
          <w:szCs w:val="24"/>
        </w:rPr>
        <w:t xml:space="preserve"> er en bekræftet </w:t>
      </w:r>
      <w:proofErr w:type="spellStart"/>
      <w:r w:rsidRPr="001F20B6">
        <w:rPr>
          <w:bCs/>
          <w:sz w:val="24"/>
          <w:szCs w:val="24"/>
        </w:rPr>
        <w:t>carcinogen</w:t>
      </w:r>
      <w:proofErr w:type="spellEnd"/>
      <w:r w:rsidRPr="001F20B6">
        <w:rPr>
          <w:bCs/>
          <w:sz w:val="24"/>
          <w:szCs w:val="24"/>
        </w:rPr>
        <w:t xml:space="preserve"> hos laboratoriedyr og har mulige </w:t>
      </w:r>
      <w:proofErr w:type="spellStart"/>
      <w:r w:rsidRPr="001F20B6">
        <w:rPr>
          <w:bCs/>
          <w:sz w:val="24"/>
          <w:szCs w:val="24"/>
        </w:rPr>
        <w:t>carcinogene</w:t>
      </w:r>
      <w:proofErr w:type="spellEnd"/>
      <w:r>
        <w:rPr>
          <w:bCs/>
          <w:sz w:val="24"/>
          <w:szCs w:val="24"/>
        </w:rPr>
        <w:t xml:space="preserve"> </w:t>
      </w:r>
      <w:r w:rsidRPr="001F20B6">
        <w:rPr>
          <w:bCs/>
          <w:sz w:val="24"/>
          <w:szCs w:val="24"/>
        </w:rPr>
        <w:t xml:space="preserve">virkninger hos </w:t>
      </w:r>
      <w:proofErr w:type="spellStart"/>
      <w:r w:rsidRPr="001F20B6">
        <w:rPr>
          <w:bCs/>
          <w:sz w:val="24"/>
          <w:szCs w:val="24"/>
        </w:rPr>
        <w:t>menneker</w:t>
      </w:r>
      <w:proofErr w:type="spellEnd"/>
      <w:r w:rsidRPr="001F20B6">
        <w:rPr>
          <w:bCs/>
          <w:sz w:val="24"/>
          <w:szCs w:val="24"/>
        </w:rPr>
        <w:t xml:space="preserve">. Der er imidlertid utilstrækkeligt bevis hos mennesker for </w:t>
      </w:r>
      <w:proofErr w:type="spellStart"/>
      <w:r w:rsidRPr="001F20B6">
        <w:rPr>
          <w:bCs/>
          <w:sz w:val="24"/>
          <w:szCs w:val="24"/>
        </w:rPr>
        <w:t>carcinogenicitet</w:t>
      </w:r>
      <w:proofErr w:type="spellEnd"/>
      <w:r w:rsidRPr="001F20B6">
        <w:rPr>
          <w:bCs/>
          <w:sz w:val="24"/>
          <w:szCs w:val="24"/>
        </w:rPr>
        <w:t xml:space="preserve"> af </w:t>
      </w:r>
      <w:proofErr w:type="spellStart"/>
      <w:r w:rsidRPr="001F20B6">
        <w:rPr>
          <w:bCs/>
          <w:sz w:val="24"/>
          <w:szCs w:val="24"/>
        </w:rPr>
        <w:t>metronidazol</w:t>
      </w:r>
      <w:proofErr w:type="spellEnd"/>
      <w:r w:rsidRPr="001F20B6">
        <w:rPr>
          <w:bCs/>
          <w:sz w:val="24"/>
          <w:szCs w:val="24"/>
        </w:rPr>
        <w:t>. </w:t>
      </w:r>
    </w:p>
    <w:p w:rsidR="001F20B6" w:rsidRPr="001F20B6" w:rsidRDefault="001F20B6" w:rsidP="001F20B6">
      <w:pPr>
        <w:ind w:left="851"/>
        <w:textAlignment w:val="baseline"/>
        <w:rPr>
          <w:bCs/>
          <w:sz w:val="24"/>
          <w:szCs w:val="24"/>
        </w:rPr>
      </w:pPr>
      <w:proofErr w:type="spellStart"/>
      <w:r w:rsidRPr="001F20B6">
        <w:rPr>
          <w:bCs/>
          <w:sz w:val="24"/>
          <w:szCs w:val="24"/>
        </w:rPr>
        <w:t>Metronidazol</w:t>
      </w:r>
      <w:proofErr w:type="spellEnd"/>
      <w:r w:rsidRPr="001F20B6">
        <w:rPr>
          <w:bCs/>
          <w:sz w:val="24"/>
          <w:szCs w:val="24"/>
        </w:rPr>
        <w:t xml:space="preserve"> kan være skadeligt for det ufødte barn. </w:t>
      </w:r>
    </w:p>
    <w:p w:rsidR="001F20B6" w:rsidRPr="001F20B6" w:rsidRDefault="001F20B6" w:rsidP="001F20B6">
      <w:pPr>
        <w:ind w:left="851"/>
        <w:textAlignment w:val="baseline"/>
        <w:rPr>
          <w:bCs/>
          <w:sz w:val="24"/>
          <w:szCs w:val="24"/>
        </w:rPr>
      </w:pPr>
      <w:r w:rsidRPr="001F20B6">
        <w:rPr>
          <w:bCs/>
          <w:sz w:val="24"/>
          <w:szCs w:val="24"/>
        </w:rPr>
        <w:t xml:space="preserve">Personligt beskyttelsesudstyr i form af uigennemtrængelige handsker </w:t>
      </w:r>
      <w:r>
        <w:rPr>
          <w:bCs/>
          <w:sz w:val="24"/>
          <w:szCs w:val="24"/>
        </w:rPr>
        <w:t>skal</w:t>
      </w:r>
      <w:r w:rsidRPr="001F20B6">
        <w:rPr>
          <w:bCs/>
          <w:sz w:val="24"/>
          <w:szCs w:val="24"/>
        </w:rPr>
        <w:t xml:space="preserve"> anvendes ved håndtering af lægemidlet. </w:t>
      </w:r>
    </w:p>
    <w:p w:rsidR="001F20B6" w:rsidRPr="001F20B6" w:rsidRDefault="001F20B6" w:rsidP="001F20B6">
      <w:pPr>
        <w:ind w:left="851"/>
        <w:textAlignment w:val="baseline"/>
        <w:rPr>
          <w:bCs/>
          <w:sz w:val="24"/>
          <w:szCs w:val="24"/>
        </w:rPr>
      </w:pPr>
      <w:r w:rsidRPr="001F20B6">
        <w:rPr>
          <w:bCs/>
          <w:sz w:val="24"/>
          <w:szCs w:val="24"/>
        </w:rPr>
        <w:t xml:space="preserve">For at undgå indtagelse ved et uheld, især </w:t>
      </w:r>
      <w:r w:rsidR="00FA5A3D">
        <w:rPr>
          <w:bCs/>
          <w:sz w:val="24"/>
          <w:szCs w:val="24"/>
        </w:rPr>
        <w:t>hos</w:t>
      </w:r>
      <w:r w:rsidRPr="001F20B6">
        <w:rPr>
          <w:bCs/>
          <w:sz w:val="24"/>
          <w:szCs w:val="24"/>
        </w:rPr>
        <w:t xml:space="preserve"> et barn, bør ubrugte del-tabletter returneres til det åbne sted i blisterpakningen, lægges tilbage i den ydre emballage og opbevares på et sikkert sted utilgængeligt for børn. I tilfælde af indtagelse ved hændeligt uheld skal der straks søges lægehjælp, og indlægssedlen eller etiketten</w:t>
      </w:r>
      <w:r w:rsidRPr="001F20B6">
        <w:rPr>
          <w:rFonts w:asciiTheme="minorHAnsi" w:hAnsiTheme="minorHAnsi"/>
          <w:sz w:val="24"/>
          <w:szCs w:val="24"/>
        </w:rPr>
        <w:t xml:space="preserve"> </w:t>
      </w:r>
      <w:r w:rsidRPr="001F20B6">
        <w:rPr>
          <w:bCs/>
          <w:sz w:val="24"/>
          <w:szCs w:val="24"/>
        </w:rPr>
        <w:t>bør vises til lægen. Vask hænderne grundigt efter håndtering af tabletterne. </w:t>
      </w:r>
    </w:p>
    <w:p w:rsidR="005B0036" w:rsidRPr="00FA5A3D" w:rsidRDefault="001F20B6" w:rsidP="00FA5A3D">
      <w:pPr>
        <w:ind w:left="851"/>
        <w:textAlignment w:val="baseline"/>
        <w:rPr>
          <w:bCs/>
          <w:sz w:val="24"/>
          <w:szCs w:val="24"/>
        </w:rPr>
      </w:pPr>
      <w:proofErr w:type="spellStart"/>
      <w:r w:rsidRPr="001F20B6">
        <w:rPr>
          <w:bCs/>
          <w:sz w:val="24"/>
          <w:szCs w:val="24"/>
        </w:rPr>
        <w:t>Metronidazol</w:t>
      </w:r>
      <w:proofErr w:type="spellEnd"/>
      <w:r w:rsidRPr="001F20B6">
        <w:rPr>
          <w:bCs/>
          <w:sz w:val="24"/>
          <w:szCs w:val="24"/>
        </w:rPr>
        <w:t xml:space="preserve"> kan medføre overfølsomhedsreaktioner. I tilfælde af kendt overfølsomhed over</w:t>
      </w:r>
      <w:r w:rsidR="00FA5A3D">
        <w:rPr>
          <w:bCs/>
          <w:sz w:val="24"/>
          <w:szCs w:val="24"/>
        </w:rPr>
        <w:t xml:space="preserve"> </w:t>
      </w:r>
      <w:r w:rsidRPr="001F20B6">
        <w:rPr>
          <w:bCs/>
          <w:sz w:val="24"/>
          <w:szCs w:val="24"/>
        </w:rPr>
        <w:t xml:space="preserve">for </w:t>
      </w:r>
      <w:proofErr w:type="spellStart"/>
      <w:r w:rsidRPr="001F20B6">
        <w:rPr>
          <w:bCs/>
          <w:sz w:val="24"/>
          <w:szCs w:val="24"/>
        </w:rPr>
        <w:t>metronidazol</w:t>
      </w:r>
      <w:proofErr w:type="spellEnd"/>
      <w:r w:rsidRPr="001F20B6">
        <w:rPr>
          <w:bCs/>
          <w:sz w:val="24"/>
          <w:szCs w:val="24"/>
        </w:rPr>
        <w:t xml:space="preserve"> skal man undgå kontakt med det veterinære lægemiddel.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984687" w:rsidRPr="00984687" w:rsidRDefault="00984687" w:rsidP="00984687">
      <w:pPr>
        <w:keepNext/>
        <w:keepLines/>
        <w:ind w:left="851"/>
        <w:rPr>
          <w:sz w:val="24"/>
          <w:szCs w:val="24"/>
        </w:rPr>
      </w:pPr>
      <w:r w:rsidRPr="00984687">
        <w:rPr>
          <w:sz w:val="24"/>
          <w:szCs w:val="24"/>
        </w:rPr>
        <w:t xml:space="preserve">De følgende bivirkninger kan forekomme efter administration af </w:t>
      </w:r>
      <w:proofErr w:type="spellStart"/>
      <w:r w:rsidRPr="00984687">
        <w:rPr>
          <w:sz w:val="24"/>
          <w:szCs w:val="24"/>
        </w:rPr>
        <w:t>metronidazol</w:t>
      </w:r>
      <w:proofErr w:type="spellEnd"/>
      <w:r w:rsidRPr="00984687">
        <w:rPr>
          <w:sz w:val="24"/>
          <w:szCs w:val="24"/>
        </w:rPr>
        <w:t>:</w:t>
      </w:r>
    </w:p>
    <w:p w:rsidR="00984687" w:rsidRPr="00984687" w:rsidRDefault="00984687" w:rsidP="00984687">
      <w:pPr>
        <w:keepNext/>
        <w:keepLines/>
        <w:ind w:left="851"/>
        <w:rPr>
          <w:sz w:val="24"/>
          <w:szCs w:val="24"/>
        </w:rPr>
      </w:pPr>
      <w:r w:rsidRPr="00984687">
        <w:rPr>
          <w:sz w:val="24"/>
          <w:szCs w:val="24"/>
        </w:rPr>
        <w:t xml:space="preserve">Opkastning, </w:t>
      </w:r>
      <w:proofErr w:type="spellStart"/>
      <w:r w:rsidRPr="00984687">
        <w:rPr>
          <w:sz w:val="24"/>
          <w:szCs w:val="24"/>
        </w:rPr>
        <w:t>hepatotoksicitet</w:t>
      </w:r>
      <w:proofErr w:type="spellEnd"/>
      <w:r w:rsidRPr="00984687">
        <w:rPr>
          <w:sz w:val="24"/>
          <w:szCs w:val="24"/>
        </w:rPr>
        <w:t xml:space="preserve">, </w:t>
      </w:r>
      <w:proofErr w:type="spellStart"/>
      <w:r w:rsidRPr="00984687">
        <w:rPr>
          <w:sz w:val="24"/>
          <w:szCs w:val="24"/>
        </w:rPr>
        <w:t>neutropeni</w:t>
      </w:r>
      <w:proofErr w:type="spellEnd"/>
      <w:r w:rsidRPr="00984687">
        <w:rPr>
          <w:sz w:val="24"/>
          <w:szCs w:val="24"/>
        </w:rPr>
        <w:t xml:space="preserve"> og neurologiske tegn. </w:t>
      </w:r>
    </w:p>
    <w:p w:rsidR="00984687" w:rsidRPr="00984687" w:rsidRDefault="00984687" w:rsidP="00984687">
      <w:pPr>
        <w:keepNext/>
        <w:keepLines/>
        <w:ind w:left="851"/>
        <w:rPr>
          <w:sz w:val="24"/>
          <w:szCs w:val="24"/>
        </w:rPr>
      </w:pPr>
    </w:p>
    <w:p w:rsidR="00984687" w:rsidRPr="00984687" w:rsidRDefault="00984687" w:rsidP="00984687">
      <w:pPr>
        <w:ind w:left="851"/>
        <w:rPr>
          <w:sz w:val="24"/>
          <w:szCs w:val="24"/>
          <w:u w:val="single"/>
        </w:rPr>
      </w:pPr>
      <w:r w:rsidRPr="00984687">
        <w:rPr>
          <w:sz w:val="24"/>
          <w:szCs w:val="24"/>
          <w:u w:val="single"/>
        </w:rPr>
        <w:t>Hyppigheden af bivirkninger er defineret som:</w:t>
      </w:r>
    </w:p>
    <w:p w:rsidR="00984687" w:rsidRPr="00984687" w:rsidRDefault="00984687" w:rsidP="00984687">
      <w:pPr>
        <w:ind w:left="1134" w:hanging="283"/>
        <w:rPr>
          <w:sz w:val="24"/>
          <w:szCs w:val="24"/>
        </w:rPr>
      </w:pPr>
      <w:r w:rsidRPr="00984687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84687">
        <w:rPr>
          <w:sz w:val="24"/>
          <w:szCs w:val="24"/>
        </w:rPr>
        <w:t>Meget almindelig (flere end 1 ud af 10 behandlede dyr, der viser bivirkninger i løbet af en behandling)</w:t>
      </w:r>
    </w:p>
    <w:p w:rsidR="00984687" w:rsidRPr="00984687" w:rsidRDefault="00984687" w:rsidP="00984687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84687">
        <w:rPr>
          <w:sz w:val="24"/>
          <w:szCs w:val="24"/>
        </w:rPr>
        <w:t>Almindelige (flere end 1, men færre end 10 dyr af 100 behandlede dyr)</w:t>
      </w:r>
    </w:p>
    <w:p w:rsidR="00984687" w:rsidRPr="00984687" w:rsidRDefault="00984687" w:rsidP="00984687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84687">
        <w:rPr>
          <w:sz w:val="24"/>
          <w:szCs w:val="24"/>
        </w:rPr>
        <w:t>Ikke almindelige (flere end 1, men færre end 10 dyr af 1.000 behandlede dyr)</w:t>
      </w:r>
    </w:p>
    <w:p w:rsidR="00984687" w:rsidRPr="00984687" w:rsidRDefault="00984687" w:rsidP="00984687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84687">
        <w:rPr>
          <w:sz w:val="24"/>
          <w:szCs w:val="24"/>
        </w:rPr>
        <w:t>Sjældne (flere end 1, men færre end 10 dyr ud af 10.000 behandlede dyr)</w:t>
      </w:r>
    </w:p>
    <w:p w:rsidR="005B0036" w:rsidRPr="00406EE7" w:rsidRDefault="00984687" w:rsidP="00984687">
      <w:pPr>
        <w:keepNext/>
        <w:keepLines/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84687">
        <w:rPr>
          <w:sz w:val="24"/>
          <w:szCs w:val="24"/>
        </w:rPr>
        <w:t>Meget sjælden (færre end 1 dyr ud af 10.000 behandlede dyr, herunder isolerede rapporter).</w:t>
      </w:r>
    </w:p>
    <w:p w:rsidR="00984687" w:rsidRDefault="009846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160F73" w:rsidRPr="00160F73" w:rsidRDefault="00160F73" w:rsidP="00160F73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60F73">
        <w:rPr>
          <w:sz w:val="24"/>
          <w:szCs w:val="24"/>
        </w:rPr>
        <w:t xml:space="preserve">Undersøgelser hos laboratoriedyr har vist inkonsistente resultater med hensyn til </w:t>
      </w:r>
      <w:proofErr w:type="spellStart"/>
      <w:r w:rsidRPr="00160F73">
        <w:rPr>
          <w:sz w:val="24"/>
          <w:szCs w:val="24"/>
        </w:rPr>
        <w:t>teratogene</w:t>
      </w:r>
      <w:proofErr w:type="spellEnd"/>
      <w:r w:rsidRPr="00160F73">
        <w:rPr>
          <w:sz w:val="24"/>
          <w:szCs w:val="24"/>
        </w:rPr>
        <w:t xml:space="preserve">/embryotoksiske virkninger af </w:t>
      </w:r>
      <w:proofErr w:type="spellStart"/>
      <w:r w:rsidRPr="00160F73">
        <w:rPr>
          <w:sz w:val="24"/>
          <w:szCs w:val="24"/>
        </w:rPr>
        <w:t>metronidazol</w:t>
      </w:r>
      <w:proofErr w:type="spellEnd"/>
      <w:r w:rsidRPr="00160F73">
        <w:rPr>
          <w:sz w:val="24"/>
          <w:szCs w:val="24"/>
        </w:rPr>
        <w:t>. Anvendelse af dette produkt under drægtighed anbefales</w:t>
      </w:r>
      <w:r w:rsidR="00F13088">
        <w:rPr>
          <w:sz w:val="24"/>
          <w:szCs w:val="24"/>
        </w:rPr>
        <w:t xml:space="preserve"> derfor</w:t>
      </w:r>
      <w:r w:rsidRPr="00160F73">
        <w:rPr>
          <w:sz w:val="24"/>
          <w:szCs w:val="24"/>
        </w:rPr>
        <w:t xml:space="preserve"> ikke.</w:t>
      </w:r>
      <w:r w:rsidRPr="00160F73">
        <w:rPr>
          <w:bCs/>
          <w:sz w:val="24"/>
          <w:szCs w:val="24"/>
        </w:rPr>
        <w:t xml:space="preserve"> </w:t>
      </w:r>
      <w:proofErr w:type="spellStart"/>
      <w:r w:rsidRPr="00160F73">
        <w:rPr>
          <w:bCs/>
          <w:sz w:val="24"/>
          <w:szCs w:val="24"/>
        </w:rPr>
        <w:t>Metronidazol</w:t>
      </w:r>
      <w:proofErr w:type="spellEnd"/>
      <w:r w:rsidRPr="00160F73">
        <w:rPr>
          <w:bCs/>
          <w:sz w:val="24"/>
          <w:szCs w:val="24"/>
        </w:rPr>
        <w:t xml:space="preserve"> udskilles i mælk og anvendelse under laktation anbefales derfor ikke.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F13088" w:rsidRDefault="00F13088" w:rsidP="00F1308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Metronidazol</w:t>
      </w:r>
      <w:proofErr w:type="spellEnd"/>
      <w:r>
        <w:rPr>
          <w:sz w:val="24"/>
          <w:szCs w:val="24"/>
        </w:rPr>
        <w:t xml:space="preserve"> kan have en hæmmende virkning på nedbrydningen af andre lægemidler i leveren, såsom</w:t>
      </w:r>
      <w:r w:rsidR="002218E2">
        <w:rPr>
          <w:sz w:val="24"/>
          <w:szCs w:val="24"/>
        </w:rPr>
        <w:t xml:space="preserve"> </w:t>
      </w:r>
      <w:proofErr w:type="spellStart"/>
      <w:r w:rsidR="002218E2">
        <w:rPr>
          <w:sz w:val="24"/>
          <w:szCs w:val="24"/>
        </w:rPr>
        <w:t>ph</w:t>
      </w:r>
      <w:r>
        <w:rPr>
          <w:sz w:val="24"/>
          <w:szCs w:val="24"/>
        </w:rPr>
        <w:t>enytoin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</w:t>
      </w:r>
      <w:r w:rsidR="002218E2">
        <w:rPr>
          <w:sz w:val="24"/>
          <w:szCs w:val="24"/>
        </w:rPr>
        <w:t>i</w:t>
      </w:r>
      <w:r>
        <w:rPr>
          <w:sz w:val="24"/>
          <w:szCs w:val="24"/>
        </w:rPr>
        <w:t>closporin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>.</w:t>
      </w:r>
    </w:p>
    <w:p w:rsidR="00F13088" w:rsidRDefault="00F13088" w:rsidP="00F1308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Cimetidin</w:t>
      </w:r>
      <w:proofErr w:type="spellEnd"/>
      <w:r>
        <w:rPr>
          <w:sz w:val="24"/>
          <w:szCs w:val="24"/>
        </w:rPr>
        <w:t xml:space="preserve"> kan sænke den </w:t>
      </w:r>
      <w:proofErr w:type="spellStart"/>
      <w:r>
        <w:rPr>
          <w:sz w:val="24"/>
          <w:szCs w:val="24"/>
        </w:rPr>
        <w:t>hepatiske</w:t>
      </w:r>
      <w:proofErr w:type="spellEnd"/>
      <w:r>
        <w:rPr>
          <w:sz w:val="24"/>
          <w:szCs w:val="24"/>
        </w:rPr>
        <w:t xml:space="preserve"> metabolisme</w:t>
      </w:r>
      <w:r w:rsidR="00221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 </w:t>
      </w:r>
      <w:proofErr w:type="spellStart"/>
      <w:r>
        <w:rPr>
          <w:sz w:val="24"/>
          <w:szCs w:val="24"/>
        </w:rPr>
        <w:t>metronidazol</w:t>
      </w:r>
      <w:proofErr w:type="spellEnd"/>
      <w:r>
        <w:rPr>
          <w:sz w:val="24"/>
          <w:szCs w:val="24"/>
        </w:rPr>
        <w:t xml:space="preserve">, resulterende i en øget koncentration af </w:t>
      </w:r>
      <w:proofErr w:type="spellStart"/>
      <w:r>
        <w:rPr>
          <w:sz w:val="24"/>
          <w:szCs w:val="24"/>
        </w:rPr>
        <w:t>metronidazol</w:t>
      </w:r>
      <w:proofErr w:type="spellEnd"/>
      <w:r>
        <w:rPr>
          <w:sz w:val="24"/>
          <w:szCs w:val="24"/>
        </w:rPr>
        <w:t xml:space="preserve"> i serum.</w:t>
      </w:r>
    </w:p>
    <w:p w:rsidR="00F13088" w:rsidRDefault="002218E2" w:rsidP="00F1308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r w:rsidR="00F13088">
        <w:rPr>
          <w:sz w:val="24"/>
          <w:szCs w:val="24"/>
        </w:rPr>
        <w:t>enobarbital</w:t>
      </w:r>
      <w:proofErr w:type="spellEnd"/>
      <w:r w:rsidR="00F13088">
        <w:rPr>
          <w:sz w:val="24"/>
          <w:szCs w:val="24"/>
        </w:rPr>
        <w:t xml:space="preserve"> kan øge den </w:t>
      </w:r>
      <w:proofErr w:type="spellStart"/>
      <w:r w:rsidR="00F13088">
        <w:rPr>
          <w:sz w:val="24"/>
          <w:szCs w:val="24"/>
        </w:rPr>
        <w:t>hepatiske</w:t>
      </w:r>
      <w:proofErr w:type="spellEnd"/>
      <w:r w:rsidR="00F13088">
        <w:rPr>
          <w:sz w:val="24"/>
          <w:szCs w:val="24"/>
        </w:rPr>
        <w:t xml:space="preserve"> metabolisme</w:t>
      </w:r>
      <w:r>
        <w:rPr>
          <w:sz w:val="24"/>
          <w:szCs w:val="24"/>
        </w:rPr>
        <w:t xml:space="preserve"> </w:t>
      </w:r>
      <w:r w:rsidR="00F13088">
        <w:rPr>
          <w:sz w:val="24"/>
          <w:szCs w:val="24"/>
        </w:rPr>
        <w:t xml:space="preserve">af </w:t>
      </w:r>
      <w:proofErr w:type="spellStart"/>
      <w:r w:rsidR="00F13088">
        <w:rPr>
          <w:sz w:val="24"/>
          <w:szCs w:val="24"/>
        </w:rPr>
        <w:t>metronidazol</w:t>
      </w:r>
      <w:proofErr w:type="spellEnd"/>
      <w:r w:rsidR="00F13088">
        <w:rPr>
          <w:sz w:val="24"/>
          <w:szCs w:val="24"/>
        </w:rPr>
        <w:t xml:space="preserve">, resulterende i en nedsat koncentration af </w:t>
      </w:r>
      <w:proofErr w:type="spellStart"/>
      <w:r w:rsidR="00F13088">
        <w:rPr>
          <w:sz w:val="24"/>
          <w:szCs w:val="24"/>
        </w:rPr>
        <w:t>metronidazol</w:t>
      </w:r>
      <w:proofErr w:type="spellEnd"/>
      <w:r w:rsidR="00F13088">
        <w:rPr>
          <w:sz w:val="24"/>
          <w:szCs w:val="24"/>
        </w:rPr>
        <w:t xml:space="preserve"> i serum. 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2218E2" w:rsidRDefault="002218E2" w:rsidP="002218E2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Til oral anvendelse.</w:t>
      </w:r>
    </w:p>
    <w:p w:rsidR="002218E2" w:rsidRPr="002218E2" w:rsidRDefault="002218E2" w:rsidP="002218E2">
      <w:pPr>
        <w:ind w:left="851"/>
        <w:rPr>
          <w:noProof/>
          <w:sz w:val="24"/>
          <w:szCs w:val="24"/>
        </w:rPr>
      </w:pPr>
    </w:p>
    <w:p w:rsidR="002218E2" w:rsidRPr="002218E2" w:rsidRDefault="002218E2" w:rsidP="002218E2">
      <w:pPr>
        <w:ind w:left="851"/>
        <w:rPr>
          <w:bCs/>
          <w:sz w:val="24"/>
          <w:szCs w:val="24"/>
        </w:rPr>
      </w:pPr>
      <w:r w:rsidRPr="002218E2">
        <w:rPr>
          <w:bCs/>
          <w:sz w:val="24"/>
          <w:szCs w:val="24"/>
        </w:rPr>
        <w:t>Den anbefalede dosis er</w:t>
      </w:r>
      <w:r w:rsidR="006F1E7E">
        <w:rPr>
          <w:bCs/>
          <w:sz w:val="24"/>
          <w:szCs w:val="24"/>
        </w:rPr>
        <w:t xml:space="preserve"> </w:t>
      </w:r>
      <w:r w:rsidRPr="002218E2">
        <w:rPr>
          <w:noProof/>
          <w:sz w:val="24"/>
          <w:szCs w:val="24"/>
        </w:rPr>
        <w:t>50 mg metronidazol pr. kg legemsvægt pr. dag i</w:t>
      </w:r>
      <w:r w:rsidRPr="002218E2">
        <w:rPr>
          <w:bCs/>
          <w:sz w:val="24"/>
          <w:szCs w:val="24"/>
        </w:rPr>
        <w:t xml:space="preserve"> 5</w:t>
      </w:r>
      <w:r w:rsidRPr="002218E2">
        <w:rPr>
          <w:bCs/>
          <w:sz w:val="24"/>
          <w:szCs w:val="24"/>
        </w:rPr>
        <w:noBreakHyphen/>
        <w:t>7</w:t>
      </w:r>
      <w:r w:rsidR="006F1E7E">
        <w:rPr>
          <w:bCs/>
          <w:sz w:val="24"/>
          <w:szCs w:val="24"/>
        </w:rPr>
        <w:t xml:space="preserve"> </w:t>
      </w:r>
      <w:r w:rsidR="008A16FA">
        <w:rPr>
          <w:bCs/>
          <w:sz w:val="24"/>
          <w:szCs w:val="24"/>
        </w:rPr>
        <w:t xml:space="preserve">dage. Den daglige dosis kan </w:t>
      </w:r>
      <w:r w:rsidRPr="002218E2">
        <w:rPr>
          <w:bCs/>
          <w:sz w:val="24"/>
          <w:szCs w:val="24"/>
        </w:rPr>
        <w:t>deles ligelig</w:t>
      </w:r>
      <w:r w:rsidR="008A16FA">
        <w:rPr>
          <w:bCs/>
          <w:sz w:val="24"/>
          <w:szCs w:val="24"/>
        </w:rPr>
        <w:t xml:space="preserve">t </w:t>
      </w:r>
      <w:r w:rsidRPr="002218E2">
        <w:rPr>
          <w:bCs/>
          <w:sz w:val="24"/>
          <w:szCs w:val="24"/>
        </w:rPr>
        <w:t xml:space="preserve">til to gange daglig administration </w:t>
      </w:r>
      <w:r w:rsidR="006F1E7E">
        <w:rPr>
          <w:bCs/>
          <w:sz w:val="24"/>
          <w:szCs w:val="24"/>
        </w:rPr>
        <w:t>(</w:t>
      </w:r>
      <w:r w:rsidRPr="002218E2">
        <w:rPr>
          <w:bCs/>
          <w:sz w:val="24"/>
          <w:szCs w:val="24"/>
        </w:rPr>
        <w:t>dvs.</w:t>
      </w:r>
      <w:r w:rsidR="006F1E7E">
        <w:rPr>
          <w:bCs/>
          <w:sz w:val="24"/>
          <w:szCs w:val="24"/>
        </w:rPr>
        <w:t xml:space="preserve"> </w:t>
      </w:r>
      <w:r w:rsidRPr="002218E2">
        <w:rPr>
          <w:bCs/>
          <w:sz w:val="24"/>
          <w:szCs w:val="24"/>
        </w:rPr>
        <w:t>25</w:t>
      </w:r>
      <w:r w:rsidR="006F1E7E">
        <w:rPr>
          <w:bCs/>
          <w:sz w:val="24"/>
          <w:szCs w:val="24"/>
        </w:rPr>
        <w:t xml:space="preserve"> </w:t>
      </w:r>
      <w:r w:rsidRPr="002218E2">
        <w:rPr>
          <w:bCs/>
          <w:sz w:val="24"/>
          <w:szCs w:val="24"/>
        </w:rPr>
        <w:t>mg/kg</w:t>
      </w:r>
      <w:r w:rsidR="006F1E7E">
        <w:rPr>
          <w:bCs/>
          <w:sz w:val="24"/>
          <w:szCs w:val="24"/>
        </w:rPr>
        <w:t xml:space="preserve"> </w:t>
      </w:r>
      <w:r w:rsidRPr="002218E2">
        <w:rPr>
          <w:bCs/>
          <w:sz w:val="24"/>
          <w:szCs w:val="24"/>
        </w:rPr>
        <w:t>legemsvægt to gange daglig).</w:t>
      </w:r>
    </w:p>
    <w:p w:rsidR="006F1E7E" w:rsidRDefault="006F1E7E" w:rsidP="002218E2">
      <w:pPr>
        <w:ind w:left="851"/>
        <w:rPr>
          <w:bCs/>
          <w:sz w:val="24"/>
          <w:szCs w:val="24"/>
        </w:rPr>
      </w:pPr>
    </w:p>
    <w:p w:rsidR="002218E2" w:rsidRPr="002218E2" w:rsidRDefault="002218E2" w:rsidP="002218E2">
      <w:pPr>
        <w:ind w:left="851"/>
        <w:rPr>
          <w:bCs/>
          <w:iCs/>
          <w:sz w:val="24"/>
          <w:szCs w:val="24"/>
        </w:rPr>
      </w:pPr>
      <w:r w:rsidRPr="002218E2">
        <w:rPr>
          <w:noProof/>
          <w:sz w:val="24"/>
          <w:szCs w:val="24"/>
        </w:rPr>
        <w:t xml:space="preserve">For at sikre administration af den korrekte dosis, bør legemsvægten bestemmes så nøjagtigt som muligt. </w:t>
      </w:r>
    </w:p>
    <w:p w:rsidR="002218E2" w:rsidRPr="002218E2" w:rsidRDefault="002218E2" w:rsidP="002218E2">
      <w:pPr>
        <w:ind w:left="851"/>
        <w:rPr>
          <w:bCs/>
          <w:iCs/>
          <w:sz w:val="24"/>
          <w:szCs w:val="24"/>
        </w:rPr>
      </w:pP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12"/>
        <w:gridCol w:w="2410"/>
      </w:tblGrid>
      <w:tr w:rsidR="002218E2" w:rsidRPr="00B1643E" w:rsidTr="00844EBF">
        <w:trPr>
          <w:trHeight w:val="624"/>
        </w:trPr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2218E2">
              <w:rPr>
                <w:b/>
                <w:bCs/>
                <w:iCs/>
                <w:sz w:val="24"/>
                <w:szCs w:val="24"/>
                <w:lang w:val="en-US"/>
              </w:rPr>
              <w:t>Legemsvægt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2218E2" w:rsidRPr="00B1643E" w:rsidRDefault="002218E2" w:rsidP="00844EBF">
            <w:pPr>
              <w:rPr>
                <w:b/>
                <w:bCs/>
                <w:iCs/>
                <w:sz w:val="24"/>
                <w:szCs w:val="24"/>
                <w:lang w:val="sv-SE"/>
              </w:rPr>
            </w:pPr>
            <w:proofErr w:type="spellStart"/>
            <w:r w:rsidRPr="00B1643E">
              <w:rPr>
                <w:b/>
                <w:bCs/>
                <w:iCs/>
                <w:sz w:val="24"/>
                <w:szCs w:val="24"/>
                <w:lang w:val="sv-SE"/>
              </w:rPr>
              <w:t>Metrocare</w:t>
            </w:r>
            <w:proofErr w:type="spellEnd"/>
            <w:r w:rsidR="00844EBF" w:rsidRPr="00B1643E">
              <w:rPr>
                <w:b/>
                <w:bCs/>
                <w:iCs/>
                <w:sz w:val="24"/>
                <w:szCs w:val="24"/>
                <w:lang w:val="sv-SE"/>
              </w:rPr>
              <w:t xml:space="preserve"> Vet.</w:t>
            </w:r>
            <w:r w:rsidRPr="00B1643E">
              <w:rPr>
                <w:b/>
                <w:bCs/>
                <w:iCs/>
                <w:sz w:val="24"/>
                <w:szCs w:val="24"/>
                <w:lang w:val="sv-SE"/>
              </w:rPr>
              <w:t xml:space="preserve"> 250 mg tabletter (daglig dosis)</w:t>
            </w:r>
          </w:p>
        </w:tc>
        <w:tc>
          <w:tcPr>
            <w:tcW w:w="712" w:type="dxa"/>
          </w:tcPr>
          <w:p w:rsidR="002218E2" w:rsidRPr="00B1643E" w:rsidRDefault="002218E2" w:rsidP="00844EBF">
            <w:pPr>
              <w:rPr>
                <w:b/>
                <w:bCs/>
                <w:iCs/>
                <w:sz w:val="24"/>
                <w:szCs w:val="24"/>
                <w:lang w:val="sv-SE"/>
              </w:rPr>
            </w:pPr>
          </w:p>
          <w:p w:rsidR="002218E2" w:rsidRPr="002218E2" w:rsidRDefault="002218E2" w:rsidP="00844EBF">
            <w:pPr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2218E2">
              <w:rPr>
                <w:b/>
                <w:bCs/>
                <w:iCs/>
                <w:sz w:val="24"/>
                <w:szCs w:val="24"/>
              </w:rPr>
              <w:t>eller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2218E2" w:rsidRPr="00B1643E" w:rsidRDefault="002218E2" w:rsidP="00844EBF">
            <w:pPr>
              <w:rPr>
                <w:b/>
                <w:bCs/>
                <w:iCs/>
                <w:sz w:val="24"/>
                <w:szCs w:val="24"/>
                <w:lang w:val="sv-SE"/>
              </w:rPr>
            </w:pPr>
            <w:proofErr w:type="spellStart"/>
            <w:r w:rsidRPr="00B1643E">
              <w:rPr>
                <w:b/>
                <w:bCs/>
                <w:iCs/>
                <w:sz w:val="24"/>
                <w:szCs w:val="24"/>
                <w:lang w:val="sv-SE"/>
              </w:rPr>
              <w:t>Metrocare</w:t>
            </w:r>
            <w:proofErr w:type="spellEnd"/>
            <w:r w:rsidRPr="00B1643E">
              <w:rPr>
                <w:b/>
                <w:bCs/>
                <w:iCs/>
                <w:sz w:val="24"/>
                <w:szCs w:val="24"/>
                <w:lang w:val="sv-SE"/>
              </w:rPr>
              <w:t xml:space="preserve"> </w:t>
            </w:r>
            <w:r w:rsidR="00844EBF" w:rsidRPr="00B1643E">
              <w:rPr>
                <w:b/>
                <w:bCs/>
                <w:iCs/>
                <w:sz w:val="24"/>
                <w:szCs w:val="24"/>
                <w:lang w:val="sv-SE"/>
              </w:rPr>
              <w:t xml:space="preserve">Vet. </w:t>
            </w:r>
            <w:r w:rsidRPr="00B1643E">
              <w:rPr>
                <w:b/>
                <w:bCs/>
                <w:iCs/>
                <w:sz w:val="24"/>
                <w:szCs w:val="24"/>
                <w:lang w:val="sv-SE"/>
              </w:rPr>
              <w:t>500 mg</w:t>
            </w:r>
            <w:r w:rsidR="00844EBF" w:rsidRPr="00B1643E">
              <w:rPr>
                <w:b/>
                <w:bCs/>
                <w:iCs/>
                <w:sz w:val="24"/>
                <w:szCs w:val="24"/>
                <w:lang w:val="sv-SE"/>
              </w:rPr>
              <w:t xml:space="preserve"> </w:t>
            </w:r>
            <w:r w:rsidRPr="00B1643E">
              <w:rPr>
                <w:b/>
                <w:bCs/>
                <w:iCs/>
                <w:sz w:val="24"/>
                <w:szCs w:val="24"/>
                <w:lang w:val="sv-SE"/>
              </w:rPr>
              <w:t>tabletter (daglig dosis)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1,25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  <w:lang w:val="nl-NL"/>
              </w:rPr>
              <w:t xml:space="preserve">¼  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2,5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 xml:space="preserve">½ 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  <w:lang w:val="nl-NL"/>
              </w:rPr>
              <w:t>¼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3,75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¾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  <w:lang w:val="nl-NL"/>
              </w:rPr>
              <w:t xml:space="preserve">1 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 xml:space="preserve">½ 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7,5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>1 ½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</w:rPr>
            </w:pPr>
            <w:r w:rsidRPr="002218E2">
              <w:rPr>
                <w:bCs/>
                <w:iCs/>
                <w:sz w:val="24"/>
                <w:szCs w:val="24"/>
              </w:rPr>
              <w:t xml:space="preserve">¾ </w:t>
            </w:r>
          </w:p>
        </w:tc>
      </w:tr>
      <w:tr w:rsidR="002218E2" w:rsidRPr="002218E2" w:rsidTr="00844EBF">
        <w:tc>
          <w:tcPr>
            <w:tcW w:w="1981" w:type="dxa"/>
            <w:vAlign w:val="center"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</w:rPr>
              <w:t xml:space="preserve">10 </w:t>
            </w:r>
            <w:r w:rsidRPr="002218E2">
              <w:rPr>
                <w:bCs/>
                <w:iCs/>
                <w:sz w:val="24"/>
                <w:szCs w:val="24"/>
                <w:lang w:val="en-US"/>
              </w:rPr>
              <w:t>kg</w:t>
            </w:r>
          </w:p>
        </w:tc>
        <w:tc>
          <w:tcPr>
            <w:tcW w:w="2268" w:type="dxa"/>
            <w:vAlign w:val="center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GB"/>
              </w:rPr>
            </w:pPr>
            <w:r w:rsidRPr="002218E2">
              <w:rPr>
                <w:bCs/>
                <w:iCs/>
                <w:sz w:val="24"/>
                <w:szCs w:val="24"/>
                <w:lang w:val="nl-NL"/>
              </w:rPr>
              <w:t xml:space="preserve">2 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vertAlign w:val="subscript"/>
                <w:lang w:val="en-GB"/>
              </w:rPr>
            </w:pPr>
            <w:r w:rsidRPr="002218E2">
              <w:rPr>
                <w:bCs/>
                <w:iCs/>
                <w:sz w:val="24"/>
                <w:szCs w:val="24"/>
                <w:lang w:val="nl-NL"/>
              </w:rPr>
              <w:t xml:space="preserve">1 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>15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GB"/>
              </w:rPr>
              <w:t xml:space="preserve">1 ½ 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>20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GB"/>
              </w:rPr>
            </w:pPr>
            <w:r w:rsidRPr="002218E2">
              <w:rPr>
                <w:bCs/>
                <w:iCs/>
                <w:sz w:val="24"/>
                <w:szCs w:val="24"/>
                <w:lang w:val="en-GB"/>
              </w:rPr>
              <w:t>2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>25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GB"/>
              </w:rPr>
              <w:t xml:space="preserve">2 ½ 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 xml:space="preserve">30 kg 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 xml:space="preserve">3 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>35 kg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GB"/>
              </w:rPr>
              <w:t xml:space="preserve">3 ½ </w:t>
            </w:r>
          </w:p>
        </w:tc>
      </w:tr>
      <w:tr w:rsidR="002218E2" w:rsidRPr="002218E2" w:rsidTr="00844EBF">
        <w:tc>
          <w:tcPr>
            <w:tcW w:w="1981" w:type="dxa"/>
            <w:vAlign w:val="center"/>
            <w:hideMark/>
          </w:tcPr>
          <w:p w:rsidR="002218E2" w:rsidRPr="002218E2" w:rsidRDefault="002218E2" w:rsidP="00844EBF">
            <w:pPr>
              <w:ind w:left="34"/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 xml:space="preserve">40 kg </w:t>
            </w:r>
          </w:p>
        </w:tc>
        <w:tc>
          <w:tcPr>
            <w:tcW w:w="2268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Align w:val="center"/>
            <w:hideMark/>
          </w:tcPr>
          <w:p w:rsidR="002218E2" w:rsidRPr="002218E2" w:rsidRDefault="002218E2" w:rsidP="00844EBF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2218E2">
              <w:rPr>
                <w:bCs/>
                <w:iCs/>
                <w:sz w:val="24"/>
                <w:szCs w:val="24"/>
                <w:lang w:val="en-US"/>
              </w:rPr>
              <w:t xml:space="preserve">4 </w:t>
            </w:r>
          </w:p>
        </w:tc>
      </w:tr>
    </w:tbl>
    <w:p w:rsidR="002218E2" w:rsidRPr="002218E2" w:rsidRDefault="002218E2" w:rsidP="002218E2">
      <w:pPr>
        <w:ind w:left="851"/>
        <w:rPr>
          <w:bCs/>
          <w:iCs/>
          <w:sz w:val="24"/>
          <w:szCs w:val="24"/>
          <w:lang w:val="en-GB"/>
        </w:rPr>
      </w:pPr>
    </w:p>
    <w:p w:rsidR="002218E2" w:rsidRPr="002218E2" w:rsidRDefault="002218E2" w:rsidP="002218E2">
      <w:pPr>
        <w:ind w:left="851"/>
        <w:rPr>
          <w:noProof/>
          <w:sz w:val="24"/>
          <w:szCs w:val="24"/>
        </w:rPr>
      </w:pPr>
      <w:r w:rsidRPr="002218E2">
        <w:rPr>
          <w:noProof/>
          <w:sz w:val="24"/>
          <w:szCs w:val="24"/>
        </w:rPr>
        <w:t xml:space="preserve">Tabletterne kan deles i 2 eller 4 lige store dele for at sikre nøjagtig dosering. Anbring tabletten på en flad overflade med dens </w:t>
      </w:r>
      <w:r w:rsidR="00471EB7">
        <w:rPr>
          <w:noProof/>
          <w:sz w:val="24"/>
          <w:szCs w:val="24"/>
        </w:rPr>
        <w:t>delekærv</w:t>
      </w:r>
      <w:r w:rsidRPr="002218E2">
        <w:rPr>
          <w:noProof/>
          <w:sz w:val="24"/>
          <w:szCs w:val="24"/>
        </w:rPr>
        <w:t xml:space="preserve"> opad og den konvekse (afrundede) side mod overfladen.</w:t>
      </w:r>
    </w:p>
    <w:p w:rsidR="002218E2" w:rsidRPr="002218E2" w:rsidRDefault="002218E2" w:rsidP="002218E2">
      <w:pPr>
        <w:ind w:left="851"/>
        <w:rPr>
          <w:noProof/>
          <w:sz w:val="24"/>
          <w:szCs w:val="24"/>
        </w:rPr>
      </w:pPr>
    </w:p>
    <w:p w:rsidR="002218E2" w:rsidRPr="002218E2" w:rsidRDefault="002218E2" w:rsidP="002218E2">
      <w:pPr>
        <w:ind w:left="851"/>
        <w:rPr>
          <w:noProof/>
          <w:sz w:val="24"/>
          <w:szCs w:val="24"/>
        </w:rPr>
      </w:pPr>
      <w:r w:rsidRPr="002218E2">
        <w:rPr>
          <w:noProof/>
          <w:sz w:val="24"/>
          <w:szCs w:val="24"/>
        </w:rPr>
        <w:t>Halve: Tryk ned på begge sider af tabletten med dine tommelfingre eller fingre.</w:t>
      </w:r>
    </w:p>
    <w:p w:rsidR="002218E2" w:rsidRPr="002218E2" w:rsidRDefault="002218E2" w:rsidP="002218E2">
      <w:pPr>
        <w:ind w:left="851"/>
        <w:rPr>
          <w:noProof/>
          <w:sz w:val="24"/>
          <w:szCs w:val="24"/>
        </w:rPr>
      </w:pPr>
      <w:r w:rsidRPr="002218E2">
        <w:rPr>
          <w:noProof/>
          <w:sz w:val="24"/>
          <w:szCs w:val="24"/>
        </w:rPr>
        <w:t>Kvarte: Tryk ned på midten af tabletten med din tommelfinger eller en finger.</w:t>
      </w:r>
    </w:p>
    <w:p w:rsidR="005B0036" w:rsidRPr="00406EE7" w:rsidRDefault="002218E2" w:rsidP="00ED2873">
      <w:pPr>
        <w:ind w:left="851"/>
        <w:rPr>
          <w:noProof/>
          <w:sz w:val="24"/>
          <w:szCs w:val="24"/>
        </w:rPr>
      </w:pPr>
      <w:bookmarkStart w:id="2" w:name="_Hlk529263712"/>
      <w:r w:rsidRPr="002218E2">
        <w:rPr>
          <w:noProof/>
          <w:sz w:val="24"/>
          <w:szCs w:val="24"/>
        </w:rPr>
        <w:t>De(n) tiloversblevne del(e) bør gives ved de(n) næste administration(er).</w:t>
      </w:r>
      <w:bookmarkEnd w:id="2"/>
    </w:p>
    <w:p w:rsidR="00ED2873" w:rsidRDefault="00ED28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5B0036" w:rsidRPr="00406EE7" w:rsidRDefault="00ED2873" w:rsidP="00ED2873">
      <w:pPr>
        <w:ind w:left="851"/>
        <w:rPr>
          <w:sz w:val="24"/>
          <w:szCs w:val="24"/>
        </w:rPr>
      </w:pPr>
      <w:r>
        <w:rPr>
          <w:sz w:val="24"/>
          <w:szCs w:val="24"/>
        </w:rPr>
        <w:t>Bivirkninger har større</w:t>
      </w:r>
      <w:r w:rsidRPr="00ED2873">
        <w:rPr>
          <w:sz w:val="24"/>
          <w:szCs w:val="24"/>
        </w:rPr>
        <w:t xml:space="preserve"> sandsynlighed for at forekomme ved doser og behandlings</w:t>
      </w:r>
      <w:r w:rsidR="00B1643E">
        <w:rPr>
          <w:sz w:val="24"/>
          <w:szCs w:val="24"/>
        </w:rPr>
        <w:softHyphen/>
      </w:r>
      <w:r w:rsidRPr="00ED2873">
        <w:rPr>
          <w:sz w:val="24"/>
          <w:szCs w:val="24"/>
        </w:rPr>
        <w:t xml:space="preserve">varigheder </w:t>
      </w:r>
      <w:proofErr w:type="gramStart"/>
      <w:r w:rsidRPr="00ED2873">
        <w:rPr>
          <w:sz w:val="24"/>
          <w:szCs w:val="24"/>
        </w:rPr>
        <w:t>udover</w:t>
      </w:r>
      <w:proofErr w:type="gramEnd"/>
      <w:r w:rsidRPr="00ED2873">
        <w:rPr>
          <w:sz w:val="24"/>
          <w:szCs w:val="24"/>
        </w:rPr>
        <w:t xml:space="preserve"> det anbefalede behandlingsregime. Hvis der forekommer neurologiske tegn, </w:t>
      </w:r>
      <w:r>
        <w:rPr>
          <w:sz w:val="24"/>
          <w:szCs w:val="24"/>
        </w:rPr>
        <w:t>skal</w:t>
      </w:r>
      <w:r w:rsidRPr="00ED2873">
        <w:rPr>
          <w:sz w:val="24"/>
          <w:szCs w:val="24"/>
        </w:rPr>
        <w:t xml:space="preserve"> behandlingen afbrydes, og patienten bør behandles symptomatisk. 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5B0036" w:rsidRPr="00406EE7" w:rsidRDefault="008A431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A431E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A431E">
        <w:rPr>
          <w:b/>
          <w:sz w:val="24"/>
          <w:szCs w:val="24"/>
        </w:rPr>
        <w:t>5.</w:t>
      </w:r>
      <w:r w:rsidRPr="008A431E">
        <w:rPr>
          <w:b/>
          <w:sz w:val="24"/>
          <w:szCs w:val="24"/>
        </w:rPr>
        <w:tab/>
        <w:t>FARMAKOLOGISKE EGENSKABER</w:t>
      </w:r>
    </w:p>
    <w:p w:rsidR="005B0036" w:rsidRPr="008A431E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8A431E" w:rsidRPr="008A431E" w:rsidRDefault="008A431E" w:rsidP="008A431E">
      <w:pPr>
        <w:ind w:left="851"/>
        <w:rPr>
          <w:sz w:val="24"/>
          <w:szCs w:val="24"/>
        </w:rPr>
      </w:pPr>
      <w:proofErr w:type="spellStart"/>
      <w:r w:rsidRPr="008A431E">
        <w:rPr>
          <w:rFonts w:ascii="TimesNewRoman,Italic" w:hAnsi="TimesNewRoman,Italic"/>
          <w:sz w:val="24"/>
          <w:szCs w:val="24"/>
        </w:rPr>
        <w:t>Farmakoterapeutisk</w:t>
      </w:r>
      <w:proofErr w:type="spellEnd"/>
      <w:r w:rsidRPr="008A431E">
        <w:rPr>
          <w:rFonts w:ascii="TimesNewRoman,Italic" w:hAnsi="TimesNewRoman,Italic"/>
          <w:sz w:val="24"/>
          <w:szCs w:val="24"/>
        </w:rPr>
        <w:t xml:space="preserve"> gruppe:</w:t>
      </w:r>
      <w:r>
        <w:rPr>
          <w:rFonts w:ascii="TimesNewRoman,Italic" w:hAnsi="TimesNewRoman,Italic"/>
          <w:sz w:val="24"/>
          <w:szCs w:val="24"/>
        </w:rPr>
        <w:t xml:space="preserve"> (</w:t>
      </w:r>
      <w:proofErr w:type="spellStart"/>
      <w:r w:rsidRPr="008A431E">
        <w:rPr>
          <w:sz w:val="24"/>
          <w:szCs w:val="24"/>
        </w:rPr>
        <w:t>nitro</w:t>
      </w:r>
      <w:proofErr w:type="spellEnd"/>
      <w:r w:rsidRPr="008A431E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</w:t>
      </w:r>
      <w:r w:rsidRPr="008A431E">
        <w:rPr>
          <w:sz w:val="24"/>
          <w:szCs w:val="24"/>
        </w:rPr>
        <w:t>midazol</w:t>
      </w:r>
      <w:proofErr w:type="spellEnd"/>
      <w:r w:rsidRPr="008A431E">
        <w:rPr>
          <w:sz w:val="24"/>
          <w:szCs w:val="24"/>
        </w:rPr>
        <w:t>-derivater</w:t>
      </w:r>
      <w:r>
        <w:rPr>
          <w:sz w:val="24"/>
          <w:szCs w:val="24"/>
        </w:rPr>
        <w:t>.</w:t>
      </w:r>
    </w:p>
    <w:p w:rsidR="005B0036" w:rsidRDefault="008A431E" w:rsidP="008A431E">
      <w:pPr>
        <w:ind w:left="851"/>
        <w:rPr>
          <w:sz w:val="24"/>
          <w:szCs w:val="24"/>
        </w:rPr>
      </w:pPr>
      <w:proofErr w:type="spellStart"/>
      <w:r w:rsidRPr="008A431E">
        <w:rPr>
          <w:rFonts w:ascii="TimesNewRoman,Italic" w:hAnsi="TimesNewRoman,Italic"/>
          <w:sz w:val="24"/>
          <w:szCs w:val="24"/>
        </w:rPr>
        <w:t>ATCvet</w:t>
      </w:r>
      <w:proofErr w:type="spellEnd"/>
      <w:r w:rsidRPr="008A431E">
        <w:rPr>
          <w:rFonts w:ascii="TimesNewRoman,Italic" w:hAnsi="TimesNewRoman,Italic"/>
          <w:sz w:val="24"/>
          <w:szCs w:val="24"/>
        </w:rPr>
        <w:t>-kode:</w:t>
      </w:r>
      <w:r w:rsidRPr="008A431E">
        <w:rPr>
          <w:sz w:val="24"/>
          <w:szCs w:val="24"/>
        </w:rPr>
        <w:t xml:space="preserve"> QP</w:t>
      </w:r>
      <w:r>
        <w:rPr>
          <w:sz w:val="24"/>
          <w:szCs w:val="24"/>
        </w:rPr>
        <w:t xml:space="preserve"> </w:t>
      </w:r>
      <w:r w:rsidRPr="008A431E">
        <w:rPr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8A431E">
        <w:rPr>
          <w:sz w:val="24"/>
          <w:szCs w:val="24"/>
        </w:rPr>
        <w:t>AA</w:t>
      </w:r>
      <w:r>
        <w:rPr>
          <w:sz w:val="24"/>
          <w:szCs w:val="24"/>
        </w:rPr>
        <w:t xml:space="preserve"> </w:t>
      </w:r>
      <w:r w:rsidRPr="008A431E">
        <w:rPr>
          <w:sz w:val="24"/>
          <w:szCs w:val="24"/>
        </w:rPr>
        <w:t>01</w:t>
      </w:r>
      <w:r>
        <w:rPr>
          <w:sz w:val="24"/>
          <w:szCs w:val="24"/>
        </w:rPr>
        <w:t>.</w:t>
      </w:r>
    </w:p>
    <w:p w:rsidR="008A431E" w:rsidRPr="008A431E" w:rsidRDefault="008A431E" w:rsidP="008A431E">
      <w:pPr>
        <w:ind w:left="851"/>
        <w:rPr>
          <w:sz w:val="24"/>
          <w:szCs w:val="24"/>
        </w:rPr>
      </w:pPr>
    </w:p>
    <w:p w:rsidR="005B0036" w:rsidRPr="008A431E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A431E">
        <w:rPr>
          <w:b/>
          <w:sz w:val="24"/>
          <w:szCs w:val="24"/>
        </w:rPr>
        <w:t>5.1</w:t>
      </w:r>
      <w:r w:rsidRPr="008A431E">
        <w:rPr>
          <w:b/>
          <w:sz w:val="24"/>
          <w:szCs w:val="24"/>
        </w:rPr>
        <w:tab/>
      </w:r>
      <w:proofErr w:type="spellStart"/>
      <w:r w:rsidRPr="008A431E">
        <w:rPr>
          <w:b/>
          <w:sz w:val="24"/>
          <w:szCs w:val="24"/>
        </w:rPr>
        <w:t>Farmakodynamiske</w:t>
      </w:r>
      <w:proofErr w:type="spellEnd"/>
      <w:r w:rsidRPr="008A431E">
        <w:rPr>
          <w:b/>
          <w:sz w:val="24"/>
          <w:szCs w:val="24"/>
        </w:rPr>
        <w:t xml:space="preserve"> egenskaber</w:t>
      </w:r>
    </w:p>
    <w:p w:rsidR="00C84719" w:rsidRPr="00C84719" w:rsidRDefault="00C84719" w:rsidP="00C84719">
      <w:pPr>
        <w:tabs>
          <w:tab w:val="left" w:pos="0"/>
        </w:tabs>
        <w:spacing w:line="240" w:lineRule="atLeast"/>
        <w:ind w:left="851"/>
        <w:rPr>
          <w:snapToGrid w:val="0"/>
          <w:sz w:val="24"/>
          <w:szCs w:val="24"/>
        </w:rPr>
      </w:pPr>
      <w:r w:rsidRPr="00C84719">
        <w:rPr>
          <w:snapToGrid w:val="0"/>
          <w:sz w:val="24"/>
          <w:szCs w:val="24"/>
        </w:rPr>
        <w:t xml:space="preserve">Efter at </w:t>
      </w:r>
      <w:proofErr w:type="spellStart"/>
      <w:r w:rsidRPr="00C84719">
        <w:rPr>
          <w:snapToGrid w:val="0"/>
          <w:sz w:val="24"/>
          <w:szCs w:val="24"/>
        </w:rPr>
        <w:t>metronidazol</w:t>
      </w:r>
      <w:proofErr w:type="spellEnd"/>
      <w:r w:rsidRPr="00C84719">
        <w:rPr>
          <w:snapToGrid w:val="0"/>
          <w:sz w:val="24"/>
          <w:szCs w:val="24"/>
        </w:rPr>
        <w:t xml:space="preserve"> har penetreret bakterien, reduceres molekylet af den følsomme bakterie (</w:t>
      </w:r>
      <w:proofErr w:type="spellStart"/>
      <w:r w:rsidRPr="00C84719">
        <w:rPr>
          <w:snapToGrid w:val="0"/>
          <w:sz w:val="24"/>
          <w:szCs w:val="24"/>
        </w:rPr>
        <w:t>anaerob</w:t>
      </w:r>
      <w:proofErr w:type="spellEnd"/>
      <w:r w:rsidRPr="00C84719">
        <w:rPr>
          <w:snapToGrid w:val="0"/>
          <w:sz w:val="24"/>
          <w:szCs w:val="24"/>
        </w:rPr>
        <w:t xml:space="preserve">). </w:t>
      </w:r>
      <w:proofErr w:type="spellStart"/>
      <w:r w:rsidRPr="00C84719">
        <w:rPr>
          <w:snapToGrid w:val="0"/>
          <w:sz w:val="24"/>
          <w:szCs w:val="24"/>
        </w:rPr>
        <w:t>Metabolitterne</w:t>
      </w:r>
      <w:proofErr w:type="spellEnd"/>
      <w:r w:rsidRPr="00C84719">
        <w:rPr>
          <w:snapToGrid w:val="0"/>
          <w:sz w:val="24"/>
          <w:szCs w:val="24"/>
        </w:rPr>
        <w:t xml:space="preserve">, der dannes, har en toksisk virkning på bakterien ved binding til det bakterielle DNA. Generelt er </w:t>
      </w:r>
      <w:proofErr w:type="spellStart"/>
      <w:r w:rsidRPr="00C84719">
        <w:rPr>
          <w:snapToGrid w:val="0"/>
          <w:sz w:val="24"/>
          <w:szCs w:val="24"/>
        </w:rPr>
        <w:t>metronidazol</w:t>
      </w:r>
      <w:proofErr w:type="spellEnd"/>
      <w:r w:rsidRPr="00C84719">
        <w:rPr>
          <w:snapToGrid w:val="0"/>
          <w:sz w:val="24"/>
          <w:szCs w:val="24"/>
        </w:rPr>
        <w:t xml:space="preserve"> baktericidt for følsomme bakterier i koncentrationer lig med eller en smule</w:t>
      </w:r>
      <w:r>
        <w:rPr>
          <w:snapToGrid w:val="0"/>
          <w:sz w:val="24"/>
          <w:szCs w:val="24"/>
        </w:rPr>
        <w:t xml:space="preserve"> </w:t>
      </w:r>
      <w:r w:rsidRPr="00C84719">
        <w:rPr>
          <w:snapToGrid w:val="0"/>
          <w:sz w:val="24"/>
          <w:szCs w:val="24"/>
        </w:rPr>
        <w:t>højere end den minimale hæmningskoncentration (MIC).</w:t>
      </w:r>
    </w:p>
    <w:p w:rsidR="005B0036" w:rsidRPr="00C84719" w:rsidRDefault="00C84719" w:rsidP="00C84719">
      <w:pPr>
        <w:tabs>
          <w:tab w:val="left" w:pos="0"/>
        </w:tabs>
        <w:spacing w:line="240" w:lineRule="atLeast"/>
        <w:ind w:left="851"/>
        <w:rPr>
          <w:snapToGrid w:val="0"/>
          <w:sz w:val="24"/>
          <w:szCs w:val="24"/>
        </w:rPr>
      </w:pPr>
      <w:r w:rsidRPr="00C84719">
        <w:rPr>
          <w:snapToGrid w:val="0"/>
          <w:sz w:val="24"/>
          <w:szCs w:val="24"/>
        </w:rPr>
        <w:t xml:space="preserve">Klinisk har </w:t>
      </w:r>
      <w:proofErr w:type="spellStart"/>
      <w:r w:rsidRPr="00C84719">
        <w:rPr>
          <w:snapToGrid w:val="0"/>
          <w:sz w:val="24"/>
          <w:szCs w:val="24"/>
        </w:rPr>
        <w:t>metronidazol</w:t>
      </w:r>
      <w:proofErr w:type="spellEnd"/>
      <w:r w:rsidRPr="00C84719">
        <w:rPr>
          <w:snapToGrid w:val="0"/>
          <w:sz w:val="24"/>
          <w:szCs w:val="24"/>
        </w:rPr>
        <w:t xml:space="preserve"> ikke nogen relevant virkning på fakultative </w:t>
      </w:r>
      <w:proofErr w:type="spellStart"/>
      <w:r w:rsidRPr="00C84719">
        <w:rPr>
          <w:snapToGrid w:val="0"/>
          <w:sz w:val="24"/>
          <w:szCs w:val="24"/>
        </w:rPr>
        <w:t>anaerober</w:t>
      </w:r>
      <w:proofErr w:type="spellEnd"/>
      <w:r w:rsidRPr="00C84719">
        <w:rPr>
          <w:snapToGrid w:val="0"/>
          <w:sz w:val="24"/>
          <w:szCs w:val="24"/>
        </w:rPr>
        <w:t xml:space="preserve">, obligate </w:t>
      </w:r>
      <w:proofErr w:type="spellStart"/>
      <w:r w:rsidRPr="00C84719">
        <w:rPr>
          <w:snapToGrid w:val="0"/>
          <w:sz w:val="24"/>
          <w:szCs w:val="24"/>
        </w:rPr>
        <w:t>aerober</w:t>
      </w:r>
      <w:proofErr w:type="spellEnd"/>
      <w:r>
        <w:rPr>
          <w:snapToGrid w:val="0"/>
          <w:sz w:val="24"/>
          <w:szCs w:val="24"/>
        </w:rPr>
        <w:t xml:space="preserve"> </w:t>
      </w:r>
      <w:r w:rsidRPr="00C84719">
        <w:rPr>
          <w:snapToGrid w:val="0"/>
          <w:sz w:val="24"/>
          <w:szCs w:val="24"/>
        </w:rPr>
        <w:t xml:space="preserve">og </w:t>
      </w:r>
      <w:proofErr w:type="spellStart"/>
      <w:r w:rsidRPr="00C84719">
        <w:rPr>
          <w:snapToGrid w:val="0"/>
          <w:sz w:val="24"/>
          <w:szCs w:val="24"/>
        </w:rPr>
        <w:t>mikroaerofile</w:t>
      </w:r>
      <w:proofErr w:type="spellEnd"/>
      <w:r w:rsidRPr="00C84719">
        <w:rPr>
          <w:snapToGrid w:val="0"/>
          <w:sz w:val="24"/>
          <w:szCs w:val="24"/>
        </w:rPr>
        <w:t xml:space="preserve"> bakterier</w:t>
      </w:r>
      <w:r>
        <w:rPr>
          <w:snapToGrid w:val="0"/>
          <w:sz w:val="24"/>
          <w:szCs w:val="24"/>
        </w:rPr>
        <w:t>.</w:t>
      </w:r>
    </w:p>
    <w:p w:rsidR="005B0036" w:rsidRPr="008A431E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A431E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A431E">
        <w:rPr>
          <w:b/>
          <w:sz w:val="24"/>
          <w:szCs w:val="24"/>
        </w:rPr>
        <w:t>5.2</w:t>
      </w:r>
      <w:r w:rsidRPr="008A431E">
        <w:rPr>
          <w:b/>
          <w:sz w:val="24"/>
          <w:szCs w:val="24"/>
        </w:rPr>
        <w:tab/>
      </w:r>
      <w:proofErr w:type="spellStart"/>
      <w:r w:rsidRPr="008A431E">
        <w:rPr>
          <w:b/>
          <w:sz w:val="24"/>
          <w:szCs w:val="24"/>
        </w:rPr>
        <w:t>Farmakokinetiske</w:t>
      </w:r>
      <w:proofErr w:type="spellEnd"/>
      <w:r w:rsidRPr="008A431E">
        <w:rPr>
          <w:b/>
          <w:sz w:val="24"/>
          <w:szCs w:val="24"/>
        </w:rPr>
        <w:t xml:space="preserve"> egenskaber</w:t>
      </w:r>
    </w:p>
    <w:p w:rsidR="005B0036" w:rsidRPr="00406EE7" w:rsidRDefault="00D708EF" w:rsidP="007F1A49">
      <w:pPr>
        <w:tabs>
          <w:tab w:val="left" w:pos="720"/>
        </w:tabs>
        <w:ind w:left="851"/>
        <w:rPr>
          <w:sz w:val="24"/>
          <w:szCs w:val="24"/>
        </w:rPr>
      </w:pPr>
      <w:proofErr w:type="spellStart"/>
      <w:r w:rsidRPr="00D708EF">
        <w:rPr>
          <w:sz w:val="24"/>
          <w:szCs w:val="24"/>
        </w:rPr>
        <w:t>Metronidazol</w:t>
      </w:r>
      <w:proofErr w:type="spellEnd"/>
      <w:r w:rsidRPr="00D708EF">
        <w:rPr>
          <w:sz w:val="24"/>
          <w:szCs w:val="24"/>
        </w:rPr>
        <w:t xml:space="preserve"> bliver absorberet med det samme og godt efter oral administration.</w:t>
      </w:r>
      <w:r>
        <w:rPr>
          <w:sz w:val="24"/>
          <w:szCs w:val="24"/>
        </w:rPr>
        <w:t xml:space="preserve"> </w:t>
      </w:r>
      <w:proofErr w:type="spellStart"/>
      <w:r w:rsidRPr="00D708EF">
        <w:rPr>
          <w:sz w:val="24"/>
          <w:szCs w:val="24"/>
        </w:rPr>
        <w:t>Peak</w:t>
      </w:r>
      <w:proofErr w:type="spellEnd"/>
      <w:r>
        <w:rPr>
          <w:sz w:val="24"/>
          <w:szCs w:val="24"/>
        </w:rPr>
        <w:t>-</w:t>
      </w:r>
      <w:r w:rsidRPr="00D708EF">
        <w:rPr>
          <w:sz w:val="24"/>
          <w:szCs w:val="24"/>
        </w:rPr>
        <w:t xml:space="preserve">plasmakoncentration, </w:t>
      </w:r>
      <w:proofErr w:type="spellStart"/>
      <w:r w:rsidRPr="00D708EF">
        <w:rPr>
          <w:sz w:val="24"/>
          <w:szCs w:val="24"/>
        </w:rPr>
        <w:t>C</w:t>
      </w:r>
      <w:r w:rsidRPr="00D708EF"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,</w:t>
      </w:r>
      <w:r w:rsidRPr="00D708EF">
        <w:rPr>
          <w:sz w:val="24"/>
          <w:szCs w:val="24"/>
        </w:rPr>
        <w:t xml:space="preserve"> blev nået hos hunde mellem 0,75 og 2 timer efter </w:t>
      </w:r>
      <w:r>
        <w:rPr>
          <w:sz w:val="24"/>
          <w:szCs w:val="24"/>
        </w:rPr>
        <w:t>dosering og hos katte mellem 0,</w:t>
      </w:r>
      <w:r w:rsidRPr="00D708EF">
        <w:rPr>
          <w:sz w:val="24"/>
          <w:szCs w:val="24"/>
        </w:rPr>
        <w:t>33 og 2 timer efter dosering.</w:t>
      </w:r>
      <w:r>
        <w:rPr>
          <w:sz w:val="24"/>
          <w:szCs w:val="24"/>
        </w:rPr>
        <w:t xml:space="preserve"> </w:t>
      </w:r>
      <w:r w:rsidRPr="00D708EF">
        <w:rPr>
          <w:sz w:val="24"/>
          <w:szCs w:val="24"/>
        </w:rPr>
        <w:t xml:space="preserve">Den gennemsnitlige terminale halveringstid var 6,35 timer hos hunde og 6,21 timer hos katte. </w:t>
      </w:r>
      <w:proofErr w:type="spellStart"/>
      <w:r w:rsidRPr="00D708EF">
        <w:rPr>
          <w:sz w:val="24"/>
          <w:szCs w:val="24"/>
        </w:rPr>
        <w:t>Metronidazol</w:t>
      </w:r>
      <w:proofErr w:type="spellEnd"/>
      <w:r w:rsidRPr="00D708EF">
        <w:rPr>
          <w:sz w:val="24"/>
          <w:szCs w:val="24"/>
        </w:rPr>
        <w:t xml:space="preserve"> penetrerer godt ind i væv og legem</w:t>
      </w:r>
      <w:r w:rsidR="00B1643E">
        <w:rPr>
          <w:sz w:val="24"/>
          <w:szCs w:val="24"/>
        </w:rPr>
        <w:t>s</w:t>
      </w:r>
      <w:r w:rsidRPr="00D708EF">
        <w:rPr>
          <w:sz w:val="24"/>
          <w:szCs w:val="24"/>
        </w:rPr>
        <w:t>væsker, såsom</w:t>
      </w:r>
      <w:r w:rsidR="007F1A49">
        <w:rPr>
          <w:sz w:val="24"/>
          <w:szCs w:val="24"/>
        </w:rPr>
        <w:t xml:space="preserve"> </w:t>
      </w:r>
      <w:r w:rsidRPr="00D708EF">
        <w:rPr>
          <w:sz w:val="24"/>
          <w:szCs w:val="24"/>
        </w:rPr>
        <w:t xml:space="preserve">spyt, mælk, vaginale sekretioner og sæd. </w:t>
      </w:r>
      <w:proofErr w:type="spellStart"/>
      <w:r w:rsidRPr="00D708EF">
        <w:rPr>
          <w:sz w:val="24"/>
          <w:szCs w:val="24"/>
        </w:rPr>
        <w:t>Metronidazol</w:t>
      </w:r>
      <w:proofErr w:type="spellEnd"/>
      <w:r w:rsidRPr="00D708EF">
        <w:rPr>
          <w:sz w:val="24"/>
          <w:szCs w:val="24"/>
        </w:rPr>
        <w:t xml:space="preserve"> </w:t>
      </w:r>
      <w:proofErr w:type="spellStart"/>
      <w:r w:rsidRPr="00D708EF">
        <w:rPr>
          <w:sz w:val="24"/>
          <w:szCs w:val="24"/>
        </w:rPr>
        <w:t>metaboliseres</w:t>
      </w:r>
      <w:proofErr w:type="spellEnd"/>
      <w:r w:rsidRPr="00D708EF">
        <w:rPr>
          <w:sz w:val="24"/>
          <w:szCs w:val="24"/>
        </w:rPr>
        <w:t xml:space="preserve"> primært i leveren. Inden</w:t>
      </w:r>
      <w:r w:rsidR="007F1A49">
        <w:rPr>
          <w:sz w:val="24"/>
          <w:szCs w:val="24"/>
        </w:rPr>
        <w:t xml:space="preserve"> </w:t>
      </w:r>
      <w:r w:rsidRPr="00D708EF">
        <w:rPr>
          <w:sz w:val="24"/>
          <w:szCs w:val="24"/>
        </w:rPr>
        <w:t>for 24 timer efter oral administration er 35-65</w:t>
      </w:r>
      <w:r w:rsidR="007F1A49">
        <w:rPr>
          <w:sz w:val="24"/>
          <w:szCs w:val="24"/>
        </w:rPr>
        <w:t xml:space="preserve"> </w:t>
      </w:r>
      <w:r w:rsidRPr="00D708EF">
        <w:rPr>
          <w:sz w:val="24"/>
          <w:szCs w:val="24"/>
        </w:rPr>
        <w:t>% af den administrerede dosis (</w:t>
      </w:r>
      <w:proofErr w:type="spellStart"/>
      <w:r w:rsidRPr="00D708EF">
        <w:rPr>
          <w:sz w:val="24"/>
          <w:szCs w:val="24"/>
        </w:rPr>
        <w:t>metronidazol</w:t>
      </w:r>
      <w:proofErr w:type="spellEnd"/>
      <w:r w:rsidRPr="00D708EF">
        <w:rPr>
          <w:sz w:val="24"/>
          <w:szCs w:val="24"/>
        </w:rPr>
        <w:t xml:space="preserve"> og </w:t>
      </w:r>
      <w:proofErr w:type="spellStart"/>
      <w:r w:rsidRPr="00D708EF">
        <w:rPr>
          <w:sz w:val="24"/>
          <w:szCs w:val="24"/>
        </w:rPr>
        <w:t>metabolitterne</w:t>
      </w:r>
      <w:proofErr w:type="spellEnd"/>
      <w:r w:rsidRPr="00D708EF">
        <w:rPr>
          <w:sz w:val="24"/>
          <w:szCs w:val="24"/>
        </w:rPr>
        <w:t xml:space="preserve"> deraf) udskilt i urinen.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C550E6" w:rsidRPr="00C550E6" w:rsidRDefault="00C550E6" w:rsidP="00C550E6">
      <w:pPr>
        <w:tabs>
          <w:tab w:val="left" w:pos="567"/>
        </w:tabs>
        <w:spacing w:line="240" w:lineRule="atLeast"/>
        <w:ind w:left="851"/>
        <w:rPr>
          <w:snapToGrid w:val="0"/>
          <w:sz w:val="24"/>
          <w:szCs w:val="24"/>
        </w:rPr>
      </w:pPr>
      <w:r w:rsidRPr="00C550E6">
        <w:rPr>
          <w:snapToGrid w:val="0"/>
          <w:sz w:val="24"/>
          <w:szCs w:val="24"/>
        </w:rPr>
        <w:t xml:space="preserve">Cellulose, </w:t>
      </w:r>
      <w:proofErr w:type="spellStart"/>
      <w:r w:rsidRPr="00C550E6">
        <w:rPr>
          <w:snapToGrid w:val="0"/>
          <w:sz w:val="24"/>
          <w:szCs w:val="24"/>
        </w:rPr>
        <w:t>mikrokrystallinsk</w:t>
      </w:r>
      <w:proofErr w:type="spellEnd"/>
    </w:p>
    <w:p w:rsidR="00C550E6" w:rsidRPr="00C550E6" w:rsidRDefault="00C550E6" w:rsidP="00C550E6">
      <w:pPr>
        <w:tabs>
          <w:tab w:val="left" w:pos="567"/>
        </w:tabs>
        <w:spacing w:line="240" w:lineRule="atLeast"/>
        <w:ind w:left="851"/>
        <w:rPr>
          <w:snapToGrid w:val="0"/>
          <w:sz w:val="24"/>
          <w:szCs w:val="24"/>
        </w:rPr>
      </w:pPr>
      <w:proofErr w:type="spellStart"/>
      <w:r w:rsidRPr="00C550E6">
        <w:rPr>
          <w:snapToGrid w:val="0"/>
          <w:sz w:val="24"/>
          <w:szCs w:val="24"/>
        </w:rPr>
        <w:t>Natriumstivelsesglycolat</w:t>
      </w:r>
      <w:proofErr w:type="spellEnd"/>
      <w:r w:rsidRPr="00C550E6">
        <w:rPr>
          <w:snapToGrid w:val="0"/>
          <w:sz w:val="24"/>
          <w:szCs w:val="24"/>
        </w:rPr>
        <w:t xml:space="preserve"> (type a)</w:t>
      </w:r>
    </w:p>
    <w:p w:rsidR="00C550E6" w:rsidRPr="00C550E6" w:rsidRDefault="00C550E6" w:rsidP="00C550E6">
      <w:pPr>
        <w:tabs>
          <w:tab w:val="left" w:pos="567"/>
        </w:tabs>
        <w:spacing w:line="240" w:lineRule="atLeast"/>
        <w:ind w:left="851"/>
        <w:rPr>
          <w:snapToGrid w:val="0"/>
          <w:sz w:val="24"/>
          <w:szCs w:val="24"/>
        </w:rPr>
      </w:pPr>
      <w:r w:rsidRPr="00C550E6">
        <w:rPr>
          <w:snapToGrid w:val="0"/>
          <w:sz w:val="24"/>
          <w:szCs w:val="24"/>
        </w:rPr>
        <w:t>Gærekstrakt</w:t>
      </w:r>
    </w:p>
    <w:p w:rsidR="00C550E6" w:rsidRPr="00C550E6" w:rsidRDefault="00C550E6" w:rsidP="00C550E6">
      <w:pPr>
        <w:tabs>
          <w:tab w:val="left" w:pos="567"/>
        </w:tabs>
        <w:spacing w:line="240" w:lineRule="atLeast"/>
        <w:ind w:left="851"/>
        <w:rPr>
          <w:snapToGrid w:val="0"/>
          <w:sz w:val="24"/>
          <w:szCs w:val="24"/>
        </w:rPr>
      </w:pPr>
      <w:proofErr w:type="spellStart"/>
      <w:r w:rsidRPr="00C550E6">
        <w:rPr>
          <w:snapToGrid w:val="0"/>
          <w:sz w:val="24"/>
          <w:szCs w:val="24"/>
        </w:rPr>
        <w:t>Hydroxypropylcellulose</w:t>
      </w:r>
      <w:proofErr w:type="spellEnd"/>
    </w:p>
    <w:p w:rsidR="005B0036" w:rsidRPr="009F2CEC" w:rsidRDefault="00C550E6" w:rsidP="009F2CEC">
      <w:pPr>
        <w:tabs>
          <w:tab w:val="left" w:pos="567"/>
        </w:tabs>
        <w:spacing w:line="240" w:lineRule="atLeast"/>
        <w:ind w:left="851"/>
        <w:rPr>
          <w:snapToGrid w:val="0"/>
          <w:sz w:val="24"/>
          <w:szCs w:val="24"/>
        </w:rPr>
      </w:pPr>
      <w:proofErr w:type="spellStart"/>
      <w:r w:rsidRPr="00C550E6">
        <w:rPr>
          <w:snapToGrid w:val="0"/>
          <w:sz w:val="24"/>
          <w:szCs w:val="24"/>
        </w:rPr>
        <w:t>Magnesiumstearat</w:t>
      </w:r>
      <w:proofErr w:type="spellEnd"/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5B0036" w:rsidRPr="00406EE7" w:rsidRDefault="009B413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5B0036" w:rsidRPr="00406EE7" w:rsidRDefault="009B413D" w:rsidP="009B413D">
      <w:pPr>
        <w:ind w:left="851"/>
        <w:rPr>
          <w:sz w:val="24"/>
          <w:szCs w:val="24"/>
        </w:rPr>
      </w:pPr>
      <w:r w:rsidRPr="009B413D">
        <w:rPr>
          <w:sz w:val="24"/>
          <w:szCs w:val="24"/>
        </w:rPr>
        <w:t>I salgspakning: 30 måneder</w:t>
      </w:r>
      <w:r>
        <w:rPr>
          <w:sz w:val="24"/>
          <w:szCs w:val="24"/>
        </w:rPr>
        <w:t>.</w:t>
      </w:r>
    </w:p>
    <w:p w:rsidR="009B413D" w:rsidRDefault="009B41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5B0036" w:rsidRPr="00406EE7" w:rsidRDefault="00995902" w:rsidP="009B413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Læg enhver </w:t>
      </w:r>
      <w:r w:rsidR="009B413D" w:rsidRPr="009B413D">
        <w:rPr>
          <w:sz w:val="24"/>
          <w:szCs w:val="24"/>
        </w:rPr>
        <w:t>delt tablet tilbage i blisterpakningen</w:t>
      </w:r>
      <w:r w:rsidR="009B413D">
        <w:rPr>
          <w:sz w:val="24"/>
          <w:szCs w:val="24"/>
        </w:rPr>
        <w:t xml:space="preserve"> </w:t>
      </w:r>
      <w:r w:rsidR="009B413D" w:rsidRPr="009B413D">
        <w:rPr>
          <w:sz w:val="24"/>
          <w:szCs w:val="24"/>
        </w:rPr>
        <w:t>og opbevar den beskyttet mod lys.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A50D85" w:rsidRDefault="00995902" w:rsidP="00A50D85">
      <w:pPr>
        <w:ind w:left="851"/>
        <w:rPr>
          <w:sz w:val="24"/>
          <w:szCs w:val="24"/>
        </w:rPr>
      </w:pPr>
      <w:r w:rsidRPr="00995902">
        <w:rPr>
          <w:rFonts w:cs="Arial"/>
          <w:sz w:val="24"/>
          <w:szCs w:val="24"/>
        </w:rPr>
        <w:t>PVC/Aluminium/Orienteret polyamid</w:t>
      </w:r>
      <w:r w:rsidRPr="00995902">
        <w:rPr>
          <w:sz w:val="24"/>
          <w:szCs w:val="24"/>
        </w:rPr>
        <w:t>/</w:t>
      </w:r>
      <w:r w:rsidR="00B44D2F">
        <w:rPr>
          <w:sz w:val="24"/>
          <w:szCs w:val="24"/>
        </w:rPr>
        <w:t>Aluminium blisterpakning</w:t>
      </w:r>
      <w:r w:rsidR="0069592B">
        <w:rPr>
          <w:sz w:val="24"/>
          <w:szCs w:val="24"/>
        </w:rPr>
        <w:t>;</w:t>
      </w:r>
      <w:r w:rsidR="00B44D2F">
        <w:rPr>
          <w:sz w:val="24"/>
          <w:szCs w:val="24"/>
        </w:rPr>
        <w:t xml:space="preserve"> i kartonæske</w:t>
      </w:r>
      <w:r w:rsidR="00A50D85">
        <w:rPr>
          <w:sz w:val="24"/>
          <w:szCs w:val="24"/>
        </w:rPr>
        <w:t xml:space="preserve"> med</w:t>
      </w:r>
      <w:r w:rsidRPr="00995902">
        <w:rPr>
          <w:sz w:val="24"/>
          <w:szCs w:val="24"/>
        </w:rPr>
        <w:t xml:space="preserve"> 1, 2, 3, 4, 5, 6, 7, 8, 9, 10, 25 eller 50 </w:t>
      </w:r>
      <w:r w:rsidRPr="00995902">
        <w:rPr>
          <w:bCs/>
          <w:iCs/>
          <w:sz w:val="24"/>
          <w:szCs w:val="24"/>
        </w:rPr>
        <w:t>blisterpakninger med</w:t>
      </w:r>
      <w:r w:rsidRPr="00995902">
        <w:rPr>
          <w:sz w:val="24"/>
          <w:szCs w:val="24"/>
        </w:rPr>
        <w:t xml:space="preserve"> 10 tabletter</w:t>
      </w:r>
      <w:r w:rsidR="00A50D85">
        <w:rPr>
          <w:sz w:val="24"/>
          <w:szCs w:val="24"/>
        </w:rPr>
        <w:t>.</w:t>
      </w:r>
    </w:p>
    <w:p w:rsidR="00A50D85" w:rsidRDefault="00A50D85" w:rsidP="00A50D85">
      <w:pPr>
        <w:ind w:left="851"/>
        <w:rPr>
          <w:sz w:val="24"/>
          <w:szCs w:val="24"/>
        </w:rPr>
      </w:pPr>
    </w:p>
    <w:p w:rsidR="00995902" w:rsidRPr="00995902" w:rsidRDefault="00A50D85" w:rsidP="00A50D85">
      <w:pPr>
        <w:ind w:left="851"/>
        <w:rPr>
          <w:sz w:val="24"/>
          <w:szCs w:val="24"/>
        </w:rPr>
      </w:pPr>
      <w:r>
        <w:rPr>
          <w:sz w:val="24"/>
          <w:szCs w:val="24"/>
        </w:rPr>
        <w:t>P</w:t>
      </w:r>
      <w:r w:rsidR="00995902" w:rsidRPr="00995902">
        <w:rPr>
          <w:sz w:val="24"/>
          <w:szCs w:val="24"/>
        </w:rPr>
        <w:t>akningsstørrelser</w:t>
      </w:r>
      <w:bookmarkStart w:id="3" w:name="_Hlk529263807"/>
      <w:r>
        <w:rPr>
          <w:sz w:val="24"/>
          <w:szCs w:val="24"/>
        </w:rPr>
        <w:t>:</w:t>
      </w:r>
      <w:r w:rsidR="00995902" w:rsidRPr="00995902">
        <w:rPr>
          <w:sz w:val="24"/>
          <w:szCs w:val="24"/>
        </w:rPr>
        <w:t xml:space="preserve"> 10, 20, 30, 40, 50, 60, 70, 80, 90, 100, 250 </w:t>
      </w:r>
      <w:r w:rsidR="00946021">
        <w:rPr>
          <w:sz w:val="24"/>
          <w:szCs w:val="24"/>
        </w:rPr>
        <w:t>og</w:t>
      </w:r>
      <w:r w:rsidR="00995902" w:rsidRPr="00995902">
        <w:rPr>
          <w:sz w:val="24"/>
          <w:szCs w:val="24"/>
        </w:rPr>
        <w:t xml:space="preserve"> 500 tabletter</w:t>
      </w:r>
      <w:r w:rsidR="00946021">
        <w:rPr>
          <w:sz w:val="24"/>
          <w:szCs w:val="24"/>
        </w:rPr>
        <w:t>.</w:t>
      </w:r>
    </w:p>
    <w:bookmarkEnd w:id="3"/>
    <w:p w:rsidR="00995902" w:rsidRPr="00995902" w:rsidRDefault="00995902" w:rsidP="00A50D85">
      <w:pPr>
        <w:ind w:left="851"/>
        <w:rPr>
          <w:sz w:val="24"/>
          <w:szCs w:val="24"/>
        </w:rPr>
      </w:pPr>
      <w:r w:rsidRPr="00995902">
        <w:rPr>
          <w:sz w:val="24"/>
          <w:szCs w:val="24"/>
        </w:rPr>
        <w:t>Ikke alle pakningsstørrelser er nødvendigvis markedsført.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5B0036" w:rsidRPr="0069592B" w:rsidRDefault="0069592B" w:rsidP="0069592B">
      <w:pPr>
        <w:ind w:left="851"/>
        <w:rPr>
          <w:sz w:val="24"/>
          <w:szCs w:val="24"/>
          <w:lang w:val="nl-NL"/>
        </w:rPr>
      </w:pPr>
      <w:r w:rsidRPr="005A290B">
        <w:rPr>
          <w:sz w:val="24"/>
          <w:szCs w:val="24"/>
        </w:rPr>
        <w:t>Ikke anvendte veterinærlægemidler samt affald heraf bør destrueres i henhold til lokale retningslinjer</w:t>
      </w:r>
      <w:r>
        <w:rPr>
          <w:sz w:val="24"/>
          <w:szCs w:val="24"/>
          <w:lang w:val="nl-NL"/>
        </w:rPr>
        <w:t>.</w:t>
      </w:r>
    </w:p>
    <w:p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3C1057" w:rsidRPr="00883660" w:rsidRDefault="003C1057" w:rsidP="003C1057">
      <w:pPr>
        <w:ind w:left="851"/>
        <w:jc w:val="both"/>
        <w:rPr>
          <w:sz w:val="24"/>
          <w:szCs w:val="24"/>
          <w:lang w:val="nl-NL"/>
        </w:rPr>
      </w:pPr>
      <w:bookmarkStart w:id="4" w:name="_Hlk14243310"/>
      <w:r w:rsidRPr="00883660">
        <w:rPr>
          <w:sz w:val="24"/>
          <w:szCs w:val="24"/>
          <w:lang w:val="nl-NL"/>
        </w:rPr>
        <w:t>Ecuphar NV</w:t>
      </w:r>
    </w:p>
    <w:p w:rsidR="003C1057" w:rsidRPr="00883660" w:rsidRDefault="003C1057" w:rsidP="003C1057">
      <w:pPr>
        <w:ind w:left="851"/>
        <w:jc w:val="both"/>
        <w:rPr>
          <w:sz w:val="24"/>
          <w:szCs w:val="24"/>
          <w:lang w:val="nl-NL"/>
        </w:rPr>
      </w:pPr>
      <w:r w:rsidRPr="00883660">
        <w:rPr>
          <w:sz w:val="24"/>
          <w:szCs w:val="24"/>
          <w:lang w:val="nl-NL"/>
        </w:rPr>
        <w:t>Legeweg 157-i</w:t>
      </w:r>
    </w:p>
    <w:p w:rsidR="003C1057" w:rsidRPr="00883660" w:rsidRDefault="003C1057" w:rsidP="003C1057">
      <w:pPr>
        <w:ind w:left="851"/>
        <w:jc w:val="both"/>
        <w:rPr>
          <w:sz w:val="24"/>
          <w:szCs w:val="24"/>
          <w:lang w:val="nl-NL"/>
        </w:rPr>
      </w:pPr>
      <w:r w:rsidRPr="00883660">
        <w:rPr>
          <w:sz w:val="24"/>
          <w:szCs w:val="24"/>
          <w:lang w:val="nl-NL"/>
        </w:rPr>
        <w:t>B-8020</w:t>
      </w:r>
      <w:r w:rsidR="00DE6982">
        <w:rPr>
          <w:sz w:val="24"/>
          <w:szCs w:val="24"/>
          <w:lang w:val="nl-NL"/>
        </w:rPr>
        <w:t xml:space="preserve"> </w:t>
      </w:r>
      <w:r w:rsidRPr="00883660">
        <w:rPr>
          <w:sz w:val="24"/>
          <w:szCs w:val="24"/>
          <w:lang w:val="nl-NL"/>
        </w:rPr>
        <w:t>Oostkamp</w:t>
      </w:r>
    </w:p>
    <w:p w:rsidR="005B0036" w:rsidRDefault="003C1057" w:rsidP="00DE6982">
      <w:pPr>
        <w:ind w:left="851"/>
        <w:jc w:val="both"/>
        <w:rPr>
          <w:sz w:val="24"/>
          <w:szCs w:val="24"/>
          <w:lang w:val="nl-NL"/>
        </w:rPr>
      </w:pPr>
      <w:r w:rsidRPr="00883660">
        <w:rPr>
          <w:sz w:val="24"/>
          <w:szCs w:val="24"/>
          <w:lang w:val="nl-NL"/>
        </w:rPr>
        <w:t>Belgien</w:t>
      </w:r>
      <w:bookmarkEnd w:id="4"/>
    </w:p>
    <w:p w:rsidR="001F52FF" w:rsidRDefault="001F52FF" w:rsidP="00DE6982">
      <w:pPr>
        <w:ind w:left="851"/>
        <w:jc w:val="both"/>
        <w:rPr>
          <w:sz w:val="24"/>
          <w:szCs w:val="24"/>
          <w:lang w:val="nl-NL"/>
        </w:rPr>
      </w:pPr>
    </w:p>
    <w:p w:rsidR="001F52FF" w:rsidRDefault="001F52FF" w:rsidP="001F52FF">
      <w:pPr>
        <w:ind w:left="851"/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Repræsentant</w:t>
      </w:r>
    </w:p>
    <w:p w:rsidR="001F52FF" w:rsidRPr="00E952E9" w:rsidRDefault="001F52FF" w:rsidP="001F52FF">
      <w:pPr>
        <w:ind w:left="851"/>
        <w:jc w:val="both"/>
        <w:rPr>
          <w:sz w:val="24"/>
          <w:szCs w:val="24"/>
          <w:lang w:val="nl-NL"/>
        </w:rPr>
      </w:pPr>
      <w:r w:rsidRPr="00E952E9">
        <w:rPr>
          <w:sz w:val="24"/>
          <w:szCs w:val="24"/>
          <w:lang w:val="nl-NL"/>
        </w:rPr>
        <w:t>ScanVet Animal Health AS</w:t>
      </w:r>
    </w:p>
    <w:p w:rsidR="001F52FF" w:rsidRPr="00E952E9" w:rsidRDefault="001F52FF" w:rsidP="001F52FF">
      <w:pPr>
        <w:ind w:left="851"/>
        <w:jc w:val="both"/>
        <w:rPr>
          <w:sz w:val="24"/>
          <w:szCs w:val="24"/>
          <w:lang w:val="nl-NL"/>
        </w:rPr>
      </w:pPr>
      <w:r w:rsidRPr="00E952E9">
        <w:rPr>
          <w:sz w:val="24"/>
          <w:szCs w:val="24"/>
          <w:lang w:val="nl-NL"/>
        </w:rPr>
        <w:t>Kongevejen 66</w:t>
      </w:r>
    </w:p>
    <w:p w:rsidR="001F52FF" w:rsidRPr="00DE6982" w:rsidRDefault="001F52FF" w:rsidP="001F52FF">
      <w:pPr>
        <w:ind w:left="851"/>
        <w:jc w:val="both"/>
        <w:rPr>
          <w:sz w:val="24"/>
          <w:szCs w:val="24"/>
          <w:lang w:val="nl-NL"/>
        </w:rPr>
      </w:pPr>
      <w:r w:rsidRPr="00E952E9">
        <w:rPr>
          <w:sz w:val="24"/>
          <w:szCs w:val="24"/>
          <w:lang w:val="nl-NL"/>
        </w:rPr>
        <w:t>3480 Fredensborg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5B0036" w:rsidRDefault="00DE6982" w:rsidP="00DE6982">
      <w:pPr>
        <w:tabs>
          <w:tab w:val="left" w:pos="170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250 mg:</w:t>
      </w:r>
      <w:r>
        <w:rPr>
          <w:sz w:val="24"/>
          <w:szCs w:val="24"/>
        </w:rPr>
        <w:tab/>
        <w:t>60795</w:t>
      </w:r>
    </w:p>
    <w:p w:rsidR="00DE6982" w:rsidRPr="00406EE7" w:rsidRDefault="00DE6982" w:rsidP="00DE6982">
      <w:pPr>
        <w:tabs>
          <w:tab w:val="left" w:pos="170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500 mg:</w:t>
      </w:r>
      <w:r>
        <w:rPr>
          <w:sz w:val="24"/>
          <w:szCs w:val="24"/>
        </w:rPr>
        <w:tab/>
        <w:t>60796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5B0036" w:rsidRPr="00406EE7" w:rsidRDefault="00B1643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august 2019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5B0036" w:rsidRPr="00406EE7" w:rsidRDefault="001F52FF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december 2019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03527F" w:rsidRPr="00643E2C" w:rsidRDefault="00643E2C" w:rsidP="00643E2C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</w:t>
      </w:r>
    </w:p>
    <w:sectPr w:rsidR="0003527F" w:rsidRPr="00643E2C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2C" w:rsidRDefault="00643E2C">
      <w:r>
        <w:separator/>
      </w:r>
    </w:p>
  </w:endnote>
  <w:endnote w:type="continuationSeparator" w:id="0">
    <w:p w:rsidR="00643E2C" w:rsidRDefault="0064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F52FF">
      <w:rPr>
        <w:i/>
        <w:noProof/>
        <w:snapToGrid w:val="0"/>
        <w:sz w:val="18"/>
      </w:rPr>
      <w:t>Metrocare Vet., tabletter 250 mg og 500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1F52FF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1F52FF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F52FF">
      <w:rPr>
        <w:i/>
        <w:noProof/>
        <w:snapToGrid w:val="0"/>
        <w:sz w:val="18"/>
      </w:rPr>
      <w:t>Metrocare Vet., tabletter 250 mg og 500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E6982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1F52FF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2C" w:rsidRDefault="00643E2C">
      <w:r>
        <w:separator/>
      </w:r>
    </w:p>
  </w:footnote>
  <w:footnote w:type="continuationSeparator" w:id="0">
    <w:p w:rsidR="00643E2C" w:rsidRDefault="0064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2C"/>
    <w:rsid w:val="0003527F"/>
    <w:rsid w:val="00065C7D"/>
    <w:rsid w:val="000C6CD4"/>
    <w:rsid w:val="0010239A"/>
    <w:rsid w:val="001577E4"/>
    <w:rsid w:val="00160F73"/>
    <w:rsid w:val="001858CA"/>
    <w:rsid w:val="001C4AEF"/>
    <w:rsid w:val="001D3CC5"/>
    <w:rsid w:val="001F20B6"/>
    <w:rsid w:val="001F52FF"/>
    <w:rsid w:val="002218E2"/>
    <w:rsid w:val="002A5D8F"/>
    <w:rsid w:val="00322BDE"/>
    <w:rsid w:val="003C1057"/>
    <w:rsid w:val="00406EE7"/>
    <w:rsid w:val="00407013"/>
    <w:rsid w:val="00471EB7"/>
    <w:rsid w:val="004A62CC"/>
    <w:rsid w:val="00565A74"/>
    <w:rsid w:val="005B0036"/>
    <w:rsid w:val="005F5831"/>
    <w:rsid w:val="00643E2C"/>
    <w:rsid w:val="00662012"/>
    <w:rsid w:val="00666B01"/>
    <w:rsid w:val="00691E9D"/>
    <w:rsid w:val="0069592B"/>
    <w:rsid w:val="006B1539"/>
    <w:rsid w:val="006F1E7E"/>
    <w:rsid w:val="006F5621"/>
    <w:rsid w:val="00790C46"/>
    <w:rsid w:val="007E2A00"/>
    <w:rsid w:val="007F1A49"/>
    <w:rsid w:val="008010F2"/>
    <w:rsid w:val="00844EBF"/>
    <w:rsid w:val="008A16FA"/>
    <w:rsid w:val="008A431E"/>
    <w:rsid w:val="008B3491"/>
    <w:rsid w:val="009202AE"/>
    <w:rsid w:val="00946021"/>
    <w:rsid w:val="00984687"/>
    <w:rsid w:val="00995902"/>
    <w:rsid w:val="009B413D"/>
    <w:rsid w:val="009D66C6"/>
    <w:rsid w:val="009F2CEC"/>
    <w:rsid w:val="00A50D85"/>
    <w:rsid w:val="00A96525"/>
    <w:rsid w:val="00AE29E5"/>
    <w:rsid w:val="00AE5757"/>
    <w:rsid w:val="00AF54ED"/>
    <w:rsid w:val="00B1643E"/>
    <w:rsid w:val="00B25083"/>
    <w:rsid w:val="00B25EB8"/>
    <w:rsid w:val="00B44D2F"/>
    <w:rsid w:val="00B86266"/>
    <w:rsid w:val="00BB322C"/>
    <w:rsid w:val="00BC634B"/>
    <w:rsid w:val="00BE6179"/>
    <w:rsid w:val="00BF2AE0"/>
    <w:rsid w:val="00BF586A"/>
    <w:rsid w:val="00C44580"/>
    <w:rsid w:val="00C479BF"/>
    <w:rsid w:val="00C550E6"/>
    <w:rsid w:val="00C84719"/>
    <w:rsid w:val="00D708EF"/>
    <w:rsid w:val="00DD6D71"/>
    <w:rsid w:val="00DE6982"/>
    <w:rsid w:val="00DF32BE"/>
    <w:rsid w:val="00E14F0A"/>
    <w:rsid w:val="00EB5778"/>
    <w:rsid w:val="00ED2873"/>
    <w:rsid w:val="00EE5253"/>
    <w:rsid w:val="00F13088"/>
    <w:rsid w:val="00F73A3F"/>
    <w:rsid w:val="00FA5A3D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67C3-C2A8-439E-975B-E31F51E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0</TotalTime>
  <Pages>5</Pages>
  <Words>1116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 </dc:creator>
  <cp:keywords/>
  <dc:description>2019113101
tilføjelse af lokal repræsentant </dc:description>
  <cp:lastModifiedBy>Marianne Ott Jensen</cp:lastModifiedBy>
  <cp:revision>3</cp:revision>
  <cp:lastPrinted>2019-12-06T09:43:00Z</cp:lastPrinted>
  <dcterms:created xsi:type="dcterms:W3CDTF">2019-12-06T09:42:00Z</dcterms:created>
  <dcterms:modified xsi:type="dcterms:W3CDTF">2019-12-06T09:44:00Z</dcterms:modified>
</cp:coreProperties>
</file>