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FAB6" w14:textId="77777777" w:rsidR="005B0036" w:rsidRPr="00286406" w:rsidRDefault="005B0036" w:rsidP="005B0036">
      <w:pPr>
        <w:rPr>
          <w:sz w:val="24"/>
          <w:szCs w:val="24"/>
        </w:rPr>
      </w:pPr>
      <w:r w:rsidRPr="00286406">
        <w:rPr>
          <w:noProof/>
          <w:sz w:val="24"/>
          <w:szCs w:val="24"/>
          <w:lang w:eastAsia="da-DK"/>
        </w:rPr>
        <w:drawing>
          <wp:inline distT="0" distB="0" distL="0" distR="0" wp14:anchorId="79A69FF3" wp14:editId="08531ECC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F4E0" w14:textId="52679C03" w:rsidR="00C479BF" w:rsidRPr="00286406" w:rsidRDefault="00C479BF" w:rsidP="005B0036">
      <w:pPr>
        <w:rPr>
          <w:sz w:val="24"/>
          <w:szCs w:val="24"/>
        </w:rPr>
      </w:pPr>
    </w:p>
    <w:p w14:paraId="221D890D" w14:textId="0CD39D18" w:rsidR="005B0036" w:rsidRPr="00286406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ab/>
      </w:r>
      <w:r w:rsidR="005B0D8B">
        <w:rPr>
          <w:b/>
          <w:sz w:val="24"/>
          <w:szCs w:val="24"/>
        </w:rPr>
        <w:t>10</w:t>
      </w:r>
      <w:r w:rsidR="005A0F21">
        <w:rPr>
          <w:b/>
          <w:sz w:val="24"/>
          <w:szCs w:val="24"/>
        </w:rPr>
        <w:t xml:space="preserve">. </w:t>
      </w:r>
      <w:r w:rsidR="005B0D8B">
        <w:rPr>
          <w:b/>
          <w:sz w:val="24"/>
          <w:szCs w:val="24"/>
        </w:rPr>
        <w:t>oktober</w:t>
      </w:r>
      <w:r w:rsidR="005A0F21">
        <w:rPr>
          <w:b/>
          <w:sz w:val="24"/>
          <w:szCs w:val="24"/>
        </w:rPr>
        <w:t xml:space="preserve"> 202</w:t>
      </w:r>
      <w:r w:rsidR="005B0D8B">
        <w:rPr>
          <w:b/>
          <w:sz w:val="24"/>
          <w:szCs w:val="24"/>
        </w:rPr>
        <w:t>3</w:t>
      </w:r>
    </w:p>
    <w:p w14:paraId="621F7529" w14:textId="01E214DC" w:rsidR="005B0036" w:rsidRPr="00286406" w:rsidRDefault="005B0036" w:rsidP="005B0036">
      <w:pPr>
        <w:rPr>
          <w:sz w:val="24"/>
          <w:szCs w:val="24"/>
        </w:rPr>
      </w:pPr>
    </w:p>
    <w:p w14:paraId="5946FB3C" w14:textId="77777777" w:rsidR="00F65545" w:rsidRPr="00286406" w:rsidRDefault="00F65545" w:rsidP="005B0036">
      <w:pPr>
        <w:rPr>
          <w:sz w:val="24"/>
          <w:szCs w:val="24"/>
        </w:rPr>
      </w:pPr>
    </w:p>
    <w:p w14:paraId="6BDEA3FF" w14:textId="77777777" w:rsidR="005B0036" w:rsidRPr="00286406" w:rsidRDefault="005B0036" w:rsidP="005B0036">
      <w:pPr>
        <w:rPr>
          <w:sz w:val="24"/>
          <w:szCs w:val="24"/>
        </w:rPr>
      </w:pPr>
    </w:p>
    <w:p w14:paraId="1991FC28" w14:textId="77777777" w:rsidR="005B0036" w:rsidRPr="00286406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PRODUKTRESUMÉ</w:t>
      </w:r>
    </w:p>
    <w:p w14:paraId="10833D90" w14:textId="77777777" w:rsidR="005B0036" w:rsidRPr="00286406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15DD652D" w14:textId="77777777" w:rsidR="005B0036" w:rsidRPr="00286406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for</w:t>
      </w:r>
    </w:p>
    <w:p w14:paraId="697F3B19" w14:textId="77777777" w:rsidR="005B0036" w:rsidRPr="00286406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10B206C" w14:textId="376C1235" w:rsidR="005B0036" w:rsidRPr="00286406" w:rsidRDefault="00A54E62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286406">
        <w:rPr>
          <w:b/>
          <w:sz w:val="24"/>
          <w:szCs w:val="24"/>
        </w:rPr>
        <w:t>Metronivet</w:t>
      </w:r>
      <w:proofErr w:type="spellEnd"/>
      <w:r w:rsidRPr="00286406">
        <w:rPr>
          <w:b/>
          <w:sz w:val="24"/>
          <w:szCs w:val="24"/>
        </w:rPr>
        <w:t>, tabletter</w:t>
      </w:r>
    </w:p>
    <w:p w14:paraId="32E7B01E" w14:textId="77777777" w:rsidR="005B0036" w:rsidRPr="00286406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7D5C436A" w14:textId="77777777" w:rsidR="005B0036" w:rsidRPr="00286406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57933583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0.</w:t>
      </w:r>
      <w:r w:rsidRPr="00286406">
        <w:rPr>
          <w:b/>
          <w:sz w:val="24"/>
          <w:szCs w:val="24"/>
        </w:rPr>
        <w:tab/>
        <w:t>D.SP.NR.</w:t>
      </w:r>
    </w:p>
    <w:p w14:paraId="4578D41B" w14:textId="1E7913A0" w:rsidR="005B0036" w:rsidRPr="00286406" w:rsidRDefault="00A54E62" w:rsidP="005B0036">
      <w:pPr>
        <w:tabs>
          <w:tab w:val="left" w:pos="8222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>31985</w:t>
      </w:r>
    </w:p>
    <w:p w14:paraId="476DF0C4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FBA6AB0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1.</w:t>
      </w:r>
      <w:r w:rsidRPr="00286406">
        <w:rPr>
          <w:b/>
          <w:sz w:val="24"/>
          <w:szCs w:val="24"/>
        </w:rPr>
        <w:tab/>
        <w:t>VETERINÆRLÆGEMIDLETS NAVN</w:t>
      </w:r>
    </w:p>
    <w:p w14:paraId="0D9BD9D3" w14:textId="0A06EB22" w:rsidR="005B0036" w:rsidRPr="00286406" w:rsidRDefault="00A54E62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Metronivet</w:t>
      </w:r>
      <w:proofErr w:type="spellEnd"/>
    </w:p>
    <w:p w14:paraId="2F003F1B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781C547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2.</w:t>
      </w:r>
      <w:r w:rsidRPr="00286406">
        <w:rPr>
          <w:b/>
          <w:sz w:val="24"/>
          <w:szCs w:val="24"/>
        </w:rPr>
        <w:tab/>
        <w:t>KVALITATIV OG KVANTITATIV SAMMENSÆTNING</w:t>
      </w:r>
    </w:p>
    <w:p w14:paraId="0F83A2D6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En tablet indeholder:</w:t>
      </w:r>
    </w:p>
    <w:p w14:paraId="480AAF1A" w14:textId="77777777" w:rsidR="009C7EAC" w:rsidRPr="00286406" w:rsidRDefault="009C7EAC" w:rsidP="006E25EA">
      <w:pPr>
        <w:ind w:left="851"/>
        <w:rPr>
          <w:b/>
          <w:sz w:val="24"/>
          <w:szCs w:val="24"/>
        </w:rPr>
      </w:pPr>
    </w:p>
    <w:p w14:paraId="5CEC5D99" w14:textId="77777777" w:rsidR="009C7EAC" w:rsidRPr="00286406" w:rsidRDefault="009C7EAC" w:rsidP="006E25EA">
      <w:pPr>
        <w:ind w:left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Aktivt stof</w:t>
      </w:r>
    </w:p>
    <w:p w14:paraId="72CF98A9" w14:textId="77777777" w:rsidR="009C7EAC" w:rsidRPr="00286406" w:rsidRDefault="009C7EAC" w:rsidP="006E25EA">
      <w:pPr>
        <w:ind w:left="851"/>
        <w:rPr>
          <w:b/>
          <w:sz w:val="24"/>
          <w:szCs w:val="24"/>
        </w:rPr>
      </w:pPr>
    </w:p>
    <w:p w14:paraId="212082AF" w14:textId="77777777" w:rsidR="009C7EAC" w:rsidRPr="00286406" w:rsidRDefault="009C7EAC" w:rsidP="006E25EA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250 mg</w:t>
      </w:r>
    </w:p>
    <w:p w14:paraId="77422DA4" w14:textId="559F019C" w:rsidR="009C7EAC" w:rsidRPr="00286406" w:rsidRDefault="009C7EAC" w:rsidP="006E25EA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ab/>
      </w:r>
      <w:r w:rsidRPr="00286406">
        <w:rPr>
          <w:sz w:val="24"/>
          <w:szCs w:val="24"/>
        </w:rPr>
        <w:tab/>
        <w:t>250 mg</w:t>
      </w:r>
    </w:p>
    <w:p w14:paraId="40DDE404" w14:textId="77777777" w:rsidR="009C7EAC" w:rsidRPr="00286406" w:rsidRDefault="009C7EAC" w:rsidP="006E25EA">
      <w:pPr>
        <w:ind w:left="851"/>
        <w:rPr>
          <w:bCs/>
          <w:sz w:val="24"/>
          <w:szCs w:val="24"/>
        </w:rPr>
      </w:pPr>
    </w:p>
    <w:p w14:paraId="1B81359D" w14:textId="77777777" w:rsidR="009C7EAC" w:rsidRPr="00286406" w:rsidRDefault="009C7EAC" w:rsidP="006E25EA">
      <w:pPr>
        <w:ind w:left="851"/>
        <w:rPr>
          <w:bCs/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500 mg</w:t>
      </w:r>
    </w:p>
    <w:p w14:paraId="46F27870" w14:textId="500DAEBD" w:rsidR="009C7EAC" w:rsidRPr="00286406" w:rsidRDefault="009C7EAC" w:rsidP="006E25EA">
      <w:pPr>
        <w:ind w:left="851"/>
        <w:rPr>
          <w:b/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ab/>
      </w:r>
      <w:r w:rsidRPr="00286406">
        <w:rPr>
          <w:sz w:val="24"/>
          <w:szCs w:val="24"/>
        </w:rPr>
        <w:tab/>
        <w:t>500 mg</w:t>
      </w:r>
      <w:r w:rsidRPr="00286406">
        <w:rPr>
          <w:b/>
          <w:sz w:val="24"/>
          <w:szCs w:val="24"/>
        </w:rPr>
        <w:t xml:space="preserve"> </w:t>
      </w:r>
    </w:p>
    <w:p w14:paraId="5F034790" w14:textId="77777777" w:rsidR="009C7EAC" w:rsidRPr="00286406" w:rsidRDefault="009C7EAC" w:rsidP="006E25EA">
      <w:pPr>
        <w:ind w:left="851"/>
        <w:rPr>
          <w:b/>
          <w:sz w:val="24"/>
          <w:szCs w:val="24"/>
        </w:rPr>
      </w:pPr>
    </w:p>
    <w:p w14:paraId="1BDD4837" w14:textId="77777777" w:rsidR="009C7EAC" w:rsidRPr="00286406" w:rsidRDefault="009C7EAC" w:rsidP="006E25EA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1000 mg </w:t>
      </w:r>
    </w:p>
    <w:p w14:paraId="132824D9" w14:textId="37F5662C" w:rsidR="009C7EAC" w:rsidRPr="00286406" w:rsidRDefault="009C7EAC" w:rsidP="006E25EA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ab/>
      </w:r>
      <w:r w:rsidRPr="00286406">
        <w:rPr>
          <w:sz w:val="24"/>
          <w:szCs w:val="24"/>
        </w:rPr>
        <w:tab/>
        <w:t>1000 mg</w:t>
      </w:r>
    </w:p>
    <w:p w14:paraId="061A5B86" w14:textId="77777777" w:rsidR="009C7EAC" w:rsidRPr="00286406" w:rsidRDefault="009C7EAC" w:rsidP="006E25EA">
      <w:pPr>
        <w:ind w:left="851"/>
        <w:rPr>
          <w:sz w:val="24"/>
          <w:szCs w:val="24"/>
        </w:rPr>
      </w:pPr>
    </w:p>
    <w:p w14:paraId="3C35CA1E" w14:textId="77777777" w:rsidR="009C7EAC" w:rsidRPr="00286406" w:rsidRDefault="009C7EAC" w:rsidP="006E25EA">
      <w:pPr>
        <w:ind w:left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Hjælpestoffer:</w:t>
      </w:r>
    </w:p>
    <w:p w14:paraId="7697C1B4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Alle hjælpestoffer er anført under pkt. 6.1.</w:t>
      </w:r>
    </w:p>
    <w:p w14:paraId="4B570821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4DFBDB7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3.</w:t>
      </w:r>
      <w:r w:rsidRPr="00286406">
        <w:rPr>
          <w:b/>
          <w:sz w:val="24"/>
          <w:szCs w:val="24"/>
        </w:rPr>
        <w:tab/>
        <w:t>LÆGEMIDDELFORM</w:t>
      </w:r>
    </w:p>
    <w:p w14:paraId="27DCB019" w14:textId="4BBC547E" w:rsidR="009C7EAC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Tabletter</w:t>
      </w:r>
    </w:p>
    <w:p w14:paraId="13024BC1" w14:textId="77777777" w:rsidR="002F0EEB" w:rsidRPr="00286406" w:rsidRDefault="002F0EEB" w:rsidP="006E25EA">
      <w:pPr>
        <w:ind w:left="851"/>
        <w:rPr>
          <w:sz w:val="24"/>
          <w:szCs w:val="24"/>
        </w:rPr>
      </w:pPr>
    </w:p>
    <w:p w14:paraId="585C84B9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Råhvid til lysebrun med brune pletter, rund og konveks tablet med smag samt en </w:t>
      </w:r>
      <w:proofErr w:type="spellStart"/>
      <w:r w:rsidRPr="00286406">
        <w:rPr>
          <w:sz w:val="24"/>
          <w:szCs w:val="24"/>
        </w:rPr>
        <w:t>krydsformet</w:t>
      </w:r>
      <w:proofErr w:type="spellEnd"/>
      <w:r w:rsidRPr="00286406">
        <w:rPr>
          <w:sz w:val="24"/>
          <w:szCs w:val="24"/>
        </w:rPr>
        <w:t xml:space="preserve"> delekærv på de ene side.</w:t>
      </w:r>
    </w:p>
    <w:p w14:paraId="705C9EA5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Tabletterne kan deles i to eller fire lige store dele.</w:t>
      </w:r>
    </w:p>
    <w:p w14:paraId="5CB6DBE5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E1EB994" w14:textId="7CF0832C" w:rsidR="002F0EEB" w:rsidRDefault="002F0E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E52D17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BC2575B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</w:t>
      </w:r>
      <w:r w:rsidRPr="00286406">
        <w:rPr>
          <w:b/>
          <w:sz w:val="24"/>
          <w:szCs w:val="24"/>
        </w:rPr>
        <w:tab/>
        <w:t>KLINISKE OPLYSNINGER</w:t>
      </w:r>
    </w:p>
    <w:p w14:paraId="599E09CF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EEB3C8B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286406">
        <w:rPr>
          <w:b/>
          <w:sz w:val="24"/>
          <w:szCs w:val="24"/>
        </w:rPr>
        <w:t>4.1</w:t>
      </w:r>
      <w:r w:rsidRPr="00286406">
        <w:rPr>
          <w:b/>
          <w:sz w:val="24"/>
          <w:szCs w:val="24"/>
        </w:rPr>
        <w:tab/>
        <w:t>Dyrearter</w:t>
      </w:r>
    </w:p>
    <w:p w14:paraId="0831A805" w14:textId="77777777" w:rsidR="00391AFF" w:rsidRPr="00286406" w:rsidRDefault="00391AFF" w:rsidP="006E25EA">
      <w:pPr>
        <w:ind w:left="851"/>
        <w:rPr>
          <w:sz w:val="24"/>
          <w:szCs w:val="24"/>
          <w:u w:val="single"/>
        </w:rPr>
      </w:pPr>
    </w:p>
    <w:p w14:paraId="315DC72F" w14:textId="5C5D73D5" w:rsidR="009C7EAC" w:rsidRPr="00286406" w:rsidRDefault="009C7EAC" w:rsidP="006E25EA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250 mg</w:t>
      </w:r>
    </w:p>
    <w:p w14:paraId="75AF244C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Hunde og katte.</w:t>
      </w:r>
    </w:p>
    <w:p w14:paraId="5B1069B9" w14:textId="77777777" w:rsidR="009C7EAC" w:rsidRPr="00286406" w:rsidRDefault="009C7EAC" w:rsidP="006E25EA">
      <w:pPr>
        <w:ind w:left="851"/>
        <w:rPr>
          <w:sz w:val="24"/>
          <w:szCs w:val="24"/>
        </w:rPr>
      </w:pPr>
    </w:p>
    <w:p w14:paraId="1FB4D0A0" w14:textId="77777777" w:rsidR="009C7EAC" w:rsidRPr="00286406" w:rsidRDefault="009C7EAC" w:rsidP="006E25EA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500 mg</w:t>
      </w:r>
    </w:p>
    <w:p w14:paraId="76B44B9C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Hunde og katte.</w:t>
      </w:r>
    </w:p>
    <w:p w14:paraId="7DC5966E" w14:textId="77777777" w:rsidR="009C7EAC" w:rsidRPr="00286406" w:rsidRDefault="009C7EAC" w:rsidP="006E25EA">
      <w:pPr>
        <w:ind w:left="851"/>
        <w:rPr>
          <w:sz w:val="24"/>
          <w:szCs w:val="24"/>
        </w:rPr>
      </w:pPr>
    </w:p>
    <w:p w14:paraId="2028F66B" w14:textId="77777777" w:rsidR="009C7EAC" w:rsidRPr="00286406" w:rsidRDefault="009C7EAC" w:rsidP="006E25EA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1000 mg </w:t>
      </w:r>
    </w:p>
    <w:p w14:paraId="5E823578" w14:textId="77777777" w:rsidR="009C7EAC" w:rsidRPr="00286406" w:rsidRDefault="009C7EAC" w:rsidP="006E25EA">
      <w:pPr>
        <w:ind w:left="851"/>
        <w:rPr>
          <w:b/>
          <w:sz w:val="24"/>
          <w:szCs w:val="24"/>
        </w:rPr>
      </w:pPr>
      <w:r w:rsidRPr="00286406">
        <w:rPr>
          <w:sz w:val="24"/>
          <w:szCs w:val="24"/>
        </w:rPr>
        <w:t>Hunde</w:t>
      </w:r>
    </w:p>
    <w:p w14:paraId="27767CF9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7A5321B" w14:textId="77777777" w:rsidR="005B0036" w:rsidRPr="00286406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286406">
        <w:rPr>
          <w:b/>
          <w:szCs w:val="24"/>
        </w:rPr>
        <w:t>4.2</w:t>
      </w:r>
      <w:r w:rsidRPr="00286406">
        <w:rPr>
          <w:b/>
          <w:szCs w:val="24"/>
        </w:rPr>
        <w:tab/>
        <w:t>Terapeutiske indikationer</w:t>
      </w:r>
    </w:p>
    <w:p w14:paraId="14A80FF4" w14:textId="77777777" w:rsidR="009C7EAC" w:rsidRPr="00286406" w:rsidRDefault="009C7EAC" w:rsidP="006E25EA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286406">
        <w:rPr>
          <w:color w:val="000000"/>
          <w:sz w:val="24"/>
          <w:szCs w:val="24"/>
        </w:rPr>
        <w:t xml:space="preserve">Behandling af infektioner i mave-tarm-kanalen forårsaget af </w:t>
      </w:r>
      <w:proofErr w:type="spellStart"/>
      <w:r w:rsidRPr="00286406">
        <w:rPr>
          <w:i/>
          <w:iCs/>
          <w:color w:val="000000"/>
          <w:sz w:val="24"/>
          <w:szCs w:val="24"/>
        </w:rPr>
        <w:t>Giardia</w:t>
      </w:r>
      <w:proofErr w:type="spellEnd"/>
      <w:r w:rsidRPr="0028640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86406">
        <w:rPr>
          <w:color w:val="000000"/>
          <w:sz w:val="24"/>
          <w:szCs w:val="24"/>
        </w:rPr>
        <w:t>spp</w:t>
      </w:r>
      <w:proofErr w:type="spellEnd"/>
      <w:r w:rsidRPr="00286406">
        <w:rPr>
          <w:color w:val="000000"/>
          <w:sz w:val="24"/>
          <w:szCs w:val="24"/>
        </w:rPr>
        <w:t xml:space="preserve">. og </w:t>
      </w:r>
      <w:proofErr w:type="spellStart"/>
      <w:r w:rsidRPr="00286406">
        <w:rPr>
          <w:i/>
          <w:iCs/>
          <w:color w:val="000000"/>
          <w:sz w:val="24"/>
          <w:szCs w:val="24"/>
        </w:rPr>
        <w:t>Clostridia</w:t>
      </w:r>
      <w:proofErr w:type="spellEnd"/>
      <w:r w:rsidRPr="0028640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86406">
        <w:rPr>
          <w:color w:val="000000"/>
          <w:sz w:val="24"/>
          <w:szCs w:val="24"/>
        </w:rPr>
        <w:t>spp</w:t>
      </w:r>
      <w:proofErr w:type="spellEnd"/>
      <w:r w:rsidRPr="00286406">
        <w:rPr>
          <w:color w:val="000000"/>
          <w:sz w:val="24"/>
          <w:szCs w:val="24"/>
        </w:rPr>
        <w:t xml:space="preserve">. (dvs. </w:t>
      </w:r>
      <w:r w:rsidRPr="00286406">
        <w:rPr>
          <w:i/>
          <w:iCs/>
          <w:color w:val="000000"/>
          <w:sz w:val="24"/>
          <w:szCs w:val="24"/>
        </w:rPr>
        <w:t xml:space="preserve">C. </w:t>
      </w:r>
      <w:proofErr w:type="spellStart"/>
      <w:r w:rsidRPr="00286406">
        <w:rPr>
          <w:i/>
          <w:iCs/>
          <w:color w:val="000000"/>
          <w:sz w:val="24"/>
          <w:szCs w:val="24"/>
        </w:rPr>
        <w:t>perfringens</w:t>
      </w:r>
      <w:proofErr w:type="spellEnd"/>
      <w:r w:rsidRPr="00286406">
        <w:rPr>
          <w:i/>
          <w:iCs/>
          <w:color w:val="000000"/>
          <w:sz w:val="24"/>
          <w:szCs w:val="24"/>
        </w:rPr>
        <w:t xml:space="preserve"> </w:t>
      </w:r>
      <w:r w:rsidRPr="00286406">
        <w:rPr>
          <w:color w:val="000000"/>
          <w:sz w:val="24"/>
          <w:szCs w:val="24"/>
        </w:rPr>
        <w:t xml:space="preserve">eller </w:t>
      </w:r>
      <w:r w:rsidRPr="00286406">
        <w:rPr>
          <w:i/>
          <w:iCs/>
          <w:color w:val="000000"/>
          <w:sz w:val="24"/>
          <w:szCs w:val="24"/>
        </w:rPr>
        <w:t>C. difficile</w:t>
      </w:r>
      <w:r w:rsidRPr="00286406">
        <w:rPr>
          <w:color w:val="000000"/>
          <w:sz w:val="24"/>
          <w:szCs w:val="24"/>
        </w:rPr>
        <w:t xml:space="preserve">). </w:t>
      </w:r>
    </w:p>
    <w:p w14:paraId="0E78B40C" w14:textId="77777777" w:rsidR="009C7EAC" w:rsidRPr="00286406" w:rsidRDefault="009C7EAC" w:rsidP="006E25EA">
      <w:pPr>
        <w:ind w:left="851"/>
        <w:rPr>
          <w:color w:val="000000"/>
          <w:sz w:val="24"/>
          <w:szCs w:val="24"/>
        </w:rPr>
      </w:pPr>
      <w:r w:rsidRPr="00286406">
        <w:rPr>
          <w:color w:val="000000"/>
          <w:sz w:val="24"/>
          <w:szCs w:val="24"/>
        </w:rPr>
        <w:t xml:space="preserve">Behandling af infektioner i det urogenitale system, mundhulen, halsen og huden forårsaget af obligate anaerobe bakterier (f.eks. </w:t>
      </w:r>
      <w:proofErr w:type="spellStart"/>
      <w:r w:rsidRPr="00286406">
        <w:rPr>
          <w:i/>
          <w:iCs/>
          <w:color w:val="000000"/>
          <w:sz w:val="24"/>
          <w:szCs w:val="24"/>
        </w:rPr>
        <w:t>Clostridia</w:t>
      </w:r>
      <w:proofErr w:type="spellEnd"/>
      <w:r w:rsidRPr="00286406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286406">
        <w:rPr>
          <w:color w:val="000000"/>
          <w:sz w:val="24"/>
          <w:szCs w:val="24"/>
        </w:rPr>
        <w:t>spp</w:t>
      </w:r>
      <w:proofErr w:type="spellEnd"/>
      <w:r w:rsidRPr="00286406">
        <w:rPr>
          <w:color w:val="000000"/>
          <w:sz w:val="24"/>
          <w:szCs w:val="24"/>
        </w:rPr>
        <w:t xml:space="preserve">.), der er følsomme over for </w:t>
      </w:r>
      <w:proofErr w:type="spellStart"/>
      <w:r w:rsidRPr="00286406">
        <w:rPr>
          <w:color w:val="000000"/>
          <w:sz w:val="24"/>
          <w:szCs w:val="24"/>
        </w:rPr>
        <w:t>metronidazol</w:t>
      </w:r>
      <w:proofErr w:type="spellEnd"/>
      <w:r w:rsidRPr="00286406">
        <w:rPr>
          <w:color w:val="000000"/>
          <w:sz w:val="24"/>
          <w:szCs w:val="24"/>
        </w:rPr>
        <w:t>.</w:t>
      </w:r>
    </w:p>
    <w:p w14:paraId="2EEF20AC" w14:textId="77777777" w:rsidR="005B0036" w:rsidRPr="00286406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26C51FBB" w14:textId="77777777" w:rsidR="005B0036" w:rsidRPr="00286406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286406">
        <w:rPr>
          <w:b/>
          <w:szCs w:val="24"/>
        </w:rPr>
        <w:t>4.3</w:t>
      </w:r>
      <w:r w:rsidRPr="00286406">
        <w:rPr>
          <w:b/>
          <w:szCs w:val="24"/>
        </w:rPr>
        <w:tab/>
        <w:t>Kontraindikationer</w:t>
      </w:r>
    </w:p>
    <w:p w14:paraId="470470A8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Bør ikke anvendes i tilfælde af leversygdomme.</w:t>
      </w:r>
    </w:p>
    <w:p w14:paraId="1062AEB5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Bør ikke anvendes i tilfælde af overfølsomhed over for det aktive stof eller over for et eller flere af hjælpestofferne.</w:t>
      </w:r>
    </w:p>
    <w:p w14:paraId="2278669B" w14:textId="77777777" w:rsidR="005B0036" w:rsidRPr="00286406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00050D2C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4.4</w:t>
      </w:r>
      <w:r w:rsidRPr="00286406">
        <w:rPr>
          <w:b/>
          <w:sz w:val="24"/>
          <w:szCs w:val="24"/>
        </w:rPr>
        <w:tab/>
        <w:t>Særlige advarsler</w:t>
      </w:r>
    </w:p>
    <w:p w14:paraId="5C97AE48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Ingen.</w:t>
      </w:r>
    </w:p>
    <w:p w14:paraId="3F689953" w14:textId="77777777" w:rsidR="005B0036" w:rsidRPr="00286406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2ACEEB6E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4.5</w:t>
      </w:r>
      <w:r w:rsidRPr="00286406">
        <w:rPr>
          <w:b/>
          <w:sz w:val="24"/>
          <w:szCs w:val="24"/>
        </w:rPr>
        <w:tab/>
        <w:t>Særlige forsigtighedsregler vedrørende brugen</w:t>
      </w:r>
    </w:p>
    <w:p w14:paraId="5F2AB27A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40DD228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Særlige forsigtighedsregler for dyret</w:t>
      </w:r>
    </w:p>
    <w:p w14:paraId="161CC392" w14:textId="5A20E6C1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På grund af den sandsynlige variabilitet (tidsmæssigt, geografisk) i forekomsten af </w:t>
      </w:r>
      <w:proofErr w:type="spellStart"/>
      <w:r w:rsidRPr="00286406">
        <w:rPr>
          <w:sz w:val="24"/>
          <w:szCs w:val="24"/>
        </w:rPr>
        <w:t>metronidazol</w:t>
      </w:r>
      <w:r w:rsidR="002F0EEB">
        <w:rPr>
          <w:sz w:val="24"/>
          <w:szCs w:val="24"/>
        </w:rPr>
        <w:softHyphen/>
      </w:r>
      <w:r w:rsidRPr="00286406">
        <w:rPr>
          <w:sz w:val="24"/>
          <w:szCs w:val="24"/>
        </w:rPr>
        <w:t>resistente</w:t>
      </w:r>
      <w:proofErr w:type="spellEnd"/>
      <w:r w:rsidRPr="00286406">
        <w:rPr>
          <w:sz w:val="24"/>
          <w:szCs w:val="24"/>
        </w:rPr>
        <w:t xml:space="preserve"> bakterier, anbefales bakteriologisk prøvetagning og </w:t>
      </w:r>
      <w:proofErr w:type="spellStart"/>
      <w:r w:rsidRPr="00286406">
        <w:rPr>
          <w:sz w:val="24"/>
          <w:szCs w:val="24"/>
        </w:rPr>
        <w:t>følsomhedstesting</w:t>
      </w:r>
      <w:proofErr w:type="spellEnd"/>
      <w:r w:rsidRPr="00286406">
        <w:rPr>
          <w:sz w:val="24"/>
          <w:szCs w:val="24"/>
        </w:rPr>
        <w:t>.</w:t>
      </w:r>
    </w:p>
    <w:p w14:paraId="6887734E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Når det er muligt, bør præparatet kun anvendes baseret på </w:t>
      </w:r>
      <w:proofErr w:type="spellStart"/>
      <w:r w:rsidRPr="00286406">
        <w:rPr>
          <w:sz w:val="24"/>
          <w:szCs w:val="24"/>
        </w:rPr>
        <w:t>følsomhedstesting</w:t>
      </w:r>
      <w:proofErr w:type="spellEnd"/>
      <w:r w:rsidRPr="00286406">
        <w:rPr>
          <w:sz w:val="24"/>
          <w:szCs w:val="24"/>
        </w:rPr>
        <w:t>.</w:t>
      </w:r>
    </w:p>
    <w:p w14:paraId="2F5F6B2D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Officielle, nationale og regionale retningslinjer for anvendelse af antimikrobielle præparater bør tages i betragtning, når veterinærlægemidlet anvendes.</w:t>
      </w:r>
    </w:p>
    <w:p w14:paraId="7A9F7024" w14:textId="77777777" w:rsidR="009C7EAC" w:rsidRPr="00286406" w:rsidRDefault="009C7EAC" w:rsidP="006E25EA">
      <w:pPr>
        <w:ind w:left="851"/>
        <w:rPr>
          <w:sz w:val="24"/>
          <w:szCs w:val="24"/>
        </w:rPr>
      </w:pPr>
      <w:bookmarkStart w:id="0" w:name="_Hlk46228362"/>
      <w:r w:rsidRPr="00286406">
        <w:rPr>
          <w:sz w:val="24"/>
          <w:szCs w:val="24"/>
        </w:rPr>
        <w:t xml:space="preserve">Især efter langvarig behandling med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kan neurologiske symptomer forekomme.</w:t>
      </w:r>
      <w:bookmarkEnd w:id="0"/>
    </w:p>
    <w:p w14:paraId="519E0A44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Da tabletterne er aromatiserede, skal tabletterne opbevares utilgængeligt for dyrene for at undgå utilsigtet indtagelse.</w:t>
      </w:r>
    </w:p>
    <w:p w14:paraId="49FC3551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B96509F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Særlige forsigtighedsregler for personer, der administrerer lægemidlet</w:t>
      </w:r>
    </w:p>
    <w:p w14:paraId="46F53B59" w14:textId="77777777" w:rsidR="009C7EAC" w:rsidRPr="00286406" w:rsidRDefault="009C7EAC" w:rsidP="006E25EA">
      <w:pPr>
        <w:ind w:left="851"/>
        <w:rPr>
          <w:sz w:val="24"/>
          <w:szCs w:val="24"/>
        </w:rPr>
      </w:pPr>
      <w:bookmarkStart w:id="1" w:name="_Hlk31031396"/>
      <w:bookmarkStart w:id="2" w:name="_Hlk9863610"/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har bekræftede mutagene og genotoksiske egenskaber i laboratoriedyr samt hos mennesker.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har også en bekræftet </w:t>
      </w:r>
      <w:proofErr w:type="gramStart"/>
      <w:r w:rsidRPr="00286406">
        <w:rPr>
          <w:sz w:val="24"/>
          <w:szCs w:val="24"/>
        </w:rPr>
        <w:t>karcinogen virkning</w:t>
      </w:r>
      <w:proofErr w:type="gramEnd"/>
      <w:r w:rsidRPr="00286406">
        <w:rPr>
          <w:sz w:val="24"/>
          <w:szCs w:val="24"/>
        </w:rPr>
        <w:t xml:space="preserve"> på laboratoriedyr og en mulig karcinogen virkning på mennesker. Hos mennesker er der imidlertid utilstrækkeligt evidens for </w:t>
      </w:r>
      <w:proofErr w:type="spellStart"/>
      <w:r w:rsidRPr="00286406">
        <w:rPr>
          <w:sz w:val="24"/>
          <w:szCs w:val="24"/>
        </w:rPr>
        <w:t>karcinogeniciteten</w:t>
      </w:r>
      <w:proofErr w:type="spellEnd"/>
      <w:r w:rsidRPr="00286406">
        <w:rPr>
          <w:sz w:val="24"/>
          <w:szCs w:val="24"/>
        </w:rPr>
        <w:t xml:space="preserve">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>.</w:t>
      </w:r>
    </w:p>
    <w:p w14:paraId="48F294AE" w14:textId="77777777" w:rsidR="009C7EAC" w:rsidRPr="00286406" w:rsidRDefault="009C7EAC" w:rsidP="006E25EA">
      <w:pPr>
        <w:ind w:left="851"/>
        <w:rPr>
          <w:sz w:val="24"/>
          <w:szCs w:val="24"/>
        </w:rPr>
      </w:pPr>
      <w:bookmarkStart w:id="3" w:name="_Hlk46231730"/>
      <w:bookmarkEnd w:id="1"/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kan være skadelig for det ufødte barn.</w:t>
      </w:r>
    </w:p>
    <w:bookmarkEnd w:id="3"/>
    <w:p w14:paraId="1D3EBEC4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Gravide kvinder skal være forsigtige ved håndtering af dette veterinærlægemiddel.</w:t>
      </w:r>
    </w:p>
    <w:p w14:paraId="0B2919BB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lastRenderedPageBreak/>
        <w:t>Der skal bæres uigennemtrængelige handsker ved administration af præparatet for at undgå hud- og hånd-til-mund kontakt med lægemidlet.</w:t>
      </w:r>
    </w:p>
    <w:p w14:paraId="42CCDB13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For at undgå indgift ved hændeligt uheld, især for børn, skal de ubrugte dele af tabletterne lægges tilbage på den tomme plads i blisterkortet og tilbage i æsken, som skal opbevares på et sikkert sted utilgængeligt for børn. I tilfælde af indgift ved hændeligt uheld, skal der straks søges lægehjælp, og indlægssedlen eller etiketten bør vises til lægen.</w:t>
      </w:r>
    </w:p>
    <w:p w14:paraId="47FD2DF6" w14:textId="77777777" w:rsidR="009C7EAC" w:rsidRPr="00286406" w:rsidRDefault="009C7EAC" w:rsidP="006E25EA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kan forårsage overfølsomhedsreaktioner. I tilfælde af kendt overfølsomhed over for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skal kontakt med veterinærlægemidlet undgås.</w:t>
      </w:r>
    </w:p>
    <w:p w14:paraId="56D909D6" w14:textId="77777777" w:rsidR="009C7EAC" w:rsidRPr="00286406" w:rsidRDefault="009C7EAC" w:rsidP="006E25EA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Vask hænderne grundigt efter tabletterne er håndteret.</w:t>
      </w:r>
      <w:bookmarkEnd w:id="2"/>
    </w:p>
    <w:p w14:paraId="0CE2FB8E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AD9347A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Andre forsigtighedsregler</w:t>
      </w:r>
    </w:p>
    <w:p w14:paraId="79BF1302" w14:textId="4A633EC8" w:rsidR="005B0036" w:rsidRPr="00286406" w:rsidRDefault="009C7EAC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>-</w:t>
      </w:r>
    </w:p>
    <w:p w14:paraId="32491E80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A23E832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4.6</w:t>
      </w:r>
      <w:r w:rsidRPr="00286406">
        <w:rPr>
          <w:b/>
          <w:sz w:val="24"/>
          <w:szCs w:val="24"/>
        </w:rPr>
        <w:tab/>
        <w:t>Bivirkninger</w:t>
      </w:r>
    </w:p>
    <w:p w14:paraId="3F4AF73A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Følgende bivirkninger kan opstå efter administration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: opkastning, </w:t>
      </w:r>
      <w:proofErr w:type="spellStart"/>
      <w:r w:rsidRPr="00286406">
        <w:rPr>
          <w:sz w:val="24"/>
          <w:szCs w:val="24"/>
        </w:rPr>
        <w:t>hepatotoksicitet</w:t>
      </w:r>
      <w:proofErr w:type="spellEnd"/>
      <w:r w:rsidRPr="00286406">
        <w:rPr>
          <w:sz w:val="24"/>
          <w:szCs w:val="24"/>
        </w:rPr>
        <w:t xml:space="preserve"> og </w:t>
      </w:r>
      <w:proofErr w:type="spellStart"/>
      <w:r w:rsidRPr="00286406">
        <w:rPr>
          <w:sz w:val="24"/>
          <w:szCs w:val="24"/>
        </w:rPr>
        <w:t>neutropeni</w:t>
      </w:r>
      <w:proofErr w:type="spellEnd"/>
      <w:r w:rsidRPr="00286406">
        <w:rPr>
          <w:sz w:val="24"/>
          <w:szCs w:val="24"/>
        </w:rPr>
        <w:t xml:space="preserve">. I meget sjældne tilfælde kan der opstå neurologiske symptomer. Hos hunde </w:t>
      </w:r>
      <w:bookmarkStart w:id="4" w:name="_Hlk46233803"/>
      <w:r w:rsidRPr="00286406">
        <w:rPr>
          <w:sz w:val="24"/>
          <w:szCs w:val="24"/>
        </w:rPr>
        <w:t>var (</w:t>
      </w:r>
      <w:proofErr w:type="spellStart"/>
      <w:r w:rsidRPr="00286406">
        <w:rPr>
          <w:sz w:val="24"/>
          <w:szCs w:val="24"/>
        </w:rPr>
        <w:t>cerebellar</w:t>
      </w:r>
      <w:proofErr w:type="spellEnd"/>
      <w:r w:rsidRPr="00286406">
        <w:rPr>
          <w:sz w:val="24"/>
          <w:szCs w:val="24"/>
        </w:rPr>
        <w:t xml:space="preserve"> </w:t>
      </w:r>
      <w:proofErr w:type="spellStart"/>
      <w:r w:rsidRPr="00286406">
        <w:rPr>
          <w:sz w:val="24"/>
          <w:szCs w:val="24"/>
        </w:rPr>
        <w:t>vestibulær</w:t>
      </w:r>
      <w:proofErr w:type="spellEnd"/>
      <w:r w:rsidRPr="00286406">
        <w:rPr>
          <w:sz w:val="24"/>
          <w:szCs w:val="24"/>
        </w:rPr>
        <w:t xml:space="preserve">) </w:t>
      </w:r>
      <w:proofErr w:type="spellStart"/>
      <w:r w:rsidRPr="00286406">
        <w:rPr>
          <w:sz w:val="24"/>
          <w:szCs w:val="24"/>
        </w:rPr>
        <w:t>ataksi</w:t>
      </w:r>
      <w:proofErr w:type="spellEnd"/>
      <w:r w:rsidRPr="00286406">
        <w:rPr>
          <w:sz w:val="24"/>
          <w:szCs w:val="24"/>
        </w:rPr>
        <w:t xml:space="preserve"> og (vertikal) nystagmus blandt de hyppigst rapporterede neurologiske symptomer.</w:t>
      </w:r>
    </w:p>
    <w:bookmarkEnd w:id="4"/>
    <w:p w14:paraId="39FB386C" w14:textId="77777777" w:rsidR="009C7EAC" w:rsidRPr="00286406" w:rsidRDefault="009C7EAC" w:rsidP="00A3274B">
      <w:pPr>
        <w:ind w:left="851"/>
        <w:rPr>
          <w:sz w:val="24"/>
          <w:szCs w:val="24"/>
        </w:rPr>
      </w:pPr>
    </w:p>
    <w:p w14:paraId="75B06498" w14:textId="77777777" w:rsidR="009C7EAC" w:rsidRPr="00286406" w:rsidRDefault="009C7EAC" w:rsidP="00A3274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Hyppigheden af bivirkninger er defineret som: </w:t>
      </w:r>
    </w:p>
    <w:p w14:paraId="0B100180" w14:textId="37BB0709" w:rsidR="009C7EAC" w:rsidRPr="00286406" w:rsidRDefault="009C7EAC" w:rsidP="004445CE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286406">
        <w:rPr>
          <w:sz w:val="24"/>
          <w:szCs w:val="24"/>
        </w:rPr>
        <w:t xml:space="preserve">Meget almindelig (flere end 1 ud af 10 behandlede dyr, der viser bivirkninger i løbet af en behandling) </w:t>
      </w:r>
    </w:p>
    <w:p w14:paraId="00163CBB" w14:textId="092F10BA" w:rsidR="009C7EAC" w:rsidRPr="00286406" w:rsidRDefault="009C7EAC" w:rsidP="004445CE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286406">
        <w:rPr>
          <w:sz w:val="24"/>
          <w:szCs w:val="24"/>
        </w:rPr>
        <w:t xml:space="preserve">Almindelig (flere end 1, men færre end 10 dyr af 100 behandlede dyr) </w:t>
      </w:r>
    </w:p>
    <w:p w14:paraId="7024925F" w14:textId="1DCC4E14" w:rsidR="009C7EAC" w:rsidRPr="00286406" w:rsidRDefault="009C7EAC" w:rsidP="004445CE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286406">
        <w:rPr>
          <w:sz w:val="24"/>
          <w:szCs w:val="24"/>
        </w:rPr>
        <w:t xml:space="preserve">Ikke almindelig (flere end 1, men færre end 10 dyr af 1.000 behandlede dyr) </w:t>
      </w:r>
    </w:p>
    <w:p w14:paraId="46102872" w14:textId="30704386" w:rsidR="009C7EAC" w:rsidRPr="00286406" w:rsidRDefault="009C7EAC" w:rsidP="004445CE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286406">
        <w:rPr>
          <w:sz w:val="24"/>
          <w:szCs w:val="24"/>
        </w:rPr>
        <w:t xml:space="preserve">Sjælden (flere end 1, men færre end 10 dyr af 10.000 behandlede dyr) </w:t>
      </w:r>
    </w:p>
    <w:p w14:paraId="74EC6E1C" w14:textId="490EF1BE" w:rsidR="009C7EAC" w:rsidRPr="00286406" w:rsidRDefault="009C7EAC" w:rsidP="004445CE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286406">
        <w:rPr>
          <w:sz w:val="24"/>
          <w:szCs w:val="24"/>
        </w:rPr>
        <w:t>Meget sjælden (færre end 1 dyr ud af 10.000 behandlede dyr, herunder isolerede rapporter).</w:t>
      </w:r>
    </w:p>
    <w:p w14:paraId="365BFF26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582AAD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4.7</w:t>
      </w:r>
      <w:r w:rsidRPr="00286406">
        <w:rPr>
          <w:b/>
          <w:sz w:val="24"/>
          <w:szCs w:val="24"/>
        </w:rPr>
        <w:tab/>
        <w:t>Drægtighed, diegivning eller æglægning</w:t>
      </w:r>
    </w:p>
    <w:p w14:paraId="579CE283" w14:textId="77777777" w:rsidR="002F0EEB" w:rsidRDefault="002F0EEB" w:rsidP="00A3274B">
      <w:pPr>
        <w:ind w:left="851"/>
        <w:rPr>
          <w:sz w:val="24"/>
          <w:szCs w:val="24"/>
          <w:u w:val="single"/>
        </w:rPr>
      </w:pPr>
    </w:p>
    <w:p w14:paraId="5E54B868" w14:textId="3B416A6E" w:rsidR="009C7EAC" w:rsidRPr="00286406" w:rsidRDefault="009C7EAC" w:rsidP="00A3274B">
      <w:pPr>
        <w:ind w:left="851"/>
        <w:rPr>
          <w:sz w:val="24"/>
          <w:szCs w:val="24"/>
          <w:u w:val="single"/>
        </w:rPr>
      </w:pPr>
      <w:r w:rsidRPr="00286406">
        <w:rPr>
          <w:sz w:val="24"/>
          <w:szCs w:val="24"/>
          <w:u w:val="single"/>
        </w:rPr>
        <w:t>Drægtighed</w:t>
      </w:r>
    </w:p>
    <w:p w14:paraId="73334538" w14:textId="38AAB2A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Studier af laboratoriedyr har vist inkonsistente resultater hvad angår </w:t>
      </w:r>
      <w:proofErr w:type="spellStart"/>
      <w:r w:rsidRPr="00286406">
        <w:rPr>
          <w:sz w:val="24"/>
          <w:szCs w:val="24"/>
        </w:rPr>
        <w:t>teratogene</w:t>
      </w:r>
      <w:proofErr w:type="spellEnd"/>
      <w:r w:rsidRPr="00286406">
        <w:rPr>
          <w:sz w:val="24"/>
          <w:szCs w:val="24"/>
        </w:rPr>
        <w:t>/embryo</w:t>
      </w:r>
      <w:r w:rsidR="002F0EEB">
        <w:rPr>
          <w:sz w:val="24"/>
          <w:szCs w:val="24"/>
        </w:rPr>
        <w:softHyphen/>
      </w:r>
      <w:r w:rsidRPr="00286406">
        <w:rPr>
          <w:sz w:val="24"/>
          <w:szCs w:val="24"/>
        </w:rPr>
        <w:t xml:space="preserve">toksiske virkninger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>. Derfor frarådes anvendelsen af dette lægemiddel under drægtighed.</w:t>
      </w:r>
    </w:p>
    <w:p w14:paraId="10F37493" w14:textId="77777777" w:rsidR="009C7EAC" w:rsidRPr="00286406" w:rsidRDefault="009C7EAC" w:rsidP="00A3274B">
      <w:pPr>
        <w:ind w:left="851"/>
        <w:rPr>
          <w:sz w:val="24"/>
          <w:szCs w:val="24"/>
        </w:rPr>
      </w:pPr>
    </w:p>
    <w:p w14:paraId="66CBEF5C" w14:textId="77777777" w:rsidR="009C7EAC" w:rsidRPr="00286406" w:rsidRDefault="009C7EAC" w:rsidP="00A3274B">
      <w:pPr>
        <w:ind w:left="851"/>
        <w:rPr>
          <w:sz w:val="24"/>
          <w:szCs w:val="24"/>
          <w:u w:val="single"/>
        </w:rPr>
      </w:pPr>
      <w:r w:rsidRPr="00286406">
        <w:rPr>
          <w:sz w:val="24"/>
          <w:szCs w:val="24"/>
          <w:u w:val="single"/>
        </w:rPr>
        <w:t>Laktation</w:t>
      </w:r>
    </w:p>
    <w:p w14:paraId="38AA92F6" w14:textId="77777777" w:rsidR="009C7EAC" w:rsidRPr="00286406" w:rsidRDefault="009C7EAC" w:rsidP="00A3274B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udskilles i mælken, og anvendelsen frarådes derfor under laktation.</w:t>
      </w:r>
    </w:p>
    <w:p w14:paraId="79081138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5898912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4.8</w:t>
      </w:r>
      <w:r w:rsidRPr="00286406">
        <w:rPr>
          <w:b/>
          <w:sz w:val="24"/>
          <w:szCs w:val="24"/>
        </w:rPr>
        <w:tab/>
        <w:t>Interaktion med andre lægemidler og andre former for interaktion</w:t>
      </w:r>
    </w:p>
    <w:p w14:paraId="15F81C59" w14:textId="77777777" w:rsidR="009C7EAC" w:rsidRPr="00286406" w:rsidRDefault="009C7EAC" w:rsidP="00A3274B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kan have en hæmmende virkning på nedbrydningen af andre lægemidler i leveren, såsom </w:t>
      </w:r>
      <w:proofErr w:type="spellStart"/>
      <w:r w:rsidRPr="00286406">
        <w:rPr>
          <w:sz w:val="24"/>
          <w:szCs w:val="24"/>
        </w:rPr>
        <w:t>phenytoin</w:t>
      </w:r>
      <w:proofErr w:type="spellEnd"/>
      <w:r w:rsidRPr="00286406">
        <w:rPr>
          <w:sz w:val="24"/>
          <w:szCs w:val="24"/>
        </w:rPr>
        <w:t xml:space="preserve">, </w:t>
      </w:r>
      <w:proofErr w:type="spellStart"/>
      <w:r w:rsidRPr="00286406">
        <w:rPr>
          <w:sz w:val="24"/>
          <w:szCs w:val="24"/>
        </w:rPr>
        <w:t>ciclosporin</w:t>
      </w:r>
      <w:proofErr w:type="spellEnd"/>
      <w:r w:rsidRPr="00286406">
        <w:rPr>
          <w:sz w:val="24"/>
          <w:szCs w:val="24"/>
        </w:rPr>
        <w:t xml:space="preserve"> og </w:t>
      </w:r>
      <w:proofErr w:type="spellStart"/>
      <w:r w:rsidRPr="00286406">
        <w:rPr>
          <w:sz w:val="24"/>
          <w:szCs w:val="24"/>
        </w:rPr>
        <w:t>warfarin</w:t>
      </w:r>
      <w:proofErr w:type="spellEnd"/>
      <w:r w:rsidRPr="00286406">
        <w:rPr>
          <w:sz w:val="24"/>
          <w:szCs w:val="24"/>
        </w:rPr>
        <w:t>.</w:t>
      </w:r>
    </w:p>
    <w:p w14:paraId="6A644EFB" w14:textId="07947C33" w:rsidR="009C7EAC" w:rsidRPr="00286406" w:rsidRDefault="009C7EAC" w:rsidP="00A3274B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Cimetidin</w:t>
      </w:r>
      <w:proofErr w:type="spellEnd"/>
      <w:r w:rsidRPr="00286406">
        <w:rPr>
          <w:sz w:val="24"/>
          <w:szCs w:val="24"/>
        </w:rPr>
        <w:t xml:space="preserve"> kan nedsætte levermetabolismen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og føre til øget serum</w:t>
      </w:r>
      <w:r w:rsidR="002F0EEB">
        <w:rPr>
          <w:sz w:val="24"/>
          <w:szCs w:val="24"/>
        </w:rPr>
        <w:softHyphen/>
      </w:r>
      <w:r w:rsidRPr="00286406">
        <w:rPr>
          <w:sz w:val="24"/>
          <w:szCs w:val="24"/>
        </w:rPr>
        <w:t xml:space="preserve">koncentration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>.</w:t>
      </w:r>
    </w:p>
    <w:p w14:paraId="2536EC6B" w14:textId="666D6799" w:rsidR="009C7EAC" w:rsidRPr="00286406" w:rsidRDefault="009C7EAC" w:rsidP="00A3274B">
      <w:pPr>
        <w:ind w:left="851"/>
        <w:rPr>
          <w:b/>
          <w:sz w:val="24"/>
          <w:szCs w:val="24"/>
        </w:rPr>
      </w:pPr>
      <w:proofErr w:type="spellStart"/>
      <w:r w:rsidRPr="00286406">
        <w:rPr>
          <w:sz w:val="24"/>
          <w:szCs w:val="24"/>
        </w:rPr>
        <w:t>Phenobarbital</w:t>
      </w:r>
      <w:proofErr w:type="spellEnd"/>
      <w:r w:rsidRPr="00286406">
        <w:rPr>
          <w:sz w:val="24"/>
          <w:szCs w:val="24"/>
        </w:rPr>
        <w:t xml:space="preserve"> kan øge levermetabolismen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og føre til nedsat serum</w:t>
      </w:r>
      <w:r w:rsidR="002F0EEB">
        <w:rPr>
          <w:sz w:val="24"/>
          <w:szCs w:val="24"/>
        </w:rPr>
        <w:softHyphen/>
      </w:r>
      <w:r w:rsidRPr="00286406">
        <w:rPr>
          <w:sz w:val="24"/>
          <w:szCs w:val="24"/>
        </w:rPr>
        <w:t xml:space="preserve">koncentration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>.</w:t>
      </w:r>
    </w:p>
    <w:p w14:paraId="17E750B5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00FEE79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4.9</w:t>
      </w:r>
      <w:r w:rsidRPr="00286406">
        <w:rPr>
          <w:b/>
          <w:sz w:val="24"/>
          <w:szCs w:val="24"/>
        </w:rPr>
        <w:tab/>
        <w:t>Dosering og indgivelsesmåde</w:t>
      </w:r>
    </w:p>
    <w:p w14:paraId="69B20C99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Oral anvendelse.</w:t>
      </w:r>
    </w:p>
    <w:p w14:paraId="6E9A3B9F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Den anbefalede dosis er 50 mg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pr. kg legemsvægt (en tablet à 250 mg/5 kg legemsvægt) pr. dag i 5-7 dage. Den daglige dosis kan med fordel deles i to lige store dele for administration to gange daglig (dvs. 25 mg/kg legemsvægt to gange daglig).</w:t>
      </w:r>
    </w:p>
    <w:p w14:paraId="2DEE2E23" w14:textId="77777777" w:rsidR="009C7EAC" w:rsidRPr="00286406" w:rsidRDefault="009C7EAC" w:rsidP="00A3274B">
      <w:pPr>
        <w:ind w:left="851"/>
        <w:rPr>
          <w:sz w:val="24"/>
          <w:szCs w:val="24"/>
        </w:rPr>
      </w:pPr>
    </w:p>
    <w:p w14:paraId="256CB36F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For at sikre administration af den korrekte dosering, skal legemsvægten bestemmes så nøjagtigt som muligt.</w:t>
      </w:r>
    </w:p>
    <w:p w14:paraId="562C5E13" w14:textId="77777777" w:rsidR="009C7EAC" w:rsidRPr="00286406" w:rsidRDefault="009C7EAC" w:rsidP="00A3274B">
      <w:pPr>
        <w:ind w:left="851"/>
        <w:rPr>
          <w:color w:val="000000"/>
          <w:sz w:val="24"/>
          <w:szCs w:val="24"/>
        </w:rPr>
      </w:pPr>
    </w:p>
    <w:p w14:paraId="7F21D3F1" w14:textId="77777777" w:rsidR="009C7EAC" w:rsidRPr="00286406" w:rsidRDefault="009C7EAC" w:rsidP="00A3274B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250 mg</w:t>
      </w:r>
    </w:p>
    <w:p w14:paraId="4FCCCAF9" w14:textId="77777777" w:rsidR="009C7EAC" w:rsidRPr="00286406" w:rsidRDefault="009C7EAC" w:rsidP="009C7EAC">
      <w:pPr>
        <w:rPr>
          <w:color w:val="000000"/>
          <w:sz w:val="24"/>
          <w:szCs w:val="24"/>
        </w:rPr>
      </w:pP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791"/>
        <w:gridCol w:w="1843"/>
        <w:gridCol w:w="2551"/>
      </w:tblGrid>
      <w:tr w:rsidR="009C7EAC" w:rsidRPr="00286406" w14:paraId="0441B022" w14:textId="77777777" w:rsidTr="00A3274B">
        <w:trPr>
          <w:trHeight w:val="397"/>
        </w:trPr>
        <w:tc>
          <w:tcPr>
            <w:tcW w:w="18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873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9A12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Antal tabletter</w:t>
            </w:r>
          </w:p>
        </w:tc>
      </w:tr>
      <w:tr w:rsidR="009C7EAC" w:rsidRPr="00286406" w14:paraId="3CC0701B" w14:textId="77777777" w:rsidTr="00A3274B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0ECB1C" w14:textId="77777777" w:rsidR="009C7EAC" w:rsidRPr="00286406" w:rsidRDefault="009C7E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2EB4E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To gange dagligt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EC06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En gang dagligt</w:t>
            </w:r>
          </w:p>
        </w:tc>
      </w:tr>
      <w:tr w:rsidR="009C7EAC" w:rsidRPr="00286406" w14:paraId="0F84E383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920D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Legemsvægt (kg)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D92F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Om morgenen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BF7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Om aftenen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99CE1D" w14:textId="77777777" w:rsidR="009C7EAC" w:rsidRPr="00286406" w:rsidRDefault="009C7EAC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9C7EAC" w:rsidRPr="00286406" w14:paraId="48ABE9AC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DC2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1,25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7E0A" w14:textId="77777777" w:rsidR="009C7EAC" w:rsidRPr="00286406" w:rsidRDefault="009C7E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41CB" w14:textId="77777777" w:rsidR="009C7EAC" w:rsidRPr="00286406" w:rsidRDefault="009C7EAC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BB79" w14:textId="77777777" w:rsidR="009C7EAC" w:rsidRPr="00286406" w:rsidRDefault="009C7EAC">
            <w:pPr>
              <w:jc w:val="center"/>
              <w:rPr>
                <w:rFonts w:eastAsia="Calibri"/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</w:tr>
      <w:tr w:rsidR="009C7EAC" w:rsidRPr="00286406" w14:paraId="099C3845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47B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2,5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4EB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7E8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74B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</w:tr>
      <w:tr w:rsidR="009C7EAC" w:rsidRPr="00286406" w14:paraId="4C24056A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73D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424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17C2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1F28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</w:tr>
      <w:tr w:rsidR="009C7EAC" w:rsidRPr="00286406" w14:paraId="3B6A7C5E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A31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7,5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FB80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310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612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</w:tr>
      <w:tr w:rsidR="009C7EAC" w:rsidRPr="00286406" w14:paraId="17573CE5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1F74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7D2B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207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6F2A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</w:tr>
      <w:tr w:rsidR="009C7EAC" w:rsidRPr="00286406" w14:paraId="15C1B1ED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E35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12,5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C19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A0E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E99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 ½</w:t>
            </w:r>
          </w:p>
        </w:tc>
      </w:tr>
      <w:tr w:rsidR="009C7EAC" w:rsidRPr="00286406" w14:paraId="7D2122DB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9EC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FDFCF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9F10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517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</w:t>
            </w:r>
          </w:p>
        </w:tc>
      </w:tr>
      <w:tr w:rsidR="009C7EAC" w:rsidRPr="00286406" w14:paraId="367650BD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1E58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17,5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20A9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D5A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39FD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 ½</w:t>
            </w:r>
          </w:p>
        </w:tc>
      </w:tr>
      <w:tr w:rsidR="009C7EAC" w:rsidRPr="00286406" w14:paraId="052D989C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347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E3A02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4B2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3C44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4</w:t>
            </w:r>
          </w:p>
        </w:tc>
      </w:tr>
    </w:tbl>
    <w:p w14:paraId="414450B8" w14:textId="77777777" w:rsidR="009C7EAC" w:rsidRPr="00286406" w:rsidRDefault="009C7EAC" w:rsidP="009C7EAC">
      <w:pPr>
        <w:pStyle w:val="Brdtekst"/>
        <w:spacing w:before="32"/>
        <w:rPr>
          <w:sz w:val="24"/>
          <w:szCs w:val="24"/>
        </w:rPr>
      </w:pPr>
    </w:p>
    <w:p w14:paraId="55CDA00A" w14:textId="77777777" w:rsidR="009C7EAC" w:rsidRPr="00286406" w:rsidRDefault="009C7EAC" w:rsidP="00A3274B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500 mg</w:t>
      </w:r>
    </w:p>
    <w:p w14:paraId="4C8184DC" w14:textId="77777777" w:rsidR="009C7EAC" w:rsidRPr="00286406" w:rsidRDefault="009C7EAC" w:rsidP="009C7EAC">
      <w:pPr>
        <w:rPr>
          <w:color w:val="000000"/>
          <w:sz w:val="24"/>
          <w:szCs w:val="24"/>
        </w:rPr>
      </w:pP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791"/>
        <w:gridCol w:w="1843"/>
        <w:gridCol w:w="2551"/>
      </w:tblGrid>
      <w:tr w:rsidR="009C7EAC" w:rsidRPr="00286406" w14:paraId="3BA5C1C9" w14:textId="77777777" w:rsidTr="00A3274B">
        <w:trPr>
          <w:trHeight w:val="397"/>
        </w:trPr>
        <w:tc>
          <w:tcPr>
            <w:tcW w:w="18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D4F9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2141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Antal tabletter</w:t>
            </w:r>
          </w:p>
        </w:tc>
      </w:tr>
      <w:tr w:rsidR="009C7EAC" w:rsidRPr="00286406" w14:paraId="43DA27A5" w14:textId="77777777" w:rsidTr="00A3274B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080992" w14:textId="77777777" w:rsidR="009C7EAC" w:rsidRPr="00286406" w:rsidRDefault="009C7E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3FFCE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To gange dagligt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94C89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En gang dagligt</w:t>
            </w:r>
          </w:p>
        </w:tc>
      </w:tr>
      <w:tr w:rsidR="009C7EAC" w:rsidRPr="00286406" w14:paraId="688DCCCF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B2CB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Legemsvægt (kg)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E50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Om morgenen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D16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Om aftenen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E1523" w14:textId="77777777" w:rsidR="009C7EAC" w:rsidRPr="00286406" w:rsidRDefault="009C7EAC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9C7EAC" w:rsidRPr="00286406" w14:paraId="1805104C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0D0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2,5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6143" w14:textId="77777777" w:rsidR="009C7EAC" w:rsidRPr="00286406" w:rsidRDefault="009C7E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4F7D" w14:textId="77777777" w:rsidR="009C7EAC" w:rsidRPr="00286406" w:rsidRDefault="009C7EAC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2388" w14:textId="77777777" w:rsidR="009C7EAC" w:rsidRPr="00286406" w:rsidRDefault="009C7EAC">
            <w:pPr>
              <w:jc w:val="center"/>
              <w:rPr>
                <w:rFonts w:eastAsia="Calibri"/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</w:tr>
      <w:tr w:rsidR="009C7EAC" w:rsidRPr="00286406" w14:paraId="4698D9A3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E43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CD9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834D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075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</w:tr>
      <w:tr w:rsidR="009C7EAC" w:rsidRPr="00286406" w14:paraId="2EF24A3F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1DED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2F38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413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36CD0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</w:tr>
      <w:tr w:rsidR="009C7EAC" w:rsidRPr="00286406" w14:paraId="35CEFC52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0ED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C0D8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F28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6A5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</w:tr>
      <w:tr w:rsidR="009C7EAC" w:rsidRPr="00286406" w14:paraId="0E6C180F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2AD88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1FC9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32A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A88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</w:tr>
      <w:tr w:rsidR="009C7EAC" w:rsidRPr="00286406" w14:paraId="5B32133C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BDF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B4DED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427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84A2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 ½</w:t>
            </w:r>
          </w:p>
        </w:tc>
      </w:tr>
      <w:tr w:rsidR="009C7EAC" w:rsidRPr="00286406" w14:paraId="049CF9BD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C6C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F96C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7F0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7309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</w:t>
            </w:r>
          </w:p>
        </w:tc>
      </w:tr>
      <w:tr w:rsidR="009C7EAC" w:rsidRPr="00286406" w14:paraId="1B64C28C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767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876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6D2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8EB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 ½</w:t>
            </w:r>
          </w:p>
        </w:tc>
      </w:tr>
      <w:tr w:rsidR="009C7EAC" w:rsidRPr="00286406" w14:paraId="13DA3D1B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33F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40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C8DF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D37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C4B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4</w:t>
            </w:r>
          </w:p>
        </w:tc>
      </w:tr>
    </w:tbl>
    <w:p w14:paraId="27233096" w14:textId="5223C15C" w:rsidR="007519C0" w:rsidRDefault="007519C0" w:rsidP="009C7EAC">
      <w:pPr>
        <w:pStyle w:val="Brdtekst"/>
        <w:spacing w:before="32"/>
        <w:rPr>
          <w:sz w:val="24"/>
          <w:szCs w:val="24"/>
        </w:rPr>
      </w:pPr>
    </w:p>
    <w:p w14:paraId="40BDD817" w14:textId="77777777" w:rsidR="007519C0" w:rsidRDefault="007519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A341E5" w14:textId="77777777" w:rsidR="009C7EAC" w:rsidRPr="00286406" w:rsidRDefault="009C7EAC" w:rsidP="009C7EAC">
      <w:pPr>
        <w:pStyle w:val="Brdtekst"/>
        <w:spacing w:before="32"/>
        <w:rPr>
          <w:sz w:val="24"/>
          <w:szCs w:val="24"/>
        </w:rPr>
      </w:pPr>
    </w:p>
    <w:p w14:paraId="0C0BB98C" w14:textId="77777777" w:rsidR="009C7EAC" w:rsidRPr="00286406" w:rsidRDefault="009C7EAC" w:rsidP="00A3274B">
      <w:pPr>
        <w:ind w:left="851"/>
        <w:rPr>
          <w:sz w:val="24"/>
          <w:szCs w:val="24"/>
          <w:u w:val="single"/>
        </w:rPr>
      </w:pPr>
      <w:proofErr w:type="spellStart"/>
      <w:r w:rsidRPr="00286406">
        <w:rPr>
          <w:sz w:val="24"/>
          <w:szCs w:val="24"/>
          <w:u w:val="single"/>
        </w:rPr>
        <w:t>Metronivet</w:t>
      </w:r>
      <w:proofErr w:type="spellEnd"/>
      <w:r w:rsidRPr="00286406">
        <w:rPr>
          <w:sz w:val="24"/>
          <w:szCs w:val="24"/>
          <w:u w:val="single"/>
        </w:rPr>
        <w:t xml:space="preserve"> 1000 mg</w:t>
      </w:r>
    </w:p>
    <w:p w14:paraId="38D9D52D" w14:textId="77777777" w:rsidR="009C7EAC" w:rsidRPr="00286406" w:rsidRDefault="009C7EAC" w:rsidP="009C7EAC">
      <w:pPr>
        <w:pStyle w:val="Brdtekst"/>
        <w:spacing w:before="32"/>
        <w:rPr>
          <w:sz w:val="24"/>
          <w:szCs w:val="24"/>
        </w:rPr>
      </w:pP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791"/>
        <w:gridCol w:w="1843"/>
        <w:gridCol w:w="2551"/>
      </w:tblGrid>
      <w:tr w:rsidR="009C7EAC" w:rsidRPr="00286406" w14:paraId="2494A5F5" w14:textId="77777777" w:rsidTr="00A3274B">
        <w:trPr>
          <w:trHeight w:val="397"/>
        </w:trPr>
        <w:tc>
          <w:tcPr>
            <w:tcW w:w="186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E45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8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5C10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Antal tabletter</w:t>
            </w:r>
          </w:p>
        </w:tc>
      </w:tr>
      <w:tr w:rsidR="009C7EAC" w:rsidRPr="00286406" w14:paraId="476792DD" w14:textId="77777777" w:rsidTr="00A3274B">
        <w:trPr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F812A" w14:textId="77777777" w:rsidR="009C7EAC" w:rsidRPr="00286406" w:rsidRDefault="009C7E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2E4D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To gange dagligt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3E88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En gang dagligt</w:t>
            </w:r>
          </w:p>
        </w:tc>
      </w:tr>
      <w:tr w:rsidR="009C7EAC" w:rsidRPr="00286406" w14:paraId="4F6F2D06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0F9C" w14:textId="77777777" w:rsidR="009C7EAC" w:rsidRPr="00286406" w:rsidRDefault="009C7EAC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286406">
              <w:rPr>
                <w:b/>
                <w:bCs/>
                <w:sz w:val="24"/>
                <w:szCs w:val="24"/>
                <w:lang w:val="nl-NL"/>
              </w:rPr>
              <w:t>Legemsvægt (kg)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5C005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Om morgenen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44C79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Om aftenen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66A77" w14:textId="77777777" w:rsidR="009C7EAC" w:rsidRPr="00286406" w:rsidRDefault="009C7EAC">
            <w:pPr>
              <w:rPr>
                <w:b/>
                <w:bCs/>
                <w:sz w:val="24"/>
                <w:szCs w:val="24"/>
                <w:lang w:val="nl-NL"/>
              </w:rPr>
            </w:pPr>
          </w:p>
        </w:tc>
      </w:tr>
      <w:tr w:rsidR="009C7EAC" w:rsidRPr="00286406" w14:paraId="2448C77C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183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5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07E8" w14:textId="77777777" w:rsidR="009C7EAC" w:rsidRPr="00286406" w:rsidRDefault="009C7EAC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5613" w14:textId="77777777" w:rsidR="009C7EAC" w:rsidRPr="00286406" w:rsidRDefault="009C7EAC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0E6A" w14:textId="77777777" w:rsidR="009C7EAC" w:rsidRPr="00286406" w:rsidRDefault="009C7EAC">
            <w:pPr>
              <w:jc w:val="center"/>
              <w:rPr>
                <w:rFonts w:eastAsia="Calibri"/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</w:tr>
      <w:tr w:rsidR="009C7EAC" w:rsidRPr="00286406" w14:paraId="7ED227F6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A4C2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6F9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71F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DBDB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</w:tr>
      <w:tr w:rsidR="009C7EAC" w:rsidRPr="00286406" w14:paraId="2DEEA274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0C8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F3D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FDB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1132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</w:tr>
      <w:tr w:rsidR="009C7EAC" w:rsidRPr="00286406" w14:paraId="59848929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AF636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46B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8BC4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EB8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</w:tr>
      <w:tr w:rsidR="009C7EAC" w:rsidRPr="00286406" w14:paraId="7FC44607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D21F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40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BC2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727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153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</w:tr>
      <w:tr w:rsidR="009C7EAC" w:rsidRPr="00286406" w14:paraId="54EBCA10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682A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50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E334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3AD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59117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 ½</w:t>
            </w:r>
          </w:p>
        </w:tc>
      </w:tr>
      <w:tr w:rsidR="009C7EAC" w:rsidRPr="00286406" w14:paraId="758BFC4A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B62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60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F1E8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1A09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B36C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</w:t>
            </w:r>
          </w:p>
        </w:tc>
      </w:tr>
      <w:tr w:rsidR="009C7EAC" w:rsidRPr="00286406" w14:paraId="28E26BB4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9CB8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70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FFCF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6E2F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1 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CD9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3 ½</w:t>
            </w:r>
          </w:p>
        </w:tc>
      </w:tr>
      <w:tr w:rsidR="009C7EAC" w:rsidRPr="00286406" w14:paraId="6A68CD79" w14:textId="77777777" w:rsidTr="00A3274B">
        <w:trPr>
          <w:trHeight w:val="397"/>
        </w:trPr>
        <w:tc>
          <w:tcPr>
            <w:tcW w:w="18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9011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80 kg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8E13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6E0E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2F25D" w14:textId="77777777" w:rsidR="009C7EAC" w:rsidRPr="00286406" w:rsidRDefault="009C7EAC">
            <w:pPr>
              <w:jc w:val="center"/>
              <w:rPr>
                <w:sz w:val="24"/>
                <w:szCs w:val="24"/>
                <w:lang w:val="nl-NL"/>
              </w:rPr>
            </w:pPr>
            <w:r w:rsidRPr="00286406">
              <w:rPr>
                <w:sz w:val="24"/>
                <w:szCs w:val="24"/>
                <w:lang w:val="nl-NL"/>
              </w:rPr>
              <w:t>4</w:t>
            </w:r>
          </w:p>
        </w:tc>
      </w:tr>
    </w:tbl>
    <w:p w14:paraId="519F862E" w14:textId="77777777" w:rsidR="009C7EAC" w:rsidRPr="00286406" w:rsidRDefault="009C7EAC" w:rsidP="009C7EAC">
      <w:pPr>
        <w:pStyle w:val="Brdtekst"/>
        <w:spacing w:before="32"/>
        <w:rPr>
          <w:sz w:val="24"/>
          <w:szCs w:val="24"/>
        </w:rPr>
      </w:pPr>
    </w:p>
    <w:p w14:paraId="6FEB69C6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Tabletterne kan deles i to eller fire lige store dele for at sikre nøjagtig dosering. Læg tabletten på en flad overflade med delekærven opad og den konvekse (afrundede) side nedad.</w:t>
      </w:r>
    </w:p>
    <w:p w14:paraId="3545D3AE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Halve: Tryk ned med tommelfingrene eller fingrene på begge sider af tabletten.</w:t>
      </w:r>
    </w:p>
    <w:p w14:paraId="52D692B3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Kvarte: Tryk ned med tommelfingeren eller en finger midt på tabletten.</w:t>
      </w:r>
    </w:p>
    <w:p w14:paraId="0CC6CABA" w14:textId="77777777" w:rsidR="009C7EAC" w:rsidRPr="00286406" w:rsidRDefault="009C7EAC" w:rsidP="009C7EAC">
      <w:pPr>
        <w:tabs>
          <w:tab w:val="left" w:pos="1304"/>
        </w:tabs>
        <w:rPr>
          <w:sz w:val="24"/>
          <w:szCs w:val="24"/>
        </w:rPr>
      </w:pPr>
    </w:p>
    <w:p w14:paraId="415BF20D" w14:textId="3EB05C0A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noProof/>
          <w:sz w:val="24"/>
          <w:szCs w:val="24"/>
          <w:lang w:val="nl-NL" w:eastAsia="nl-NL"/>
        </w:rPr>
        <w:drawing>
          <wp:inline distT="0" distB="0" distL="0" distR="0" wp14:anchorId="3A33A0F1" wp14:editId="5547CDD6">
            <wp:extent cx="1353185" cy="111188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A433" w14:textId="77777777" w:rsidR="009C7EAC" w:rsidRPr="00286406" w:rsidRDefault="009C7EAC" w:rsidP="00A3274B">
      <w:pPr>
        <w:ind w:left="851"/>
        <w:rPr>
          <w:sz w:val="24"/>
          <w:szCs w:val="24"/>
        </w:rPr>
      </w:pPr>
    </w:p>
    <w:p w14:paraId="5FE543AB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De delte tabletter bør anvendes ved næste administration. Eventuelle delte tabletter, der er tilbage efter den sidste administration af produktet, skal kasseres.</w:t>
      </w:r>
    </w:p>
    <w:p w14:paraId="0A5790CD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C5AC22B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4.10</w:t>
      </w:r>
      <w:r w:rsidRPr="00286406">
        <w:rPr>
          <w:b/>
          <w:sz w:val="24"/>
          <w:szCs w:val="24"/>
        </w:rPr>
        <w:tab/>
        <w:t>Overdosering</w:t>
      </w:r>
    </w:p>
    <w:p w14:paraId="5946692D" w14:textId="4E17B2E3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Det er mere sandsynligt, at der opstår uønskede hændelser ved doseringer og behandlings</w:t>
      </w:r>
      <w:r w:rsidR="007519C0">
        <w:rPr>
          <w:sz w:val="24"/>
          <w:szCs w:val="24"/>
        </w:rPr>
        <w:softHyphen/>
      </w:r>
      <w:r w:rsidRPr="00286406">
        <w:rPr>
          <w:sz w:val="24"/>
          <w:szCs w:val="24"/>
        </w:rPr>
        <w:t>varigheder udover det anbefalede behandlingsregime. Hvis der opstår neurologiske symptomer, skal behandlingen seponeres, og patienten skal behandles symptomatisk.</w:t>
      </w:r>
    </w:p>
    <w:p w14:paraId="7D3DDB3B" w14:textId="77777777" w:rsidR="009C7EAC" w:rsidRPr="00286406" w:rsidRDefault="009C7EAC" w:rsidP="00A3274B">
      <w:pPr>
        <w:ind w:left="851"/>
        <w:rPr>
          <w:sz w:val="24"/>
          <w:szCs w:val="24"/>
        </w:rPr>
      </w:pPr>
      <w:bookmarkStart w:id="5" w:name="_Hlk46244595"/>
      <w:r w:rsidRPr="00286406">
        <w:rPr>
          <w:sz w:val="24"/>
          <w:szCs w:val="24"/>
        </w:rPr>
        <w:t xml:space="preserve">I litteraturen er der beskrevet enkelte tilfælde af hunde, der lider af </w:t>
      </w:r>
      <w:proofErr w:type="spellStart"/>
      <w:r w:rsidRPr="00286406">
        <w:rPr>
          <w:sz w:val="24"/>
          <w:szCs w:val="24"/>
        </w:rPr>
        <w:t>metronidazol-toksikose</w:t>
      </w:r>
      <w:proofErr w:type="spellEnd"/>
      <w:r w:rsidRPr="00286406">
        <w:rPr>
          <w:sz w:val="24"/>
          <w:szCs w:val="24"/>
        </w:rPr>
        <w:t xml:space="preserve">, som med succes blev behandlet med </w:t>
      </w:r>
      <w:proofErr w:type="spellStart"/>
      <w:r w:rsidRPr="00286406">
        <w:rPr>
          <w:sz w:val="24"/>
          <w:szCs w:val="24"/>
        </w:rPr>
        <w:t>diazepam</w:t>
      </w:r>
      <w:proofErr w:type="spellEnd"/>
      <w:r w:rsidRPr="00286406">
        <w:rPr>
          <w:sz w:val="24"/>
          <w:szCs w:val="24"/>
        </w:rPr>
        <w:t>, hvilket resulterede i en reduceret restitutionstid.</w:t>
      </w:r>
      <w:bookmarkEnd w:id="5"/>
    </w:p>
    <w:p w14:paraId="0FF5DA98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5CFC02D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4.11</w:t>
      </w:r>
      <w:r w:rsidRPr="00286406">
        <w:rPr>
          <w:b/>
          <w:sz w:val="24"/>
          <w:szCs w:val="24"/>
        </w:rPr>
        <w:tab/>
        <w:t>Tilbageholdelsestid</w:t>
      </w:r>
    </w:p>
    <w:p w14:paraId="5156A36A" w14:textId="77777777" w:rsidR="009C7EAC" w:rsidRPr="00286406" w:rsidRDefault="009C7EAC" w:rsidP="00A3274B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Ikke relevant.</w:t>
      </w:r>
    </w:p>
    <w:p w14:paraId="6AB41A34" w14:textId="77777777" w:rsidR="005B0036" w:rsidRPr="00286406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A5E1FE0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7F985D4" w14:textId="5701C549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5.</w:t>
      </w:r>
      <w:r w:rsidRPr="00286406">
        <w:rPr>
          <w:b/>
          <w:sz w:val="24"/>
          <w:szCs w:val="24"/>
        </w:rPr>
        <w:tab/>
        <w:t>FARMAKOLOGISKE EGENSKABER</w:t>
      </w:r>
    </w:p>
    <w:p w14:paraId="2A8FEB5C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8291D2C" w14:textId="77777777" w:rsidR="009C7EAC" w:rsidRPr="00286406" w:rsidRDefault="009C7EAC" w:rsidP="00A3274B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Farmakoterapeutisk</w:t>
      </w:r>
      <w:proofErr w:type="spellEnd"/>
      <w:r w:rsidRPr="00286406">
        <w:rPr>
          <w:sz w:val="24"/>
          <w:szCs w:val="24"/>
        </w:rPr>
        <w:t xml:space="preserve"> gruppe: </w:t>
      </w:r>
      <w:proofErr w:type="spellStart"/>
      <w:r w:rsidRPr="00286406">
        <w:rPr>
          <w:sz w:val="24"/>
          <w:szCs w:val="24"/>
        </w:rPr>
        <w:t>Antiprotozoika</w:t>
      </w:r>
      <w:proofErr w:type="spellEnd"/>
      <w:r w:rsidRPr="00286406">
        <w:rPr>
          <w:sz w:val="24"/>
          <w:szCs w:val="24"/>
        </w:rPr>
        <w:t xml:space="preserve"> mod </w:t>
      </w:r>
      <w:proofErr w:type="spellStart"/>
      <w:r w:rsidRPr="00286406">
        <w:rPr>
          <w:sz w:val="24"/>
          <w:szCs w:val="24"/>
        </w:rPr>
        <w:t>protozoal</w:t>
      </w:r>
      <w:proofErr w:type="spellEnd"/>
      <w:r w:rsidRPr="00286406">
        <w:rPr>
          <w:sz w:val="24"/>
          <w:szCs w:val="24"/>
        </w:rPr>
        <w:t xml:space="preserve"> sygdom, (nitro-)</w:t>
      </w:r>
      <w:proofErr w:type="spellStart"/>
      <w:r w:rsidRPr="00286406">
        <w:rPr>
          <w:sz w:val="24"/>
          <w:szCs w:val="24"/>
        </w:rPr>
        <w:t>imidazol</w:t>
      </w:r>
      <w:proofErr w:type="spellEnd"/>
      <w:r w:rsidRPr="00286406">
        <w:rPr>
          <w:sz w:val="24"/>
          <w:szCs w:val="24"/>
        </w:rPr>
        <w:t xml:space="preserve">-derivater. </w:t>
      </w:r>
    </w:p>
    <w:p w14:paraId="4C50DB5A" w14:textId="04765065" w:rsidR="009C7EAC" w:rsidRPr="00286406" w:rsidRDefault="009C7EAC" w:rsidP="00A3274B">
      <w:pPr>
        <w:ind w:left="851"/>
        <w:rPr>
          <w:sz w:val="24"/>
          <w:szCs w:val="24"/>
        </w:rPr>
      </w:pPr>
      <w:proofErr w:type="spellStart"/>
      <w:r w:rsidRPr="00286406">
        <w:rPr>
          <w:sz w:val="24"/>
          <w:szCs w:val="24"/>
        </w:rPr>
        <w:t>ATCvet</w:t>
      </w:r>
      <w:proofErr w:type="spellEnd"/>
      <w:r w:rsidRPr="00286406">
        <w:rPr>
          <w:sz w:val="24"/>
          <w:szCs w:val="24"/>
        </w:rPr>
        <w:t>-kode: QP</w:t>
      </w:r>
      <w:r w:rsidR="00391AFF" w:rsidRPr="00286406">
        <w:rPr>
          <w:sz w:val="24"/>
          <w:szCs w:val="24"/>
        </w:rPr>
        <w:t xml:space="preserve"> </w:t>
      </w:r>
      <w:r w:rsidRPr="00286406">
        <w:rPr>
          <w:sz w:val="24"/>
          <w:szCs w:val="24"/>
        </w:rPr>
        <w:t>51</w:t>
      </w:r>
      <w:r w:rsidR="00391AFF" w:rsidRPr="00286406">
        <w:rPr>
          <w:sz w:val="24"/>
          <w:szCs w:val="24"/>
        </w:rPr>
        <w:t xml:space="preserve"> </w:t>
      </w:r>
      <w:r w:rsidRPr="00286406">
        <w:rPr>
          <w:sz w:val="24"/>
          <w:szCs w:val="24"/>
        </w:rPr>
        <w:t>AA</w:t>
      </w:r>
      <w:r w:rsidR="00391AFF" w:rsidRPr="00286406">
        <w:rPr>
          <w:sz w:val="24"/>
          <w:szCs w:val="24"/>
        </w:rPr>
        <w:t xml:space="preserve"> </w:t>
      </w:r>
      <w:r w:rsidRPr="00286406">
        <w:rPr>
          <w:sz w:val="24"/>
          <w:szCs w:val="24"/>
        </w:rPr>
        <w:t>01</w:t>
      </w:r>
      <w:r w:rsidR="00286406" w:rsidRPr="00286406">
        <w:rPr>
          <w:sz w:val="24"/>
          <w:szCs w:val="24"/>
        </w:rPr>
        <w:t>,</w:t>
      </w:r>
      <w:r w:rsidRPr="00286406">
        <w:rPr>
          <w:sz w:val="24"/>
          <w:szCs w:val="24"/>
        </w:rPr>
        <w:t xml:space="preserve"> </w:t>
      </w:r>
      <w:proofErr w:type="spellStart"/>
      <w:r w:rsidRPr="00286406">
        <w:rPr>
          <w:sz w:val="24"/>
          <w:szCs w:val="24"/>
        </w:rPr>
        <w:t>metronidazol</w:t>
      </w:r>
      <w:proofErr w:type="spellEnd"/>
    </w:p>
    <w:p w14:paraId="67D0BD62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4DFE36C9" w14:textId="79FA53A3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5.1</w:t>
      </w:r>
      <w:r w:rsidRPr="00286406">
        <w:rPr>
          <w:b/>
          <w:sz w:val="24"/>
          <w:szCs w:val="24"/>
        </w:rPr>
        <w:tab/>
      </w:r>
      <w:proofErr w:type="spellStart"/>
      <w:r w:rsidRPr="00286406">
        <w:rPr>
          <w:b/>
          <w:sz w:val="24"/>
          <w:szCs w:val="24"/>
        </w:rPr>
        <w:t>Farmakodynamiske</w:t>
      </w:r>
      <w:proofErr w:type="spellEnd"/>
      <w:r w:rsidRPr="00286406">
        <w:rPr>
          <w:b/>
          <w:sz w:val="24"/>
          <w:szCs w:val="24"/>
        </w:rPr>
        <w:t xml:space="preserve"> egenskaber</w:t>
      </w:r>
    </w:p>
    <w:p w14:paraId="2521082A" w14:textId="77777777" w:rsidR="00DE08F6" w:rsidRPr="00286406" w:rsidRDefault="00DE08F6" w:rsidP="004308D4">
      <w:pPr>
        <w:ind w:left="851"/>
        <w:rPr>
          <w:snapToGrid w:val="0"/>
          <w:sz w:val="24"/>
          <w:szCs w:val="24"/>
        </w:rPr>
      </w:pPr>
      <w:bookmarkStart w:id="6" w:name="_Hlk31030854"/>
      <w:proofErr w:type="spellStart"/>
      <w:r w:rsidRPr="00286406">
        <w:rPr>
          <w:snapToGrid w:val="0"/>
          <w:sz w:val="24"/>
          <w:szCs w:val="24"/>
        </w:rPr>
        <w:t>Metronidazol</w:t>
      </w:r>
      <w:proofErr w:type="spellEnd"/>
      <w:r w:rsidRPr="00286406">
        <w:rPr>
          <w:snapToGrid w:val="0"/>
          <w:sz w:val="24"/>
          <w:szCs w:val="24"/>
        </w:rPr>
        <w:t xml:space="preserve"> har </w:t>
      </w:r>
      <w:proofErr w:type="spellStart"/>
      <w:r w:rsidRPr="00286406">
        <w:rPr>
          <w:snapToGrid w:val="0"/>
          <w:sz w:val="24"/>
          <w:szCs w:val="24"/>
        </w:rPr>
        <w:t>antiprotozoal</w:t>
      </w:r>
      <w:proofErr w:type="spellEnd"/>
      <w:r w:rsidRPr="00286406">
        <w:rPr>
          <w:snapToGrid w:val="0"/>
          <w:sz w:val="24"/>
          <w:szCs w:val="24"/>
        </w:rPr>
        <w:t xml:space="preserve"> og antibakteriel aktivitet.</w:t>
      </w:r>
    </w:p>
    <w:p w14:paraId="7F42E72E" w14:textId="77777777" w:rsidR="00DE08F6" w:rsidRPr="00286406" w:rsidRDefault="00DE08F6" w:rsidP="004308D4">
      <w:pPr>
        <w:ind w:left="851"/>
        <w:rPr>
          <w:snapToGrid w:val="0"/>
          <w:sz w:val="24"/>
          <w:szCs w:val="24"/>
        </w:rPr>
      </w:pPr>
      <w:r w:rsidRPr="00286406">
        <w:rPr>
          <w:snapToGrid w:val="0"/>
          <w:sz w:val="24"/>
          <w:szCs w:val="24"/>
        </w:rPr>
        <w:t xml:space="preserve">Efter </w:t>
      </w:r>
      <w:proofErr w:type="spellStart"/>
      <w:r w:rsidRPr="00286406">
        <w:rPr>
          <w:snapToGrid w:val="0"/>
          <w:sz w:val="24"/>
          <w:szCs w:val="24"/>
        </w:rPr>
        <w:t>metronidazol</w:t>
      </w:r>
      <w:proofErr w:type="spellEnd"/>
      <w:r w:rsidRPr="00286406">
        <w:rPr>
          <w:snapToGrid w:val="0"/>
          <w:sz w:val="24"/>
          <w:szCs w:val="24"/>
        </w:rPr>
        <w:t xml:space="preserve"> har penetreret bakterierne, reduceres molekylet af følsomme bakterier (anaerobe). De dannede metabolitter har en toksisk effekt på bakterierne via binding til bakterielt DNA Generelt er </w:t>
      </w:r>
      <w:proofErr w:type="spellStart"/>
      <w:r w:rsidRPr="00286406">
        <w:rPr>
          <w:snapToGrid w:val="0"/>
          <w:sz w:val="24"/>
          <w:szCs w:val="24"/>
        </w:rPr>
        <w:t>metronidazol</w:t>
      </w:r>
      <w:proofErr w:type="spellEnd"/>
      <w:r w:rsidRPr="00286406">
        <w:rPr>
          <w:snapToGrid w:val="0"/>
          <w:sz w:val="24"/>
          <w:szCs w:val="24"/>
        </w:rPr>
        <w:t xml:space="preserve"> baktericidt for følsomme bakterier i koncentrationer lig med eller lidt højere end den minimalt hæmmende koncentration (MIC).</w:t>
      </w:r>
      <w:bookmarkEnd w:id="6"/>
    </w:p>
    <w:p w14:paraId="10EA9242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1F9AB92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5.2</w:t>
      </w:r>
      <w:r w:rsidRPr="00286406">
        <w:rPr>
          <w:b/>
          <w:sz w:val="24"/>
          <w:szCs w:val="24"/>
        </w:rPr>
        <w:tab/>
      </w:r>
      <w:proofErr w:type="spellStart"/>
      <w:r w:rsidRPr="00286406">
        <w:rPr>
          <w:b/>
          <w:sz w:val="24"/>
          <w:szCs w:val="24"/>
        </w:rPr>
        <w:t>Farmakokinetiske</w:t>
      </w:r>
      <w:proofErr w:type="spellEnd"/>
      <w:r w:rsidRPr="00286406">
        <w:rPr>
          <w:b/>
          <w:sz w:val="24"/>
          <w:szCs w:val="24"/>
        </w:rPr>
        <w:t xml:space="preserve"> egenskaber</w:t>
      </w:r>
    </w:p>
    <w:p w14:paraId="2BFF2C5E" w14:textId="77777777" w:rsidR="00DE08F6" w:rsidRPr="00286406" w:rsidRDefault="00DE08F6" w:rsidP="004308D4">
      <w:pPr>
        <w:ind w:left="851"/>
        <w:rPr>
          <w:sz w:val="24"/>
          <w:szCs w:val="24"/>
        </w:rPr>
      </w:pPr>
      <w:bookmarkStart w:id="7" w:name="_Hlk31030924"/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absorberes øjeblikkeligt og godt efter oral administration. Efter 1 time er en plasmakoncentration på 10 mikrogram/ml opnået med en enkeltdosis på 50 mg. Biotilgængeligheden af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er næsten 100 %, og halveringstiden i plasma er ca. 8-10 timer.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penetrerer nemt vævet og legemsvæsker, såsom spyt, mælk, vaginal sekretion og sæd. 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</w:t>
      </w:r>
      <w:proofErr w:type="spellStart"/>
      <w:r w:rsidRPr="00286406">
        <w:rPr>
          <w:sz w:val="24"/>
          <w:szCs w:val="24"/>
        </w:rPr>
        <w:t>metaboliseres</w:t>
      </w:r>
      <w:proofErr w:type="spellEnd"/>
      <w:r w:rsidRPr="00286406">
        <w:rPr>
          <w:sz w:val="24"/>
          <w:szCs w:val="24"/>
        </w:rPr>
        <w:t xml:space="preserve"> primært i leveren. Indenfor 24 timer efter oral administration udskilles 35-65 % af den administrerede dosis (</w:t>
      </w:r>
      <w:proofErr w:type="spellStart"/>
      <w:r w:rsidRPr="00286406">
        <w:rPr>
          <w:sz w:val="24"/>
          <w:szCs w:val="24"/>
        </w:rPr>
        <w:t>metronidazol</w:t>
      </w:r>
      <w:proofErr w:type="spellEnd"/>
      <w:r w:rsidRPr="00286406">
        <w:rPr>
          <w:sz w:val="24"/>
          <w:szCs w:val="24"/>
        </w:rPr>
        <w:t xml:space="preserve"> og dets metabolitter) i urinen.</w:t>
      </w:r>
      <w:bookmarkEnd w:id="7"/>
    </w:p>
    <w:p w14:paraId="1FB4CC32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0A4E3C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5.3</w:t>
      </w:r>
      <w:r w:rsidRPr="00286406">
        <w:rPr>
          <w:b/>
          <w:sz w:val="24"/>
          <w:szCs w:val="24"/>
        </w:rPr>
        <w:tab/>
        <w:t>Miljømæssige forhold</w:t>
      </w:r>
    </w:p>
    <w:p w14:paraId="04685D38" w14:textId="35036953" w:rsidR="005B0036" w:rsidRPr="00286406" w:rsidRDefault="00DE08F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>-</w:t>
      </w:r>
    </w:p>
    <w:p w14:paraId="32CCE5EA" w14:textId="77777777" w:rsidR="005B0036" w:rsidRPr="00286406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99D212A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C0E3C53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</w:t>
      </w:r>
      <w:r w:rsidRPr="00286406">
        <w:rPr>
          <w:b/>
          <w:sz w:val="24"/>
          <w:szCs w:val="24"/>
        </w:rPr>
        <w:tab/>
        <w:t>FARMACEUTISKE OPLYSNINGER</w:t>
      </w:r>
    </w:p>
    <w:p w14:paraId="692CFD90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E086D1A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6.1</w:t>
      </w:r>
      <w:r w:rsidRPr="00286406">
        <w:rPr>
          <w:b/>
          <w:sz w:val="24"/>
          <w:szCs w:val="24"/>
        </w:rPr>
        <w:tab/>
        <w:t>Hjælpestoffer</w:t>
      </w:r>
    </w:p>
    <w:p w14:paraId="53B26006" w14:textId="77777777" w:rsidR="00DE08F6" w:rsidRPr="00286406" w:rsidRDefault="00DE08F6" w:rsidP="004308D4">
      <w:pPr>
        <w:ind w:left="851"/>
        <w:rPr>
          <w:color w:val="000000"/>
          <w:sz w:val="24"/>
          <w:szCs w:val="24"/>
        </w:rPr>
      </w:pPr>
      <w:r w:rsidRPr="00286406">
        <w:rPr>
          <w:color w:val="000000"/>
          <w:sz w:val="24"/>
          <w:szCs w:val="24"/>
        </w:rPr>
        <w:t>Cellulose, mikrokrystallinsk</w:t>
      </w:r>
    </w:p>
    <w:p w14:paraId="7D1AAA48" w14:textId="77777777" w:rsidR="00DE08F6" w:rsidRPr="00286406" w:rsidRDefault="00DE08F6" w:rsidP="004308D4">
      <w:pPr>
        <w:spacing w:line="240" w:lineRule="exact"/>
        <w:ind w:left="851"/>
        <w:rPr>
          <w:snapToGrid w:val="0"/>
          <w:sz w:val="24"/>
          <w:szCs w:val="24"/>
          <w:lang w:val="en-US"/>
        </w:rPr>
      </w:pPr>
      <w:proofErr w:type="spellStart"/>
      <w:r w:rsidRPr="00286406">
        <w:rPr>
          <w:snapToGrid w:val="0"/>
          <w:sz w:val="24"/>
          <w:szCs w:val="24"/>
          <w:lang w:val="en-US"/>
        </w:rPr>
        <w:t>Natriumstivelsesglycolat</w:t>
      </w:r>
      <w:proofErr w:type="spellEnd"/>
      <w:r w:rsidRPr="00286406">
        <w:rPr>
          <w:snapToGrid w:val="0"/>
          <w:sz w:val="24"/>
          <w:szCs w:val="24"/>
          <w:lang w:val="en-US"/>
        </w:rPr>
        <w:t xml:space="preserve"> (type A)</w:t>
      </w:r>
    </w:p>
    <w:p w14:paraId="03037FC6" w14:textId="77777777" w:rsidR="00DE08F6" w:rsidRPr="00286406" w:rsidRDefault="00DE08F6" w:rsidP="004308D4">
      <w:pPr>
        <w:spacing w:line="240" w:lineRule="exact"/>
        <w:ind w:left="851"/>
        <w:rPr>
          <w:snapToGrid w:val="0"/>
          <w:sz w:val="24"/>
          <w:szCs w:val="24"/>
          <w:lang w:val="en-US"/>
        </w:rPr>
      </w:pPr>
      <w:proofErr w:type="spellStart"/>
      <w:r w:rsidRPr="00286406">
        <w:rPr>
          <w:snapToGrid w:val="0"/>
          <w:sz w:val="24"/>
          <w:szCs w:val="24"/>
          <w:lang w:val="en-US"/>
        </w:rPr>
        <w:t>Hydroxypropylcellulose</w:t>
      </w:r>
      <w:proofErr w:type="spellEnd"/>
    </w:p>
    <w:p w14:paraId="38498CE5" w14:textId="77777777" w:rsidR="00DE08F6" w:rsidRPr="00286406" w:rsidRDefault="00DE08F6" w:rsidP="004308D4">
      <w:pPr>
        <w:spacing w:line="240" w:lineRule="exact"/>
        <w:ind w:left="851"/>
        <w:rPr>
          <w:snapToGrid w:val="0"/>
          <w:sz w:val="24"/>
          <w:szCs w:val="24"/>
          <w:lang w:val="en-US"/>
        </w:rPr>
      </w:pPr>
      <w:r w:rsidRPr="00286406">
        <w:rPr>
          <w:snapToGrid w:val="0"/>
          <w:sz w:val="24"/>
          <w:szCs w:val="24"/>
          <w:lang w:val="en-US"/>
        </w:rPr>
        <w:t xml:space="preserve">Silica, </w:t>
      </w:r>
      <w:proofErr w:type="spellStart"/>
      <w:r w:rsidRPr="00286406">
        <w:rPr>
          <w:snapToGrid w:val="0"/>
          <w:sz w:val="24"/>
          <w:szCs w:val="24"/>
          <w:lang w:val="en-US"/>
        </w:rPr>
        <w:t>kolloid</w:t>
      </w:r>
      <w:proofErr w:type="spellEnd"/>
    </w:p>
    <w:p w14:paraId="78AF0F59" w14:textId="77777777" w:rsidR="00DE08F6" w:rsidRPr="00286406" w:rsidRDefault="00DE08F6" w:rsidP="004308D4">
      <w:pPr>
        <w:spacing w:line="240" w:lineRule="exact"/>
        <w:ind w:left="851"/>
        <w:rPr>
          <w:snapToGrid w:val="0"/>
          <w:sz w:val="24"/>
          <w:szCs w:val="24"/>
        </w:rPr>
      </w:pPr>
      <w:proofErr w:type="spellStart"/>
      <w:r w:rsidRPr="00286406">
        <w:rPr>
          <w:snapToGrid w:val="0"/>
          <w:sz w:val="24"/>
          <w:szCs w:val="24"/>
        </w:rPr>
        <w:t>Magnesiumstearat</w:t>
      </w:r>
      <w:proofErr w:type="spellEnd"/>
    </w:p>
    <w:p w14:paraId="6EECB839" w14:textId="77777777" w:rsidR="00DE08F6" w:rsidRPr="00286406" w:rsidRDefault="00DE08F6" w:rsidP="004308D4">
      <w:pPr>
        <w:spacing w:line="240" w:lineRule="exact"/>
        <w:ind w:left="851"/>
        <w:rPr>
          <w:snapToGrid w:val="0"/>
          <w:sz w:val="24"/>
          <w:szCs w:val="24"/>
        </w:rPr>
      </w:pPr>
      <w:r w:rsidRPr="00286406">
        <w:rPr>
          <w:snapToGrid w:val="0"/>
          <w:sz w:val="24"/>
          <w:szCs w:val="24"/>
        </w:rPr>
        <w:t>Hønsekødssmag</w:t>
      </w:r>
    </w:p>
    <w:p w14:paraId="7268F788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FED12A5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6.2</w:t>
      </w:r>
      <w:r w:rsidRPr="00286406">
        <w:rPr>
          <w:b/>
          <w:sz w:val="24"/>
          <w:szCs w:val="24"/>
        </w:rPr>
        <w:tab/>
        <w:t>Uforligeligheder</w:t>
      </w:r>
    </w:p>
    <w:p w14:paraId="484F3650" w14:textId="77777777" w:rsidR="00DE08F6" w:rsidRPr="00286406" w:rsidRDefault="00DE08F6" w:rsidP="004308D4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Ikke relevant.</w:t>
      </w:r>
    </w:p>
    <w:p w14:paraId="2EF3EBA5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EA3D375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6.3</w:t>
      </w:r>
      <w:r w:rsidRPr="00286406">
        <w:rPr>
          <w:b/>
          <w:sz w:val="24"/>
          <w:szCs w:val="24"/>
        </w:rPr>
        <w:tab/>
        <w:t>Opbevaringstid</w:t>
      </w:r>
    </w:p>
    <w:p w14:paraId="01108E60" w14:textId="41622D6F" w:rsidR="00DE08F6" w:rsidRPr="00286406" w:rsidRDefault="00DE08F6" w:rsidP="004308D4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Opbevaringstid for veterinærlægemidlet i salgspakning: </w:t>
      </w:r>
      <w:r w:rsidR="005B0D8B">
        <w:rPr>
          <w:sz w:val="24"/>
          <w:szCs w:val="24"/>
        </w:rPr>
        <w:t>4</w:t>
      </w:r>
      <w:r w:rsidRPr="00286406">
        <w:rPr>
          <w:sz w:val="24"/>
          <w:szCs w:val="24"/>
        </w:rPr>
        <w:t xml:space="preserve"> år.</w:t>
      </w:r>
    </w:p>
    <w:p w14:paraId="2B0AED9C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D4A44C0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6.4</w:t>
      </w:r>
      <w:r w:rsidRPr="00286406">
        <w:rPr>
          <w:b/>
          <w:sz w:val="24"/>
          <w:szCs w:val="24"/>
        </w:rPr>
        <w:tab/>
        <w:t>Særlige opbevaringsforhold</w:t>
      </w:r>
    </w:p>
    <w:p w14:paraId="06F86430" w14:textId="77777777" w:rsidR="00DE08F6" w:rsidRPr="00286406" w:rsidRDefault="00DE08F6" w:rsidP="004308D4">
      <w:pPr>
        <w:ind w:left="851"/>
        <w:rPr>
          <w:sz w:val="24"/>
          <w:szCs w:val="24"/>
        </w:rPr>
      </w:pPr>
      <w:r w:rsidRPr="00286406">
        <w:rPr>
          <w:sz w:val="24"/>
          <w:szCs w:val="24"/>
        </w:rPr>
        <w:t>Dette veterinærlægemiddel kræver ingen særlige forholdsregler vedrørende opbevaringen.</w:t>
      </w:r>
    </w:p>
    <w:p w14:paraId="02283A57" w14:textId="77777777" w:rsidR="00DE08F6" w:rsidRPr="00286406" w:rsidRDefault="00DE08F6" w:rsidP="004308D4">
      <w:pPr>
        <w:ind w:left="851"/>
        <w:rPr>
          <w:sz w:val="24"/>
          <w:szCs w:val="24"/>
        </w:rPr>
      </w:pPr>
      <w:bookmarkStart w:id="8" w:name="_Hlk54009761"/>
      <w:r w:rsidRPr="00286406">
        <w:rPr>
          <w:sz w:val="24"/>
          <w:szCs w:val="24"/>
        </w:rPr>
        <w:t>Læg eventuelle delte tabletter tilbage i blisterkortet.</w:t>
      </w:r>
      <w:bookmarkEnd w:id="8"/>
    </w:p>
    <w:p w14:paraId="76655944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1E7D37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6.5</w:t>
      </w:r>
      <w:r w:rsidRPr="00286406">
        <w:rPr>
          <w:b/>
          <w:sz w:val="24"/>
          <w:szCs w:val="24"/>
        </w:rPr>
        <w:tab/>
        <w:t>Emballage</w:t>
      </w:r>
    </w:p>
    <w:p w14:paraId="3472B54F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</w:rPr>
      </w:pPr>
      <w:r w:rsidRPr="00286406">
        <w:rPr>
          <w:bCs/>
          <w:snapToGrid w:val="0"/>
          <w:sz w:val="24"/>
          <w:szCs w:val="24"/>
        </w:rPr>
        <w:t>Aluminium-PVC/PE/PVDC-blisterkort i kartonæske</w:t>
      </w:r>
    </w:p>
    <w:p w14:paraId="2FA25D29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  <w:highlight w:val="yellow"/>
        </w:rPr>
      </w:pPr>
    </w:p>
    <w:p w14:paraId="02DCAFFC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  <w:u w:val="single"/>
        </w:rPr>
      </w:pPr>
      <w:r w:rsidRPr="00286406">
        <w:rPr>
          <w:bCs/>
          <w:snapToGrid w:val="0"/>
          <w:sz w:val="24"/>
          <w:szCs w:val="24"/>
          <w:u w:val="single"/>
        </w:rPr>
        <w:lastRenderedPageBreak/>
        <w:t>Pakningsstørrelser:</w:t>
      </w:r>
    </w:p>
    <w:p w14:paraId="38B60C25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</w:rPr>
      </w:pPr>
      <w:r w:rsidRPr="00286406">
        <w:rPr>
          <w:bCs/>
          <w:snapToGrid w:val="0"/>
          <w:sz w:val="24"/>
          <w:szCs w:val="24"/>
        </w:rPr>
        <w:t>Kartonæske med 2 blisterkort à 10 tabletter</w:t>
      </w:r>
    </w:p>
    <w:p w14:paraId="3AFCC900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</w:rPr>
      </w:pPr>
      <w:r w:rsidRPr="00286406">
        <w:rPr>
          <w:bCs/>
          <w:snapToGrid w:val="0"/>
          <w:sz w:val="24"/>
          <w:szCs w:val="24"/>
        </w:rPr>
        <w:t>Kartonæske med 3 blisterkort à 10 tabletter</w:t>
      </w:r>
    </w:p>
    <w:p w14:paraId="0EB7CB83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</w:rPr>
      </w:pPr>
      <w:r w:rsidRPr="00286406">
        <w:rPr>
          <w:bCs/>
          <w:snapToGrid w:val="0"/>
          <w:sz w:val="24"/>
          <w:szCs w:val="24"/>
        </w:rPr>
        <w:t>Kartonæske med 5 blisterkort à 10 tabletter</w:t>
      </w:r>
    </w:p>
    <w:p w14:paraId="3C071125" w14:textId="77777777" w:rsidR="00DE08F6" w:rsidRPr="00286406" w:rsidRDefault="00DE08F6" w:rsidP="004308D4">
      <w:pPr>
        <w:ind w:left="851"/>
        <w:rPr>
          <w:bCs/>
          <w:snapToGrid w:val="0"/>
          <w:kern w:val="20"/>
          <w:sz w:val="24"/>
          <w:szCs w:val="24"/>
        </w:rPr>
      </w:pPr>
      <w:r w:rsidRPr="00286406">
        <w:rPr>
          <w:bCs/>
          <w:snapToGrid w:val="0"/>
          <w:sz w:val="24"/>
          <w:szCs w:val="24"/>
        </w:rPr>
        <w:t>Kartonæske med 10 blisterkort à 10 tabletter</w:t>
      </w:r>
    </w:p>
    <w:p w14:paraId="762986E3" w14:textId="77777777" w:rsidR="00DE08F6" w:rsidRPr="00286406" w:rsidRDefault="00DE08F6" w:rsidP="004308D4">
      <w:pPr>
        <w:tabs>
          <w:tab w:val="left" w:pos="1304"/>
        </w:tabs>
        <w:ind w:left="851"/>
        <w:rPr>
          <w:sz w:val="24"/>
          <w:szCs w:val="24"/>
        </w:rPr>
      </w:pPr>
    </w:p>
    <w:p w14:paraId="3228B97D" w14:textId="77777777" w:rsidR="00DE08F6" w:rsidRPr="00286406" w:rsidRDefault="00DE08F6" w:rsidP="004308D4">
      <w:pPr>
        <w:tabs>
          <w:tab w:val="left" w:pos="1304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>Ikke alle pakningsstørrelser er nødvendigvis markedsført.</w:t>
      </w:r>
    </w:p>
    <w:p w14:paraId="1FDADC96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A4D2B81" w14:textId="77777777" w:rsidR="005B0036" w:rsidRPr="00286406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6.6</w:t>
      </w:r>
      <w:r w:rsidRPr="00286406">
        <w:rPr>
          <w:b/>
          <w:sz w:val="24"/>
          <w:szCs w:val="24"/>
        </w:rPr>
        <w:tab/>
        <w:t>Særlige forholdsregler ved bortskaffelse af rester af lægemidlet eller affald</w:t>
      </w:r>
    </w:p>
    <w:p w14:paraId="63A592BE" w14:textId="77777777" w:rsidR="00DE08F6" w:rsidRPr="00286406" w:rsidRDefault="00DE08F6" w:rsidP="004308D4">
      <w:pPr>
        <w:ind w:left="851"/>
        <w:rPr>
          <w:i/>
          <w:sz w:val="24"/>
          <w:szCs w:val="24"/>
        </w:rPr>
      </w:pPr>
      <w:r w:rsidRPr="00286406">
        <w:rPr>
          <w:sz w:val="24"/>
          <w:szCs w:val="24"/>
        </w:rPr>
        <w:t>Ikke anvendte veterinærlægemidler samt affald heraf bør destrueres i henhold til lokale retningslinjer.</w:t>
      </w:r>
    </w:p>
    <w:p w14:paraId="7CEED301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121CCF7" w14:textId="77777777" w:rsidR="005B0036" w:rsidRPr="00286406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7.</w:t>
      </w:r>
      <w:r w:rsidRPr="00286406">
        <w:rPr>
          <w:b/>
          <w:sz w:val="24"/>
          <w:szCs w:val="24"/>
        </w:rPr>
        <w:tab/>
        <w:t>INDEHAVER AF MARKEDSFØRINGSTILLADELSEN</w:t>
      </w:r>
    </w:p>
    <w:p w14:paraId="46AC4FAF" w14:textId="77777777" w:rsidR="00DE08F6" w:rsidRPr="00286406" w:rsidRDefault="00DE08F6" w:rsidP="004308D4">
      <w:pPr>
        <w:ind w:left="851"/>
        <w:rPr>
          <w:color w:val="000000"/>
          <w:sz w:val="24"/>
          <w:szCs w:val="24"/>
        </w:rPr>
      </w:pPr>
      <w:r w:rsidRPr="00286406">
        <w:rPr>
          <w:color w:val="000000"/>
          <w:sz w:val="24"/>
          <w:szCs w:val="24"/>
        </w:rPr>
        <w:t xml:space="preserve">CP-Pharma </w:t>
      </w:r>
      <w:proofErr w:type="spellStart"/>
      <w:r w:rsidRPr="00286406">
        <w:rPr>
          <w:color w:val="000000"/>
          <w:sz w:val="24"/>
          <w:szCs w:val="24"/>
        </w:rPr>
        <w:t>Handelsgesellschaft</w:t>
      </w:r>
      <w:proofErr w:type="spellEnd"/>
      <w:r w:rsidRPr="00286406">
        <w:rPr>
          <w:color w:val="000000"/>
          <w:sz w:val="24"/>
          <w:szCs w:val="24"/>
        </w:rPr>
        <w:t xml:space="preserve"> </w:t>
      </w:r>
      <w:proofErr w:type="spellStart"/>
      <w:r w:rsidRPr="00286406">
        <w:rPr>
          <w:color w:val="000000"/>
          <w:sz w:val="24"/>
          <w:szCs w:val="24"/>
        </w:rPr>
        <w:t>mbH</w:t>
      </w:r>
      <w:proofErr w:type="spellEnd"/>
    </w:p>
    <w:p w14:paraId="5B79CF54" w14:textId="77777777" w:rsidR="00DE08F6" w:rsidRPr="00286406" w:rsidRDefault="00DE08F6" w:rsidP="004308D4">
      <w:pPr>
        <w:ind w:left="851"/>
        <w:rPr>
          <w:color w:val="000000"/>
          <w:sz w:val="24"/>
          <w:szCs w:val="24"/>
        </w:rPr>
      </w:pPr>
      <w:proofErr w:type="spellStart"/>
      <w:r w:rsidRPr="00286406">
        <w:rPr>
          <w:color w:val="000000"/>
          <w:sz w:val="24"/>
          <w:szCs w:val="24"/>
        </w:rPr>
        <w:t>Ostlandring</w:t>
      </w:r>
      <w:proofErr w:type="spellEnd"/>
      <w:r w:rsidRPr="00286406">
        <w:rPr>
          <w:color w:val="000000"/>
          <w:sz w:val="24"/>
          <w:szCs w:val="24"/>
        </w:rPr>
        <w:t xml:space="preserve"> 13 </w:t>
      </w:r>
    </w:p>
    <w:p w14:paraId="6B13B2CA" w14:textId="77777777" w:rsidR="00DE08F6" w:rsidRPr="00286406" w:rsidRDefault="00DE08F6" w:rsidP="004308D4">
      <w:pPr>
        <w:ind w:left="851"/>
        <w:rPr>
          <w:color w:val="000000"/>
          <w:sz w:val="24"/>
          <w:szCs w:val="24"/>
        </w:rPr>
      </w:pPr>
      <w:r w:rsidRPr="00286406">
        <w:rPr>
          <w:color w:val="000000"/>
          <w:sz w:val="24"/>
          <w:szCs w:val="24"/>
        </w:rPr>
        <w:t>31303 Burgdorf</w:t>
      </w:r>
    </w:p>
    <w:p w14:paraId="6DBED116" w14:textId="77777777" w:rsidR="00DE08F6" w:rsidRPr="00286406" w:rsidRDefault="00DE08F6" w:rsidP="004308D4">
      <w:pPr>
        <w:ind w:left="851"/>
        <w:rPr>
          <w:color w:val="000000"/>
          <w:sz w:val="24"/>
          <w:szCs w:val="24"/>
        </w:rPr>
      </w:pPr>
      <w:r w:rsidRPr="00286406">
        <w:rPr>
          <w:color w:val="000000"/>
          <w:sz w:val="24"/>
          <w:szCs w:val="24"/>
        </w:rPr>
        <w:t>Tyskland</w:t>
      </w:r>
    </w:p>
    <w:p w14:paraId="6021918A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2D94F93" w14:textId="77777777" w:rsidR="005B0036" w:rsidRPr="00286406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8.</w:t>
      </w:r>
      <w:r w:rsidRPr="00286406">
        <w:rPr>
          <w:b/>
          <w:sz w:val="24"/>
          <w:szCs w:val="24"/>
        </w:rPr>
        <w:tab/>
        <w:t>MARKEDSFØRINGSTILLADELSESNUMMER (NUMRE)</w:t>
      </w:r>
    </w:p>
    <w:p w14:paraId="65CE7837" w14:textId="2CEBB397" w:rsidR="005B0036" w:rsidRPr="00286406" w:rsidRDefault="0083438A" w:rsidP="00286406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250 mg: </w:t>
      </w:r>
      <w:r w:rsidR="00286406" w:rsidRPr="00286406">
        <w:rPr>
          <w:sz w:val="24"/>
          <w:szCs w:val="24"/>
        </w:rPr>
        <w:tab/>
      </w:r>
      <w:r w:rsidRPr="00286406">
        <w:rPr>
          <w:sz w:val="24"/>
          <w:szCs w:val="24"/>
        </w:rPr>
        <w:t>64128</w:t>
      </w:r>
    </w:p>
    <w:p w14:paraId="5D3548DD" w14:textId="69557C86" w:rsidR="0083438A" w:rsidRPr="00286406" w:rsidRDefault="0083438A" w:rsidP="00286406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500 mg: </w:t>
      </w:r>
      <w:r w:rsidR="00286406" w:rsidRPr="00286406">
        <w:rPr>
          <w:sz w:val="24"/>
          <w:szCs w:val="24"/>
        </w:rPr>
        <w:tab/>
      </w:r>
      <w:r w:rsidRPr="00286406">
        <w:rPr>
          <w:sz w:val="24"/>
          <w:szCs w:val="24"/>
        </w:rPr>
        <w:t>64129</w:t>
      </w:r>
    </w:p>
    <w:p w14:paraId="7AF1E47C" w14:textId="0F970443" w:rsidR="0083438A" w:rsidRPr="00286406" w:rsidRDefault="0083438A" w:rsidP="00286406">
      <w:pPr>
        <w:tabs>
          <w:tab w:val="left" w:pos="851"/>
          <w:tab w:val="left" w:pos="1985"/>
          <w:tab w:val="left" w:pos="8222"/>
        </w:tabs>
        <w:ind w:left="851"/>
        <w:rPr>
          <w:sz w:val="24"/>
          <w:szCs w:val="24"/>
        </w:rPr>
      </w:pPr>
      <w:r w:rsidRPr="00286406">
        <w:rPr>
          <w:sz w:val="24"/>
          <w:szCs w:val="24"/>
        </w:rPr>
        <w:t xml:space="preserve">1000 mg: </w:t>
      </w:r>
      <w:r w:rsidR="00286406" w:rsidRPr="00286406">
        <w:rPr>
          <w:sz w:val="24"/>
          <w:szCs w:val="24"/>
        </w:rPr>
        <w:tab/>
      </w:r>
      <w:r w:rsidRPr="00286406">
        <w:rPr>
          <w:sz w:val="24"/>
          <w:szCs w:val="24"/>
        </w:rPr>
        <w:t>64</w:t>
      </w:r>
      <w:r w:rsidR="00406AF0" w:rsidRPr="00286406">
        <w:rPr>
          <w:sz w:val="24"/>
          <w:szCs w:val="24"/>
        </w:rPr>
        <w:t>130</w:t>
      </w:r>
    </w:p>
    <w:p w14:paraId="3CE6D091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DDC1B72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9.</w:t>
      </w:r>
      <w:r w:rsidRPr="00286406">
        <w:rPr>
          <w:b/>
          <w:sz w:val="24"/>
          <w:szCs w:val="24"/>
        </w:rPr>
        <w:tab/>
        <w:t>DATO FOR FØRSTE MARKEDSFØRINGSTILLADELSE</w:t>
      </w:r>
    </w:p>
    <w:p w14:paraId="0015DD47" w14:textId="2A87D5FC" w:rsidR="005B0036" w:rsidRPr="00286406" w:rsidRDefault="005A0F2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februar 2021</w:t>
      </w:r>
    </w:p>
    <w:p w14:paraId="61D69FD1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1BE0985" w14:textId="77777777" w:rsidR="005B0036" w:rsidRPr="00286406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10.</w:t>
      </w:r>
      <w:r w:rsidRPr="00286406">
        <w:rPr>
          <w:b/>
          <w:sz w:val="24"/>
          <w:szCs w:val="24"/>
        </w:rPr>
        <w:tab/>
        <w:t>DATO FOR ÆNDRING AF TEKSTEN</w:t>
      </w:r>
    </w:p>
    <w:p w14:paraId="727FE657" w14:textId="1F88F3C2" w:rsidR="005B0036" w:rsidRPr="00286406" w:rsidRDefault="005B0D8B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oktober 2023</w:t>
      </w:r>
      <w:bookmarkStart w:id="9" w:name="_GoBack"/>
      <w:bookmarkEnd w:id="9"/>
    </w:p>
    <w:p w14:paraId="2FB48C33" w14:textId="77777777" w:rsidR="005B0036" w:rsidRPr="00286406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C733CFF" w14:textId="77777777" w:rsidR="005B0036" w:rsidRPr="0028640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86406">
        <w:rPr>
          <w:b/>
          <w:sz w:val="24"/>
          <w:szCs w:val="24"/>
        </w:rPr>
        <w:t>11.</w:t>
      </w:r>
      <w:r w:rsidRPr="00286406">
        <w:rPr>
          <w:b/>
          <w:sz w:val="24"/>
          <w:szCs w:val="24"/>
        </w:rPr>
        <w:tab/>
        <w:t>UDLEVERINGSBESTEMMELSE</w:t>
      </w:r>
    </w:p>
    <w:p w14:paraId="2BF7CC84" w14:textId="54980E39" w:rsidR="005B0036" w:rsidRPr="00286406" w:rsidRDefault="00DE08F6" w:rsidP="005B003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286406">
        <w:rPr>
          <w:szCs w:val="24"/>
        </w:rPr>
        <w:t>B</w:t>
      </w:r>
    </w:p>
    <w:p w14:paraId="5C6DC18A" w14:textId="77777777" w:rsidR="0003527F" w:rsidRPr="00286406" w:rsidRDefault="0003527F" w:rsidP="005B0036">
      <w:pPr>
        <w:rPr>
          <w:sz w:val="24"/>
          <w:szCs w:val="24"/>
        </w:rPr>
      </w:pPr>
    </w:p>
    <w:sectPr w:rsidR="0003527F" w:rsidRPr="00286406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C27F8" w14:textId="77777777" w:rsidR="005B54B7" w:rsidRDefault="005B54B7">
      <w:r>
        <w:separator/>
      </w:r>
    </w:p>
  </w:endnote>
  <w:endnote w:type="continuationSeparator" w:id="0">
    <w:p w14:paraId="71A2FD39" w14:textId="77777777" w:rsidR="005B54B7" w:rsidRDefault="005B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E13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1EDA7BE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054901EA" w14:textId="10E46C93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445CE">
      <w:rPr>
        <w:i/>
        <w:noProof/>
        <w:snapToGrid w:val="0"/>
        <w:sz w:val="18"/>
      </w:rPr>
      <w:t>Metronivet, tabletter 250 mg, 500 mg og 1000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E90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4B25638D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468EB2A" w14:textId="180CF7F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445CE">
      <w:rPr>
        <w:i/>
        <w:noProof/>
        <w:snapToGrid w:val="0"/>
        <w:sz w:val="18"/>
      </w:rPr>
      <w:t>Metronivet, tabletter 250 mg, 500 mg og 1000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B98C" w14:textId="77777777" w:rsidR="005B54B7" w:rsidRDefault="005B54B7">
      <w:r>
        <w:separator/>
      </w:r>
    </w:p>
  </w:footnote>
  <w:footnote w:type="continuationSeparator" w:id="0">
    <w:p w14:paraId="173825C4" w14:textId="77777777" w:rsidR="005B54B7" w:rsidRDefault="005B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D5CFA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5E7D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1747"/>
    <w:multiLevelType w:val="hybridMultilevel"/>
    <w:tmpl w:val="8E525C0A"/>
    <w:lvl w:ilvl="0" w:tplc="367EEA48">
      <w:numFmt w:val="bullet"/>
      <w:lvlText w:val="⁃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0915CC"/>
    <w:multiLevelType w:val="hybridMultilevel"/>
    <w:tmpl w:val="96441840"/>
    <w:lvl w:ilvl="0" w:tplc="E7F086D8">
      <w:numFmt w:val="bullet"/>
      <w:lvlText w:val="-"/>
      <w:lvlJc w:val="left"/>
      <w:pPr>
        <w:ind w:left="1211" w:hanging="360"/>
      </w:pPr>
      <w:rPr>
        <w:rFonts w:ascii="Times-Roman" w:eastAsia="Times New Roman" w:hAnsi="Times-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93260E9"/>
    <w:multiLevelType w:val="hybridMultilevel"/>
    <w:tmpl w:val="18C23ACA"/>
    <w:lvl w:ilvl="0" w:tplc="E7F086D8">
      <w:numFmt w:val="bullet"/>
      <w:lvlText w:val="-"/>
      <w:lvlJc w:val="left"/>
      <w:pPr>
        <w:ind w:left="1571" w:hanging="360"/>
      </w:pPr>
      <w:rPr>
        <w:rFonts w:ascii="Times-Roman" w:eastAsia="Times New Roman" w:hAnsi="Times-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7"/>
    <w:rsid w:val="0003527F"/>
    <w:rsid w:val="00065C7D"/>
    <w:rsid w:val="000A498F"/>
    <w:rsid w:val="000C6CD4"/>
    <w:rsid w:val="001577E4"/>
    <w:rsid w:val="001858CA"/>
    <w:rsid w:val="001C4AEF"/>
    <w:rsid w:val="001D3CC5"/>
    <w:rsid w:val="00286406"/>
    <w:rsid w:val="002F0EEB"/>
    <w:rsid w:val="00322BDE"/>
    <w:rsid w:val="00391AFF"/>
    <w:rsid w:val="00406AF0"/>
    <w:rsid w:val="00406EE7"/>
    <w:rsid w:val="00407013"/>
    <w:rsid w:val="004308D4"/>
    <w:rsid w:val="004445CE"/>
    <w:rsid w:val="004A62CC"/>
    <w:rsid w:val="00565A74"/>
    <w:rsid w:val="005A0F21"/>
    <w:rsid w:val="005B0036"/>
    <w:rsid w:val="005B0D8B"/>
    <w:rsid w:val="005B54B7"/>
    <w:rsid w:val="005F5831"/>
    <w:rsid w:val="00662012"/>
    <w:rsid w:val="00666B01"/>
    <w:rsid w:val="006B1539"/>
    <w:rsid w:val="006E25EA"/>
    <w:rsid w:val="006F5621"/>
    <w:rsid w:val="007519C0"/>
    <w:rsid w:val="007E2A00"/>
    <w:rsid w:val="008010F2"/>
    <w:rsid w:val="0083438A"/>
    <w:rsid w:val="009202AE"/>
    <w:rsid w:val="009C7EAC"/>
    <w:rsid w:val="009D66C6"/>
    <w:rsid w:val="00A3274B"/>
    <w:rsid w:val="00A54E62"/>
    <w:rsid w:val="00A96525"/>
    <w:rsid w:val="00AE29E5"/>
    <w:rsid w:val="00AE5757"/>
    <w:rsid w:val="00B25EB8"/>
    <w:rsid w:val="00BC634B"/>
    <w:rsid w:val="00BF2AE0"/>
    <w:rsid w:val="00C479BF"/>
    <w:rsid w:val="00DD6D71"/>
    <w:rsid w:val="00DE08F6"/>
    <w:rsid w:val="00DF32BE"/>
    <w:rsid w:val="00E14F0A"/>
    <w:rsid w:val="00EB5778"/>
    <w:rsid w:val="00EE5253"/>
    <w:rsid w:val="00F65545"/>
    <w:rsid w:val="00FA66E4"/>
    <w:rsid w:val="00FB7C17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8AB8B"/>
  <w15:chartTrackingRefBased/>
  <w15:docId w15:val="{434C5F28-4839-48B7-8F72-28489571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Brdtekst">
    <w:name w:val="Body Text"/>
    <w:basedOn w:val="Normal"/>
    <w:link w:val="BrdtekstTegn"/>
    <w:semiHidden/>
    <w:unhideWhenUsed/>
    <w:rsid w:val="009C7EAC"/>
    <w:pPr>
      <w:jc w:val="both"/>
    </w:pPr>
    <w:rPr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9C7EAC"/>
    <w:rPr>
      <w:sz w:val="22"/>
      <w:lang w:eastAsia="en-US"/>
    </w:rPr>
  </w:style>
  <w:style w:type="paragraph" w:styleId="Listeafsnit">
    <w:name w:val="List Paragraph"/>
    <w:basedOn w:val="Normal"/>
    <w:uiPriority w:val="34"/>
    <w:qFormat/>
    <w:rsid w:val="0039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2023083028 pkt. 6.3 ændret fra 30 måneder til 4 år.</dc:description>
  <cp:lastModifiedBy>Helle Søndersted</cp:lastModifiedBy>
  <cp:revision>2</cp:revision>
  <dcterms:created xsi:type="dcterms:W3CDTF">2023-10-10T06:11:00Z</dcterms:created>
  <dcterms:modified xsi:type="dcterms:W3CDTF">2023-10-10T06:11:00Z</dcterms:modified>
</cp:coreProperties>
</file>