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036" w:rsidRPr="008E2C4B" w:rsidRDefault="005B0036" w:rsidP="008E2C4B">
      <w:pPr>
        <w:rPr>
          <w:sz w:val="24"/>
          <w:szCs w:val="24"/>
        </w:rPr>
      </w:pPr>
      <w:r w:rsidRPr="008E2C4B">
        <w:rPr>
          <w:noProof/>
          <w:sz w:val="24"/>
          <w:szCs w:val="24"/>
          <w:lang w:eastAsia="da-DK"/>
        </w:rPr>
        <w:drawing>
          <wp:inline distT="0" distB="0" distL="0" distR="0" wp14:anchorId="417F1A69" wp14:editId="578A875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BF" w:rsidRPr="008E2C4B" w:rsidRDefault="00C479BF" w:rsidP="008E2C4B">
      <w:pPr>
        <w:rPr>
          <w:sz w:val="24"/>
          <w:szCs w:val="24"/>
        </w:rPr>
      </w:pPr>
    </w:p>
    <w:p w:rsidR="005B0036" w:rsidRPr="008E2C4B" w:rsidRDefault="005B0036" w:rsidP="008E2C4B">
      <w:pPr>
        <w:tabs>
          <w:tab w:val="right" w:pos="9356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ab/>
      </w:r>
      <w:r w:rsidR="00417618">
        <w:rPr>
          <w:b/>
          <w:sz w:val="24"/>
          <w:szCs w:val="24"/>
        </w:rPr>
        <w:t>10</w:t>
      </w:r>
      <w:r w:rsidR="00A62F56">
        <w:rPr>
          <w:b/>
          <w:sz w:val="24"/>
          <w:szCs w:val="24"/>
        </w:rPr>
        <w:t>. december 2024</w:t>
      </w:r>
    </w:p>
    <w:p w:rsidR="008E2C4B" w:rsidRPr="008E2C4B" w:rsidRDefault="008E2C4B" w:rsidP="008E2C4B">
      <w:pPr>
        <w:rPr>
          <w:sz w:val="24"/>
          <w:szCs w:val="24"/>
        </w:rPr>
      </w:pPr>
    </w:p>
    <w:p w:rsidR="005B0036" w:rsidRPr="008E2C4B" w:rsidRDefault="005B0036" w:rsidP="008E2C4B">
      <w:pPr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jc w:val="center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PRODUKTRESUMÉ</w:t>
      </w:r>
    </w:p>
    <w:p w:rsidR="005B0036" w:rsidRPr="008E2C4B" w:rsidRDefault="005B0036" w:rsidP="008E2C4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jc w:val="center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for</w:t>
      </w:r>
    </w:p>
    <w:p w:rsidR="005B0036" w:rsidRPr="008E2C4B" w:rsidRDefault="005B0036" w:rsidP="008E2C4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8E2C4B" w:rsidRDefault="000E31E2" w:rsidP="008E2C4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Multimin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 w:rsidR="009A0F13" w:rsidRPr="008E2C4B">
        <w:rPr>
          <w:b/>
          <w:sz w:val="24"/>
          <w:szCs w:val="24"/>
        </w:rPr>
        <w:t>, injektions</w:t>
      </w:r>
      <w:r w:rsidR="00A05569" w:rsidRPr="008E2C4B">
        <w:rPr>
          <w:b/>
          <w:sz w:val="24"/>
          <w:szCs w:val="24"/>
        </w:rPr>
        <w:t>væske, opløsning</w:t>
      </w:r>
    </w:p>
    <w:p w:rsidR="005B0036" w:rsidRPr="008E2C4B" w:rsidRDefault="005B0036" w:rsidP="008E2C4B">
      <w:pPr>
        <w:tabs>
          <w:tab w:val="left" w:pos="8222"/>
        </w:tabs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0.</w:t>
      </w:r>
      <w:r w:rsidRPr="008E2C4B">
        <w:rPr>
          <w:b/>
          <w:sz w:val="24"/>
          <w:szCs w:val="24"/>
        </w:rPr>
        <w:tab/>
        <w:t>D.SP.NR.</w:t>
      </w:r>
    </w:p>
    <w:p w:rsidR="005B0036" w:rsidRPr="008E2C4B" w:rsidRDefault="00A05569" w:rsidP="008E2C4B">
      <w:pPr>
        <w:tabs>
          <w:tab w:val="left" w:pos="8222"/>
        </w:tabs>
        <w:ind w:left="851"/>
        <w:rPr>
          <w:sz w:val="24"/>
          <w:szCs w:val="24"/>
        </w:rPr>
      </w:pPr>
      <w:r w:rsidRPr="008E2C4B">
        <w:rPr>
          <w:sz w:val="24"/>
          <w:szCs w:val="24"/>
        </w:rPr>
        <w:t>32170</w:t>
      </w:r>
    </w:p>
    <w:p w:rsidR="005B0036" w:rsidRPr="008E2C4B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1.</w:t>
      </w:r>
      <w:r w:rsidRPr="008E2C4B">
        <w:rPr>
          <w:b/>
          <w:sz w:val="24"/>
          <w:szCs w:val="24"/>
        </w:rPr>
        <w:tab/>
        <w:t>VETERINÆRLÆGEMIDLETS NAVN</w:t>
      </w:r>
    </w:p>
    <w:p w:rsidR="005B0036" w:rsidRPr="008E2C4B" w:rsidRDefault="000E31E2" w:rsidP="008E2C4B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Multimin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</w:p>
    <w:p w:rsidR="005B0036" w:rsidRPr="008E2C4B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2.</w:t>
      </w:r>
      <w:r w:rsidRPr="008E2C4B">
        <w:rPr>
          <w:b/>
          <w:sz w:val="24"/>
          <w:szCs w:val="24"/>
        </w:rPr>
        <w:tab/>
        <w:t>KVALITATIV OG KVANTITATIV SAMMENSÆTNING</w:t>
      </w:r>
    </w:p>
    <w:p w:rsidR="00D95650" w:rsidRPr="008E2C4B" w:rsidRDefault="00D95650" w:rsidP="008E2C4B">
      <w:pPr>
        <w:tabs>
          <w:tab w:val="left" w:pos="3544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Hver ml indeholder</w:t>
      </w:r>
    </w:p>
    <w:p w:rsidR="00D95650" w:rsidRPr="008E2C4B" w:rsidRDefault="00D95650" w:rsidP="008E2C4B">
      <w:pPr>
        <w:tabs>
          <w:tab w:val="left" w:pos="3544"/>
        </w:tabs>
        <w:ind w:left="851"/>
        <w:rPr>
          <w:color w:val="000000"/>
          <w:sz w:val="24"/>
          <w:szCs w:val="24"/>
        </w:rPr>
      </w:pPr>
    </w:p>
    <w:p w:rsidR="00D95650" w:rsidRPr="008E2C4B" w:rsidRDefault="00D95650" w:rsidP="008E2C4B">
      <w:pPr>
        <w:tabs>
          <w:tab w:val="left" w:pos="3544"/>
        </w:tabs>
        <w:ind w:left="851"/>
        <w:rPr>
          <w:b/>
          <w:color w:val="000000"/>
          <w:sz w:val="24"/>
          <w:szCs w:val="24"/>
        </w:rPr>
      </w:pPr>
      <w:r w:rsidRPr="008E2C4B">
        <w:rPr>
          <w:b/>
          <w:color w:val="000000"/>
          <w:sz w:val="24"/>
          <w:szCs w:val="24"/>
        </w:rPr>
        <w:t>Aktive stoffer:</w:t>
      </w:r>
    </w:p>
    <w:p w:rsidR="00D95650" w:rsidRPr="008E2C4B" w:rsidRDefault="00D95650" w:rsidP="00CC134D">
      <w:pPr>
        <w:tabs>
          <w:tab w:val="left" w:pos="2835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Zink: </w:t>
      </w:r>
      <w:r w:rsidRPr="008E2C4B">
        <w:rPr>
          <w:color w:val="000000"/>
          <w:sz w:val="24"/>
          <w:szCs w:val="24"/>
        </w:rPr>
        <w:tab/>
        <w:t>60 mg - svarende til zinkoxid: 74,68 mg</w:t>
      </w:r>
    </w:p>
    <w:p w:rsidR="00D95650" w:rsidRPr="008E2C4B" w:rsidRDefault="00D95650" w:rsidP="00CC134D">
      <w:pPr>
        <w:tabs>
          <w:tab w:val="left" w:pos="2835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Mangan: </w:t>
      </w:r>
      <w:r w:rsidRPr="008E2C4B">
        <w:rPr>
          <w:color w:val="000000"/>
          <w:sz w:val="24"/>
          <w:szCs w:val="24"/>
        </w:rPr>
        <w:tab/>
        <w:t xml:space="preserve">10 mg - svarende til </w:t>
      </w:r>
      <w:proofErr w:type="spellStart"/>
      <w:r w:rsidRPr="008E2C4B">
        <w:rPr>
          <w:color w:val="000000"/>
          <w:sz w:val="24"/>
          <w:szCs w:val="24"/>
        </w:rPr>
        <w:t>mangan</w:t>
      </w:r>
      <w:r w:rsidR="00D76883">
        <w:rPr>
          <w:color w:val="000000"/>
          <w:sz w:val="24"/>
          <w:szCs w:val="24"/>
        </w:rPr>
        <w:t>c</w:t>
      </w:r>
      <w:r w:rsidRPr="008E2C4B">
        <w:rPr>
          <w:color w:val="000000"/>
          <w:sz w:val="24"/>
          <w:szCs w:val="24"/>
        </w:rPr>
        <w:t>arbonat</w:t>
      </w:r>
      <w:proofErr w:type="spellEnd"/>
      <w:r w:rsidRPr="008E2C4B">
        <w:rPr>
          <w:color w:val="000000"/>
          <w:sz w:val="24"/>
          <w:szCs w:val="24"/>
        </w:rPr>
        <w:t>: 20,92 mg</w:t>
      </w:r>
    </w:p>
    <w:p w:rsidR="00D95650" w:rsidRPr="008E2C4B" w:rsidRDefault="00D95650" w:rsidP="00CC134D">
      <w:pPr>
        <w:tabs>
          <w:tab w:val="left" w:pos="2835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Kobber: </w:t>
      </w:r>
      <w:r w:rsidRPr="008E2C4B">
        <w:rPr>
          <w:color w:val="000000"/>
          <w:sz w:val="24"/>
          <w:szCs w:val="24"/>
        </w:rPr>
        <w:tab/>
        <w:t xml:space="preserve">15 mg - svarende til </w:t>
      </w:r>
      <w:proofErr w:type="spellStart"/>
      <w:r w:rsidRPr="008E2C4B">
        <w:rPr>
          <w:color w:val="000000"/>
          <w:sz w:val="24"/>
          <w:szCs w:val="24"/>
        </w:rPr>
        <w:t>kobbercarbonat</w:t>
      </w:r>
      <w:proofErr w:type="spellEnd"/>
      <w:r w:rsidRPr="008E2C4B">
        <w:rPr>
          <w:color w:val="000000"/>
          <w:sz w:val="24"/>
          <w:szCs w:val="24"/>
        </w:rPr>
        <w:t>: 26,09 mg</w:t>
      </w:r>
    </w:p>
    <w:p w:rsidR="00D95650" w:rsidRPr="008E2C4B" w:rsidRDefault="00D95650" w:rsidP="00CC134D">
      <w:pPr>
        <w:tabs>
          <w:tab w:val="left" w:pos="2835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Selen: </w:t>
      </w:r>
      <w:r w:rsidRPr="008E2C4B">
        <w:rPr>
          <w:color w:val="000000"/>
          <w:sz w:val="24"/>
          <w:szCs w:val="24"/>
        </w:rPr>
        <w:tab/>
        <w:t>5 mg - svarende til natriumselenit: 10,95 mg</w:t>
      </w:r>
    </w:p>
    <w:p w:rsidR="00D95650" w:rsidRPr="008E2C4B" w:rsidRDefault="00D95650" w:rsidP="008E2C4B">
      <w:pPr>
        <w:tabs>
          <w:tab w:val="left" w:pos="3544"/>
        </w:tabs>
        <w:ind w:left="851"/>
        <w:rPr>
          <w:color w:val="000000"/>
          <w:sz w:val="24"/>
          <w:szCs w:val="24"/>
        </w:rPr>
      </w:pPr>
    </w:p>
    <w:p w:rsidR="00D95650" w:rsidRPr="008E2C4B" w:rsidRDefault="00D95650" w:rsidP="008E2C4B">
      <w:pPr>
        <w:tabs>
          <w:tab w:val="left" w:pos="3544"/>
        </w:tabs>
        <w:ind w:left="851"/>
        <w:rPr>
          <w:b/>
          <w:color w:val="000000"/>
          <w:sz w:val="24"/>
          <w:szCs w:val="24"/>
        </w:rPr>
      </w:pPr>
      <w:r w:rsidRPr="008E2C4B">
        <w:rPr>
          <w:b/>
          <w:color w:val="000000"/>
          <w:sz w:val="24"/>
          <w:szCs w:val="24"/>
        </w:rPr>
        <w:t>Hjælpestoffer:</w:t>
      </w:r>
    </w:p>
    <w:p w:rsidR="00D95650" w:rsidRPr="008E2C4B" w:rsidRDefault="00D95650" w:rsidP="008E2C4B">
      <w:pPr>
        <w:tabs>
          <w:tab w:val="left" w:pos="3544"/>
        </w:tabs>
        <w:ind w:left="851"/>
        <w:rPr>
          <w:color w:val="000000"/>
          <w:sz w:val="24"/>
          <w:szCs w:val="24"/>
        </w:rPr>
      </w:pPr>
      <w:proofErr w:type="spellStart"/>
      <w:r w:rsidRPr="008E2C4B">
        <w:rPr>
          <w:color w:val="000000"/>
          <w:sz w:val="24"/>
          <w:szCs w:val="24"/>
        </w:rPr>
        <w:t>Benzylalkohol</w:t>
      </w:r>
      <w:proofErr w:type="spellEnd"/>
      <w:r w:rsidRPr="008E2C4B">
        <w:rPr>
          <w:color w:val="000000"/>
          <w:sz w:val="24"/>
          <w:szCs w:val="24"/>
        </w:rPr>
        <w:t xml:space="preserve"> (E1519) 10,4 mg</w:t>
      </w:r>
    </w:p>
    <w:p w:rsidR="00D95650" w:rsidRPr="008E2C4B" w:rsidRDefault="00D95650" w:rsidP="008E2C4B">
      <w:pPr>
        <w:tabs>
          <w:tab w:val="left" w:pos="3544"/>
        </w:tabs>
        <w:ind w:left="851"/>
        <w:rPr>
          <w:color w:val="000000"/>
          <w:sz w:val="24"/>
          <w:szCs w:val="24"/>
        </w:rPr>
      </w:pPr>
    </w:p>
    <w:p w:rsidR="00D95650" w:rsidRPr="008E2C4B" w:rsidRDefault="00D95650" w:rsidP="008E2C4B">
      <w:pPr>
        <w:tabs>
          <w:tab w:val="left" w:pos="3544"/>
        </w:tabs>
        <w:ind w:left="851"/>
        <w:rPr>
          <w:sz w:val="24"/>
          <w:szCs w:val="24"/>
        </w:rPr>
      </w:pPr>
      <w:r w:rsidRPr="008E2C4B">
        <w:rPr>
          <w:sz w:val="24"/>
          <w:szCs w:val="24"/>
        </w:rPr>
        <w:t xml:space="preserve">Alle hjælpestoffer er anført under pkt. 6.1  </w:t>
      </w:r>
    </w:p>
    <w:p w:rsidR="005B0036" w:rsidRPr="008E2C4B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3.</w:t>
      </w:r>
      <w:r w:rsidRPr="008E2C4B">
        <w:rPr>
          <w:b/>
          <w:sz w:val="24"/>
          <w:szCs w:val="24"/>
        </w:rPr>
        <w:tab/>
        <w:t>LÆGEMIDDELFORM</w:t>
      </w:r>
    </w:p>
    <w:p w:rsidR="00D95650" w:rsidRPr="008E2C4B" w:rsidRDefault="00D95650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Injektionsvæske, opløsning</w:t>
      </w:r>
    </w:p>
    <w:p w:rsidR="00D95650" w:rsidRPr="008E2C4B" w:rsidRDefault="00D95650" w:rsidP="008E2C4B">
      <w:pPr>
        <w:ind w:left="851"/>
        <w:rPr>
          <w:color w:val="000000"/>
          <w:sz w:val="24"/>
          <w:szCs w:val="24"/>
        </w:rPr>
      </w:pPr>
    </w:p>
    <w:p w:rsidR="00D95650" w:rsidRPr="008E2C4B" w:rsidRDefault="00D95650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Klar blå opløsning 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</w:t>
      </w:r>
      <w:r w:rsidRPr="008E2C4B">
        <w:rPr>
          <w:b/>
          <w:sz w:val="24"/>
          <w:szCs w:val="24"/>
        </w:rPr>
        <w:tab/>
        <w:t>KLINISKE OPLYSNINGER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8E2C4B">
        <w:rPr>
          <w:b/>
          <w:sz w:val="24"/>
          <w:szCs w:val="24"/>
        </w:rPr>
        <w:t>4.1</w:t>
      </w:r>
      <w:r w:rsidRPr="008E2C4B">
        <w:rPr>
          <w:b/>
          <w:sz w:val="24"/>
          <w:szCs w:val="24"/>
        </w:rPr>
        <w:tab/>
        <w:t>Dyrearter</w:t>
      </w:r>
    </w:p>
    <w:p w:rsidR="00D95650" w:rsidRPr="008E2C4B" w:rsidRDefault="00D95650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Kvæg.</w:t>
      </w:r>
    </w:p>
    <w:p w:rsidR="005B0036" w:rsidRPr="008E2C4B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8E2C4B">
        <w:rPr>
          <w:b/>
          <w:szCs w:val="24"/>
        </w:rPr>
        <w:t>4.2</w:t>
      </w:r>
      <w:r w:rsidRPr="008E2C4B">
        <w:rPr>
          <w:b/>
          <w:szCs w:val="24"/>
        </w:rPr>
        <w:tab/>
        <w:t>Terapeutiske indikationer</w:t>
      </w:r>
    </w:p>
    <w:p w:rsidR="00D95650" w:rsidRPr="008E2C4B" w:rsidRDefault="00D95650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Tilførsel af spormineraler til at korrigere samtidige kliniske eller subkliniske mangler ved selen, kobber, mangan og zink, som kan opstå i kritiske faser af livscyklussen for produktion eller avl. </w:t>
      </w:r>
    </w:p>
    <w:p w:rsidR="005B0036" w:rsidRPr="008E2C4B" w:rsidRDefault="005B0036" w:rsidP="008E2C4B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8E2C4B" w:rsidRDefault="005B0036" w:rsidP="008E2C4B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8E2C4B">
        <w:rPr>
          <w:b/>
          <w:szCs w:val="24"/>
        </w:rPr>
        <w:lastRenderedPageBreak/>
        <w:t>4.3</w:t>
      </w:r>
      <w:r w:rsidRPr="008E2C4B">
        <w:rPr>
          <w:b/>
          <w:szCs w:val="24"/>
        </w:rPr>
        <w:tab/>
        <w:t>Kontraindikationer</w:t>
      </w:r>
    </w:p>
    <w:p w:rsidR="00D95650" w:rsidRPr="008E2C4B" w:rsidRDefault="00D95650" w:rsidP="008E2C4B">
      <w:pPr>
        <w:ind w:left="851"/>
        <w:rPr>
          <w:sz w:val="24"/>
          <w:szCs w:val="24"/>
        </w:rPr>
      </w:pPr>
      <w:r w:rsidRPr="008E2C4B">
        <w:rPr>
          <w:iCs/>
          <w:color w:val="000000"/>
          <w:sz w:val="24"/>
          <w:szCs w:val="24"/>
        </w:rPr>
        <w:t>Bør ikke administreres intramuskulært.</w:t>
      </w:r>
    </w:p>
    <w:p w:rsidR="00D95650" w:rsidRPr="008E2C4B" w:rsidRDefault="00D95650" w:rsidP="008E2C4B">
      <w:pPr>
        <w:ind w:left="851"/>
        <w:rPr>
          <w:color w:val="000000"/>
          <w:sz w:val="24"/>
          <w:szCs w:val="24"/>
        </w:rPr>
      </w:pPr>
      <w:r w:rsidRPr="008E2C4B">
        <w:rPr>
          <w:sz w:val="24"/>
          <w:szCs w:val="24"/>
        </w:rPr>
        <w:t>Bør ikke anvendes i tilfælde af kendt overfølsomhed over for de aktive stoffer eller over for et eller flere af hjælpestofferne.</w:t>
      </w:r>
    </w:p>
    <w:p w:rsidR="005B0036" w:rsidRPr="008E2C4B" w:rsidRDefault="005B0036" w:rsidP="008E2C4B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4.4</w:t>
      </w:r>
      <w:r w:rsidRPr="008E2C4B">
        <w:rPr>
          <w:b/>
          <w:sz w:val="24"/>
          <w:szCs w:val="24"/>
        </w:rPr>
        <w:tab/>
        <w:t>Særlige advarsler</w:t>
      </w:r>
    </w:p>
    <w:p w:rsidR="00D95650" w:rsidRPr="008E2C4B" w:rsidRDefault="00D95650" w:rsidP="008E2C4B">
      <w:pPr>
        <w:ind w:left="851"/>
        <w:rPr>
          <w:b/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Ingen.</w:t>
      </w:r>
    </w:p>
    <w:p w:rsidR="005B0036" w:rsidRPr="008E2C4B" w:rsidRDefault="005B0036" w:rsidP="008E2C4B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4.5</w:t>
      </w:r>
      <w:r w:rsidRPr="008E2C4B">
        <w:rPr>
          <w:b/>
          <w:sz w:val="24"/>
          <w:szCs w:val="24"/>
        </w:rPr>
        <w:tab/>
        <w:t>Særlige forsigtighedsregler vedrørende brugen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Særlige forsigtighedsregler for dyret</w:t>
      </w:r>
    </w:p>
    <w:p w:rsidR="00D95650" w:rsidRPr="008E2C4B" w:rsidRDefault="00D95650" w:rsidP="008E2C4B">
      <w:pPr>
        <w:ind w:left="851"/>
        <w:rPr>
          <w:sz w:val="24"/>
          <w:szCs w:val="24"/>
        </w:rPr>
      </w:pPr>
      <w:r w:rsidRPr="008E2C4B">
        <w:rPr>
          <w:sz w:val="24"/>
          <w:szCs w:val="24"/>
        </w:rPr>
        <w:t>Yderligere administration af kobber, zink, mangan eller selen bør ikke ske på samme tid.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Særlige forsigtighedsregler for personer, der administrerer lægemidlet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eastAsia="de-DE"/>
        </w:rPr>
      </w:pPr>
      <w:r w:rsidRPr="008E2C4B">
        <w:rPr>
          <w:sz w:val="24"/>
          <w:szCs w:val="24"/>
        </w:rPr>
        <w:t>Dette lægemiddel har en HØJ koncentration af selen.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På grund af en potentiel risiko for selentoksicitet skal der udvises forsigtighed ved håndtering af lægemidlet for at undgå utilsigtet selvinjektion.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 xml:space="preserve">De mest almindelige manifestationer af utilsigtet eksponering for selen hos mennesker er </w:t>
      </w:r>
      <w:proofErr w:type="spellStart"/>
      <w:r w:rsidRPr="008E2C4B">
        <w:rPr>
          <w:sz w:val="24"/>
          <w:szCs w:val="24"/>
        </w:rPr>
        <w:t>gastrointestinale</w:t>
      </w:r>
      <w:proofErr w:type="spellEnd"/>
      <w:r w:rsidRPr="008E2C4B">
        <w:rPr>
          <w:sz w:val="24"/>
          <w:szCs w:val="24"/>
        </w:rPr>
        <w:t xml:space="preserve"> og neurologiske symptomer, såsom kvalme, opkastning, ømhed, træthed og irritabilitet.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Ved behandling af et stort antal dyr skal der anvendes et sikkert injektionssystem.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Arbejd ikke alene, når du bruger lægemidlet.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8E2C4B">
        <w:rPr>
          <w:bCs/>
          <w:sz w:val="24"/>
          <w:szCs w:val="24"/>
        </w:rPr>
        <w:t>Sørg for, at dyr holdes ordentligt tilbage, også dyr som opholder sig i nærheden</w:t>
      </w:r>
      <w:r w:rsidRPr="008E2C4B">
        <w:rPr>
          <w:sz w:val="24"/>
          <w:szCs w:val="24"/>
        </w:rPr>
        <w:t>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</w:rPr>
      </w:pPr>
      <w:r w:rsidRPr="008E2C4B">
        <w:rPr>
          <w:bCs/>
          <w:sz w:val="24"/>
          <w:szCs w:val="24"/>
        </w:rPr>
        <w:t>I tilfælde af selvinjektion ved hændeligt uheld SKAL DER STRAKS SØGES LÆGEHJÆLP, og indlægssedlen eller etiketten bør vises til lægen.</w:t>
      </w:r>
    </w:p>
    <w:p w:rsidR="00D95650" w:rsidRPr="008E2C4B" w:rsidRDefault="00D95650" w:rsidP="008E2C4B">
      <w:pPr>
        <w:pStyle w:val="Listeafsnit"/>
        <w:numPr>
          <w:ilvl w:val="0"/>
          <w:numId w:val="13"/>
        </w:numPr>
        <w:ind w:left="1276" w:hanging="425"/>
        <w:rPr>
          <w:sz w:val="24"/>
          <w:szCs w:val="24"/>
          <w:lang w:eastAsia="de-DE"/>
        </w:rPr>
      </w:pPr>
      <w:r w:rsidRPr="008E2C4B">
        <w:rPr>
          <w:sz w:val="24"/>
          <w:szCs w:val="24"/>
        </w:rPr>
        <w:t>Vask hænder efter brug.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Andre forsigtighedsregler</w:t>
      </w:r>
    </w:p>
    <w:p w:rsidR="005B0036" w:rsidRPr="008E2C4B" w:rsidRDefault="00D95650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E2C4B">
        <w:rPr>
          <w:sz w:val="24"/>
          <w:szCs w:val="24"/>
        </w:rPr>
        <w:t>-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4.6</w:t>
      </w:r>
      <w:r w:rsidRPr="008E2C4B">
        <w:rPr>
          <w:b/>
          <w:sz w:val="24"/>
          <w:szCs w:val="24"/>
        </w:rPr>
        <w:tab/>
        <w:t>Bivirkninger</w:t>
      </w:r>
    </w:p>
    <w:p w:rsidR="00AA28F7" w:rsidRPr="008E2C4B" w:rsidRDefault="00AA28F7" w:rsidP="008E2C4B">
      <w:pPr>
        <w:ind w:left="851"/>
        <w:rPr>
          <w:sz w:val="24"/>
          <w:szCs w:val="24"/>
        </w:rPr>
      </w:pPr>
      <w:r w:rsidRPr="008E2C4B">
        <w:rPr>
          <w:sz w:val="24"/>
          <w:szCs w:val="24"/>
        </w:rPr>
        <w:t xml:space="preserve">Mild smerte observeres almindeligvis under injektionen og kan vedvare i </w:t>
      </w:r>
      <w:r w:rsidR="008140CB">
        <w:rPr>
          <w:sz w:val="24"/>
          <w:szCs w:val="24"/>
        </w:rPr>
        <w:t>op til otte timer</w:t>
      </w:r>
      <w:r w:rsidRPr="008E2C4B">
        <w:rPr>
          <w:sz w:val="24"/>
          <w:szCs w:val="24"/>
        </w:rPr>
        <w:t xml:space="preserve"> efter injektionen.</w:t>
      </w:r>
    </w:p>
    <w:p w:rsidR="00AA28F7" w:rsidRPr="008E2C4B" w:rsidRDefault="00AA28F7" w:rsidP="008E2C4B">
      <w:pPr>
        <w:ind w:left="851"/>
        <w:rPr>
          <w:sz w:val="24"/>
          <w:szCs w:val="24"/>
        </w:rPr>
      </w:pPr>
      <w:r w:rsidRPr="008E2C4B">
        <w:rPr>
          <w:sz w:val="24"/>
          <w:szCs w:val="24"/>
        </w:rPr>
        <w:t xml:space="preserve">Lokale reaktioner på injektionsstedet er meget almindelige og består af forbigående moderat til svær hævelse, der </w:t>
      </w:r>
      <w:r w:rsidR="008140CB">
        <w:rPr>
          <w:sz w:val="24"/>
          <w:szCs w:val="24"/>
        </w:rPr>
        <w:t>kan vare ved i ca. 7 dage</w:t>
      </w:r>
      <w:r w:rsidRPr="008E2C4B">
        <w:rPr>
          <w:sz w:val="24"/>
          <w:szCs w:val="24"/>
        </w:rPr>
        <w:t xml:space="preserve"> og udvikler sig til </w:t>
      </w:r>
      <w:proofErr w:type="spellStart"/>
      <w:r w:rsidRPr="008E2C4B">
        <w:rPr>
          <w:sz w:val="24"/>
          <w:szCs w:val="24"/>
        </w:rPr>
        <w:t>induration</w:t>
      </w:r>
      <w:proofErr w:type="spellEnd"/>
      <w:r w:rsidRPr="008E2C4B">
        <w:rPr>
          <w:sz w:val="24"/>
          <w:szCs w:val="24"/>
        </w:rPr>
        <w:t xml:space="preserve"> estimere</w:t>
      </w:r>
      <w:r w:rsidR="008140CB">
        <w:rPr>
          <w:sz w:val="24"/>
          <w:szCs w:val="24"/>
        </w:rPr>
        <w:t>t</w:t>
      </w:r>
      <w:r w:rsidRPr="008E2C4B">
        <w:rPr>
          <w:sz w:val="24"/>
          <w:szCs w:val="24"/>
        </w:rPr>
        <w:t xml:space="preserve"> til mindre end 5 cm ved </w:t>
      </w:r>
      <w:proofErr w:type="spellStart"/>
      <w:r w:rsidRPr="008E2C4B">
        <w:rPr>
          <w:sz w:val="24"/>
          <w:szCs w:val="24"/>
        </w:rPr>
        <w:t>palpation</w:t>
      </w:r>
      <w:proofErr w:type="spellEnd"/>
      <w:r w:rsidRPr="008E2C4B">
        <w:rPr>
          <w:sz w:val="24"/>
          <w:szCs w:val="24"/>
        </w:rPr>
        <w:t xml:space="preserve"> efter 14 dage.</w:t>
      </w:r>
    </w:p>
    <w:p w:rsidR="00AA28F7" w:rsidRPr="008E2C4B" w:rsidRDefault="00AA28F7" w:rsidP="008E2C4B">
      <w:pPr>
        <w:ind w:left="851"/>
        <w:rPr>
          <w:sz w:val="24"/>
          <w:szCs w:val="24"/>
        </w:rPr>
      </w:pPr>
    </w:p>
    <w:p w:rsidR="00AA28F7" w:rsidRPr="008E2C4B" w:rsidRDefault="00AA28F7" w:rsidP="008E2C4B">
      <w:pPr>
        <w:ind w:left="851"/>
        <w:rPr>
          <w:sz w:val="24"/>
          <w:szCs w:val="24"/>
        </w:rPr>
      </w:pPr>
      <w:r w:rsidRPr="008E2C4B">
        <w:rPr>
          <w:sz w:val="24"/>
          <w:szCs w:val="24"/>
        </w:rPr>
        <w:t>Hyppigheden af bivirkninger er defineret som:</w:t>
      </w:r>
    </w:p>
    <w:p w:rsidR="00AA28F7" w:rsidRPr="008E2C4B" w:rsidRDefault="00AA28F7" w:rsidP="008E2C4B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Meget almindelig (flere end 1 ud af 10 behandlede dyr, der viser bivirkninger i løbet af en behandling)</w:t>
      </w:r>
    </w:p>
    <w:p w:rsidR="00AA28F7" w:rsidRPr="008E2C4B" w:rsidRDefault="00AA28F7" w:rsidP="008E2C4B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Almindelig (flere end 1, men færre end 10 dyr af 100 behandlede dyr)</w:t>
      </w:r>
    </w:p>
    <w:p w:rsidR="00AA28F7" w:rsidRPr="008E2C4B" w:rsidRDefault="00AA28F7" w:rsidP="008E2C4B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Ikke almindelig (flere end 1, men færre end 10 dyr af 1.000 behandlede dyr)</w:t>
      </w:r>
    </w:p>
    <w:p w:rsidR="00AA28F7" w:rsidRPr="008E2C4B" w:rsidRDefault="00AA28F7" w:rsidP="008E2C4B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Sjælden (flere end 1, men færre end 10 dyr ud af 10.000 behandlede dyr)</w:t>
      </w:r>
    </w:p>
    <w:p w:rsidR="00AA28F7" w:rsidRPr="008E2C4B" w:rsidRDefault="00AA28F7" w:rsidP="008E2C4B">
      <w:pPr>
        <w:pStyle w:val="Listeafsnit"/>
        <w:numPr>
          <w:ilvl w:val="0"/>
          <w:numId w:val="14"/>
        </w:numPr>
        <w:ind w:left="1276" w:hanging="425"/>
        <w:rPr>
          <w:sz w:val="24"/>
          <w:szCs w:val="24"/>
        </w:rPr>
      </w:pPr>
      <w:r w:rsidRPr="008E2C4B">
        <w:rPr>
          <w:sz w:val="24"/>
          <w:szCs w:val="24"/>
        </w:rPr>
        <w:t>Meget sjælden (færre end 1 dyr ud af 10.000 behandlede dyr, herunder isolerede rapporter)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4.7</w:t>
      </w:r>
      <w:r w:rsidRPr="008E2C4B">
        <w:rPr>
          <w:b/>
          <w:sz w:val="24"/>
          <w:szCs w:val="24"/>
        </w:rPr>
        <w:tab/>
        <w:t>Drægtighed, diegivning eller æglægning</w:t>
      </w:r>
    </w:p>
    <w:p w:rsidR="008E2C4B" w:rsidRDefault="008E2C4B" w:rsidP="008E2C4B">
      <w:pPr>
        <w:ind w:left="851"/>
        <w:rPr>
          <w:sz w:val="24"/>
          <w:szCs w:val="24"/>
        </w:rPr>
      </w:pPr>
    </w:p>
    <w:p w:rsidR="00AA28F7" w:rsidRPr="008E2C4B" w:rsidRDefault="00AA28F7" w:rsidP="008E2C4B">
      <w:pPr>
        <w:ind w:left="851"/>
        <w:rPr>
          <w:sz w:val="24"/>
          <w:szCs w:val="24"/>
          <w:u w:val="single"/>
        </w:rPr>
      </w:pPr>
      <w:r w:rsidRPr="008E2C4B">
        <w:rPr>
          <w:sz w:val="24"/>
          <w:szCs w:val="24"/>
          <w:u w:val="single"/>
        </w:rPr>
        <w:t>Drægtighed og laktation:</w:t>
      </w:r>
    </w:p>
    <w:p w:rsidR="00AA28F7" w:rsidRPr="008E2C4B" w:rsidRDefault="00AA28F7" w:rsidP="008E2C4B">
      <w:pPr>
        <w:ind w:left="851"/>
        <w:rPr>
          <w:sz w:val="24"/>
          <w:szCs w:val="24"/>
        </w:rPr>
      </w:pPr>
      <w:r w:rsidRPr="008E2C4B">
        <w:rPr>
          <w:sz w:val="24"/>
          <w:szCs w:val="24"/>
        </w:rPr>
        <w:t>Kan anvendes under drægtighed og laktation.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lastRenderedPageBreak/>
        <w:t>4.8</w:t>
      </w:r>
      <w:r w:rsidRPr="008E2C4B">
        <w:rPr>
          <w:b/>
          <w:sz w:val="24"/>
          <w:szCs w:val="24"/>
        </w:rPr>
        <w:tab/>
        <w:t>Interaktion med andre lægemidler og andre former for interaktion</w:t>
      </w:r>
    </w:p>
    <w:p w:rsidR="00AA28F7" w:rsidRPr="008E2C4B" w:rsidRDefault="00AA28F7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Ingen kendte.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4.9</w:t>
      </w:r>
      <w:r w:rsidRPr="008E2C4B">
        <w:rPr>
          <w:b/>
          <w:sz w:val="24"/>
          <w:szCs w:val="24"/>
        </w:rPr>
        <w:tab/>
        <w:t>Dosering og indgivelsesmåde</w:t>
      </w:r>
    </w:p>
    <w:p w:rsidR="00AA28F7" w:rsidRPr="008E2C4B" w:rsidRDefault="00AA28F7" w:rsidP="008E2C4B">
      <w:pPr>
        <w:ind w:left="851"/>
        <w:rPr>
          <w:iCs/>
          <w:color w:val="000000"/>
          <w:sz w:val="24"/>
          <w:szCs w:val="24"/>
        </w:rPr>
      </w:pPr>
      <w:r w:rsidRPr="008E2C4B">
        <w:rPr>
          <w:iCs/>
          <w:color w:val="000000"/>
          <w:sz w:val="24"/>
          <w:szCs w:val="24"/>
        </w:rPr>
        <w:t xml:space="preserve">Udelukkende til brug for subkutan administration. </w:t>
      </w:r>
    </w:p>
    <w:p w:rsidR="00AA28F7" w:rsidRPr="008E2C4B" w:rsidRDefault="00AA28F7" w:rsidP="008E2C4B">
      <w:pPr>
        <w:tabs>
          <w:tab w:val="left" w:pos="720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Brug standard aseptiske procedurer under administration af injektioner. </w:t>
      </w:r>
    </w:p>
    <w:p w:rsidR="00AA28F7" w:rsidRDefault="00AA28F7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Streng overholdelse af korrekt subkutan injektionsteknik er nødvendig.</w:t>
      </w:r>
    </w:p>
    <w:p w:rsidR="00EB1C2A" w:rsidRPr="008E2C4B" w:rsidRDefault="00EB1C2A" w:rsidP="008E2C4B">
      <w:pPr>
        <w:ind w:left="851"/>
        <w:rPr>
          <w:i/>
          <w:color w:val="000000"/>
          <w:sz w:val="24"/>
          <w:szCs w:val="24"/>
        </w:rPr>
      </w:pPr>
    </w:p>
    <w:p w:rsidR="00AA28F7" w:rsidRPr="008E2C4B" w:rsidRDefault="00AA28F7" w:rsidP="008E2C4B">
      <w:pPr>
        <w:tabs>
          <w:tab w:val="left" w:pos="1304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Dosis:</w:t>
      </w:r>
    </w:p>
    <w:p w:rsidR="00AA28F7" w:rsidRPr="008E2C4B" w:rsidRDefault="00AA28F7" w:rsidP="004051ED">
      <w:pPr>
        <w:numPr>
          <w:ilvl w:val="0"/>
          <w:numId w:val="15"/>
        </w:numPr>
        <w:shd w:val="clear" w:color="auto" w:fill="FFFFFF"/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Kvæg - op til 1 år: 1 ml pr. 50 kg</w:t>
      </w:r>
    </w:p>
    <w:p w:rsidR="00AA28F7" w:rsidRPr="008E2C4B" w:rsidRDefault="00AA28F7" w:rsidP="004051ED">
      <w:pPr>
        <w:numPr>
          <w:ilvl w:val="0"/>
          <w:numId w:val="15"/>
        </w:numPr>
        <w:shd w:val="clear" w:color="auto" w:fill="FFFFFF"/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Kvæg - fra 1-2 år: 1 ml pr. 75 kg</w:t>
      </w:r>
    </w:p>
    <w:p w:rsidR="00AA28F7" w:rsidRPr="008E2C4B" w:rsidRDefault="00AA28F7" w:rsidP="004051ED">
      <w:pPr>
        <w:numPr>
          <w:ilvl w:val="0"/>
          <w:numId w:val="15"/>
        </w:numPr>
        <w:shd w:val="clear" w:color="auto" w:fill="FFFFFF"/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Kvæg - over 2 år: 1 ml pr. 100 kg</w:t>
      </w:r>
    </w:p>
    <w:p w:rsidR="00AA28F7" w:rsidRPr="008E2C4B" w:rsidRDefault="00AA28F7" w:rsidP="008E2C4B">
      <w:pPr>
        <w:rPr>
          <w:color w:val="000000"/>
          <w:sz w:val="24"/>
          <w:szCs w:val="24"/>
        </w:rPr>
      </w:pPr>
    </w:p>
    <w:p w:rsidR="00AA28F7" w:rsidRPr="008E2C4B" w:rsidRDefault="00AA28F7" w:rsidP="008E2C4B">
      <w:pPr>
        <w:ind w:left="851"/>
        <w:rPr>
          <w:color w:val="000000"/>
          <w:sz w:val="24"/>
          <w:szCs w:val="24"/>
          <w:u w:val="single"/>
        </w:rPr>
      </w:pPr>
      <w:r w:rsidRPr="008E2C4B">
        <w:rPr>
          <w:color w:val="000000"/>
          <w:sz w:val="24"/>
          <w:szCs w:val="24"/>
          <w:u w:val="single"/>
        </w:rPr>
        <w:t>Tidsplan for administration:</w:t>
      </w:r>
    </w:p>
    <w:p w:rsidR="00AA28F7" w:rsidRPr="008E2C4B" w:rsidRDefault="00AA28F7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Skal gives som en enkelt administration under eller forud for perioder med stress i livscyklussen for produktion og avl, der </w:t>
      </w:r>
      <w:r w:rsidRPr="008E2C4B">
        <w:rPr>
          <w:sz w:val="24"/>
          <w:szCs w:val="24"/>
        </w:rPr>
        <w:t>sandsynligvis vil resultere i samtidige kliniske eller subkliniske mangler ved de fire spormineraler (</w:t>
      </w:r>
      <w:r w:rsidRPr="008E2C4B">
        <w:rPr>
          <w:color w:val="000000"/>
          <w:sz w:val="24"/>
          <w:szCs w:val="24"/>
        </w:rPr>
        <w:t>f.eks. transport/forsendelse, kælvning, avl).</w:t>
      </w:r>
    </w:p>
    <w:p w:rsidR="00AA28F7" w:rsidRPr="008E2C4B" w:rsidRDefault="00AA28F7" w:rsidP="008E2C4B">
      <w:pPr>
        <w:shd w:val="clear" w:color="auto" w:fill="FFFFFF"/>
        <w:tabs>
          <w:tab w:val="left" w:pos="1304"/>
        </w:tabs>
        <w:ind w:left="851"/>
        <w:rPr>
          <w:color w:val="000000"/>
          <w:sz w:val="24"/>
          <w:szCs w:val="24"/>
        </w:rPr>
      </w:pPr>
    </w:p>
    <w:p w:rsidR="00AA28F7" w:rsidRPr="008E2C4B" w:rsidRDefault="00AA28F7" w:rsidP="008E2C4B">
      <w:pPr>
        <w:tabs>
          <w:tab w:val="left" w:pos="1304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Maksimalt volumen pr. injektionssted: 7 ml</w:t>
      </w:r>
    </w:p>
    <w:p w:rsidR="00AA28F7" w:rsidRPr="008E2C4B" w:rsidRDefault="00AA28F7" w:rsidP="008E2C4B">
      <w:pPr>
        <w:tabs>
          <w:tab w:val="left" w:pos="1304"/>
        </w:tabs>
        <w:ind w:left="851"/>
        <w:rPr>
          <w:color w:val="000000"/>
          <w:sz w:val="24"/>
          <w:szCs w:val="24"/>
        </w:rPr>
      </w:pPr>
    </w:p>
    <w:p w:rsidR="00AA28F7" w:rsidRPr="008E2C4B" w:rsidRDefault="00AA28F7" w:rsidP="008E2C4B">
      <w:pPr>
        <w:tabs>
          <w:tab w:val="left" w:pos="720"/>
        </w:tabs>
        <w:ind w:left="851"/>
        <w:rPr>
          <w:sz w:val="24"/>
          <w:szCs w:val="24"/>
        </w:rPr>
      </w:pPr>
      <w:r w:rsidRPr="008E2C4B">
        <w:rPr>
          <w:sz w:val="24"/>
          <w:szCs w:val="24"/>
        </w:rPr>
        <w:t>500 ml hætteglassets prop kan punkteres maksimalt 90 gange.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62F56" w:rsidRPr="008E2C4B" w:rsidRDefault="005B0036" w:rsidP="00A62F5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4.10</w:t>
      </w:r>
      <w:r w:rsidRPr="008E2C4B">
        <w:rPr>
          <w:b/>
          <w:sz w:val="24"/>
          <w:szCs w:val="24"/>
        </w:rPr>
        <w:tab/>
      </w:r>
      <w:r w:rsidR="00A62F56" w:rsidRPr="008E2C4B">
        <w:rPr>
          <w:b/>
          <w:sz w:val="24"/>
          <w:szCs w:val="24"/>
        </w:rPr>
        <w:t>Overdosering</w:t>
      </w:r>
    </w:p>
    <w:p w:rsidR="00A62F56" w:rsidRPr="008E2C4B" w:rsidRDefault="00A62F56" w:rsidP="00A62F56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Ingen </w:t>
      </w:r>
      <w:r w:rsidRPr="00C70C63">
        <w:rPr>
          <w:color w:val="000000"/>
          <w:sz w:val="24"/>
          <w:szCs w:val="24"/>
        </w:rPr>
        <w:t xml:space="preserve">systemiske </w:t>
      </w:r>
      <w:r w:rsidRPr="008E2C4B">
        <w:rPr>
          <w:color w:val="000000"/>
          <w:sz w:val="24"/>
          <w:szCs w:val="24"/>
        </w:rPr>
        <w:t xml:space="preserve">bivirkninger blev observeret efter gentagen overdosering (3 på hinanden følgende daglige indgivelser) ved en til tre gange den anbefalede dosis (dvs. 3 - 9 </w:t>
      </w:r>
      <w:r w:rsidRPr="00835DD3">
        <w:rPr>
          <w:color w:val="000000"/>
          <w:sz w:val="24"/>
          <w:szCs w:val="24"/>
        </w:rPr>
        <w:t>gange den anbefalede</w:t>
      </w:r>
      <w:r w:rsidRPr="008E2C4B">
        <w:rPr>
          <w:color w:val="000000"/>
          <w:sz w:val="24"/>
          <w:szCs w:val="24"/>
        </w:rPr>
        <w:t xml:space="preserve"> dosis).</w:t>
      </w:r>
    </w:p>
    <w:p w:rsidR="00A62F56" w:rsidRPr="008E2C4B" w:rsidRDefault="00A62F56" w:rsidP="00A62F56">
      <w:pPr>
        <w:ind w:left="851"/>
        <w:rPr>
          <w:color w:val="000000"/>
          <w:sz w:val="24"/>
          <w:szCs w:val="24"/>
        </w:rPr>
      </w:pPr>
    </w:p>
    <w:p w:rsidR="00A62F56" w:rsidRDefault="00A62F56" w:rsidP="00A62F56">
      <w:pPr>
        <w:ind w:left="851"/>
        <w:rPr>
          <w:color w:val="000000"/>
          <w:sz w:val="24"/>
          <w:szCs w:val="24"/>
        </w:rPr>
      </w:pPr>
      <w:r w:rsidRPr="004B3EC0">
        <w:rPr>
          <w:color w:val="000000"/>
          <w:sz w:val="24"/>
          <w:szCs w:val="24"/>
        </w:rPr>
        <w:t xml:space="preserve">I en undersøgelse er gentagen overdosering (3 på hinanden følgende daglige administrationer) ved 5,6 gange den anbefalede dosis (dvs. 16,7 gange anbefalet dosis) forbundet med forhøjelse af leverenzymer og </w:t>
      </w:r>
      <w:proofErr w:type="spellStart"/>
      <w:r w:rsidRPr="004B3EC0">
        <w:rPr>
          <w:color w:val="000000"/>
          <w:sz w:val="24"/>
          <w:szCs w:val="24"/>
        </w:rPr>
        <w:t>hepatisk</w:t>
      </w:r>
      <w:proofErr w:type="spellEnd"/>
      <w:r w:rsidRPr="004B3EC0">
        <w:rPr>
          <w:color w:val="000000"/>
          <w:sz w:val="24"/>
          <w:szCs w:val="24"/>
        </w:rPr>
        <w:t xml:space="preserve"> </w:t>
      </w:r>
      <w:proofErr w:type="spellStart"/>
      <w:r w:rsidRPr="004B3EC0">
        <w:rPr>
          <w:color w:val="000000"/>
          <w:sz w:val="24"/>
          <w:szCs w:val="24"/>
        </w:rPr>
        <w:t>centrilobulær</w:t>
      </w:r>
      <w:proofErr w:type="spellEnd"/>
      <w:r w:rsidRPr="004B3EC0">
        <w:rPr>
          <w:color w:val="000000"/>
          <w:sz w:val="24"/>
          <w:szCs w:val="24"/>
        </w:rPr>
        <w:t xml:space="preserve"> nekrose hos seks dyr ud af otte med dødelighed hos ét dyr.</w:t>
      </w:r>
    </w:p>
    <w:p w:rsidR="005B0036" w:rsidRPr="008E2C4B" w:rsidRDefault="005B0036" w:rsidP="00A62F56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4.11</w:t>
      </w:r>
      <w:r w:rsidRPr="008E2C4B">
        <w:rPr>
          <w:b/>
          <w:sz w:val="24"/>
          <w:szCs w:val="24"/>
        </w:rPr>
        <w:tab/>
        <w:t>Tilbageholdelsestid</w:t>
      </w:r>
    </w:p>
    <w:p w:rsidR="00AA28F7" w:rsidRPr="008E2C4B" w:rsidRDefault="00AA28F7" w:rsidP="00036DBD">
      <w:pPr>
        <w:tabs>
          <w:tab w:val="left" w:pos="1985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Slagtning: </w:t>
      </w:r>
      <w:r w:rsidR="00036DBD">
        <w:rPr>
          <w:color w:val="000000"/>
          <w:sz w:val="24"/>
          <w:szCs w:val="24"/>
        </w:rPr>
        <w:tab/>
      </w:r>
      <w:r w:rsidRPr="008E2C4B">
        <w:rPr>
          <w:color w:val="000000"/>
          <w:sz w:val="24"/>
          <w:szCs w:val="24"/>
        </w:rPr>
        <w:t xml:space="preserve">28 dage. </w:t>
      </w:r>
    </w:p>
    <w:p w:rsidR="00AA28F7" w:rsidRPr="008E2C4B" w:rsidRDefault="00AA28F7" w:rsidP="00036DBD">
      <w:pPr>
        <w:tabs>
          <w:tab w:val="left" w:pos="1985"/>
        </w:tabs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Mælk: </w:t>
      </w:r>
      <w:r w:rsidR="00036DBD">
        <w:rPr>
          <w:color w:val="000000"/>
          <w:sz w:val="24"/>
          <w:szCs w:val="24"/>
        </w:rPr>
        <w:tab/>
      </w:r>
      <w:r w:rsidRPr="008E2C4B">
        <w:rPr>
          <w:color w:val="000000"/>
          <w:sz w:val="24"/>
          <w:szCs w:val="24"/>
        </w:rPr>
        <w:t>0 timer.</w:t>
      </w:r>
    </w:p>
    <w:p w:rsidR="005B0036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EB1C2A" w:rsidRPr="008E2C4B" w:rsidRDefault="00EB1C2A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EB1C2A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B1C2A">
        <w:rPr>
          <w:b/>
          <w:sz w:val="24"/>
          <w:szCs w:val="24"/>
        </w:rPr>
        <w:t>5.</w:t>
      </w:r>
      <w:r w:rsidRPr="00EB1C2A">
        <w:rPr>
          <w:b/>
          <w:sz w:val="24"/>
          <w:szCs w:val="24"/>
        </w:rPr>
        <w:tab/>
        <w:t>FARMAKOLOGISKE EGENSKABER</w:t>
      </w:r>
    </w:p>
    <w:p w:rsidR="005B0036" w:rsidRPr="00EB1C2A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AA28F7" w:rsidRPr="00EB1C2A" w:rsidRDefault="00AA28F7" w:rsidP="008E2C4B">
      <w:pPr>
        <w:ind w:left="851"/>
        <w:rPr>
          <w:color w:val="000000"/>
          <w:sz w:val="24"/>
          <w:szCs w:val="24"/>
        </w:rPr>
      </w:pPr>
      <w:proofErr w:type="spellStart"/>
      <w:r w:rsidRPr="00EB1C2A">
        <w:rPr>
          <w:color w:val="000000"/>
          <w:sz w:val="24"/>
          <w:szCs w:val="24"/>
        </w:rPr>
        <w:t>Farmakoterapeutisk</w:t>
      </w:r>
      <w:proofErr w:type="spellEnd"/>
      <w:r w:rsidRPr="00EB1C2A">
        <w:rPr>
          <w:color w:val="000000"/>
          <w:sz w:val="24"/>
          <w:szCs w:val="24"/>
        </w:rPr>
        <w:t xml:space="preserve"> gruppe: Mineraltilskud.</w:t>
      </w:r>
    </w:p>
    <w:p w:rsidR="00AA28F7" w:rsidRPr="00EB1C2A" w:rsidRDefault="00AA28F7" w:rsidP="008E2C4B">
      <w:pPr>
        <w:ind w:left="851"/>
        <w:rPr>
          <w:color w:val="000000"/>
          <w:sz w:val="24"/>
          <w:szCs w:val="24"/>
        </w:rPr>
      </w:pPr>
      <w:proofErr w:type="spellStart"/>
      <w:r w:rsidRPr="00EB1C2A">
        <w:rPr>
          <w:color w:val="000000"/>
          <w:sz w:val="24"/>
          <w:szCs w:val="24"/>
        </w:rPr>
        <w:t>ATCvet</w:t>
      </w:r>
      <w:proofErr w:type="spellEnd"/>
      <w:r w:rsidRPr="00EB1C2A">
        <w:rPr>
          <w:color w:val="000000"/>
          <w:sz w:val="24"/>
          <w:szCs w:val="24"/>
        </w:rPr>
        <w:t>-kode: QA 12 CX 99.</w:t>
      </w:r>
    </w:p>
    <w:p w:rsidR="005B0036" w:rsidRPr="00EB1C2A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EB1C2A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B1C2A">
        <w:rPr>
          <w:b/>
          <w:sz w:val="24"/>
          <w:szCs w:val="24"/>
        </w:rPr>
        <w:t>5.1</w:t>
      </w:r>
      <w:r w:rsidRPr="00EB1C2A">
        <w:rPr>
          <w:b/>
          <w:sz w:val="24"/>
          <w:szCs w:val="24"/>
        </w:rPr>
        <w:tab/>
      </w:r>
      <w:proofErr w:type="spellStart"/>
      <w:r w:rsidRPr="00EB1C2A">
        <w:rPr>
          <w:b/>
          <w:sz w:val="24"/>
          <w:szCs w:val="24"/>
        </w:rPr>
        <w:t>Farmakodynamiske</w:t>
      </w:r>
      <w:proofErr w:type="spellEnd"/>
      <w:r w:rsidRPr="00EB1C2A">
        <w:rPr>
          <w:b/>
          <w:sz w:val="24"/>
          <w:szCs w:val="24"/>
        </w:rPr>
        <w:t xml:space="preserve"> egenskaber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EB1C2A">
        <w:rPr>
          <w:color w:val="000000"/>
          <w:sz w:val="24"/>
          <w:szCs w:val="24"/>
        </w:rPr>
        <w:t xml:space="preserve">Mangan er uundværlig for virkningen af </w:t>
      </w:r>
      <w:proofErr w:type="spellStart"/>
      <w:r w:rsidRPr="00EB1C2A">
        <w:rPr>
          <w:color w:val="000000"/>
          <w:sz w:val="24"/>
          <w:szCs w:val="24"/>
        </w:rPr>
        <w:t>glycotransferase</w:t>
      </w:r>
      <w:proofErr w:type="spellEnd"/>
      <w:r w:rsidRPr="00EB1C2A">
        <w:rPr>
          <w:color w:val="000000"/>
          <w:sz w:val="24"/>
          <w:szCs w:val="24"/>
        </w:rPr>
        <w:t xml:space="preserve">. Dette enzym spiller en rolle i dannelsen af </w:t>
      </w:r>
      <w:proofErr w:type="spellStart"/>
      <w:r w:rsidRPr="00EB1C2A">
        <w:rPr>
          <w:color w:val="000000"/>
          <w:sz w:val="24"/>
          <w:szCs w:val="24"/>
        </w:rPr>
        <w:t>mucopolysaccharid</w:t>
      </w:r>
      <w:proofErr w:type="spellEnd"/>
      <w:r w:rsidRPr="00EB1C2A">
        <w:rPr>
          <w:color w:val="000000"/>
          <w:sz w:val="24"/>
          <w:szCs w:val="24"/>
        </w:rPr>
        <w:t xml:space="preserve"> </w:t>
      </w:r>
      <w:proofErr w:type="spellStart"/>
      <w:r w:rsidRPr="00EB1C2A">
        <w:rPr>
          <w:color w:val="000000"/>
          <w:sz w:val="24"/>
          <w:szCs w:val="24"/>
        </w:rPr>
        <w:t>chondroitinsulfat</w:t>
      </w:r>
      <w:proofErr w:type="spellEnd"/>
      <w:r w:rsidRPr="00EB1C2A">
        <w:rPr>
          <w:color w:val="000000"/>
          <w:sz w:val="24"/>
          <w:szCs w:val="24"/>
        </w:rPr>
        <w:t>, som er en komponent i brusk, og på grund af dets virkning på dannelsen af brusk er det også vigtigt for knogledannelse. Mn er en vigtig komponent i</w:t>
      </w:r>
      <w:r w:rsidRPr="008E2C4B">
        <w:rPr>
          <w:color w:val="000000"/>
          <w:sz w:val="24"/>
          <w:szCs w:val="24"/>
        </w:rPr>
        <w:t xml:space="preserve"> Mn-</w:t>
      </w:r>
      <w:proofErr w:type="spellStart"/>
      <w:r w:rsidRPr="008E2C4B">
        <w:rPr>
          <w:color w:val="000000"/>
          <w:sz w:val="24"/>
          <w:szCs w:val="24"/>
        </w:rPr>
        <w:t>superoxiddismutaseenzym</w:t>
      </w:r>
      <w:proofErr w:type="spellEnd"/>
      <w:r w:rsidRPr="008E2C4B">
        <w:rPr>
          <w:color w:val="000000"/>
          <w:sz w:val="24"/>
          <w:szCs w:val="24"/>
        </w:rPr>
        <w:t>, der anvendes i det enzymatiske antioxidantsystem.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Selvom mangan også er en del af </w:t>
      </w:r>
      <w:proofErr w:type="spellStart"/>
      <w:r w:rsidRPr="008E2C4B">
        <w:rPr>
          <w:color w:val="000000"/>
          <w:sz w:val="24"/>
          <w:szCs w:val="24"/>
        </w:rPr>
        <w:t>pyruvatcarboxylase</w:t>
      </w:r>
      <w:proofErr w:type="spellEnd"/>
      <w:r w:rsidRPr="008E2C4B">
        <w:rPr>
          <w:color w:val="000000"/>
          <w:sz w:val="24"/>
          <w:szCs w:val="24"/>
        </w:rPr>
        <w:t xml:space="preserve"> og adskillige andre enzymer, kan andre divalente kationer tjene som alternativer for dets rolle i aktiviteten af disse enzymer.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Kobber udgør en integreret del af et antal </w:t>
      </w:r>
      <w:proofErr w:type="spellStart"/>
      <w:r w:rsidRPr="008E2C4B">
        <w:rPr>
          <w:color w:val="000000"/>
          <w:sz w:val="24"/>
          <w:szCs w:val="24"/>
        </w:rPr>
        <w:t>metalloproteiner</w:t>
      </w:r>
      <w:proofErr w:type="spellEnd"/>
      <w:r w:rsidRPr="008E2C4B">
        <w:rPr>
          <w:color w:val="000000"/>
          <w:sz w:val="24"/>
          <w:szCs w:val="24"/>
        </w:rPr>
        <w:t xml:space="preserve">, især </w:t>
      </w:r>
      <w:proofErr w:type="spellStart"/>
      <w:r w:rsidRPr="008E2C4B">
        <w:rPr>
          <w:color w:val="000000"/>
          <w:sz w:val="24"/>
          <w:szCs w:val="24"/>
        </w:rPr>
        <w:t>caeruloplasmin</w:t>
      </w:r>
      <w:proofErr w:type="spellEnd"/>
      <w:r w:rsidRPr="008E2C4B">
        <w:rPr>
          <w:color w:val="000000"/>
          <w:sz w:val="24"/>
          <w:szCs w:val="24"/>
        </w:rPr>
        <w:t xml:space="preserve">-, </w:t>
      </w:r>
      <w:proofErr w:type="spellStart"/>
      <w:r w:rsidRPr="008E2C4B">
        <w:rPr>
          <w:color w:val="000000"/>
          <w:sz w:val="24"/>
          <w:szCs w:val="24"/>
        </w:rPr>
        <w:t>monoaminoxidase</w:t>
      </w:r>
      <w:proofErr w:type="spellEnd"/>
      <w:r w:rsidRPr="008E2C4B">
        <w:rPr>
          <w:color w:val="000000"/>
          <w:sz w:val="24"/>
          <w:szCs w:val="24"/>
        </w:rPr>
        <w:t xml:space="preserve">-, </w:t>
      </w:r>
      <w:proofErr w:type="spellStart"/>
      <w:r w:rsidRPr="008E2C4B">
        <w:rPr>
          <w:color w:val="000000"/>
          <w:sz w:val="24"/>
          <w:szCs w:val="24"/>
        </w:rPr>
        <w:t>lysyloxidase</w:t>
      </w:r>
      <w:proofErr w:type="spellEnd"/>
      <w:r w:rsidRPr="008E2C4B">
        <w:rPr>
          <w:color w:val="000000"/>
          <w:sz w:val="24"/>
          <w:szCs w:val="24"/>
        </w:rPr>
        <w:t xml:space="preserve">-, </w:t>
      </w:r>
      <w:proofErr w:type="spellStart"/>
      <w:r w:rsidRPr="008E2C4B">
        <w:rPr>
          <w:color w:val="000000"/>
          <w:sz w:val="24"/>
          <w:szCs w:val="24"/>
        </w:rPr>
        <w:t>cytochrom</w:t>
      </w:r>
      <w:proofErr w:type="spellEnd"/>
      <w:r w:rsidRPr="008E2C4B">
        <w:rPr>
          <w:color w:val="000000"/>
          <w:sz w:val="24"/>
          <w:szCs w:val="24"/>
        </w:rPr>
        <w:t xml:space="preserve"> C- og </w:t>
      </w:r>
      <w:proofErr w:type="spellStart"/>
      <w:r w:rsidRPr="008E2C4B">
        <w:rPr>
          <w:color w:val="000000"/>
          <w:sz w:val="24"/>
          <w:szCs w:val="24"/>
        </w:rPr>
        <w:t>superoxiddismutaseenzymer</w:t>
      </w:r>
      <w:proofErr w:type="spellEnd"/>
      <w:r w:rsidRPr="008E2C4B">
        <w:rPr>
          <w:color w:val="000000"/>
          <w:sz w:val="24"/>
          <w:szCs w:val="24"/>
        </w:rPr>
        <w:t xml:space="preserve">. 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Zink fungerer som en </w:t>
      </w:r>
      <w:proofErr w:type="spellStart"/>
      <w:r w:rsidRPr="008E2C4B">
        <w:rPr>
          <w:color w:val="000000"/>
          <w:sz w:val="24"/>
          <w:szCs w:val="24"/>
        </w:rPr>
        <w:t>cofaktor</w:t>
      </w:r>
      <w:proofErr w:type="spellEnd"/>
      <w:r w:rsidRPr="008E2C4B">
        <w:rPr>
          <w:color w:val="000000"/>
          <w:sz w:val="24"/>
          <w:szCs w:val="24"/>
        </w:rPr>
        <w:t xml:space="preserve"> for adskillige enzymer, fx </w:t>
      </w:r>
      <w:proofErr w:type="spellStart"/>
      <w:r w:rsidRPr="008E2C4B">
        <w:rPr>
          <w:color w:val="000000"/>
          <w:sz w:val="24"/>
          <w:szCs w:val="24"/>
        </w:rPr>
        <w:t>alkoholdehydrogenase</w:t>
      </w:r>
      <w:proofErr w:type="spellEnd"/>
      <w:r w:rsidRPr="008E2C4B">
        <w:rPr>
          <w:color w:val="000000"/>
          <w:sz w:val="24"/>
          <w:szCs w:val="24"/>
        </w:rPr>
        <w:t xml:space="preserve">, </w:t>
      </w:r>
      <w:proofErr w:type="spellStart"/>
      <w:r w:rsidRPr="008E2C4B">
        <w:rPr>
          <w:color w:val="000000"/>
          <w:sz w:val="24"/>
          <w:szCs w:val="24"/>
        </w:rPr>
        <w:t>kulsyreanhydase</w:t>
      </w:r>
      <w:proofErr w:type="spellEnd"/>
      <w:r w:rsidRPr="008E2C4B">
        <w:rPr>
          <w:color w:val="000000"/>
          <w:sz w:val="24"/>
          <w:szCs w:val="24"/>
        </w:rPr>
        <w:t xml:space="preserve"> og </w:t>
      </w:r>
      <w:proofErr w:type="spellStart"/>
      <w:r w:rsidRPr="008E2C4B">
        <w:rPr>
          <w:color w:val="000000"/>
          <w:sz w:val="24"/>
          <w:szCs w:val="24"/>
        </w:rPr>
        <w:t>carboxypeptidase</w:t>
      </w:r>
      <w:proofErr w:type="spellEnd"/>
      <w:r w:rsidRPr="008E2C4B">
        <w:rPr>
          <w:color w:val="000000"/>
          <w:sz w:val="24"/>
          <w:szCs w:val="24"/>
        </w:rPr>
        <w:t xml:space="preserve">. </w:t>
      </w:r>
      <w:proofErr w:type="spellStart"/>
      <w:r w:rsidRPr="008E2C4B">
        <w:rPr>
          <w:color w:val="000000"/>
          <w:sz w:val="24"/>
          <w:szCs w:val="24"/>
        </w:rPr>
        <w:t>Zn</w:t>
      </w:r>
      <w:proofErr w:type="spellEnd"/>
      <w:r w:rsidRPr="008E2C4B">
        <w:rPr>
          <w:color w:val="000000"/>
          <w:sz w:val="24"/>
          <w:szCs w:val="24"/>
        </w:rPr>
        <w:t xml:space="preserve"> er en vigtig bestanddel af </w:t>
      </w:r>
      <w:proofErr w:type="spellStart"/>
      <w:r w:rsidRPr="008E2C4B">
        <w:rPr>
          <w:color w:val="000000"/>
          <w:sz w:val="24"/>
          <w:szCs w:val="24"/>
        </w:rPr>
        <w:t>Zn</w:t>
      </w:r>
      <w:proofErr w:type="spellEnd"/>
      <w:r w:rsidRPr="008E2C4B">
        <w:rPr>
          <w:color w:val="000000"/>
          <w:sz w:val="24"/>
          <w:szCs w:val="24"/>
        </w:rPr>
        <w:t xml:space="preserve"> </w:t>
      </w:r>
      <w:proofErr w:type="spellStart"/>
      <w:r w:rsidRPr="008E2C4B">
        <w:rPr>
          <w:color w:val="000000"/>
          <w:sz w:val="24"/>
          <w:szCs w:val="24"/>
        </w:rPr>
        <w:t>superoxid</w:t>
      </w:r>
      <w:r w:rsidR="00EB1C2A">
        <w:rPr>
          <w:color w:val="000000"/>
          <w:sz w:val="24"/>
          <w:szCs w:val="24"/>
        </w:rPr>
        <w:softHyphen/>
      </w:r>
      <w:r w:rsidRPr="008E2C4B">
        <w:rPr>
          <w:color w:val="000000"/>
          <w:sz w:val="24"/>
          <w:szCs w:val="24"/>
        </w:rPr>
        <w:t>dismutase</w:t>
      </w:r>
      <w:r w:rsidR="00EB1C2A">
        <w:rPr>
          <w:color w:val="000000"/>
          <w:sz w:val="24"/>
          <w:szCs w:val="24"/>
        </w:rPr>
        <w:softHyphen/>
      </w:r>
      <w:r w:rsidRPr="008E2C4B">
        <w:rPr>
          <w:color w:val="000000"/>
          <w:sz w:val="24"/>
          <w:szCs w:val="24"/>
        </w:rPr>
        <w:t>enzym</w:t>
      </w:r>
      <w:proofErr w:type="spellEnd"/>
      <w:r w:rsidRPr="008E2C4B">
        <w:rPr>
          <w:color w:val="000000"/>
          <w:sz w:val="24"/>
          <w:szCs w:val="24"/>
        </w:rPr>
        <w:t xml:space="preserve">, der anvendes i det enzymatiske antioxidantsystem. Zink spiller en rolle i proteinsyntese og celledeling. Det udøver også afgørende indflydelse på opretholdelsen af cellemembranens stabilitet og i immunsystemets funktion. Forbindelsen mellem de kendte fysiologiske funktioner af zink og de forskellige manifestationer af zinkmangel forbliver stort set uforklarlige. Zink interagerer med flere metaboliske ioner. Kobber, calcium og </w:t>
      </w:r>
      <w:proofErr w:type="spellStart"/>
      <w:r w:rsidRPr="008E2C4B">
        <w:rPr>
          <w:color w:val="000000"/>
          <w:sz w:val="24"/>
          <w:szCs w:val="24"/>
        </w:rPr>
        <w:t>phytat</w:t>
      </w:r>
      <w:proofErr w:type="spellEnd"/>
      <w:r w:rsidRPr="008E2C4B">
        <w:rPr>
          <w:color w:val="000000"/>
          <w:sz w:val="24"/>
          <w:szCs w:val="24"/>
        </w:rPr>
        <w:t xml:space="preserve"> (en bestanddel af korn) reducerer zinkabsorptionen; cadmium og zink konkurrerer med hinanden.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Selen udøver en </w:t>
      </w:r>
      <w:proofErr w:type="spellStart"/>
      <w:r w:rsidRPr="008E2C4B">
        <w:rPr>
          <w:color w:val="000000"/>
          <w:sz w:val="24"/>
          <w:szCs w:val="24"/>
        </w:rPr>
        <w:t>antioxidativ</w:t>
      </w:r>
      <w:proofErr w:type="spellEnd"/>
      <w:r w:rsidRPr="008E2C4B">
        <w:rPr>
          <w:color w:val="000000"/>
          <w:sz w:val="24"/>
          <w:szCs w:val="24"/>
        </w:rPr>
        <w:t xml:space="preserve"> virkning på cellemembranen mod hydrogenperoxid og </w:t>
      </w:r>
      <w:proofErr w:type="spellStart"/>
      <w:r w:rsidRPr="008E2C4B">
        <w:rPr>
          <w:color w:val="000000"/>
          <w:sz w:val="24"/>
          <w:szCs w:val="24"/>
        </w:rPr>
        <w:t>lipoperoxider</w:t>
      </w:r>
      <w:proofErr w:type="spellEnd"/>
      <w:r w:rsidRPr="008E2C4B">
        <w:rPr>
          <w:color w:val="000000"/>
          <w:sz w:val="24"/>
          <w:szCs w:val="24"/>
        </w:rPr>
        <w:t xml:space="preserve">. Virkningerne er relateret til enzymatisk aktivitet af </w:t>
      </w:r>
      <w:proofErr w:type="spellStart"/>
      <w:r w:rsidRPr="008E2C4B">
        <w:rPr>
          <w:color w:val="000000"/>
          <w:sz w:val="24"/>
          <w:szCs w:val="24"/>
        </w:rPr>
        <w:t>glutathionperoxidase</w:t>
      </w:r>
      <w:proofErr w:type="spellEnd"/>
      <w:r w:rsidRPr="008E2C4B">
        <w:rPr>
          <w:color w:val="000000"/>
          <w:sz w:val="24"/>
          <w:szCs w:val="24"/>
        </w:rPr>
        <w:t xml:space="preserve"> (</w:t>
      </w:r>
      <w:proofErr w:type="spellStart"/>
      <w:r w:rsidRPr="008E2C4B">
        <w:rPr>
          <w:color w:val="000000"/>
          <w:sz w:val="24"/>
          <w:szCs w:val="24"/>
        </w:rPr>
        <w:t>GSHPx</w:t>
      </w:r>
      <w:proofErr w:type="spellEnd"/>
      <w:r w:rsidRPr="008E2C4B">
        <w:rPr>
          <w:color w:val="000000"/>
          <w:sz w:val="24"/>
          <w:szCs w:val="24"/>
        </w:rPr>
        <w:t xml:space="preserve">), som indeholder </w:t>
      </w:r>
      <w:proofErr w:type="spellStart"/>
      <w:r w:rsidRPr="008E2C4B">
        <w:rPr>
          <w:color w:val="000000"/>
          <w:sz w:val="24"/>
          <w:szCs w:val="24"/>
        </w:rPr>
        <w:t>selenocystein</w:t>
      </w:r>
      <w:proofErr w:type="spellEnd"/>
      <w:r w:rsidRPr="008E2C4B">
        <w:rPr>
          <w:color w:val="000000"/>
          <w:sz w:val="24"/>
          <w:szCs w:val="24"/>
        </w:rPr>
        <w:t xml:space="preserve">. Selens beskyttende </w:t>
      </w:r>
      <w:proofErr w:type="spellStart"/>
      <w:r w:rsidRPr="008E2C4B">
        <w:rPr>
          <w:color w:val="000000"/>
          <w:sz w:val="24"/>
          <w:szCs w:val="24"/>
        </w:rPr>
        <w:t>antioxidative</w:t>
      </w:r>
      <w:proofErr w:type="spellEnd"/>
      <w:r w:rsidRPr="008E2C4B">
        <w:rPr>
          <w:color w:val="000000"/>
          <w:sz w:val="24"/>
          <w:szCs w:val="24"/>
        </w:rPr>
        <w:t xml:space="preserve"> virkning er delvist knyttet til vitamin E. </w:t>
      </w:r>
      <w:proofErr w:type="spellStart"/>
      <w:r w:rsidRPr="008E2C4B">
        <w:rPr>
          <w:color w:val="000000"/>
          <w:sz w:val="24"/>
          <w:szCs w:val="24"/>
        </w:rPr>
        <w:t>Selenocystein</w:t>
      </w:r>
      <w:proofErr w:type="spellEnd"/>
      <w:r w:rsidRPr="008E2C4B">
        <w:rPr>
          <w:color w:val="000000"/>
          <w:sz w:val="24"/>
          <w:szCs w:val="24"/>
        </w:rPr>
        <w:t xml:space="preserve"> er også en integreret komponent i andre funktionelle proteiner, fx tetraidothyronin-5-I-deiodinase (involveret i metabolisme af skjoldbruskkirtelhormoner), men det fulde omfang af den biokemiske tilstand af virkningen af selen i kroppen er stadig at belyse.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B1C2A">
        <w:rPr>
          <w:b/>
          <w:sz w:val="24"/>
          <w:szCs w:val="24"/>
        </w:rPr>
        <w:t>5.2</w:t>
      </w:r>
      <w:r w:rsidRPr="00EB1C2A">
        <w:rPr>
          <w:b/>
          <w:sz w:val="24"/>
          <w:szCs w:val="24"/>
        </w:rPr>
        <w:tab/>
      </w:r>
      <w:proofErr w:type="spellStart"/>
      <w:r w:rsidRPr="00EB1C2A">
        <w:rPr>
          <w:b/>
          <w:sz w:val="24"/>
          <w:szCs w:val="24"/>
        </w:rPr>
        <w:t>Farmakokinetiske</w:t>
      </w:r>
      <w:proofErr w:type="spellEnd"/>
      <w:r w:rsidRPr="00EB1C2A">
        <w:rPr>
          <w:b/>
          <w:sz w:val="24"/>
          <w:szCs w:val="24"/>
        </w:rPr>
        <w:t xml:space="preserve"> egenskaber</w:t>
      </w:r>
    </w:p>
    <w:p w:rsidR="00EB1C2A" w:rsidRDefault="00EB1C2A" w:rsidP="008E2C4B">
      <w:pPr>
        <w:tabs>
          <w:tab w:val="left" w:pos="1304"/>
        </w:tabs>
        <w:ind w:left="851"/>
        <w:rPr>
          <w:color w:val="000000"/>
          <w:sz w:val="24"/>
          <w:szCs w:val="24"/>
        </w:rPr>
      </w:pPr>
    </w:p>
    <w:p w:rsidR="006A4BD5" w:rsidRPr="00EB1C2A" w:rsidRDefault="006A4BD5" w:rsidP="008E2C4B">
      <w:pPr>
        <w:tabs>
          <w:tab w:val="left" w:pos="1304"/>
        </w:tabs>
        <w:ind w:left="851"/>
        <w:rPr>
          <w:color w:val="000000"/>
          <w:sz w:val="24"/>
          <w:szCs w:val="24"/>
          <w:u w:val="single"/>
        </w:rPr>
      </w:pPr>
      <w:r w:rsidRPr="00EB1C2A">
        <w:rPr>
          <w:color w:val="000000"/>
          <w:sz w:val="24"/>
          <w:szCs w:val="24"/>
          <w:u w:val="single"/>
        </w:rPr>
        <w:t>Absorption:</w:t>
      </w:r>
    </w:p>
    <w:p w:rsidR="006A4BD5" w:rsidRPr="008E2C4B" w:rsidRDefault="006A4BD5" w:rsidP="008E2C4B">
      <w:pPr>
        <w:numPr>
          <w:ilvl w:val="0"/>
          <w:numId w:val="7"/>
        </w:numPr>
        <w:tabs>
          <w:tab w:val="left" w:pos="-2127"/>
        </w:tabs>
        <w:spacing w:line="260" w:lineRule="exact"/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Efter subkutan administration absorberes spormineralerne hurtigt fra injektionsstedet.</w:t>
      </w:r>
    </w:p>
    <w:p w:rsidR="006A4BD5" w:rsidRPr="008E2C4B" w:rsidRDefault="006A4BD5" w:rsidP="008E2C4B">
      <w:pPr>
        <w:tabs>
          <w:tab w:val="left" w:pos="1304"/>
        </w:tabs>
        <w:rPr>
          <w:color w:val="000000"/>
          <w:sz w:val="24"/>
          <w:szCs w:val="24"/>
        </w:rPr>
      </w:pPr>
    </w:p>
    <w:p w:rsidR="006A4BD5" w:rsidRPr="00EB1C2A" w:rsidRDefault="006A4BD5" w:rsidP="008E2C4B">
      <w:pPr>
        <w:tabs>
          <w:tab w:val="left" w:pos="1304"/>
        </w:tabs>
        <w:ind w:left="851"/>
        <w:rPr>
          <w:color w:val="000000"/>
          <w:sz w:val="24"/>
          <w:szCs w:val="24"/>
          <w:u w:val="single"/>
        </w:rPr>
      </w:pPr>
      <w:r w:rsidRPr="00EB1C2A">
        <w:rPr>
          <w:color w:val="000000"/>
          <w:sz w:val="24"/>
          <w:szCs w:val="24"/>
          <w:u w:val="single"/>
        </w:rPr>
        <w:t>Fordeling:</w:t>
      </w:r>
    </w:p>
    <w:p w:rsidR="006A4BD5" w:rsidRPr="008E2C4B" w:rsidRDefault="006A4BD5" w:rsidP="008E2C4B">
      <w:pPr>
        <w:numPr>
          <w:ilvl w:val="0"/>
          <w:numId w:val="8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Når det er absorberet, transporteres mangan til organer rige på mitokondrier (især leveren, bugspytkirtlen og hypofysen), hvor det koncentreres hurtigt. Hovedorganet involveret i manganakkumulering er leveren, som statistisk akkumulerer signifikant højere niveauer af mangan end nyrerne. Omsætningen af mangan i pattedyrsvæv er hurtig.</w:t>
      </w:r>
    </w:p>
    <w:p w:rsidR="006A4BD5" w:rsidRPr="008E2C4B" w:rsidRDefault="006A4BD5" w:rsidP="008E2C4B">
      <w:pPr>
        <w:numPr>
          <w:ilvl w:val="0"/>
          <w:numId w:val="8"/>
        </w:numPr>
        <w:ind w:left="1276" w:hanging="425"/>
        <w:rPr>
          <w:color w:val="000000"/>
          <w:spacing w:val="-2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Absorberet kobber binder til plasmaalbumin og aminosyrer i portalblodet og transporteres til leveren, hvor det inkorporeres i </w:t>
      </w:r>
      <w:proofErr w:type="spellStart"/>
      <w:r w:rsidRPr="008E2C4B">
        <w:rPr>
          <w:color w:val="000000"/>
          <w:sz w:val="24"/>
          <w:szCs w:val="24"/>
        </w:rPr>
        <w:t>caeruloplasmin</w:t>
      </w:r>
      <w:proofErr w:type="spellEnd"/>
      <w:r w:rsidRPr="008E2C4B">
        <w:rPr>
          <w:color w:val="000000"/>
          <w:sz w:val="24"/>
          <w:szCs w:val="24"/>
        </w:rPr>
        <w:t xml:space="preserve"> og senere frigives i plasmaet. </w:t>
      </w:r>
      <w:proofErr w:type="spellStart"/>
      <w:r w:rsidRPr="008E2C4B">
        <w:rPr>
          <w:color w:val="000000"/>
          <w:sz w:val="24"/>
          <w:szCs w:val="24"/>
        </w:rPr>
        <w:t>Hepatisk</w:t>
      </w:r>
      <w:proofErr w:type="spellEnd"/>
      <w:r w:rsidRPr="008E2C4B">
        <w:rPr>
          <w:color w:val="000000"/>
          <w:sz w:val="24"/>
          <w:szCs w:val="24"/>
        </w:rPr>
        <w:t xml:space="preserve"> kobber fordeles i flere subcellulære fraktioner forbundet med kobberafhængige enzymer og kobberafhængige proteiner. Kobber findes også i </w:t>
      </w:r>
      <w:proofErr w:type="spellStart"/>
      <w:r w:rsidRPr="008E2C4B">
        <w:rPr>
          <w:color w:val="000000"/>
          <w:sz w:val="24"/>
          <w:szCs w:val="24"/>
        </w:rPr>
        <w:t>erythrocytter</w:t>
      </w:r>
      <w:proofErr w:type="spellEnd"/>
      <w:r w:rsidRPr="008E2C4B">
        <w:rPr>
          <w:color w:val="000000"/>
          <w:sz w:val="24"/>
          <w:szCs w:val="24"/>
        </w:rPr>
        <w:t xml:space="preserve"> i form af </w:t>
      </w:r>
      <w:proofErr w:type="spellStart"/>
      <w:r w:rsidRPr="008E2C4B">
        <w:rPr>
          <w:color w:val="000000"/>
          <w:sz w:val="24"/>
          <w:szCs w:val="24"/>
        </w:rPr>
        <w:t>erythrocuprein</w:t>
      </w:r>
      <w:proofErr w:type="spellEnd"/>
      <w:r w:rsidRPr="008E2C4B">
        <w:rPr>
          <w:color w:val="000000"/>
          <w:sz w:val="24"/>
          <w:szCs w:val="24"/>
        </w:rPr>
        <w:t xml:space="preserve"> og andre proteiner og i knoglemarv bundet til </w:t>
      </w:r>
      <w:proofErr w:type="spellStart"/>
      <w:r w:rsidRPr="008E2C4B">
        <w:rPr>
          <w:color w:val="000000"/>
          <w:sz w:val="24"/>
          <w:szCs w:val="24"/>
        </w:rPr>
        <w:t>metallothionein</w:t>
      </w:r>
      <w:proofErr w:type="spellEnd"/>
      <w:r w:rsidRPr="008E2C4B">
        <w:rPr>
          <w:color w:val="000000"/>
          <w:sz w:val="24"/>
          <w:szCs w:val="24"/>
        </w:rPr>
        <w:t>.</w:t>
      </w:r>
    </w:p>
    <w:p w:rsidR="006A4BD5" w:rsidRPr="008E2C4B" w:rsidRDefault="006A4BD5" w:rsidP="008E2C4B">
      <w:pPr>
        <w:numPr>
          <w:ilvl w:val="0"/>
          <w:numId w:val="8"/>
        </w:numPr>
        <w:ind w:left="1276" w:hanging="425"/>
        <w:rPr>
          <w:color w:val="000000"/>
          <w:spacing w:val="-2"/>
          <w:sz w:val="24"/>
          <w:szCs w:val="24"/>
        </w:rPr>
      </w:pPr>
      <w:r w:rsidRPr="008E2C4B">
        <w:rPr>
          <w:color w:val="000000"/>
          <w:sz w:val="24"/>
          <w:szCs w:val="24"/>
        </w:rPr>
        <w:t>Zinkakkumulering er mest slående i muskler efterfulgt af lever, nyre og blod. Zinkværdier i muskler, lever og nyrer er ens.</w:t>
      </w:r>
    </w:p>
    <w:p w:rsidR="006A4BD5" w:rsidRPr="008E2C4B" w:rsidRDefault="006A4BD5" w:rsidP="008E2C4B">
      <w:pPr>
        <w:numPr>
          <w:ilvl w:val="0"/>
          <w:numId w:val="8"/>
        </w:numPr>
        <w:ind w:left="1276" w:hanging="425"/>
        <w:rPr>
          <w:color w:val="000000"/>
          <w:spacing w:val="-2"/>
          <w:sz w:val="24"/>
          <w:szCs w:val="24"/>
        </w:rPr>
      </w:pPr>
      <w:r w:rsidRPr="008E2C4B">
        <w:rPr>
          <w:color w:val="000000"/>
          <w:sz w:val="24"/>
          <w:szCs w:val="24"/>
        </w:rPr>
        <w:t>Parenteralt selen transporteres oprindeligt af serumalbumin efter absorption og senere af alfa-2 og beta-1globulinfraktioner. Selen er fordelt i kroppen, men de højeste mængder er til stede i leveren, nyrerne og musklerne.</w:t>
      </w:r>
    </w:p>
    <w:p w:rsidR="006A4BD5" w:rsidRPr="008E2C4B" w:rsidRDefault="006A4BD5" w:rsidP="008E2C4B">
      <w:pPr>
        <w:tabs>
          <w:tab w:val="left" w:pos="1304"/>
        </w:tabs>
        <w:rPr>
          <w:color w:val="000000"/>
          <w:sz w:val="24"/>
          <w:szCs w:val="24"/>
        </w:rPr>
      </w:pPr>
    </w:p>
    <w:p w:rsidR="006A4BD5" w:rsidRPr="00EB1C2A" w:rsidRDefault="006A4BD5" w:rsidP="008E2C4B">
      <w:pPr>
        <w:ind w:left="851"/>
        <w:rPr>
          <w:color w:val="000000"/>
          <w:sz w:val="24"/>
          <w:szCs w:val="24"/>
          <w:u w:val="single"/>
        </w:rPr>
      </w:pPr>
      <w:r w:rsidRPr="00EB1C2A">
        <w:rPr>
          <w:color w:val="000000"/>
          <w:sz w:val="24"/>
          <w:szCs w:val="24"/>
          <w:u w:val="single"/>
        </w:rPr>
        <w:t>Metabolisme:</w:t>
      </w:r>
    </w:p>
    <w:p w:rsidR="006A4BD5" w:rsidRPr="008E2C4B" w:rsidRDefault="006A4BD5" w:rsidP="008E2C4B">
      <w:pPr>
        <w:numPr>
          <w:ilvl w:val="0"/>
          <w:numId w:val="9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Mangan </w:t>
      </w:r>
      <w:proofErr w:type="spellStart"/>
      <w:r w:rsidRPr="008E2C4B">
        <w:rPr>
          <w:color w:val="000000"/>
          <w:sz w:val="24"/>
          <w:szCs w:val="24"/>
        </w:rPr>
        <w:t>metaboliserer</w:t>
      </w:r>
      <w:proofErr w:type="spellEnd"/>
      <w:r w:rsidRPr="008E2C4B">
        <w:rPr>
          <w:color w:val="000000"/>
          <w:sz w:val="24"/>
          <w:szCs w:val="24"/>
        </w:rPr>
        <w:t xml:space="preserve"> ikke; det absorberes og udskilles uændret.</w:t>
      </w:r>
    </w:p>
    <w:p w:rsidR="006A4BD5" w:rsidRPr="008E2C4B" w:rsidRDefault="006A4BD5" w:rsidP="008E2C4B">
      <w:pPr>
        <w:numPr>
          <w:ilvl w:val="0"/>
          <w:numId w:val="9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Kobber er tilgængeligt til metabolisme i leveren, når det er til stede som den form, der er bundet til albumin. Leveren er det vigtigste opbevaringsorgan for kobber, hvor det er proteinbundet, efterfulgt af nyre, muskler og blod.</w:t>
      </w:r>
    </w:p>
    <w:p w:rsidR="006A4BD5" w:rsidRPr="008E2C4B" w:rsidRDefault="006A4BD5" w:rsidP="008E2C4B">
      <w:pPr>
        <w:numPr>
          <w:ilvl w:val="0"/>
          <w:numId w:val="9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lastRenderedPageBreak/>
        <w:t xml:space="preserve">Efter absorption i kroppen bliver zink bundet til proteinkomplekser, hvoraf den vigtigste er </w:t>
      </w:r>
      <w:proofErr w:type="spellStart"/>
      <w:r w:rsidRPr="008E2C4B">
        <w:rPr>
          <w:color w:val="000000"/>
          <w:sz w:val="24"/>
          <w:szCs w:val="24"/>
        </w:rPr>
        <w:t>metallothionein</w:t>
      </w:r>
      <w:proofErr w:type="spellEnd"/>
      <w:r w:rsidRPr="008E2C4B">
        <w:rPr>
          <w:color w:val="000000"/>
          <w:sz w:val="24"/>
          <w:szCs w:val="24"/>
        </w:rPr>
        <w:t xml:space="preserve">, der fungerer som en bærer- og transportmekanisme. Som et element </w:t>
      </w:r>
      <w:proofErr w:type="spellStart"/>
      <w:r w:rsidRPr="008E2C4B">
        <w:rPr>
          <w:color w:val="000000"/>
          <w:sz w:val="24"/>
          <w:szCs w:val="24"/>
        </w:rPr>
        <w:t>metaboliseres</w:t>
      </w:r>
      <w:proofErr w:type="spellEnd"/>
      <w:r w:rsidRPr="008E2C4B">
        <w:rPr>
          <w:color w:val="000000"/>
          <w:sz w:val="24"/>
          <w:szCs w:val="24"/>
        </w:rPr>
        <w:t xml:space="preserve"> zink ikke i sig selv. Zink akkumuleres ikke i kroppen efter fortsat [overdreven] eksponering.</w:t>
      </w:r>
    </w:p>
    <w:p w:rsidR="006A4BD5" w:rsidRPr="008E2C4B" w:rsidRDefault="006A4BD5" w:rsidP="008E2C4B">
      <w:pPr>
        <w:pStyle w:val="Brdtekst"/>
        <w:numPr>
          <w:ilvl w:val="0"/>
          <w:numId w:val="10"/>
        </w:numPr>
        <w:ind w:left="1276" w:hanging="425"/>
        <w:jc w:val="left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Den metaboliske proces, der involverer selen, afhænger af den kemiske form og dosis samt af ernæringsstatus. Hovedmetabolitter er </w:t>
      </w:r>
      <w:proofErr w:type="spellStart"/>
      <w:r w:rsidRPr="008E2C4B">
        <w:rPr>
          <w:color w:val="000000"/>
          <w:sz w:val="24"/>
          <w:szCs w:val="24"/>
        </w:rPr>
        <w:t>methylerede</w:t>
      </w:r>
      <w:proofErr w:type="spellEnd"/>
      <w:r w:rsidRPr="008E2C4B">
        <w:rPr>
          <w:color w:val="000000"/>
          <w:sz w:val="24"/>
          <w:szCs w:val="24"/>
        </w:rPr>
        <w:t xml:space="preserve"> selenitter. To hovedmetaboliske produkter af </w:t>
      </w:r>
      <w:proofErr w:type="spellStart"/>
      <w:r w:rsidRPr="008E2C4B">
        <w:rPr>
          <w:color w:val="000000"/>
          <w:sz w:val="24"/>
          <w:szCs w:val="24"/>
        </w:rPr>
        <w:t>selenit</w:t>
      </w:r>
      <w:proofErr w:type="spellEnd"/>
      <w:r w:rsidRPr="008E2C4B">
        <w:rPr>
          <w:color w:val="000000"/>
          <w:sz w:val="24"/>
          <w:szCs w:val="24"/>
        </w:rPr>
        <w:t xml:space="preserve"> er blevet identificeret: </w:t>
      </w:r>
      <w:proofErr w:type="spellStart"/>
      <w:r w:rsidRPr="008E2C4B">
        <w:rPr>
          <w:color w:val="000000"/>
          <w:sz w:val="24"/>
          <w:szCs w:val="24"/>
        </w:rPr>
        <w:t>dimethylselenid</w:t>
      </w:r>
      <w:proofErr w:type="spellEnd"/>
      <w:r w:rsidRPr="008E2C4B">
        <w:rPr>
          <w:color w:val="000000"/>
          <w:sz w:val="24"/>
          <w:szCs w:val="24"/>
        </w:rPr>
        <w:t xml:space="preserve"> og en </w:t>
      </w:r>
      <w:proofErr w:type="spellStart"/>
      <w:r w:rsidRPr="008E2C4B">
        <w:rPr>
          <w:color w:val="000000"/>
          <w:sz w:val="24"/>
          <w:szCs w:val="24"/>
        </w:rPr>
        <w:t>trimethylselenoniumion</w:t>
      </w:r>
      <w:proofErr w:type="spellEnd"/>
      <w:r w:rsidRPr="008E2C4B">
        <w:rPr>
          <w:color w:val="000000"/>
          <w:sz w:val="24"/>
          <w:szCs w:val="24"/>
        </w:rPr>
        <w:t>.</w:t>
      </w:r>
    </w:p>
    <w:p w:rsidR="006A4BD5" w:rsidRPr="008E2C4B" w:rsidRDefault="006A4BD5" w:rsidP="008E2C4B">
      <w:pPr>
        <w:tabs>
          <w:tab w:val="left" w:pos="1304"/>
        </w:tabs>
        <w:rPr>
          <w:color w:val="000000"/>
          <w:sz w:val="24"/>
          <w:szCs w:val="24"/>
        </w:rPr>
      </w:pPr>
    </w:p>
    <w:p w:rsidR="006A4BD5" w:rsidRPr="00EB1C2A" w:rsidRDefault="006A4BD5" w:rsidP="008E2C4B">
      <w:pPr>
        <w:ind w:left="851"/>
        <w:rPr>
          <w:color w:val="000000"/>
          <w:sz w:val="24"/>
          <w:szCs w:val="24"/>
          <w:u w:val="single"/>
        </w:rPr>
      </w:pPr>
      <w:r w:rsidRPr="00EB1C2A">
        <w:rPr>
          <w:color w:val="000000"/>
          <w:sz w:val="24"/>
          <w:szCs w:val="24"/>
          <w:u w:val="single"/>
        </w:rPr>
        <w:t>Udskillelse:</w:t>
      </w:r>
    </w:p>
    <w:p w:rsidR="006A4BD5" w:rsidRPr="008E2C4B" w:rsidRDefault="006A4BD5" w:rsidP="008E2C4B">
      <w:pPr>
        <w:numPr>
          <w:ilvl w:val="0"/>
          <w:numId w:val="11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Leveren, bugspytkirtlen, binyrerne og tarmen spiller en rolle i den overvejende fækale udskillelse af mangan. Små mængder kan udskilles i urinen. For kalve udskilles 21</w:t>
      </w:r>
      <w:r w:rsidR="00036DBD">
        <w:rPr>
          <w:color w:val="000000"/>
          <w:sz w:val="24"/>
          <w:szCs w:val="24"/>
        </w:rPr>
        <w:t xml:space="preserve"> %</w:t>
      </w:r>
      <w:r w:rsidRPr="008E2C4B">
        <w:rPr>
          <w:color w:val="000000"/>
          <w:sz w:val="24"/>
          <w:szCs w:val="24"/>
        </w:rPr>
        <w:t xml:space="preserve"> af en injiceret dosis mangan i galde.</w:t>
      </w:r>
    </w:p>
    <w:p w:rsidR="006A4BD5" w:rsidRPr="008E2C4B" w:rsidRDefault="006A4BD5" w:rsidP="008E2C4B">
      <w:pPr>
        <w:numPr>
          <w:ilvl w:val="0"/>
          <w:numId w:val="11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Overskydende kobber udskilles hovedsageligt via galde og fæces, selvom urintab udgør 0,5</w:t>
      </w:r>
      <w:r w:rsidR="00036DBD">
        <w:rPr>
          <w:color w:val="000000"/>
          <w:sz w:val="24"/>
          <w:szCs w:val="24"/>
        </w:rPr>
        <w:t xml:space="preserve"> %</w:t>
      </w:r>
      <w:r w:rsidRPr="008E2C4B">
        <w:rPr>
          <w:color w:val="000000"/>
          <w:sz w:val="24"/>
          <w:szCs w:val="24"/>
        </w:rPr>
        <w:t xml:space="preserve"> til 3</w:t>
      </w:r>
      <w:r w:rsidR="00036DBD">
        <w:rPr>
          <w:color w:val="000000"/>
          <w:sz w:val="24"/>
          <w:szCs w:val="24"/>
        </w:rPr>
        <w:t xml:space="preserve"> %</w:t>
      </w:r>
      <w:r w:rsidRPr="008E2C4B">
        <w:rPr>
          <w:color w:val="000000"/>
          <w:sz w:val="24"/>
          <w:szCs w:val="24"/>
        </w:rPr>
        <w:t xml:space="preserve"> af det daglige indtag.</w:t>
      </w:r>
    </w:p>
    <w:p w:rsidR="006A4BD5" w:rsidRPr="008E2C4B" w:rsidRDefault="006A4BD5" w:rsidP="008E2C4B">
      <w:pPr>
        <w:numPr>
          <w:ilvl w:val="0"/>
          <w:numId w:val="11"/>
        </w:numPr>
        <w:ind w:left="1276" w:hanging="425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Udskillelse af absorberet zink foregår hovedsageligt via galde (80</w:t>
      </w:r>
      <w:r w:rsidR="00036DBD">
        <w:rPr>
          <w:color w:val="000000"/>
          <w:sz w:val="24"/>
          <w:szCs w:val="24"/>
        </w:rPr>
        <w:t xml:space="preserve"> %</w:t>
      </w:r>
      <w:r w:rsidRPr="008E2C4B">
        <w:rPr>
          <w:color w:val="000000"/>
          <w:sz w:val="24"/>
          <w:szCs w:val="24"/>
        </w:rPr>
        <w:t>) og mindre via urin og sved.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5.3</w:t>
      </w:r>
      <w:r w:rsidRPr="008E2C4B">
        <w:rPr>
          <w:b/>
          <w:sz w:val="24"/>
          <w:szCs w:val="24"/>
        </w:rPr>
        <w:tab/>
        <w:t>Miljømæssige forhold</w:t>
      </w:r>
    </w:p>
    <w:p w:rsidR="005B0036" w:rsidRPr="008E2C4B" w:rsidRDefault="006A4BD5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E2C4B">
        <w:rPr>
          <w:sz w:val="24"/>
          <w:szCs w:val="24"/>
        </w:rPr>
        <w:t>-</w:t>
      </w:r>
    </w:p>
    <w:p w:rsidR="005B0036" w:rsidRPr="008E2C4B" w:rsidRDefault="005B0036" w:rsidP="008E2C4B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</w:t>
      </w:r>
      <w:r w:rsidRPr="008E2C4B">
        <w:rPr>
          <w:b/>
          <w:sz w:val="24"/>
          <w:szCs w:val="24"/>
        </w:rPr>
        <w:tab/>
        <w:t>FARMACEUTISKE OPLYSNINGER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6.1</w:t>
      </w:r>
      <w:r w:rsidRPr="008E2C4B">
        <w:rPr>
          <w:b/>
          <w:sz w:val="24"/>
          <w:szCs w:val="24"/>
        </w:rPr>
        <w:tab/>
        <w:t>Hjælpestoffer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proofErr w:type="spellStart"/>
      <w:r w:rsidRPr="008E2C4B">
        <w:rPr>
          <w:color w:val="000000"/>
          <w:sz w:val="24"/>
          <w:szCs w:val="24"/>
        </w:rPr>
        <w:t>Benzylalkohol</w:t>
      </w:r>
      <w:proofErr w:type="spellEnd"/>
      <w:r w:rsidRPr="008E2C4B">
        <w:rPr>
          <w:color w:val="000000"/>
          <w:sz w:val="24"/>
          <w:szCs w:val="24"/>
        </w:rPr>
        <w:t xml:space="preserve"> (E1519)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Eddikesyre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Natriumhydroxid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Vand til injektionsvæsker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6.2</w:t>
      </w:r>
      <w:r w:rsidRPr="008E2C4B">
        <w:rPr>
          <w:b/>
          <w:sz w:val="24"/>
          <w:szCs w:val="24"/>
        </w:rPr>
        <w:tab/>
        <w:t>Uforligeligheder</w:t>
      </w:r>
    </w:p>
    <w:p w:rsidR="006A4BD5" w:rsidRPr="00EB1C2A" w:rsidRDefault="006A4BD5" w:rsidP="00EB1C2A">
      <w:pPr>
        <w:ind w:left="851"/>
        <w:rPr>
          <w:color w:val="000000"/>
          <w:sz w:val="24"/>
          <w:szCs w:val="24"/>
        </w:rPr>
      </w:pPr>
      <w:r w:rsidRPr="00EB1C2A">
        <w:rPr>
          <w:sz w:val="24"/>
          <w:szCs w:val="24"/>
        </w:rPr>
        <w:t>Da der ikke foreligger undersøgelser vedrørende eventuelle uforligeligheder, bør dette lægemiddel ikke blandes med andre lægemidler</w:t>
      </w:r>
      <w:r w:rsidRPr="00EB1C2A">
        <w:rPr>
          <w:color w:val="000000"/>
          <w:sz w:val="24"/>
          <w:szCs w:val="24"/>
        </w:rPr>
        <w:t>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6.3</w:t>
      </w:r>
      <w:r w:rsidRPr="008E2C4B">
        <w:rPr>
          <w:b/>
          <w:sz w:val="24"/>
          <w:szCs w:val="24"/>
        </w:rPr>
        <w:tab/>
        <w:t>Opbevaringstid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sz w:val="24"/>
          <w:szCs w:val="24"/>
        </w:rPr>
        <w:t>I salgspakning</w:t>
      </w:r>
      <w:r w:rsidRPr="008E2C4B">
        <w:rPr>
          <w:color w:val="000000"/>
          <w:sz w:val="24"/>
          <w:szCs w:val="24"/>
        </w:rPr>
        <w:t>: 30 måneder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Efter første åbning af den </w:t>
      </w:r>
      <w:r w:rsidRPr="008E2C4B">
        <w:rPr>
          <w:sz w:val="24"/>
          <w:szCs w:val="24"/>
        </w:rPr>
        <w:t>indre emballage</w:t>
      </w:r>
      <w:r w:rsidRPr="008E2C4B">
        <w:rPr>
          <w:color w:val="000000"/>
          <w:sz w:val="24"/>
          <w:szCs w:val="24"/>
        </w:rPr>
        <w:t>: 28 dage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6.4</w:t>
      </w:r>
      <w:r w:rsidRPr="008E2C4B">
        <w:rPr>
          <w:b/>
          <w:sz w:val="24"/>
          <w:szCs w:val="24"/>
        </w:rPr>
        <w:tab/>
        <w:t>Særlige opbevaringsforhold</w:t>
      </w:r>
    </w:p>
    <w:p w:rsidR="006A4BD5" w:rsidRPr="008E2C4B" w:rsidRDefault="006A4BD5" w:rsidP="008E2C4B">
      <w:pPr>
        <w:pStyle w:val="Sidehoved"/>
        <w:ind w:left="851"/>
        <w:rPr>
          <w:color w:val="000000"/>
          <w:szCs w:val="24"/>
          <w:lang w:eastAsia="en-US"/>
        </w:rPr>
      </w:pPr>
      <w:r w:rsidRPr="008E2C4B">
        <w:rPr>
          <w:color w:val="000000"/>
          <w:szCs w:val="24"/>
        </w:rPr>
        <w:t>Dette veterinærlægemiddel kræver ingen særlige forholdsregler vedrørende opbevaringen.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6.5</w:t>
      </w:r>
      <w:r w:rsidRPr="008E2C4B">
        <w:rPr>
          <w:b/>
          <w:sz w:val="24"/>
          <w:szCs w:val="24"/>
        </w:rPr>
        <w:tab/>
        <w:t>Emballage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Primær emballage: Flaske i klar </w:t>
      </w:r>
      <w:proofErr w:type="spellStart"/>
      <w:r w:rsidRPr="008E2C4B">
        <w:rPr>
          <w:color w:val="000000"/>
          <w:sz w:val="24"/>
          <w:szCs w:val="24"/>
        </w:rPr>
        <w:t>polyethylenterephthalat</w:t>
      </w:r>
      <w:proofErr w:type="spellEnd"/>
      <w:r w:rsidRPr="008E2C4B">
        <w:rPr>
          <w:color w:val="000000"/>
          <w:sz w:val="24"/>
          <w:szCs w:val="24"/>
        </w:rPr>
        <w:t xml:space="preserve"> (PET) lukket med grå </w:t>
      </w:r>
      <w:proofErr w:type="spellStart"/>
      <w:r w:rsidRPr="008E2C4B">
        <w:rPr>
          <w:color w:val="000000"/>
          <w:sz w:val="24"/>
          <w:szCs w:val="24"/>
        </w:rPr>
        <w:t>brombutylgummiprop</w:t>
      </w:r>
      <w:proofErr w:type="spellEnd"/>
      <w:r w:rsidRPr="008E2C4B">
        <w:rPr>
          <w:color w:val="000000"/>
          <w:sz w:val="24"/>
          <w:szCs w:val="24"/>
        </w:rPr>
        <w:t xml:space="preserve"> forseglet med aluminiumshætte (hætteglas).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  <w:u w:val="single"/>
        </w:rPr>
        <w:t xml:space="preserve">Pakningsstørrelser: 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Papæske med et hætteglas a 100 ml 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Papæske med et hætteglas a 500 ml 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Ikke alle pakningsstørrelser er nødvendigvis markedsført.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6.6</w:t>
      </w:r>
      <w:r w:rsidRPr="008E2C4B">
        <w:rPr>
          <w:b/>
          <w:sz w:val="24"/>
          <w:szCs w:val="24"/>
        </w:rPr>
        <w:tab/>
        <w:t>Særlige forholdsregler ved bortskaffelse af rester af lægemidlet eller affald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sz w:val="24"/>
          <w:szCs w:val="24"/>
        </w:rPr>
        <w:t>Ikke anvendte veterinærlægemidler samt affald heraf bør destrueres i henhold til lokale retningslinjer</w:t>
      </w:r>
      <w:r w:rsidRPr="008E2C4B">
        <w:rPr>
          <w:color w:val="000000"/>
          <w:sz w:val="24"/>
          <w:szCs w:val="24"/>
        </w:rPr>
        <w:t>.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7.</w:t>
      </w:r>
      <w:r w:rsidRPr="008E2C4B">
        <w:rPr>
          <w:b/>
          <w:sz w:val="24"/>
          <w:szCs w:val="24"/>
        </w:rPr>
        <w:tab/>
        <w:t>INDEHAVER AF MARKEDSFØRINGSTILLADELSEN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proofErr w:type="spellStart"/>
      <w:r w:rsidRPr="008E2C4B">
        <w:rPr>
          <w:color w:val="000000"/>
          <w:sz w:val="24"/>
          <w:szCs w:val="24"/>
        </w:rPr>
        <w:t>Warburton</w:t>
      </w:r>
      <w:proofErr w:type="spellEnd"/>
      <w:r w:rsidRPr="008E2C4B">
        <w:rPr>
          <w:color w:val="000000"/>
          <w:sz w:val="24"/>
          <w:szCs w:val="24"/>
        </w:rPr>
        <w:t xml:space="preserve"> Technology Limited,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 xml:space="preserve">36 Fitzwilliam Square </w:t>
      </w:r>
    </w:p>
    <w:p w:rsidR="006A4BD5" w:rsidRPr="008E2C4B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Dublin 2</w:t>
      </w:r>
    </w:p>
    <w:p w:rsidR="006A4BD5" w:rsidRDefault="006A4BD5" w:rsidP="008E2C4B">
      <w:pPr>
        <w:ind w:left="851"/>
        <w:rPr>
          <w:color w:val="000000"/>
          <w:sz w:val="24"/>
          <w:szCs w:val="24"/>
        </w:rPr>
      </w:pPr>
      <w:r w:rsidRPr="008E2C4B">
        <w:rPr>
          <w:color w:val="000000"/>
          <w:sz w:val="24"/>
          <w:szCs w:val="24"/>
        </w:rPr>
        <w:t>Irland</w:t>
      </w:r>
    </w:p>
    <w:p w:rsidR="000B5CF5" w:rsidRDefault="000B5CF5" w:rsidP="008E2C4B">
      <w:pPr>
        <w:ind w:left="851"/>
        <w:rPr>
          <w:color w:val="000000"/>
          <w:sz w:val="24"/>
          <w:szCs w:val="24"/>
        </w:rPr>
      </w:pPr>
    </w:p>
    <w:p w:rsidR="000B5CF5" w:rsidRDefault="000B5CF5" w:rsidP="008E2C4B">
      <w:pPr>
        <w:ind w:left="85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Repræsentant</w:t>
      </w:r>
    </w:p>
    <w:p w:rsidR="000B5CF5" w:rsidRPr="000B5CF5" w:rsidRDefault="000B5CF5" w:rsidP="000B5CF5">
      <w:pPr>
        <w:ind w:left="851"/>
        <w:rPr>
          <w:color w:val="000000"/>
          <w:sz w:val="24"/>
          <w:szCs w:val="24"/>
        </w:rPr>
      </w:pPr>
      <w:proofErr w:type="spellStart"/>
      <w:r w:rsidRPr="000B5CF5">
        <w:rPr>
          <w:color w:val="000000"/>
          <w:sz w:val="24"/>
          <w:szCs w:val="24"/>
        </w:rPr>
        <w:t>Salfarm</w:t>
      </w:r>
      <w:proofErr w:type="spellEnd"/>
      <w:r w:rsidRPr="000B5CF5">
        <w:rPr>
          <w:color w:val="000000"/>
          <w:sz w:val="24"/>
          <w:szCs w:val="24"/>
        </w:rPr>
        <w:t xml:space="preserve"> Danmark A/S</w:t>
      </w:r>
    </w:p>
    <w:p w:rsidR="000B5CF5" w:rsidRPr="000B5CF5" w:rsidRDefault="000B5CF5" w:rsidP="000B5CF5">
      <w:pPr>
        <w:ind w:left="851"/>
        <w:rPr>
          <w:color w:val="000000"/>
          <w:sz w:val="24"/>
          <w:szCs w:val="24"/>
        </w:rPr>
      </w:pPr>
      <w:r w:rsidRPr="000B5CF5">
        <w:rPr>
          <w:color w:val="000000"/>
          <w:sz w:val="24"/>
          <w:szCs w:val="24"/>
        </w:rPr>
        <w:t>Nordager 19</w:t>
      </w:r>
    </w:p>
    <w:p w:rsidR="000B5CF5" w:rsidRPr="000B5CF5" w:rsidRDefault="000B5CF5" w:rsidP="000B5CF5">
      <w:pPr>
        <w:ind w:left="851"/>
        <w:rPr>
          <w:color w:val="000000"/>
          <w:sz w:val="24"/>
          <w:szCs w:val="24"/>
        </w:rPr>
      </w:pPr>
      <w:r w:rsidRPr="000B5CF5">
        <w:rPr>
          <w:color w:val="000000"/>
          <w:sz w:val="24"/>
          <w:szCs w:val="24"/>
        </w:rPr>
        <w:t>6000 Kolding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8.</w:t>
      </w:r>
      <w:r w:rsidRPr="008E2C4B">
        <w:rPr>
          <w:b/>
          <w:sz w:val="24"/>
          <w:szCs w:val="24"/>
        </w:rPr>
        <w:tab/>
        <w:t>MARKEDSFØRINGSTILLADELSESNUMMER (NUMRE)</w:t>
      </w:r>
    </w:p>
    <w:p w:rsidR="005B0036" w:rsidRPr="008E2C4B" w:rsidRDefault="00DF4B4F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E2C4B">
        <w:rPr>
          <w:sz w:val="24"/>
          <w:szCs w:val="24"/>
        </w:rPr>
        <w:t>64878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9.</w:t>
      </w:r>
      <w:r w:rsidRPr="008E2C4B">
        <w:rPr>
          <w:b/>
          <w:sz w:val="24"/>
          <w:szCs w:val="24"/>
        </w:rPr>
        <w:tab/>
        <w:t>DATO FOR FØRSTE MARKEDSFØRINGSTILLADELSE</w:t>
      </w:r>
    </w:p>
    <w:p w:rsidR="005B0036" w:rsidRPr="008E2C4B" w:rsidRDefault="007F2A83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februar 2022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10.</w:t>
      </w:r>
      <w:r w:rsidRPr="008E2C4B">
        <w:rPr>
          <w:b/>
          <w:sz w:val="24"/>
          <w:szCs w:val="24"/>
        </w:rPr>
        <w:tab/>
        <w:t>DATO FOR ÆNDRING AF TEKSTEN</w:t>
      </w:r>
    </w:p>
    <w:p w:rsidR="005B0036" w:rsidRPr="008E2C4B" w:rsidRDefault="00A62F56" w:rsidP="00A62F56">
      <w:pPr>
        <w:tabs>
          <w:tab w:val="left" w:pos="851"/>
          <w:tab w:val="left" w:pos="822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17618">
        <w:rPr>
          <w:sz w:val="24"/>
          <w:szCs w:val="24"/>
        </w:rPr>
        <w:t>10</w:t>
      </w:r>
      <w:bookmarkStart w:id="0" w:name="_GoBack"/>
      <w:bookmarkEnd w:id="0"/>
      <w:r>
        <w:rPr>
          <w:sz w:val="24"/>
          <w:szCs w:val="24"/>
        </w:rPr>
        <w:t>. december 2024</w:t>
      </w:r>
    </w:p>
    <w:p w:rsidR="005B0036" w:rsidRPr="008E2C4B" w:rsidRDefault="005B0036" w:rsidP="008E2C4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8E2C4B" w:rsidRDefault="005B0036" w:rsidP="008E2C4B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8E2C4B">
        <w:rPr>
          <w:b/>
          <w:sz w:val="24"/>
          <w:szCs w:val="24"/>
        </w:rPr>
        <w:t>11.</w:t>
      </w:r>
      <w:r w:rsidRPr="008E2C4B">
        <w:rPr>
          <w:b/>
          <w:sz w:val="24"/>
          <w:szCs w:val="24"/>
        </w:rPr>
        <w:tab/>
        <w:t>UDLEVERINGSBESTEMMELSE</w:t>
      </w:r>
    </w:p>
    <w:p w:rsidR="0003527F" w:rsidRPr="008E2C4B" w:rsidRDefault="008E2C4B" w:rsidP="00EB1C2A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8E2C4B">
        <w:rPr>
          <w:szCs w:val="24"/>
        </w:rPr>
        <w:t>BP</w:t>
      </w:r>
    </w:p>
    <w:sectPr w:rsidR="0003527F" w:rsidRPr="008E2C4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E" w:rsidRDefault="00717A8E">
      <w:r>
        <w:separator/>
      </w:r>
    </w:p>
  </w:endnote>
  <w:endnote w:type="continuationSeparator" w:id="0">
    <w:p w:rsidR="00717A8E" w:rsidRDefault="0071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E31E2">
      <w:rPr>
        <w:i/>
        <w:noProof/>
        <w:snapToGrid w:val="0"/>
        <w:sz w:val="18"/>
      </w:rPr>
      <w:t>Multimin Vet</w:t>
    </w:r>
    <w:r w:rsidR="00D76883">
      <w:rPr>
        <w:i/>
        <w:noProof/>
        <w:snapToGrid w:val="0"/>
        <w:sz w:val="18"/>
      </w:rPr>
      <w:t>, injektionsvæske, opløsning 60+10+15+5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E31E2">
      <w:rPr>
        <w:i/>
        <w:noProof/>
        <w:snapToGrid w:val="0"/>
        <w:sz w:val="18"/>
      </w:rPr>
      <w:t>Multimin Vet</w:t>
    </w:r>
    <w:r w:rsidR="00D76883">
      <w:rPr>
        <w:i/>
        <w:noProof/>
        <w:snapToGrid w:val="0"/>
        <w:sz w:val="18"/>
      </w:rPr>
      <w:t>, injektionsvæske, opløsning 60+10+15+5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E" w:rsidRDefault="00717A8E">
      <w:r>
        <w:separator/>
      </w:r>
    </w:p>
  </w:footnote>
  <w:footnote w:type="continuationSeparator" w:id="0">
    <w:p w:rsidR="00717A8E" w:rsidRDefault="0071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47EF3"/>
    <w:multiLevelType w:val="hybridMultilevel"/>
    <w:tmpl w:val="EF44C3D8"/>
    <w:lvl w:ilvl="0" w:tplc="FFFFFFFF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A2D77FF"/>
    <w:multiLevelType w:val="hybridMultilevel"/>
    <w:tmpl w:val="63D69802"/>
    <w:lvl w:ilvl="0" w:tplc="FC02775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2"/>
        <w:szCs w:val="22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1CE1C58"/>
    <w:multiLevelType w:val="hybridMultilevel"/>
    <w:tmpl w:val="1664447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83427"/>
    <w:multiLevelType w:val="hybridMultilevel"/>
    <w:tmpl w:val="0CBCCD1C"/>
    <w:lvl w:ilvl="0" w:tplc="FFFFFFFF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7F33E99"/>
    <w:multiLevelType w:val="hybridMultilevel"/>
    <w:tmpl w:val="692E63C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942B1"/>
    <w:multiLevelType w:val="multilevel"/>
    <w:tmpl w:val="9D2E689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C1790"/>
    <w:multiLevelType w:val="hybridMultilevel"/>
    <w:tmpl w:val="6D3C2D7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585375"/>
    <w:multiLevelType w:val="hybridMultilevel"/>
    <w:tmpl w:val="DEF632B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704EC8"/>
    <w:multiLevelType w:val="hybridMultilevel"/>
    <w:tmpl w:val="98B24D7E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1374E37"/>
    <w:multiLevelType w:val="hybridMultilevel"/>
    <w:tmpl w:val="978448A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47472E"/>
    <w:multiLevelType w:val="hybridMultilevel"/>
    <w:tmpl w:val="F1560C3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2"/>
  </w:num>
  <w:num w:numId="12">
    <w:abstractNumId w:val="0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627"/>
    <w:rsid w:val="0003527F"/>
    <w:rsid w:val="00036DBD"/>
    <w:rsid w:val="00065C7D"/>
    <w:rsid w:val="000B5CF5"/>
    <w:rsid w:val="000C6CD4"/>
    <w:rsid w:val="000E31E2"/>
    <w:rsid w:val="001577E4"/>
    <w:rsid w:val="001858CA"/>
    <w:rsid w:val="001C4AEF"/>
    <w:rsid w:val="001D3CC5"/>
    <w:rsid w:val="00275627"/>
    <w:rsid w:val="00297F31"/>
    <w:rsid w:val="00322BDE"/>
    <w:rsid w:val="004051ED"/>
    <w:rsid w:val="00406EE7"/>
    <w:rsid w:val="00407013"/>
    <w:rsid w:val="00417618"/>
    <w:rsid w:val="004202D2"/>
    <w:rsid w:val="00461536"/>
    <w:rsid w:val="004A62CC"/>
    <w:rsid w:val="004D6BAB"/>
    <w:rsid w:val="00565A74"/>
    <w:rsid w:val="005B0036"/>
    <w:rsid w:val="005F5831"/>
    <w:rsid w:val="00662012"/>
    <w:rsid w:val="00666B01"/>
    <w:rsid w:val="006749CE"/>
    <w:rsid w:val="006A4BD5"/>
    <w:rsid w:val="006B1539"/>
    <w:rsid w:val="006F5621"/>
    <w:rsid w:val="00717A8E"/>
    <w:rsid w:val="007E2A00"/>
    <w:rsid w:val="007F2A83"/>
    <w:rsid w:val="008010F2"/>
    <w:rsid w:val="008140CB"/>
    <w:rsid w:val="00847026"/>
    <w:rsid w:val="008E2C4B"/>
    <w:rsid w:val="009202AE"/>
    <w:rsid w:val="009A0F13"/>
    <w:rsid w:val="009D66C6"/>
    <w:rsid w:val="00A05569"/>
    <w:rsid w:val="00A62F56"/>
    <w:rsid w:val="00A96525"/>
    <w:rsid w:val="00AA28F7"/>
    <w:rsid w:val="00AE29E5"/>
    <w:rsid w:val="00AE5757"/>
    <w:rsid w:val="00B25EB8"/>
    <w:rsid w:val="00B324A7"/>
    <w:rsid w:val="00BC634B"/>
    <w:rsid w:val="00BF2AE0"/>
    <w:rsid w:val="00C479BF"/>
    <w:rsid w:val="00CC134D"/>
    <w:rsid w:val="00D34C49"/>
    <w:rsid w:val="00D440B4"/>
    <w:rsid w:val="00D76883"/>
    <w:rsid w:val="00D95650"/>
    <w:rsid w:val="00DD6D71"/>
    <w:rsid w:val="00DF32BE"/>
    <w:rsid w:val="00DF4B4F"/>
    <w:rsid w:val="00E14F0A"/>
    <w:rsid w:val="00E42E56"/>
    <w:rsid w:val="00EB1C2A"/>
    <w:rsid w:val="00EB5778"/>
    <w:rsid w:val="00EE5253"/>
    <w:rsid w:val="00F74426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AC835"/>
  <w15:chartTrackingRefBased/>
  <w15:docId w15:val="{A6678CFF-C814-4413-8AAA-5918054A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Applresponse">
    <w:name w:val="Appl response"/>
    <w:basedOn w:val="Normal"/>
    <w:rsid w:val="00D95650"/>
    <w:pPr>
      <w:jc w:val="both"/>
    </w:pPr>
    <w:rPr>
      <w:rFonts w:ascii="Arial" w:hAnsi="Arial"/>
      <w:b/>
      <w:color w:val="0000FF"/>
      <w:sz w:val="22"/>
      <w:lang w:eastAsia="de-DE"/>
    </w:rPr>
  </w:style>
  <w:style w:type="paragraph" w:styleId="Brdtekst">
    <w:name w:val="Body Text"/>
    <w:basedOn w:val="Normal"/>
    <w:link w:val="BrdtekstTegn"/>
    <w:semiHidden/>
    <w:unhideWhenUsed/>
    <w:rsid w:val="006A4BD5"/>
    <w:pPr>
      <w:jc w:val="both"/>
    </w:pPr>
    <w:rPr>
      <w:sz w:val="22"/>
    </w:rPr>
  </w:style>
  <w:style w:type="character" w:customStyle="1" w:styleId="BrdtekstTegn">
    <w:name w:val="Brødtekst Tegn"/>
    <w:basedOn w:val="Standardskrifttypeiafsnit"/>
    <w:link w:val="Brdtekst"/>
    <w:semiHidden/>
    <w:rsid w:val="006A4BD5"/>
    <w:rPr>
      <w:sz w:val="22"/>
      <w:lang w:eastAsia="en-US"/>
    </w:rPr>
  </w:style>
  <w:style w:type="paragraph" w:styleId="Listeafsnit">
    <w:name w:val="List Paragraph"/>
    <w:basedOn w:val="Normal"/>
    <w:uiPriority w:val="34"/>
    <w:qFormat/>
    <w:rsid w:val="00B3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1448</Words>
  <Characters>9063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Alexandra Wæver</dc:creator>
  <cp:keywords/>
  <dc:description>2023113321 punkt 4.6 + 4.10</dc:description>
  <cp:lastModifiedBy>Alexandra Wæver</cp:lastModifiedBy>
  <cp:revision>2</cp:revision>
  <dcterms:created xsi:type="dcterms:W3CDTF">2024-12-10T08:50:00Z</dcterms:created>
  <dcterms:modified xsi:type="dcterms:W3CDTF">2024-12-10T08:50:00Z</dcterms:modified>
</cp:coreProperties>
</file>