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E7659" w14:textId="77777777" w:rsidR="008203A8" w:rsidRPr="00AF4305" w:rsidRDefault="008203A8" w:rsidP="008203A8">
      <w:pPr>
        <w:rPr>
          <w:sz w:val="24"/>
          <w:szCs w:val="24"/>
        </w:rPr>
      </w:pPr>
      <w:bookmarkStart w:id="0" w:name="_GoBack"/>
      <w:bookmarkEnd w:id="0"/>
      <w:r w:rsidRPr="00AF4305">
        <w:rPr>
          <w:noProof/>
          <w:sz w:val="24"/>
          <w:szCs w:val="24"/>
          <w:lang w:eastAsia="da-DK"/>
        </w:rPr>
        <w:drawing>
          <wp:inline distT="0" distB="0" distL="0" distR="0" wp14:anchorId="6CE0CB4A" wp14:editId="06E3C40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80EFA3D" w14:textId="77777777" w:rsidR="008203A8" w:rsidRPr="00AF4305" w:rsidRDefault="008203A8" w:rsidP="008203A8">
      <w:pPr>
        <w:rPr>
          <w:sz w:val="24"/>
          <w:szCs w:val="24"/>
        </w:rPr>
      </w:pPr>
    </w:p>
    <w:p w14:paraId="21A2E20F" w14:textId="4ECC7981" w:rsidR="008203A8" w:rsidRPr="00AF4305" w:rsidRDefault="008203A8" w:rsidP="008203A8">
      <w:pPr>
        <w:tabs>
          <w:tab w:val="right" w:pos="9356"/>
        </w:tabs>
        <w:rPr>
          <w:b/>
          <w:sz w:val="24"/>
          <w:szCs w:val="24"/>
        </w:rPr>
      </w:pPr>
      <w:r w:rsidRPr="00AF4305">
        <w:rPr>
          <w:b/>
          <w:sz w:val="24"/>
          <w:szCs w:val="24"/>
        </w:rPr>
        <w:tab/>
      </w:r>
      <w:r w:rsidR="00A2479B">
        <w:rPr>
          <w:b/>
          <w:sz w:val="24"/>
          <w:szCs w:val="24"/>
        </w:rPr>
        <w:t>10</w:t>
      </w:r>
      <w:r w:rsidR="00446B76">
        <w:rPr>
          <w:b/>
          <w:sz w:val="24"/>
          <w:szCs w:val="24"/>
        </w:rPr>
        <w:t xml:space="preserve">. </w:t>
      </w:r>
      <w:r w:rsidR="00A2479B">
        <w:rPr>
          <w:b/>
          <w:sz w:val="24"/>
          <w:szCs w:val="24"/>
        </w:rPr>
        <w:t>januar</w:t>
      </w:r>
      <w:r w:rsidR="00446B76">
        <w:rPr>
          <w:b/>
          <w:sz w:val="24"/>
          <w:szCs w:val="24"/>
        </w:rPr>
        <w:t xml:space="preserve"> 202</w:t>
      </w:r>
      <w:r w:rsidR="00A2479B">
        <w:rPr>
          <w:b/>
          <w:sz w:val="24"/>
          <w:szCs w:val="24"/>
        </w:rPr>
        <w:t>4</w:t>
      </w:r>
    </w:p>
    <w:p w14:paraId="00C72282" w14:textId="39E9DB46" w:rsidR="008203A8" w:rsidRPr="00AF4305" w:rsidRDefault="008203A8" w:rsidP="008203A8">
      <w:pPr>
        <w:rPr>
          <w:sz w:val="24"/>
          <w:szCs w:val="24"/>
        </w:rPr>
      </w:pPr>
    </w:p>
    <w:p w14:paraId="5B8DE1C6" w14:textId="710C11DF" w:rsidR="00A54E54" w:rsidRPr="00AF4305" w:rsidRDefault="00A54E54" w:rsidP="008203A8">
      <w:pPr>
        <w:rPr>
          <w:sz w:val="24"/>
          <w:szCs w:val="24"/>
        </w:rPr>
      </w:pPr>
    </w:p>
    <w:p w14:paraId="4939789C" w14:textId="77777777" w:rsidR="00A54E54" w:rsidRPr="00AF4305" w:rsidRDefault="00A54E54" w:rsidP="008203A8">
      <w:pPr>
        <w:rPr>
          <w:sz w:val="24"/>
          <w:szCs w:val="24"/>
        </w:rPr>
      </w:pPr>
    </w:p>
    <w:p w14:paraId="3BB2CC78" w14:textId="77777777" w:rsidR="008203A8" w:rsidRPr="00AF4305" w:rsidRDefault="008203A8" w:rsidP="008203A8">
      <w:pPr>
        <w:jc w:val="center"/>
        <w:rPr>
          <w:b/>
          <w:sz w:val="24"/>
          <w:szCs w:val="24"/>
        </w:rPr>
      </w:pPr>
      <w:r w:rsidRPr="00AF4305">
        <w:rPr>
          <w:b/>
          <w:sz w:val="24"/>
          <w:szCs w:val="24"/>
        </w:rPr>
        <w:t>PRODUKTRESUMÉ</w:t>
      </w:r>
    </w:p>
    <w:p w14:paraId="555AEA3D" w14:textId="77777777" w:rsidR="008203A8" w:rsidRPr="00AF4305" w:rsidRDefault="008203A8" w:rsidP="008203A8">
      <w:pPr>
        <w:jc w:val="center"/>
        <w:rPr>
          <w:b/>
          <w:sz w:val="24"/>
          <w:szCs w:val="24"/>
        </w:rPr>
      </w:pPr>
    </w:p>
    <w:p w14:paraId="1BD90D6A" w14:textId="77777777" w:rsidR="008203A8" w:rsidRPr="00AF4305" w:rsidRDefault="008203A8" w:rsidP="008203A8">
      <w:pPr>
        <w:jc w:val="center"/>
        <w:rPr>
          <w:b/>
          <w:sz w:val="24"/>
          <w:szCs w:val="24"/>
        </w:rPr>
      </w:pPr>
      <w:r w:rsidRPr="00AF4305">
        <w:rPr>
          <w:b/>
          <w:sz w:val="24"/>
          <w:szCs w:val="24"/>
        </w:rPr>
        <w:t>for</w:t>
      </w:r>
    </w:p>
    <w:p w14:paraId="70E45A85" w14:textId="77777777" w:rsidR="008203A8" w:rsidRPr="00AF4305" w:rsidRDefault="008203A8" w:rsidP="008203A8">
      <w:pPr>
        <w:jc w:val="center"/>
        <w:rPr>
          <w:b/>
          <w:sz w:val="24"/>
          <w:szCs w:val="24"/>
        </w:rPr>
      </w:pPr>
    </w:p>
    <w:p w14:paraId="0371974E" w14:textId="3ABC5A4D" w:rsidR="008203A8" w:rsidRPr="00AF4305" w:rsidRDefault="00C81DA1" w:rsidP="008203A8">
      <w:pPr>
        <w:jc w:val="center"/>
        <w:rPr>
          <w:b/>
          <w:sz w:val="24"/>
          <w:szCs w:val="24"/>
        </w:rPr>
      </w:pPr>
      <w:proofErr w:type="spellStart"/>
      <w:r w:rsidRPr="00AF4305">
        <w:rPr>
          <w:b/>
          <w:sz w:val="24"/>
          <w:szCs w:val="24"/>
        </w:rPr>
        <w:t>Neuton</w:t>
      </w:r>
      <w:proofErr w:type="spellEnd"/>
      <w:r w:rsidRPr="00AF4305">
        <w:rPr>
          <w:b/>
          <w:sz w:val="24"/>
          <w:szCs w:val="24"/>
        </w:rPr>
        <w:t xml:space="preserve"> </w:t>
      </w:r>
      <w:proofErr w:type="spellStart"/>
      <w:r w:rsidRPr="00AF4305">
        <w:rPr>
          <w:b/>
          <w:sz w:val="24"/>
          <w:szCs w:val="24"/>
        </w:rPr>
        <w:t>Vet</w:t>
      </w:r>
      <w:proofErr w:type="spellEnd"/>
      <w:r w:rsidRPr="00AF4305">
        <w:rPr>
          <w:b/>
          <w:sz w:val="24"/>
          <w:szCs w:val="24"/>
        </w:rPr>
        <w:t>., injektionsvæske, opløsning</w:t>
      </w:r>
    </w:p>
    <w:p w14:paraId="4DF3E5BF" w14:textId="77777777" w:rsidR="008203A8" w:rsidRPr="00AF4305" w:rsidRDefault="008203A8" w:rsidP="008203A8">
      <w:pPr>
        <w:jc w:val="both"/>
        <w:rPr>
          <w:sz w:val="24"/>
          <w:szCs w:val="24"/>
        </w:rPr>
      </w:pPr>
    </w:p>
    <w:p w14:paraId="20C1BD42" w14:textId="77777777" w:rsidR="008203A8" w:rsidRPr="00AF4305" w:rsidRDefault="008203A8" w:rsidP="008203A8">
      <w:pPr>
        <w:jc w:val="both"/>
        <w:rPr>
          <w:sz w:val="24"/>
          <w:szCs w:val="24"/>
        </w:rPr>
      </w:pPr>
    </w:p>
    <w:p w14:paraId="438663E5" w14:textId="77777777" w:rsidR="008203A8" w:rsidRPr="00AF4305" w:rsidRDefault="008203A8" w:rsidP="008203A8">
      <w:pPr>
        <w:ind w:left="851" w:hanging="851"/>
        <w:rPr>
          <w:b/>
          <w:sz w:val="24"/>
          <w:szCs w:val="24"/>
        </w:rPr>
      </w:pPr>
      <w:r w:rsidRPr="00AF4305">
        <w:rPr>
          <w:b/>
          <w:sz w:val="24"/>
          <w:szCs w:val="24"/>
        </w:rPr>
        <w:t>0.</w:t>
      </w:r>
      <w:r w:rsidRPr="00AF4305">
        <w:rPr>
          <w:b/>
          <w:sz w:val="24"/>
          <w:szCs w:val="24"/>
        </w:rPr>
        <w:tab/>
        <w:t>D.SP.NR.</w:t>
      </w:r>
    </w:p>
    <w:p w14:paraId="15B316A5" w14:textId="5C7B9B7B" w:rsidR="008203A8" w:rsidRPr="00AF4305" w:rsidRDefault="00C81DA1" w:rsidP="008203A8">
      <w:pPr>
        <w:ind w:left="851"/>
        <w:rPr>
          <w:sz w:val="24"/>
          <w:szCs w:val="24"/>
        </w:rPr>
      </w:pPr>
      <w:r w:rsidRPr="00AF4305">
        <w:rPr>
          <w:sz w:val="24"/>
          <w:szCs w:val="24"/>
        </w:rPr>
        <w:t>33224</w:t>
      </w:r>
    </w:p>
    <w:p w14:paraId="1278723D" w14:textId="77777777" w:rsidR="008203A8" w:rsidRPr="00AF4305" w:rsidRDefault="008203A8" w:rsidP="008203A8">
      <w:pPr>
        <w:ind w:left="851"/>
        <w:rPr>
          <w:sz w:val="24"/>
          <w:szCs w:val="24"/>
        </w:rPr>
      </w:pPr>
    </w:p>
    <w:p w14:paraId="31C34DC7" w14:textId="77777777" w:rsidR="008203A8" w:rsidRPr="00AF4305" w:rsidRDefault="008203A8" w:rsidP="008203A8">
      <w:pPr>
        <w:ind w:left="851" w:hanging="851"/>
        <w:rPr>
          <w:b/>
          <w:sz w:val="24"/>
          <w:szCs w:val="24"/>
        </w:rPr>
      </w:pPr>
      <w:r w:rsidRPr="00AF4305">
        <w:rPr>
          <w:b/>
          <w:sz w:val="24"/>
          <w:szCs w:val="24"/>
        </w:rPr>
        <w:t>1.</w:t>
      </w:r>
      <w:r w:rsidRPr="00AF4305">
        <w:rPr>
          <w:b/>
          <w:sz w:val="24"/>
          <w:szCs w:val="24"/>
        </w:rPr>
        <w:tab/>
        <w:t>VETERINÆRLÆGEMIDLETS NAVN</w:t>
      </w:r>
    </w:p>
    <w:p w14:paraId="2C8B86F0" w14:textId="6FDB5241" w:rsidR="008203A8" w:rsidRPr="00AF4305" w:rsidRDefault="00C81DA1" w:rsidP="008203A8">
      <w:pPr>
        <w:ind w:left="851"/>
        <w:rPr>
          <w:sz w:val="24"/>
          <w:szCs w:val="24"/>
        </w:rPr>
      </w:pPr>
      <w:proofErr w:type="spellStart"/>
      <w:r w:rsidRPr="00AF4305">
        <w:rPr>
          <w:sz w:val="24"/>
          <w:szCs w:val="24"/>
        </w:rPr>
        <w:t>Neuton</w:t>
      </w:r>
      <w:proofErr w:type="spellEnd"/>
      <w:r w:rsidRPr="00AF4305">
        <w:rPr>
          <w:sz w:val="24"/>
          <w:szCs w:val="24"/>
        </w:rPr>
        <w:t xml:space="preserve"> </w:t>
      </w:r>
      <w:proofErr w:type="spellStart"/>
      <w:r w:rsidRPr="00AF4305">
        <w:rPr>
          <w:sz w:val="24"/>
          <w:szCs w:val="24"/>
        </w:rPr>
        <w:t>Vet</w:t>
      </w:r>
      <w:proofErr w:type="spellEnd"/>
      <w:r w:rsidRPr="00AF4305">
        <w:rPr>
          <w:sz w:val="24"/>
          <w:szCs w:val="24"/>
        </w:rPr>
        <w:t>.</w:t>
      </w:r>
    </w:p>
    <w:p w14:paraId="7FC46F23" w14:textId="77777777" w:rsidR="008203A8" w:rsidRPr="00AF4305" w:rsidRDefault="008203A8" w:rsidP="008203A8">
      <w:pPr>
        <w:ind w:left="851"/>
        <w:rPr>
          <w:sz w:val="24"/>
          <w:szCs w:val="24"/>
        </w:rPr>
      </w:pPr>
    </w:p>
    <w:p w14:paraId="2DE89CA2" w14:textId="70BC225A" w:rsidR="008203A8" w:rsidRPr="00AF4305" w:rsidRDefault="008203A8" w:rsidP="008203A8">
      <w:pPr>
        <w:ind w:left="851"/>
        <w:rPr>
          <w:sz w:val="24"/>
          <w:szCs w:val="24"/>
        </w:rPr>
      </w:pPr>
      <w:r w:rsidRPr="00AF4305">
        <w:rPr>
          <w:sz w:val="24"/>
          <w:szCs w:val="24"/>
        </w:rPr>
        <w:t xml:space="preserve">Lægemiddelform: </w:t>
      </w:r>
      <w:r w:rsidR="003C0325" w:rsidRPr="00AF4305">
        <w:rPr>
          <w:sz w:val="24"/>
          <w:szCs w:val="24"/>
        </w:rPr>
        <w:t>I</w:t>
      </w:r>
      <w:r w:rsidR="00C81DA1" w:rsidRPr="00AF4305">
        <w:rPr>
          <w:sz w:val="24"/>
          <w:szCs w:val="24"/>
        </w:rPr>
        <w:t>njektionsvæske, opløsning</w:t>
      </w:r>
    </w:p>
    <w:p w14:paraId="4FCDC3B3" w14:textId="1535271B" w:rsidR="008203A8" w:rsidRPr="00AF4305" w:rsidRDefault="008203A8" w:rsidP="008203A8">
      <w:pPr>
        <w:ind w:left="851"/>
        <w:rPr>
          <w:sz w:val="24"/>
          <w:szCs w:val="24"/>
        </w:rPr>
      </w:pPr>
      <w:r w:rsidRPr="00AF4305">
        <w:rPr>
          <w:sz w:val="24"/>
          <w:szCs w:val="24"/>
        </w:rPr>
        <w:t xml:space="preserve">Styrke(r): </w:t>
      </w:r>
      <w:r w:rsidR="00C81DA1" w:rsidRPr="00AF4305">
        <w:rPr>
          <w:sz w:val="24"/>
          <w:szCs w:val="24"/>
        </w:rPr>
        <w:t>200/40 mg/ml</w:t>
      </w:r>
    </w:p>
    <w:p w14:paraId="23D9837E" w14:textId="77777777" w:rsidR="008203A8" w:rsidRPr="00AF4305" w:rsidRDefault="008203A8" w:rsidP="008203A8">
      <w:pPr>
        <w:ind w:left="851"/>
        <w:rPr>
          <w:sz w:val="24"/>
          <w:szCs w:val="24"/>
        </w:rPr>
      </w:pPr>
    </w:p>
    <w:p w14:paraId="6A964DF7" w14:textId="77777777" w:rsidR="008203A8" w:rsidRPr="00AF4305" w:rsidRDefault="008203A8" w:rsidP="008203A8">
      <w:pPr>
        <w:ind w:left="851" w:hanging="851"/>
        <w:rPr>
          <w:b/>
          <w:sz w:val="24"/>
          <w:szCs w:val="24"/>
        </w:rPr>
      </w:pPr>
      <w:r w:rsidRPr="00AF4305">
        <w:rPr>
          <w:b/>
          <w:sz w:val="24"/>
          <w:szCs w:val="24"/>
        </w:rPr>
        <w:t>2.</w:t>
      </w:r>
      <w:r w:rsidRPr="00AF4305">
        <w:rPr>
          <w:b/>
          <w:sz w:val="24"/>
          <w:szCs w:val="24"/>
        </w:rPr>
        <w:tab/>
        <w:t>KVALITATIV OG KVANTITATIV SAMMENSÆTNING</w:t>
      </w:r>
    </w:p>
    <w:p w14:paraId="6265A2B3" w14:textId="77777777" w:rsidR="003C0325" w:rsidRPr="00AF4305" w:rsidRDefault="003C0325" w:rsidP="00A54E54">
      <w:pPr>
        <w:tabs>
          <w:tab w:val="left" w:pos="3544"/>
        </w:tabs>
        <w:ind w:left="851"/>
        <w:rPr>
          <w:sz w:val="24"/>
          <w:szCs w:val="24"/>
        </w:rPr>
      </w:pPr>
      <w:r w:rsidRPr="00AF4305">
        <w:rPr>
          <w:sz w:val="24"/>
          <w:szCs w:val="24"/>
        </w:rPr>
        <w:t>Hver ml indeholder:</w:t>
      </w:r>
    </w:p>
    <w:p w14:paraId="701F9314" w14:textId="77777777" w:rsidR="003C0325" w:rsidRPr="00AF4305" w:rsidRDefault="003C0325" w:rsidP="00A54E54">
      <w:pPr>
        <w:tabs>
          <w:tab w:val="left" w:pos="3544"/>
        </w:tabs>
        <w:ind w:left="851"/>
        <w:rPr>
          <w:sz w:val="24"/>
          <w:szCs w:val="24"/>
        </w:rPr>
      </w:pPr>
    </w:p>
    <w:p w14:paraId="065A4F3E" w14:textId="77777777" w:rsidR="003C0325" w:rsidRPr="00AF4305" w:rsidRDefault="003C0325" w:rsidP="00A54E54">
      <w:pPr>
        <w:tabs>
          <w:tab w:val="left" w:pos="3544"/>
        </w:tabs>
        <w:ind w:left="851"/>
        <w:rPr>
          <w:b/>
          <w:sz w:val="24"/>
          <w:szCs w:val="24"/>
        </w:rPr>
      </w:pPr>
      <w:r w:rsidRPr="00AF4305">
        <w:rPr>
          <w:b/>
          <w:sz w:val="24"/>
          <w:szCs w:val="24"/>
        </w:rPr>
        <w:t>Aktive substanser:</w:t>
      </w:r>
    </w:p>
    <w:p w14:paraId="519EC36E" w14:textId="5C5B367D" w:rsidR="003C0325" w:rsidRPr="00AF4305" w:rsidRDefault="003C0325" w:rsidP="00A54E54">
      <w:pPr>
        <w:tabs>
          <w:tab w:val="right" w:pos="3402"/>
          <w:tab w:val="left" w:pos="3544"/>
        </w:tabs>
        <w:ind w:left="851"/>
        <w:rPr>
          <w:iCs/>
          <w:sz w:val="24"/>
          <w:szCs w:val="24"/>
        </w:rPr>
      </w:pPr>
      <w:proofErr w:type="spellStart"/>
      <w:r w:rsidRPr="00AF4305">
        <w:rPr>
          <w:sz w:val="24"/>
          <w:szCs w:val="24"/>
        </w:rPr>
        <w:t>Sulfadiazin</w:t>
      </w:r>
      <w:proofErr w:type="spellEnd"/>
      <w:r w:rsidRPr="00AF4305">
        <w:rPr>
          <w:sz w:val="24"/>
          <w:szCs w:val="24"/>
        </w:rPr>
        <w:tab/>
        <w:t>200 mg</w:t>
      </w:r>
    </w:p>
    <w:p w14:paraId="52BC3EDB" w14:textId="4DAF95B3" w:rsidR="003C0325" w:rsidRPr="00AF4305" w:rsidRDefault="003C0325" w:rsidP="00A54E54">
      <w:pPr>
        <w:tabs>
          <w:tab w:val="right" w:pos="3402"/>
          <w:tab w:val="left" w:pos="3544"/>
        </w:tabs>
        <w:ind w:left="851"/>
        <w:rPr>
          <w:iCs/>
          <w:sz w:val="24"/>
          <w:szCs w:val="24"/>
        </w:rPr>
      </w:pPr>
      <w:proofErr w:type="spellStart"/>
      <w:r w:rsidRPr="00AF4305">
        <w:rPr>
          <w:sz w:val="24"/>
          <w:szCs w:val="24"/>
        </w:rPr>
        <w:t>Trimethoprim</w:t>
      </w:r>
      <w:proofErr w:type="spellEnd"/>
      <w:r w:rsidRPr="00AF4305">
        <w:rPr>
          <w:sz w:val="24"/>
          <w:szCs w:val="24"/>
        </w:rPr>
        <w:tab/>
        <w:t>40 mg</w:t>
      </w:r>
    </w:p>
    <w:p w14:paraId="1AC446FB" w14:textId="77777777" w:rsidR="003C0325" w:rsidRPr="00AF4305" w:rsidRDefault="003C0325" w:rsidP="00A54E54">
      <w:pPr>
        <w:tabs>
          <w:tab w:val="left" w:pos="3544"/>
        </w:tabs>
        <w:ind w:left="851"/>
        <w:rPr>
          <w:iCs/>
          <w:sz w:val="24"/>
          <w:szCs w:val="24"/>
        </w:rPr>
      </w:pPr>
    </w:p>
    <w:p w14:paraId="76E3C27A" w14:textId="77777777" w:rsidR="003C0325" w:rsidRPr="00AF4305" w:rsidRDefault="003C0325" w:rsidP="00A54E54">
      <w:pPr>
        <w:tabs>
          <w:tab w:val="left" w:pos="3544"/>
        </w:tabs>
        <w:ind w:left="851"/>
        <w:rPr>
          <w:sz w:val="24"/>
          <w:szCs w:val="24"/>
        </w:rPr>
      </w:pPr>
      <w:r w:rsidRPr="00AF4305">
        <w:rPr>
          <w:b/>
          <w:sz w:val="24"/>
          <w:szCs w:val="24"/>
        </w:rPr>
        <w:t>Hjælpestoffer:</w:t>
      </w:r>
    </w:p>
    <w:p w14:paraId="1AA8C479" w14:textId="77777777" w:rsidR="003C0325" w:rsidRPr="00AF4305" w:rsidRDefault="003C0325" w:rsidP="00A54E54">
      <w:pPr>
        <w:tabs>
          <w:tab w:val="left" w:pos="3544"/>
        </w:tabs>
        <w:ind w:left="851"/>
        <w:rPr>
          <w:sz w:val="24"/>
          <w:szCs w:val="24"/>
        </w:rPr>
      </w:pPr>
    </w:p>
    <w:tbl>
      <w:tblPr>
        <w:tblW w:w="861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644"/>
      </w:tblGrid>
      <w:tr w:rsidR="003C0325" w:rsidRPr="00AF4305" w14:paraId="13EA4762" w14:textId="77777777" w:rsidTr="00A54E54">
        <w:tc>
          <w:tcPr>
            <w:tcW w:w="3969" w:type="dxa"/>
            <w:tcBorders>
              <w:top w:val="single" w:sz="4" w:space="0" w:color="000000"/>
              <w:left w:val="single" w:sz="4" w:space="0" w:color="000000"/>
              <w:bottom w:val="single" w:sz="4" w:space="0" w:color="000000"/>
              <w:right w:val="single" w:sz="4" w:space="0" w:color="000000"/>
            </w:tcBorders>
            <w:vAlign w:val="center"/>
            <w:hideMark/>
          </w:tcPr>
          <w:p w14:paraId="57861D10" w14:textId="77777777" w:rsidR="003C0325" w:rsidRPr="00AF4305" w:rsidRDefault="003C0325">
            <w:pPr>
              <w:spacing w:before="60" w:after="60"/>
              <w:rPr>
                <w:iCs/>
                <w:sz w:val="24"/>
                <w:szCs w:val="24"/>
              </w:rPr>
            </w:pPr>
            <w:r w:rsidRPr="00AF4305">
              <w:rPr>
                <w:b/>
                <w:sz w:val="24"/>
                <w:szCs w:val="24"/>
              </w:rPr>
              <w:t>Kvalitativ</w:t>
            </w:r>
            <w:r w:rsidRPr="00AF4305">
              <w:rPr>
                <w:sz w:val="24"/>
                <w:szCs w:val="24"/>
              </w:rPr>
              <w:t xml:space="preserve"> </w:t>
            </w:r>
            <w:r w:rsidRPr="00AF4305">
              <w:rPr>
                <w:b/>
                <w:sz w:val="24"/>
                <w:szCs w:val="24"/>
              </w:rPr>
              <w:t>sammensætning af hjælpestoffer og andre bestanddele</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4F15D71D" w14:textId="77777777" w:rsidR="003C0325" w:rsidRPr="00AF4305" w:rsidRDefault="003C0325">
            <w:pPr>
              <w:spacing w:before="60" w:after="60"/>
              <w:rPr>
                <w:i/>
                <w:iCs/>
                <w:sz w:val="24"/>
                <w:szCs w:val="24"/>
              </w:rPr>
            </w:pPr>
            <w:r w:rsidRPr="00AF4305">
              <w:rPr>
                <w:b/>
                <w:sz w:val="24"/>
                <w:szCs w:val="24"/>
              </w:rPr>
              <w:t>Kvantitativ</w:t>
            </w:r>
            <w:r w:rsidRPr="00AF4305">
              <w:rPr>
                <w:sz w:val="24"/>
                <w:szCs w:val="24"/>
              </w:rPr>
              <w:t xml:space="preserve"> </w:t>
            </w:r>
            <w:r w:rsidRPr="00AF4305">
              <w:rPr>
                <w:b/>
                <w:sz w:val="24"/>
                <w:szCs w:val="24"/>
              </w:rPr>
              <w:t>sammensætning</w:t>
            </w:r>
            <w:r w:rsidRPr="00AF4305">
              <w:rPr>
                <w:sz w:val="24"/>
                <w:szCs w:val="24"/>
              </w:rPr>
              <w:t xml:space="preserve">, </w:t>
            </w:r>
            <w:r w:rsidRPr="00AF4305">
              <w:rPr>
                <w:b/>
                <w:sz w:val="24"/>
                <w:szCs w:val="24"/>
              </w:rPr>
              <w:t>hvis disse oplysninger er væsentlige</w:t>
            </w:r>
            <w:r w:rsidRPr="00AF4305">
              <w:rPr>
                <w:sz w:val="24"/>
                <w:szCs w:val="24"/>
              </w:rPr>
              <w:t xml:space="preserve"> </w:t>
            </w:r>
            <w:r w:rsidRPr="00AF4305">
              <w:rPr>
                <w:b/>
                <w:sz w:val="24"/>
                <w:szCs w:val="24"/>
              </w:rPr>
              <w:t>for passende administration af veterinærlægemidlet</w:t>
            </w:r>
          </w:p>
        </w:tc>
      </w:tr>
      <w:tr w:rsidR="003C0325" w:rsidRPr="00AF4305" w14:paraId="047AAE42" w14:textId="77777777" w:rsidTr="00A54E54">
        <w:tc>
          <w:tcPr>
            <w:tcW w:w="3969" w:type="dxa"/>
            <w:tcBorders>
              <w:top w:val="single" w:sz="4" w:space="0" w:color="000000"/>
              <w:left w:val="single" w:sz="4" w:space="0" w:color="000000"/>
              <w:bottom w:val="single" w:sz="4" w:space="0" w:color="000000"/>
              <w:right w:val="single" w:sz="4" w:space="0" w:color="000000"/>
            </w:tcBorders>
            <w:vAlign w:val="center"/>
            <w:hideMark/>
          </w:tcPr>
          <w:p w14:paraId="1DC137E5" w14:textId="77777777" w:rsidR="003C0325" w:rsidRPr="00AF4305" w:rsidRDefault="003C0325">
            <w:pPr>
              <w:spacing w:before="60" w:after="60"/>
              <w:ind w:left="567" w:hanging="567"/>
              <w:rPr>
                <w:iCs/>
                <w:sz w:val="24"/>
                <w:szCs w:val="24"/>
              </w:rPr>
            </w:pPr>
            <w:proofErr w:type="spellStart"/>
            <w:r w:rsidRPr="00AF4305">
              <w:rPr>
                <w:sz w:val="24"/>
                <w:szCs w:val="24"/>
              </w:rPr>
              <w:t>Chlorocresol</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188A1600" w14:textId="77777777" w:rsidR="003C0325" w:rsidRPr="00AF4305" w:rsidRDefault="003C0325">
            <w:pPr>
              <w:spacing w:before="60" w:after="60"/>
              <w:rPr>
                <w:iCs/>
                <w:sz w:val="24"/>
                <w:szCs w:val="24"/>
              </w:rPr>
            </w:pPr>
            <w:r w:rsidRPr="00AF4305">
              <w:rPr>
                <w:sz w:val="24"/>
                <w:szCs w:val="24"/>
              </w:rPr>
              <w:t>1 mg</w:t>
            </w:r>
          </w:p>
        </w:tc>
      </w:tr>
      <w:tr w:rsidR="003C0325" w:rsidRPr="00AF4305" w14:paraId="38F68A6A" w14:textId="77777777" w:rsidTr="00A54E54">
        <w:tc>
          <w:tcPr>
            <w:tcW w:w="3969" w:type="dxa"/>
            <w:tcBorders>
              <w:top w:val="single" w:sz="4" w:space="0" w:color="000000"/>
              <w:left w:val="single" w:sz="4" w:space="0" w:color="000000"/>
              <w:bottom w:val="single" w:sz="4" w:space="0" w:color="000000"/>
              <w:right w:val="single" w:sz="4" w:space="0" w:color="000000"/>
            </w:tcBorders>
            <w:vAlign w:val="center"/>
            <w:hideMark/>
          </w:tcPr>
          <w:p w14:paraId="717BCC8D" w14:textId="77777777" w:rsidR="003C0325" w:rsidRPr="00AF4305" w:rsidRDefault="003C0325">
            <w:pPr>
              <w:spacing w:before="60" w:after="60"/>
              <w:rPr>
                <w:iCs/>
                <w:sz w:val="24"/>
                <w:szCs w:val="24"/>
              </w:rPr>
            </w:pPr>
            <w:r w:rsidRPr="00AF4305">
              <w:rPr>
                <w:sz w:val="24"/>
                <w:szCs w:val="24"/>
              </w:rPr>
              <w:t>Natriumformaldehyd-</w:t>
            </w:r>
            <w:proofErr w:type="spellStart"/>
            <w:r w:rsidRPr="00AF4305">
              <w:rPr>
                <w:sz w:val="24"/>
                <w:szCs w:val="24"/>
              </w:rPr>
              <w:t>sulfoxylat</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35632E5E" w14:textId="77777777" w:rsidR="003C0325" w:rsidRPr="00AF4305" w:rsidRDefault="003C0325">
            <w:pPr>
              <w:spacing w:before="60" w:after="60"/>
              <w:rPr>
                <w:iCs/>
                <w:sz w:val="24"/>
                <w:szCs w:val="24"/>
              </w:rPr>
            </w:pPr>
            <w:r w:rsidRPr="00AF4305">
              <w:rPr>
                <w:sz w:val="24"/>
                <w:szCs w:val="24"/>
              </w:rPr>
              <w:t>1 mg</w:t>
            </w:r>
          </w:p>
        </w:tc>
      </w:tr>
      <w:tr w:rsidR="003C0325" w:rsidRPr="00AF4305" w14:paraId="127FD6ED" w14:textId="77777777" w:rsidTr="00A54E54">
        <w:tc>
          <w:tcPr>
            <w:tcW w:w="3969" w:type="dxa"/>
            <w:tcBorders>
              <w:top w:val="single" w:sz="4" w:space="0" w:color="000000"/>
              <w:left w:val="single" w:sz="4" w:space="0" w:color="000000"/>
              <w:bottom w:val="single" w:sz="4" w:space="0" w:color="000000"/>
              <w:right w:val="single" w:sz="4" w:space="0" w:color="000000"/>
            </w:tcBorders>
            <w:vAlign w:val="center"/>
            <w:hideMark/>
          </w:tcPr>
          <w:p w14:paraId="6528DC2C" w14:textId="77777777" w:rsidR="003C0325" w:rsidRPr="00AF4305" w:rsidRDefault="003C0325">
            <w:pPr>
              <w:spacing w:before="60" w:after="60"/>
              <w:rPr>
                <w:iCs/>
                <w:sz w:val="24"/>
                <w:szCs w:val="24"/>
              </w:rPr>
            </w:pPr>
            <w:proofErr w:type="spellStart"/>
            <w:r w:rsidRPr="00AF4305">
              <w:rPr>
                <w:sz w:val="24"/>
                <w:szCs w:val="24"/>
              </w:rPr>
              <w:t>Dinatriumedetat</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tcPr>
          <w:p w14:paraId="6B9371C1" w14:textId="77777777" w:rsidR="003C0325" w:rsidRPr="00AF4305" w:rsidRDefault="003C0325">
            <w:pPr>
              <w:spacing w:before="60" w:after="60"/>
              <w:rPr>
                <w:iCs/>
                <w:sz w:val="24"/>
                <w:szCs w:val="24"/>
              </w:rPr>
            </w:pPr>
          </w:p>
        </w:tc>
      </w:tr>
      <w:tr w:rsidR="003C0325" w:rsidRPr="00AF4305" w14:paraId="0D63951E" w14:textId="77777777" w:rsidTr="00A54E54">
        <w:tc>
          <w:tcPr>
            <w:tcW w:w="3969" w:type="dxa"/>
            <w:tcBorders>
              <w:top w:val="single" w:sz="4" w:space="0" w:color="000000"/>
              <w:left w:val="single" w:sz="4" w:space="0" w:color="000000"/>
              <w:bottom w:val="single" w:sz="4" w:space="0" w:color="000000"/>
              <w:right w:val="single" w:sz="4" w:space="0" w:color="000000"/>
            </w:tcBorders>
            <w:vAlign w:val="center"/>
            <w:hideMark/>
          </w:tcPr>
          <w:p w14:paraId="4D650575" w14:textId="77777777" w:rsidR="003C0325" w:rsidRPr="00AF4305" w:rsidRDefault="003C0325">
            <w:pPr>
              <w:spacing w:before="60" w:after="60"/>
              <w:ind w:left="567" w:hanging="567"/>
              <w:rPr>
                <w:bCs/>
                <w:iCs/>
                <w:sz w:val="24"/>
                <w:szCs w:val="24"/>
              </w:rPr>
            </w:pPr>
            <w:r w:rsidRPr="00AF4305">
              <w:rPr>
                <w:sz w:val="24"/>
                <w:szCs w:val="24"/>
              </w:rPr>
              <w:t>Natriumhydroxid</w:t>
            </w:r>
          </w:p>
        </w:tc>
        <w:tc>
          <w:tcPr>
            <w:tcW w:w="4644" w:type="dxa"/>
            <w:tcBorders>
              <w:top w:val="single" w:sz="4" w:space="0" w:color="000000"/>
              <w:left w:val="single" w:sz="4" w:space="0" w:color="000000"/>
              <w:bottom w:val="single" w:sz="4" w:space="0" w:color="000000"/>
              <w:right w:val="single" w:sz="4" w:space="0" w:color="000000"/>
            </w:tcBorders>
            <w:vAlign w:val="center"/>
          </w:tcPr>
          <w:p w14:paraId="378F3EA8" w14:textId="77777777" w:rsidR="003C0325" w:rsidRPr="00AF4305" w:rsidRDefault="003C0325">
            <w:pPr>
              <w:spacing w:before="60" w:after="60"/>
              <w:rPr>
                <w:iCs/>
                <w:sz w:val="24"/>
                <w:szCs w:val="24"/>
              </w:rPr>
            </w:pPr>
          </w:p>
        </w:tc>
      </w:tr>
      <w:tr w:rsidR="003C0325" w:rsidRPr="00AF4305" w14:paraId="59C4AA42" w14:textId="77777777" w:rsidTr="00A54E54">
        <w:tc>
          <w:tcPr>
            <w:tcW w:w="3969" w:type="dxa"/>
            <w:tcBorders>
              <w:top w:val="single" w:sz="4" w:space="0" w:color="000000"/>
              <w:left w:val="single" w:sz="4" w:space="0" w:color="000000"/>
              <w:bottom w:val="single" w:sz="4" w:space="0" w:color="000000"/>
              <w:right w:val="single" w:sz="4" w:space="0" w:color="000000"/>
            </w:tcBorders>
            <w:vAlign w:val="center"/>
            <w:hideMark/>
          </w:tcPr>
          <w:p w14:paraId="405C4A75" w14:textId="77777777" w:rsidR="003C0325" w:rsidRPr="00AF4305" w:rsidRDefault="003C0325">
            <w:pPr>
              <w:spacing w:before="60" w:after="60"/>
              <w:ind w:left="567" w:hanging="567"/>
              <w:rPr>
                <w:bCs/>
                <w:iCs/>
                <w:sz w:val="24"/>
                <w:szCs w:val="24"/>
              </w:rPr>
            </w:pPr>
            <w:r w:rsidRPr="00AF4305">
              <w:rPr>
                <w:sz w:val="24"/>
                <w:szCs w:val="24"/>
              </w:rPr>
              <w:t>N-</w:t>
            </w:r>
            <w:proofErr w:type="spellStart"/>
            <w:r w:rsidRPr="00AF4305">
              <w:rPr>
                <w:sz w:val="24"/>
                <w:szCs w:val="24"/>
              </w:rPr>
              <w:t>methyl</w:t>
            </w:r>
            <w:proofErr w:type="spellEnd"/>
            <w:r w:rsidRPr="00AF4305">
              <w:rPr>
                <w:sz w:val="24"/>
                <w:szCs w:val="24"/>
              </w:rPr>
              <w:t>-</w:t>
            </w:r>
            <w:proofErr w:type="spellStart"/>
            <w:r w:rsidRPr="00AF4305">
              <w:rPr>
                <w:sz w:val="24"/>
                <w:szCs w:val="24"/>
              </w:rPr>
              <w:t>pyrrolidon</w:t>
            </w:r>
            <w:proofErr w:type="spellEnd"/>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2FA14AF0" w14:textId="77777777" w:rsidR="003C0325" w:rsidRPr="00AF4305" w:rsidRDefault="003C0325">
            <w:pPr>
              <w:spacing w:before="60" w:after="60"/>
              <w:rPr>
                <w:iCs/>
                <w:sz w:val="24"/>
                <w:szCs w:val="24"/>
              </w:rPr>
            </w:pPr>
            <w:r w:rsidRPr="00AF4305">
              <w:rPr>
                <w:sz w:val="24"/>
                <w:szCs w:val="24"/>
              </w:rPr>
              <w:t>466 mg</w:t>
            </w:r>
          </w:p>
        </w:tc>
      </w:tr>
      <w:tr w:rsidR="003C0325" w:rsidRPr="00AF4305" w14:paraId="23C68B04" w14:textId="77777777" w:rsidTr="00A54E54">
        <w:tc>
          <w:tcPr>
            <w:tcW w:w="3969" w:type="dxa"/>
            <w:tcBorders>
              <w:top w:val="single" w:sz="4" w:space="0" w:color="000000"/>
              <w:left w:val="single" w:sz="4" w:space="0" w:color="000000"/>
              <w:bottom w:val="single" w:sz="4" w:space="0" w:color="000000"/>
              <w:right w:val="single" w:sz="4" w:space="0" w:color="000000"/>
            </w:tcBorders>
            <w:vAlign w:val="center"/>
            <w:hideMark/>
          </w:tcPr>
          <w:p w14:paraId="68C49458" w14:textId="77777777" w:rsidR="003C0325" w:rsidRPr="00AF4305" w:rsidRDefault="003C0325">
            <w:pPr>
              <w:spacing w:before="60" w:after="60"/>
              <w:rPr>
                <w:iCs/>
                <w:sz w:val="24"/>
                <w:szCs w:val="24"/>
              </w:rPr>
            </w:pPr>
            <w:r w:rsidRPr="00AF4305">
              <w:rPr>
                <w:sz w:val="24"/>
                <w:szCs w:val="24"/>
              </w:rPr>
              <w:t>Vand til injektionsvæsker</w:t>
            </w:r>
          </w:p>
        </w:tc>
        <w:tc>
          <w:tcPr>
            <w:tcW w:w="4644" w:type="dxa"/>
            <w:tcBorders>
              <w:top w:val="single" w:sz="4" w:space="0" w:color="000000"/>
              <w:left w:val="single" w:sz="4" w:space="0" w:color="000000"/>
              <w:bottom w:val="single" w:sz="4" w:space="0" w:color="000000"/>
              <w:right w:val="single" w:sz="4" w:space="0" w:color="000000"/>
            </w:tcBorders>
            <w:vAlign w:val="center"/>
          </w:tcPr>
          <w:p w14:paraId="587BE329" w14:textId="77777777" w:rsidR="003C0325" w:rsidRPr="00AF4305" w:rsidRDefault="003C0325">
            <w:pPr>
              <w:spacing w:before="60" w:after="60"/>
              <w:rPr>
                <w:iCs/>
                <w:sz w:val="24"/>
                <w:szCs w:val="24"/>
              </w:rPr>
            </w:pPr>
          </w:p>
        </w:tc>
      </w:tr>
    </w:tbl>
    <w:p w14:paraId="12CFDA3E" w14:textId="77777777" w:rsidR="003C0325" w:rsidRPr="00AF4305" w:rsidRDefault="003C0325" w:rsidP="003C0325">
      <w:pPr>
        <w:tabs>
          <w:tab w:val="left" w:pos="1304"/>
        </w:tabs>
        <w:rPr>
          <w:sz w:val="24"/>
          <w:szCs w:val="24"/>
        </w:rPr>
      </w:pPr>
    </w:p>
    <w:p w14:paraId="4AF4426E" w14:textId="77777777" w:rsidR="003C0325" w:rsidRPr="00AF4305" w:rsidRDefault="003C0325" w:rsidP="00A54E54">
      <w:pPr>
        <w:ind w:left="851"/>
        <w:rPr>
          <w:sz w:val="24"/>
          <w:szCs w:val="24"/>
        </w:rPr>
      </w:pPr>
      <w:r w:rsidRPr="00AF4305">
        <w:rPr>
          <w:sz w:val="24"/>
          <w:szCs w:val="24"/>
        </w:rPr>
        <w:t>En klar, gul opløsning.</w:t>
      </w:r>
    </w:p>
    <w:p w14:paraId="02931419" w14:textId="0441B8FB" w:rsidR="00AF4305" w:rsidRDefault="00AF4305">
      <w:pPr>
        <w:rPr>
          <w:sz w:val="24"/>
          <w:szCs w:val="24"/>
        </w:rPr>
      </w:pPr>
      <w:r>
        <w:rPr>
          <w:sz w:val="24"/>
          <w:szCs w:val="24"/>
        </w:rPr>
        <w:br w:type="page"/>
      </w:r>
    </w:p>
    <w:p w14:paraId="686225A9" w14:textId="77777777" w:rsidR="008203A8" w:rsidRPr="00AF4305" w:rsidRDefault="008203A8" w:rsidP="008203A8">
      <w:pPr>
        <w:ind w:left="851"/>
        <w:rPr>
          <w:sz w:val="24"/>
          <w:szCs w:val="24"/>
        </w:rPr>
      </w:pPr>
    </w:p>
    <w:p w14:paraId="5F76C325" w14:textId="77777777" w:rsidR="008203A8" w:rsidRPr="00AF4305" w:rsidRDefault="008203A8" w:rsidP="008203A8">
      <w:pPr>
        <w:ind w:left="851" w:hanging="851"/>
        <w:rPr>
          <w:b/>
          <w:sz w:val="24"/>
          <w:szCs w:val="24"/>
        </w:rPr>
      </w:pPr>
      <w:r w:rsidRPr="00AF4305">
        <w:rPr>
          <w:b/>
          <w:sz w:val="24"/>
          <w:szCs w:val="24"/>
        </w:rPr>
        <w:t>3.</w:t>
      </w:r>
      <w:r w:rsidRPr="00AF4305">
        <w:rPr>
          <w:b/>
          <w:sz w:val="24"/>
          <w:szCs w:val="24"/>
        </w:rPr>
        <w:tab/>
        <w:t>KLINISKE OPLYSNINGER</w:t>
      </w:r>
    </w:p>
    <w:p w14:paraId="6A2947E5" w14:textId="77777777" w:rsidR="008203A8" w:rsidRPr="00AF4305" w:rsidRDefault="008203A8" w:rsidP="008203A8">
      <w:pPr>
        <w:tabs>
          <w:tab w:val="left" w:pos="851"/>
        </w:tabs>
        <w:ind w:left="851"/>
        <w:rPr>
          <w:sz w:val="24"/>
          <w:szCs w:val="24"/>
        </w:rPr>
      </w:pPr>
    </w:p>
    <w:p w14:paraId="4CB80AC9" w14:textId="77777777" w:rsidR="008203A8" w:rsidRPr="00AF4305" w:rsidRDefault="008203A8" w:rsidP="008203A8">
      <w:pPr>
        <w:ind w:left="851" w:hanging="851"/>
        <w:rPr>
          <w:b/>
          <w:sz w:val="24"/>
          <w:szCs w:val="24"/>
          <w:u w:val="single"/>
        </w:rPr>
      </w:pPr>
      <w:r w:rsidRPr="00AF4305">
        <w:rPr>
          <w:b/>
          <w:sz w:val="24"/>
          <w:szCs w:val="24"/>
        </w:rPr>
        <w:t>3.1</w:t>
      </w:r>
      <w:r w:rsidRPr="00AF4305">
        <w:rPr>
          <w:b/>
          <w:sz w:val="24"/>
          <w:szCs w:val="24"/>
        </w:rPr>
        <w:tab/>
        <w:t>Dyrearter, som lægemidlet er beregnet til</w:t>
      </w:r>
    </w:p>
    <w:p w14:paraId="491041B4" w14:textId="77777777" w:rsidR="003C0325" w:rsidRPr="00AF4305" w:rsidRDefault="003C0325" w:rsidP="00A54E54">
      <w:pPr>
        <w:ind w:left="851"/>
        <w:rPr>
          <w:sz w:val="24"/>
          <w:szCs w:val="24"/>
        </w:rPr>
      </w:pPr>
      <w:r w:rsidRPr="00AF4305">
        <w:rPr>
          <w:sz w:val="24"/>
          <w:szCs w:val="24"/>
        </w:rPr>
        <w:t>Kvæg, svin, heste, hunde og katte</w:t>
      </w:r>
    </w:p>
    <w:p w14:paraId="6D1134DE" w14:textId="77777777" w:rsidR="008203A8" w:rsidRPr="00AF4305" w:rsidRDefault="008203A8" w:rsidP="008203A8">
      <w:pPr>
        <w:ind w:left="851"/>
        <w:rPr>
          <w:sz w:val="24"/>
          <w:szCs w:val="24"/>
        </w:rPr>
      </w:pPr>
    </w:p>
    <w:p w14:paraId="482611EC" w14:textId="77777777" w:rsidR="008203A8" w:rsidRPr="00AF4305" w:rsidRDefault="008203A8" w:rsidP="008203A8">
      <w:pPr>
        <w:pStyle w:val="Sidehoved"/>
        <w:tabs>
          <w:tab w:val="clear" w:pos="4819"/>
        </w:tabs>
        <w:ind w:left="851" w:hanging="851"/>
        <w:rPr>
          <w:b/>
          <w:szCs w:val="24"/>
        </w:rPr>
      </w:pPr>
      <w:r w:rsidRPr="00AF4305">
        <w:rPr>
          <w:b/>
          <w:szCs w:val="24"/>
        </w:rPr>
        <w:t>3.2</w:t>
      </w:r>
      <w:r w:rsidRPr="00AF4305">
        <w:rPr>
          <w:b/>
          <w:szCs w:val="24"/>
        </w:rPr>
        <w:tab/>
        <w:t>Terapeutiske indikationer for hver dyreart, som lægemidlet er beregnet til</w:t>
      </w:r>
    </w:p>
    <w:p w14:paraId="4CFFCF3B" w14:textId="77777777" w:rsidR="003C0325" w:rsidRPr="00AF4305" w:rsidRDefault="003C0325" w:rsidP="00A54E54">
      <w:pPr>
        <w:ind w:left="851"/>
        <w:rPr>
          <w:sz w:val="24"/>
          <w:szCs w:val="24"/>
        </w:rPr>
      </w:pPr>
      <w:r w:rsidRPr="00AF4305">
        <w:rPr>
          <w:sz w:val="24"/>
          <w:szCs w:val="24"/>
        </w:rPr>
        <w:t xml:space="preserve">Behandling af systemiske infektioner forårsaget af eller forbundet med organismer, der er følsomme over for </w:t>
      </w:r>
      <w:proofErr w:type="spellStart"/>
      <w:r w:rsidRPr="00AF4305">
        <w:rPr>
          <w:sz w:val="24"/>
          <w:szCs w:val="24"/>
        </w:rPr>
        <w:t>trimethoprim</w:t>
      </w:r>
      <w:proofErr w:type="spellEnd"/>
      <w:r w:rsidRPr="00AF4305">
        <w:rPr>
          <w:sz w:val="24"/>
          <w:szCs w:val="24"/>
        </w:rPr>
        <w:t xml:space="preserve">: </w:t>
      </w:r>
      <w:proofErr w:type="spellStart"/>
      <w:r w:rsidRPr="00AF4305">
        <w:rPr>
          <w:sz w:val="24"/>
          <w:szCs w:val="24"/>
        </w:rPr>
        <w:t>Sulfadiazin</w:t>
      </w:r>
      <w:proofErr w:type="spellEnd"/>
      <w:r w:rsidRPr="00AF4305">
        <w:rPr>
          <w:sz w:val="24"/>
          <w:szCs w:val="24"/>
        </w:rPr>
        <w:t>-kombination.</w:t>
      </w:r>
    </w:p>
    <w:p w14:paraId="1471DF5E" w14:textId="77777777" w:rsidR="008203A8" w:rsidRPr="00AF4305" w:rsidRDefault="008203A8" w:rsidP="008203A8">
      <w:pPr>
        <w:pStyle w:val="Sidehoved"/>
        <w:ind w:left="851"/>
        <w:rPr>
          <w:szCs w:val="24"/>
        </w:rPr>
      </w:pPr>
    </w:p>
    <w:p w14:paraId="6F92E3B3" w14:textId="77777777" w:rsidR="008203A8" w:rsidRPr="00AF4305" w:rsidRDefault="008203A8" w:rsidP="008203A8">
      <w:pPr>
        <w:pStyle w:val="Sidehoved"/>
        <w:tabs>
          <w:tab w:val="clear" w:pos="4819"/>
          <w:tab w:val="left" w:pos="851"/>
        </w:tabs>
        <w:ind w:left="851" w:hanging="851"/>
        <w:rPr>
          <w:b/>
          <w:szCs w:val="24"/>
        </w:rPr>
      </w:pPr>
      <w:r w:rsidRPr="00AF4305">
        <w:rPr>
          <w:b/>
          <w:szCs w:val="24"/>
        </w:rPr>
        <w:t>3.3</w:t>
      </w:r>
      <w:r w:rsidRPr="00AF4305">
        <w:rPr>
          <w:b/>
          <w:szCs w:val="24"/>
        </w:rPr>
        <w:tab/>
        <w:t>Kontraindikationer</w:t>
      </w:r>
    </w:p>
    <w:p w14:paraId="19BBF724" w14:textId="77777777" w:rsidR="003C0325" w:rsidRPr="00AF4305" w:rsidRDefault="003C0325" w:rsidP="00A54E54">
      <w:pPr>
        <w:ind w:left="851"/>
        <w:rPr>
          <w:sz w:val="24"/>
          <w:szCs w:val="24"/>
        </w:rPr>
      </w:pPr>
      <w:r w:rsidRPr="00AF4305">
        <w:rPr>
          <w:sz w:val="24"/>
          <w:szCs w:val="24"/>
        </w:rPr>
        <w:t>Må ikke anvendes i tilfælde af overfølsomhed over for aktive stoffer, sulfonamider eller nogen af hjælpestofferne.</w:t>
      </w:r>
    </w:p>
    <w:p w14:paraId="5B04DD85" w14:textId="184BB23E" w:rsidR="003C0325" w:rsidRPr="00AF4305" w:rsidRDefault="003C0325" w:rsidP="00A54E54">
      <w:pPr>
        <w:ind w:left="851"/>
        <w:rPr>
          <w:sz w:val="24"/>
          <w:szCs w:val="24"/>
        </w:rPr>
      </w:pPr>
      <w:r w:rsidRPr="00AF4305">
        <w:rPr>
          <w:sz w:val="24"/>
          <w:szCs w:val="24"/>
        </w:rPr>
        <w:t xml:space="preserve">Må ikke anvendes via </w:t>
      </w:r>
      <w:proofErr w:type="spellStart"/>
      <w:r w:rsidRPr="00AF4305">
        <w:rPr>
          <w:sz w:val="24"/>
          <w:szCs w:val="24"/>
        </w:rPr>
        <w:t>intraperitoneal</w:t>
      </w:r>
      <w:proofErr w:type="spellEnd"/>
      <w:r w:rsidRPr="00AF4305">
        <w:rPr>
          <w:sz w:val="24"/>
          <w:szCs w:val="24"/>
        </w:rPr>
        <w:t xml:space="preserve"> administration</w:t>
      </w:r>
      <w:r w:rsidR="00AF4305">
        <w:rPr>
          <w:sz w:val="24"/>
          <w:szCs w:val="24"/>
        </w:rPr>
        <w:t>s</w:t>
      </w:r>
      <w:r w:rsidRPr="00AF4305">
        <w:rPr>
          <w:sz w:val="24"/>
          <w:szCs w:val="24"/>
        </w:rPr>
        <w:t>vej.</w:t>
      </w:r>
    </w:p>
    <w:p w14:paraId="64B30F0E" w14:textId="77777777" w:rsidR="003C0325" w:rsidRPr="00AF4305" w:rsidRDefault="003C0325" w:rsidP="00A54E54">
      <w:pPr>
        <w:ind w:left="851"/>
        <w:rPr>
          <w:sz w:val="24"/>
          <w:szCs w:val="24"/>
        </w:rPr>
      </w:pPr>
      <w:r w:rsidRPr="00AF4305">
        <w:rPr>
          <w:sz w:val="24"/>
          <w:szCs w:val="24"/>
        </w:rPr>
        <w:t xml:space="preserve">Må ikke anvendes i tilfælde af alvorlig lever- eller nyreskade eller </w:t>
      </w:r>
      <w:proofErr w:type="spellStart"/>
      <w:r w:rsidRPr="00AF4305">
        <w:rPr>
          <w:sz w:val="24"/>
          <w:szCs w:val="24"/>
        </w:rPr>
        <w:t>bloddyskrasier</w:t>
      </w:r>
      <w:proofErr w:type="spellEnd"/>
      <w:r w:rsidRPr="00AF4305">
        <w:rPr>
          <w:sz w:val="24"/>
          <w:szCs w:val="24"/>
        </w:rPr>
        <w:t>.</w:t>
      </w:r>
    </w:p>
    <w:p w14:paraId="445580D3" w14:textId="77777777" w:rsidR="003C0325" w:rsidRPr="00AF4305" w:rsidRDefault="003C0325" w:rsidP="00A54E54">
      <w:pPr>
        <w:ind w:left="851"/>
        <w:rPr>
          <w:sz w:val="24"/>
          <w:szCs w:val="24"/>
        </w:rPr>
      </w:pPr>
      <w:r w:rsidRPr="00AF4305">
        <w:rPr>
          <w:sz w:val="24"/>
          <w:szCs w:val="24"/>
        </w:rPr>
        <w:t>Må ikke anvendes i tilfælde af reduceret vandindtag eller tab af kropsvæsker.</w:t>
      </w:r>
    </w:p>
    <w:p w14:paraId="1F3BF858" w14:textId="77777777" w:rsidR="003C0325" w:rsidRPr="00AF4305" w:rsidRDefault="003C0325" w:rsidP="00A54E54">
      <w:pPr>
        <w:ind w:left="851"/>
        <w:rPr>
          <w:sz w:val="24"/>
          <w:szCs w:val="24"/>
        </w:rPr>
      </w:pPr>
      <w:bookmarkStart w:id="1" w:name="_Hlk124937257"/>
      <w:r w:rsidRPr="00AF4305">
        <w:rPr>
          <w:sz w:val="24"/>
          <w:szCs w:val="24"/>
        </w:rPr>
        <w:t xml:space="preserve">Brug ikke i heste, der behandles med medicin, som kan fremkalde </w:t>
      </w:r>
      <w:proofErr w:type="spellStart"/>
      <w:r w:rsidRPr="00AF4305">
        <w:rPr>
          <w:sz w:val="24"/>
          <w:szCs w:val="24"/>
        </w:rPr>
        <w:t>hjertearytmier</w:t>
      </w:r>
      <w:proofErr w:type="spellEnd"/>
      <w:r w:rsidRPr="00AF4305">
        <w:rPr>
          <w:sz w:val="24"/>
          <w:szCs w:val="24"/>
        </w:rPr>
        <w:t xml:space="preserve">, såsom visse anæstesi- og beroligende midler (f.eks. </w:t>
      </w:r>
      <w:proofErr w:type="spellStart"/>
      <w:r w:rsidRPr="00AF4305">
        <w:rPr>
          <w:sz w:val="24"/>
          <w:szCs w:val="24"/>
        </w:rPr>
        <w:t>detomidin</w:t>
      </w:r>
      <w:proofErr w:type="spellEnd"/>
      <w:r w:rsidRPr="00AF4305">
        <w:rPr>
          <w:sz w:val="24"/>
          <w:szCs w:val="24"/>
        </w:rPr>
        <w:t>).</w:t>
      </w:r>
    </w:p>
    <w:bookmarkEnd w:id="1"/>
    <w:p w14:paraId="4940BCF9" w14:textId="77777777" w:rsidR="008203A8" w:rsidRPr="00AF4305" w:rsidRDefault="008203A8" w:rsidP="008203A8">
      <w:pPr>
        <w:pStyle w:val="Sidehoved"/>
        <w:tabs>
          <w:tab w:val="clear" w:pos="4819"/>
        </w:tabs>
        <w:ind w:left="851"/>
        <w:rPr>
          <w:szCs w:val="24"/>
        </w:rPr>
      </w:pPr>
    </w:p>
    <w:p w14:paraId="539E78FE" w14:textId="77777777" w:rsidR="008203A8" w:rsidRPr="00AF4305" w:rsidRDefault="008203A8" w:rsidP="008203A8">
      <w:pPr>
        <w:tabs>
          <w:tab w:val="left" w:pos="851"/>
        </w:tabs>
        <w:ind w:left="851" w:hanging="851"/>
        <w:rPr>
          <w:b/>
          <w:sz w:val="24"/>
          <w:szCs w:val="24"/>
        </w:rPr>
      </w:pPr>
      <w:r w:rsidRPr="00AF4305">
        <w:rPr>
          <w:b/>
          <w:sz w:val="24"/>
          <w:szCs w:val="24"/>
        </w:rPr>
        <w:t>3.4</w:t>
      </w:r>
      <w:r w:rsidRPr="00AF4305">
        <w:rPr>
          <w:b/>
          <w:sz w:val="24"/>
          <w:szCs w:val="24"/>
        </w:rPr>
        <w:tab/>
        <w:t>Særlige advarsler</w:t>
      </w:r>
    </w:p>
    <w:p w14:paraId="24CCE05A" w14:textId="77777777" w:rsidR="003C0325" w:rsidRPr="00AF4305" w:rsidRDefault="003C0325" w:rsidP="00A54E54">
      <w:pPr>
        <w:ind w:left="851"/>
        <w:rPr>
          <w:sz w:val="24"/>
          <w:szCs w:val="24"/>
        </w:rPr>
      </w:pPr>
      <w:r w:rsidRPr="00AF4305">
        <w:rPr>
          <w:sz w:val="24"/>
          <w:szCs w:val="24"/>
        </w:rPr>
        <w:t>Ingen.</w:t>
      </w:r>
    </w:p>
    <w:p w14:paraId="3B306E9C" w14:textId="77777777" w:rsidR="008203A8" w:rsidRPr="00AF4305" w:rsidRDefault="008203A8" w:rsidP="008203A8">
      <w:pPr>
        <w:pStyle w:val="Sidehoved"/>
        <w:tabs>
          <w:tab w:val="clear" w:pos="4819"/>
        </w:tabs>
        <w:ind w:left="851"/>
        <w:rPr>
          <w:szCs w:val="24"/>
        </w:rPr>
      </w:pPr>
    </w:p>
    <w:p w14:paraId="4C103263" w14:textId="77777777" w:rsidR="008203A8" w:rsidRPr="00AF4305" w:rsidRDefault="008203A8" w:rsidP="008203A8">
      <w:pPr>
        <w:tabs>
          <w:tab w:val="left" w:pos="851"/>
        </w:tabs>
        <w:ind w:left="851" w:hanging="851"/>
        <w:rPr>
          <w:b/>
          <w:sz w:val="24"/>
          <w:szCs w:val="24"/>
        </w:rPr>
      </w:pPr>
      <w:r w:rsidRPr="00AF4305">
        <w:rPr>
          <w:b/>
          <w:sz w:val="24"/>
          <w:szCs w:val="24"/>
        </w:rPr>
        <w:t>3.5</w:t>
      </w:r>
      <w:r w:rsidRPr="00AF4305">
        <w:rPr>
          <w:b/>
          <w:sz w:val="24"/>
          <w:szCs w:val="24"/>
        </w:rPr>
        <w:tab/>
        <w:t>Særlige forholdsregler vedrørende brugen</w:t>
      </w:r>
    </w:p>
    <w:p w14:paraId="2469CB7F" w14:textId="77777777" w:rsidR="008203A8" w:rsidRPr="00AF4305" w:rsidRDefault="008203A8" w:rsidP="008203A8">
      <w:pPr>
        <w:tabs>
          <w:tab w:val="left" w:pos="851"/>
        </w:tabs>
        <w:ind w:left="851"/>
        <w:rPr>
          <w:sz w:val="24"/>
          <w:szCs w:val="24"/>
        </w:rPr>
      </w:pPr>
    </w:p>
    <w:p w14:paraId="09B07E36" w14:textId="77777777" w:rsidR="008203A8" w:rsidRPr="00AF4305" w:rsidRDefault="008203A8" w:rsidP="008203A8">
      <w:pPr>
        <w:tabs>
          <w:tab w:val="left" w:pos="851"/>
        </w:tabs>
        <w:ind w:left="851"/>
        <w:rPr>
          <w:sz w:val="24"/>
          <w:szCs w:val="24"/>
          <w:u w:val="single"/>
        </w:rPr>
      </w:pPr>
      <w:r w:rsidRPr="00AF4305">
        <w:rPr>
          <w:sz w:val="24"/>
          <w:szCs w:val="24"/>
          <w:u w:val="single"/>
        </w:rPr>
        <w:t>Særlige forholdsregler vedrørende sikker brug hos de dyrearter, som lægemidlet er beregnet til</w:t>
      </w:r>
    </w:p>
    <w:p w14:paraId="4486B14D" w14:textId="2B01B2F1" w:rsidR="003C0325" w:rsidRPr="00AF4305" w:rsidRDefault="003C0325" w:rsidP="00A54E54">
      <w:pPr>
        <w:ind w:left="851"/>
        <w:rPr>
          <w:sz w:val="24"/>
          <w:szCs w:val="24"/>
        </w:rPr>
      </w:pPr>
      <w:r w:rsidRPr="00AF4305">
        <w:rPr>
          <w:sz w:val="24"/>
          <w:szCs w:val="24"/>
        </w:rPr>
        <w:t xml:space="preserve">Anvendelsen af præparatet bør baseres på identifikations- og modtagelighedskontrol af </w:t>
      </w:r>
      <w:proofErr w:type="spellStart"/>
      <w:r w:rsidRPr="00AF4305">
        <w:rPr>
          <w:sz w:val="24"/>
          <w:szCs w:val="24"/>
        </w:rPr>
        <w:t>målpatogenet</w:t>
      </w:r>
      <w:proofErr w:type="spellEnd"/>
      <w:r w:rsidRPr="00AF4305">
        <w:rPr>
          <w:sz w:val="24"/>
          <w:szCs w:val="24"/>
        </w:rPr>
        <w:t>/</w:t>
      </w:r>
      <w:proofErr w:type="spellStart"/>
      <w:r w:rsidRPr="00AF4305">
        <w:rPr>
          <w:sz w:val="24"/>
          <w:szCs w:val="24"/>
        </w:rPr>
        <w:t>målpatogenerne</w:t>
      </w:r>
      <w:proofErr w:type="spellEnd"/>
      <w:r w:rsidRPr="00AF4305">
        <w:rPr>
          <w:sz w:val="24"/>
          <w:szCs w:val="24"/>
        </w:rPr>
        <w:t xml:space="preserve">. Hvis dette ikke er muligt, bør behandlingen baseres på epidemiologisk information og viden om </w:t>
      </w:r>
      <w:proofErr w:type="spellStart"/>
      <w:r w:rsidRPr="00AF4305">
        <w:rPr>
          <w:sz w:val="24"/>
          <w:szCs w:val="24"/>
        </w:rPr>
        <w:t>målpatogenernes</w:t>
      </w:r>
      <w:proofErr w:type="spellEnd"/>
      <w:r w:rsidRPr="00AF4305">
        <w:rPr>
          <w:sz w:val="24"/>
          <w:szCs w:val="24"/>
        </w:rPr>
        <w:t xml:space="preserve"> modtagelighed på bedriftsniveau eller på lokalt/regionalt niveau. </w:t>
      </w:r>
    </w:p>
    <w:p w14:paraId="7E4CA3D8" w14:textId="77777777" w:rsidR="003C0325" w:rsidRPr="00AF4305" w:rsidRDefault="003C0325" w:rsidP="00A54E54">
      <w:pPr>
        <w:ind w:left="851"/>
        <w:rPr>
          <w:sz w:val="24"/>
          <w:szCs w:val="24"/>
          <w:lang w:eastAsia="en-GB"/>
        </w:rPr>
      </w:pPr>
    </w:p>
    <w:p w14:paraId="5D36A39B" w14:textId="77777777" w:rsidR="003C0325" w:rsidRPr="00AF4305" w:rsidRDefault="003C0325" w:rsidP="00A54E54">
      <w:pPr>
        <w:ind w:left="851"/>
        <w:rPr>
          <w:sz w:val="24"/>
          <w:szCs w:val="24"/>
        </w:rPr>
      </w:pPr>
      <w:r w:rsidRPr="00AF4305">
        <w:rPr>
          <w:sz w:val="24"/>
          <w:szCs w:val="24"/>
        </w:rPr>
        <w:t>Anvendelse af præparatet bør være i overensstemmelse med officielle, nationale og regionale antimikrobielle politikker.</w:t>
      </w:r>
    </w:p>
    <w:p w14:paraId="142F612E" w14:textId="77777777" w:rsidR="003C0325" w:rsidRPr="00AF4305" w:rsidRDefault="003C0325" w:rsidP="00A54E54">
      <w:pPr>
        <w:ind w:left="851"/>
        <w:rPr>
          <w:sz w:val="24"/>
          <w:szCs w:val="24"/>
          <w:lang w:eastAsia="en-GB"/>
        </w:rPr>
      </w:pPr>
    </w:p>
    <w:p w14:paraId="78AFDC74" w14:textId="77777777" w:rsidR="003C0325" w:rsidRPr="00AF4305" w:rsidRDefault="003C0325" w:rsidP="00A54E54">
      <w:pPr>
        <w:ind w:left="851"/>
        <w:rPr>
          <w:sz w:val="24"/>
          <w:szCs w:val="24"/>
        </w:rPr>
      </w:pPr>
      <w:r w:rsidRPr="00AF4305">
        <w:rPr>
          <w:sz w:val="24"/>
          <w:szCs w:val="24"/>
        </w:rPr>
        <w:t xml:space="preserve">Anvendelse af præparatet, der afviger fra instruktionerne i produktresume, kan øge forekomsten af bakterier, der er resistente over for præparatet, og kan reducere effektiviteten af behandling med andre antimikrobielle stoffer eller klasser af antimikrobielle stoffer på grund af risikoen for krydsresistens. </w:t>
      </w:r>
    </w:p>
    <w:p w14:paraId="0DA93791" w14:textId="77777777" w:rsidR="003C0325" w:rsidRPr="00AF4305" w:rsidRDefault="003C0325" w:rsidP="00A54E54">
      <w:pPr>
        <w:ind w:left="851"/>
        <w:rPr>
          <w:sz w:val="24"/>
          <w:szCs w:val="24"/>
          <w:lang w:eastAsia="en-GB"/>
        </w:rPr>
      </w:pPr>
    </w:p>
    <w:p w14:paraId="2FC57F08" w14:textId="77777777" w:rsidR="003C0325" w:rsidRPr="00AF4305" w:rsidRDefault="003C0325" w:rsidP="00A54E54">
      <w:pPr>
        <w:ind w:left="851"/>
        <w:rPr>
          <w:sz w:val="24"/>
          <w:szCs w:val="24"/>
        </w:rPr>
      </w:pPr>
      <w:r w:rsidRPr="00AF4305">
        <w:rPr>
          <w:sz w:val="24"/>
          <w:szCs w:val="24"/>
        </w:rPr>
        <w:t xml:space="preserve">For at undgå, at nyrerne bliver svækket af </w:t>
      </w:r>
      <w:proofErr w:type="spellStart"/>
      <w:r w:rsidRPr="00AF4305">
        <w:rPr>
          <w:sz w:val="24"/>
          <w:szCs w:val="24"/>
        </w:rPr>
        <w:t>krystalluri</w:t>
      </w:r>
      <w:proofErr w:type="spellEnd"/>
      <w:r w:rsidRPr="00AF4305">
        <w:rPr>
          <w:sz w:val="24"/>
          <w:szCs w:val="24"/>
        </w:rPr>
        <w:t>, under behandlingen, bør der altid være tilstrækkeligt drikkevand til rådighed.</w:t>
      </w:r>
    </w:p>
    <w:p w14:paraId="46A72914" w14:textId="77777777" w:rsidR="003C0325" w:rsidRPr="00AF4305" w:rsidRDefault="003C0325" w:rsidP="00A54E54">
      <w:pPr>
        <w:ind w:left="851"/>
        <w:rPr>
          <w:sz w:val="24"/>
          <w:szCs w:val="24"/>
          <w:lang w:eastAsia="en-GB"/>
        </w:rPr>
      </w:pPr>
    </w:p>
    <w:p w14:paraId="15DFAF92" w14:textId="7884D8E3" w:rsidR="003C0325" w:rsidRPr="00AF4305" w:rsidRDefault="003C0325" w:rsidP="00A54E54">
      <w:pPr>
        <w:ind w:left="851"/>
        <w:rPr>
          <w:sz w:val="24"/>
          <w:szCs w:val="24"/>
        </w:rPr>
      </w:pPr>
      <w:r w:rsidRPr="00AF4305">
        <w:rPr>
          <w:sz w:val="24"/>
          <w:szCs w:val="24"/>
        </w:rPr>
        <w:t>Den intravenøse administration</w:t>
      </w:r>
      <w:r w:rsidR="00A54E54" w:rsidRPr="00AF4305">
        <w:rPr>
          <w:sz w:val="24"/>
          <w:szCs w:val="24"/>
        </w:rPr>
        <w:t xml:space="preserve"> </w:t>
      </w:r>
      <w:r w:rsidRPr="00AF4305">
        <w:rPr>
          <w:sz w:val="24"/>
          <w:szCs w:val="24"/>
        </w:rPr>
        <w:t>skal anvendes med forsigtighed og kun, hvis det er terapeutisk begrundet. Hvis denne administrationsvej anvendes, vil følgende forholdsregler blive inddraget:</w:t>
      </w:r>
    </w:p>
    <w:p w14:paraId="415F3C92" w14:textId="77777777" w:rsidR="003C0325" w:rsidRPr="00AF4305" w:rsidRDefault="003C0325" w:rsidP="00A54E54">
      <w:pPr>
        <w:ind w:left="1276" w:hanging="425"/>
        <w:rPr>
          <w:sz w:val="24"/>
          <w:szCs w:val="24"/>
        </w:rPr>
      </w:pPr>
      <w:r w:rsidRPr="00AF4305">
        <w:rPr>
          <w:sz w:val="24"/>
          <w:szCs w:val="24"/>
        </w:rPr>
        <w:t>-</w:t>
      </w:r>
      <w:r w:rsidRPr="00AF4305">
        <w:rPr>
          <w:sz w:val="24"/>
          <w:szCs w:val="24"/>
        </w:rPr>
        <w:tab/>
        <w:t>Der er blevet observeret hjerte- og vejrtrækningschok hos heste. Ved det første tegn på intolerance skal indsprøjtningen afbrydes, og chokbehandling påbegyndes.</w:t>
      </w:r>
    </w:p>
    <w:p w14:paraId="7DA38048" w14:textId="77777777" w:rsidR="003C0325" w:rsidRPr="00AF4305" w:rsidRDefault="003C0325" w:rsidP="00A54E54">
      <w:pPr>
        <w:ind w:left="1276" w:hanging="425"/>
        <w:rPr>
          <w:sz w:val="24"/>
          <w:szCs w:val="24"/>
        </w:rPr>
      </w:pPr>
      <w:r w:rsidRPr="00AF4305">
        <w:rPr>
          <w:sz w:val="24"/>
          <w:szCs w:val="24"/>
        </w:rPr>
        <w:t>-</w:t>
      </w:r>
      <w:r w:rsidRPr="00AF4305">
        <w:rPr>
          <w:sz w:val="24"/>
          <w:szCs w:val="24"/>
        </w:rPr>
        <w:tab/>
        <w:t>Veterinærlægemidlet skal opvarmes til kropstemperatur før administration.</w:t>
      </w:r>
    </w:p>
    <w:p w14:paraId="047D42CB" w14:textId="77777777" w:rsidR="003C0325" w:rsidRPr="00AF4305" w:rsidRDefault="003C0325" w:rsidP="00A54E54">
      <w:pPr>
        <w:ind w:left="1276" w:hanging="425"/>
        <w:rPr>
          <w:sz w:val="24"/>
          <w:szCs w:val="24"/>
        </w:rPr>
      </w:pPr>
      <w:r w:rsidRPr="00AF4305">
        <w:rPr>
          <w:sz w:val="24"/>
          <w:szCs w:val="24"/>
        </w:rPr>
        <w:t>-</w:t>
      </w:r>
      <w:r w:rsidRPr="00AF4305">
        <w:rPr>
          <w:sz w:val="24"/>
          <w:szCs w:val="24"/>
        </w:rPr>
        <w:tab/>
        <w:t>Veterinærlægemidlet skal injiceres langsomt over så lang tid, som det er rimeligt praktisk muligt.</w:t>
      </w:r>
    </w:p>
    <w:p w14:paraId="754195E4" w14:textId="77777777" w:rsidR="008203A8" w:rsidRPr="00AF4305" w:rsidRDefault="008203A8" w:rsidP="008203A8">
      <w:pPr>
        <w:tabs>
          <w:tab w:val="left" w:pos="851"/>
        </w:tabs>
        <w:ind w:left="851"/>
        <w:rPr>
          <w:sz w:val="24"/>
          <w:szCs w:val="24"/>
        </w:rPr>
      </w:pPr>
    </w:p>
    <w:p w14:paraId="70205266" w14:textId="77777777" w:rsidR="008203A8" w:rsidRPr="00AF4305" w:rsidRDefault="008203A8" w:rsidP="008203A8">
      <w:pPr>
        <w:tabs>
          <w:tab w:val="left" w:pos="851"/>
        </w:tabs>
        <w:ind w:left="851"/>
        <w:rPr>
          <w:sz w:val="24"/>
          <w:szCs w:val="24"/>
          <w:u w:val="single"/>
        </w:rPr>
      </w:pPr>
      <w:r w:rsidRPr="00AF4305">
        <w:rPr>
          <w:sz w:val="24"/>
          <w:szCs w:val="24"/>
          <w:u w:val="single"/>
        </w:rPr>
        <w:lastRenderedPageBreak/>
        <w:t>Særlige forholdsregler for personer, der administrerer veterinærlægemidlet til dyr</w:t>
      </w:r>
    </w:p>
    <w:p w14:paraId="137F0757" w14:textId="77777777" w:rsidR="003C0325" w:rsidRPr="00AF4305" w:rsidRDefault="003C0325" w:rsidP="00A54E54">
      <w:pPr>
        <w:autoSpaceDE w:val="0"/>
        <w:autoSpaceDN w:val="0"/>
        <w:adjustRightInd w:val="0"/>
        <w:ind w:left="851"/>
        <w:rPr>
          <w:sz w:val="24"/>
          <w:szCs w:val="24"/>
        </w:rPr>
      </w:pPr>
      <w:r w:rsidRPr="00AF4305">
        <w:rPr>
          <w:sz w:val="24"/>
          <w:szCs w:val="24"/>
        </w:rPr>
        <w:t xml:space="preserve">Dette veterinærlægemiddel kan fremkalde en allergisk reaktion hos personer, der er sensibiliserede over for sulfonamider, </w:t>
      </w:r>
      <w:proofErr w:type="spellStart"/>
      <w:r w:rsidRPr="00AF4305">
        <w:rPr>
          <w:sz w:val="24"/>
          <w:szCs w:val="24"/>
        </w:rPr>
        <w:t>trimethoprim</w:t>
      </w:r>
      <w:proofErr w:type="spellEnd"/>
      <w:r w:rsidRPr="00AF4305">
        <w:rPr>
          <w:sz w:val="24"/>
          <w:szCs w:val="24"/>
        </w:rPr>
        <w:t xml:space="preserve"> eller </w:t>
      </w:r>
      <w:proofErr w:type="spellStart"/>
      <w:r w:rsidRPr="00AF4305">
        <w:rPr>
          <w:sz w:val="24"/>
          <w:szCs w:val="24"/>
        </w:rPr>
        <w:t>chlorocresol</w:t>
      </w:r>
      <w:proofErr w:type="spellEnd"/>
      <w:r w:rsidRPr="00AF4305">
        <w:rPr>
          <w:sz w:val="24"/>
          <w:szCs w:val="24"/>
        </w:rPr>
        <w:t xml:space="preserve">. Personer med kendt overfølsomhed over for sulfonamider eller </w:t>
      </w:r>
      <w:proofErr w:type="spellStart"/>
      <w:r w:rsidRPr="00AF4305">
        <w:rPr>
          <w:sz w:val="24"/>
          <w:szCs w:val="24"/>
        </w:rPr>
        <w:t>trimethoprim</w:t>
      </w:r>
      <w:proofErr w:type="spellEnd"/>
      <w:r w:rsidRPr="00AF4305">
        <w:rPr>
          <w:sz w:val="24"/>
          <w:szCs w:val="24"/>
        </w:rPr>
        <w:t xml:space="preserve"> skal undgå kontakt med veterinærlægemidlet.</w:t>
      </w:r>
    </w:p>
    <w:p w14:paraId="0B494CE1" w14:textId="77777777" w:rsidR="003C0325" w:rsidRPr="00AF4305" w:rsidRDefault="003C0325" w:rsidP="00A54E54">
      <w:pPr>
        <w:autoSpaceDE w:val="0"/>
        <w:autoSpaceDN w:val="0"/>
        <w:adjustRightInd w:val="0"/>
        <w:ind w:left="851"/>
        <w:rPr>
          <w:sz w:val="24"/>
          <w:szCs w:val="24"/>
        </w:rPr>
      </w:pPr>
    </w:p>
    <w:p w14:paraId="16171707" w14:textId="77777777" w:rsidR="003C0325" w:rsidRPr="00AF4305" w:rsidRDefault="003C0325" w:rsidP="00A54E54">
      <w:pPr>
        <w:autoSpaceDE w:val="0"/>
        <w:autoSpaceDN w:val="0"/>
        <w:adjustRightInd w:val="0"/>
        <w:ind w:left="851"/>
        <w:rPr>
          <w:sz w:val="24"/>
          <w:szCs w:val="24"/>
        </w:rPr>
      </w:pPr>
      <w:r w:rsidRPr="00AF4305">
        <w:rPr>
          <w:sz w:val="24"/>
          <w:szCs w:val="24"/>
        </w:rPr>
        <w:t>Administrer veterinærlægemidlet med forsigtighed for at undgå utilsigtet selvinjektion og hudkontakt. I tilfælde af utilsigtet selvinjektion skal du straks søge læge og vise indlægssedlen eller etiketten til lægen.</w:t>
      </w:r>
    </w:p>
    <w:p w14:paraId="0EDB1F5E" w14:textId="77777777" w:rsidR="003C0325" w:rsidRPr="00AF4305" w:rsidRDefault="003C0325" w:rsidP="00A54E54">
      <w:pPr>
        <w:autoSpaceDE w:val="0"/>
        <w:autoSpaceDN w:val="0"/>
        <w:adjustRightInd w:val="0"/>
        <w:ind w:left="851"/>
        <w:rPr>
          <w:sz w:val="24"/>
          <w:szCs w:val="24"/>
        </w:rPr>
      </w:pPr>
    </w:p>
    <w:p w14:paraId="074F18FE" w14:textId="77777777" w:rsidR="003C0325" w:rsidRPr="00AF4305" w:rsidRDefault="003C0325" w:rsidP="00A54E54">
      <w:pPr>
        <w:autoSpaceDE w:val="0"/>
        <w:autoSpaceDN w:val="0"/>
        <w:adjustRightInd w:val="0"/>
        <w:ind w:left="851"/>
        <w:rPr>
          <w:sz w:val="24"/>
          <w:szCs w:val="24"/>
        </w:rPr>
      </w:pPr>
      <w:r w:rsidRPr="00AF4305">
        <w:rPr>
          <w:sz w:val="24"/>
          <w:szCs w:val="24"/>
        </w:rPr>
        <w:t>Laboratorieundersøgelser af kaniner og rotter med hjælpestoffet N-</w:t>
      </w:r>
      <w:proofErr w:type="spellStart"/>
      <w:r w:rsidRPr="00AF4305">
        <w:rPr>
          <w:sz w:val="24"/>
          <w:szCs w:val="24"/>
        </w:rPr>
        <w:t>methyl</w:t>
      </w:r>
      <w:proofErr w:type="spellEnd"/>
      <w:r w:rsidRPr="00AF4305">
        <w:rPr>
          <w:sz w:val="24"/>
          <w:szCs w:val="24"/>
        </w:rPr>
        <w:t>-</w:t>
      </w:r>
      <w:proofErr w:type="spellStart"/>
      <w:r w:rsidRPr="00AF4305">
        <w:rPr>
          <w:sz w:val="24"/>
          <w:szCs w:val="24"/>
        </w:rPr>
        <w:t>pyrrolidon</w:t>
      </w:r>
      <w:proofErr w:type="spellEnd"/>
      <w:r w:rsidRPr="00AF4305">
        <w:rPr>
          <w:sz w:val="24"/>
          <w:szCs w:val="24"/>
        </w:rPr>
        <w:t xml:space="preserve"> har vist tegn på </w:t>
      </w:r>
      <w:proofErr w:type="spellStart"/>
      <w:r w:rsidRPr="00AF4305">
        <w:rPr>
          <w:sz w:val="24"/>
          <w:szCs w:val="24"/>
        </w:rPr>
        <w:t>føtotoksiske</w:t>
      </w:r>
      <w:proofErr w:type="spellEnd"/>
      <w:r w:rsidRPr="00AF4305">
        <w:rPr>
          <w:sz w:val="24"/>
          <w:szCs w:val="24"/>
        </w:rPr>
        <w:t xml:space="preserve"> virkninger. Kvinder i den fødedygtige alder, gravide kvinder eller kvinder, som formodentlig er gravide, skal anvende veterinærlægemidlet med største forsigtighed for at undgå utilsigtet selvinjektion. </w:t>
      </w:r>
    </w:p>
    <w:p w14:paraId="007E7276" w14:textId="77777777" w:rsidR="003C0325" w:rsidRPr="00AF4305" w:rsidRDefault="003C0325" w:rsidP="00A54E54">
      <w:pPr>
        <w:autoSpaceDE w:val="0"/>
        <w:autoSpaceDN w:val="0"/>
        <w:adjustRightInd w:val="0"/>
        <w:ind w:left="851"/>
        <w:rPr>
          <w:sz w:val="24"/>
          <w:szCs w:val="24"/>
        </w:rPr>
      </w:pPr>
    </w:p>
    <w:p w14:paraId="0DF9D676" w14:textId="77777777" w:rsidR="003C0325" w:rsidRPr="00AF4305" w:rsidRDefault="003C0325" w:rsidP="00A54E54">
      <w:pPr>
        <w:autoSpaceDE w:val="0"/>
        <w:autoSpaceDN w:val="0"/>
        <w:adjustRightInd w:val="0"/>
        <w:ind w:left="851"/>
        <w:rPr>
          <w:sz w:val="24"/>
          <w:szCs w:val="24"/>
        </w:rPr>
      </w:pPr>
      <w:r w:rsidRPr="00AF4305">
        <w:rPr>
          <w:sz w:val="24"/>
          <w:szCs w:val="24"/>
        </w:rPr>
        <w:t>Dette veterinærlægemiddel kan fremkalde irritation af øjne og hud. Undgå kontakt med hud og øjne. Ved kontakt med hud eller øjne skylles straks med rigelige mængder vand.</w:t>
      </w:r>
    </w:p>
    <w:p w14:paraId="44A52C2F" w14:textId="77777777" w:rsidR="003C0325" w:rsidRPr="00AF4305" w:rsidRDefault="003C0325" w:rsidP="00A54E54">
      <w:pPr>
        <w:autoSpaceDE w:val="0"/>
        <w:autoSpaceDN w:val="0"/>
        <w:adjustRightInd w:val="0"/>
        <w:ind w:left="851"/>
        <w:rPr>
          <w:sz w:val="24"/>
          <w:szCs w:val="24"/>
        </w:rPr>
      </w:pPr>
    </w:p>
    <w:p w14:paraId="0F9CD8B6" w14:textId="77777777" w:rsidR="003C0325" w:rsidRPr="00AF4305" w:rsidRDefault="003C0325" w:rsidP="00A54E54">
      <w:pPr>
        <w:autoSpaceDE w:val="0"/>
        <w:autoSpaceDN w:val="0"/>
        <w:adjustRightInd w:val="0"/>
        <w:ind w:left="851"/>
        <w:rPr>
          <w:sz w:val="24"/>
          <w:szCs w:val="24"/>
        </w:rPr>
      </w:pPr>
      <w:r w:rsidRPr="00AF4305">
        <w:rPr>
          <w:sz w:val="24"/>
          <w:szCs w:val="24"/>
        </w:rPr>
        <w:t>Hvis du udvikler symptomer efter eksponering som f.eks. hududslæt, skal du søge læge og vise lægen denne advarsel. Hævelse i ansigtet, læber eller øjne eller åndedrætsbesvær er mere alvorlige symptomer og kræver akut lægehjælp.</w:t>
      </w:r>
    </w:p>
    <w:p w14:paraId="0F3280CF" w14:textId="77777777" w:rsidR="003C0325" w:rsidRPr="00AF4305" w:rsidRDefault="003C0325" w:rsidP="00A54E54">
      <w:pPr>
        <w:autoSpaceDE w:val="0"/>
        <w:autoSpaceDN w:val="0"/>
        <w:adjustRightInd w:val="0"/>
        <w:ind w:left="851"/>
        <w:rPr>
          <w:sz w:val="24"/>
          <w:szCs w:val="24"/>
        </w:rPr>
      </w:pPr>
    </w:p>
    <w:p w14:paraId="1F842BA4" w14:textId="77777777" w:rsidR="003C0325" w:rsidRPr="00AF4305" w:rsidRDefault="003C0325" w:rsidP="00A54E54">
      <w:pPr>
        <w:autoSpaceDE w:val="0"/>
        <w:autoSpaceDN w:val="0"/>
        <w:adjustRightInd w:val="0"/>
        <w:ind w:left="851"/>
        <w:rPr>
          <w:sz w:val="24"/>
          <w:szCs w:val="24"/>
        </w:rPr>
      </w:pPr>
      <w:r w:rsidRPr="00AF4305">
        <w:rPr>
          <w:sz w:val="24"/>
          <w:szCs w:val="24"/>
        </w:rPr>
        <w:t xml:space="preserve">Vask hænder efter brug. </w:t>
      </w:r>
    </w:p>
    <w:p w14:paraId="36AB4FF0" w14:textId="77777777" w:rsidR="008203A8" w:rsidRPr="00AF4305" w:rsidRDefault="008203A8" w:rsidP="008203A8">
      <w:pPr>
        <w:tabs>
          <w:tab w:val="left" w:pos="851"/>
        </w:tabs>
        <w:ind w:left="851"/>
        <w:rPr>
          <w:sz w:val="24"/>
          <w:szCs w:val="24"/>
        </w:rPr>
      </w:pPr>
    </w:p>
    <w:p w14:paraId="652678DC" w14:textId="77777777" w:rsidR="008203A8" w:rsidRPr="00AF4305" w:rsidRDefault="008203A8" w:rsidP="008203A8">
      <w:pPr>
        <w:tabs>
          <w:tab w:val="left" w:pos="851"/>
        </w:tabs>
        <w:ind w:left="851"/>
        <w:rPr>
          <w:sz w:val="24"/>
          <w:szCs w:val="24"/>
          <w:u w:val="single"/>
        </w:rPr>
      </w:pPr>
      <w:r w:rsidRPr="00AF4305">
        <w:rPr>
          <w:sz w:val="24"/>
          <w:szCs w:val="24"/>
          <w:u w:val="single"/>
        </w:rPr>
        <w:t>Særlige forholdsregler vedrørende beskyttelse af miljøet</w:t>
      </w:r>
    </w:p>
    <w:p w14:paraId="68053067" w14:textId="77777777" w:rsidR="003C0325" w:rsidRPr="00AF4305" w:rsidRDefault="003C0325" w:rsidP="00A54E54">
      <w:pPr>
        <w:ind w:left="851"/>
        <w:rPr>
          <w:sz w:val="24"/>
          <w:szCs w:val="24"/>
        </w:rPr>
      </w:pPr>
      <w:r w:rsidRPr="00AF4305">
        <w:rPr>
          <w:sz w:val="24"/>
          <w:szCs w:val="24"/>
        </w:rPr>
        <w:t>Ikke relevant.</w:t>
      </w:r>
    </w:p>
    <w:p w14:paraId="0FF7857D" w14:textId="441EADFA" w:rsidR="008203A8" w:rsidRPr="00AF4305" w:rsidRDefault="008203A8" w:rsidP="008203A8">
      <w:pPr>
        <w:tabs>
          <w:tab w:val="left" w:pos="851"/>
        </w:tabs>
        <w:ind w:left="851"/>
        <w:rPr>
          <w:sz w:val="24"/>
          <w:szCs w:val="24"/>
        </w:rPr>
      </w:pPr>
    </w:p>
    <w:p w14:paraId="216D9987" w14:textId="77777777" w:rsidR="008203A8" w:rsidRPr="00AF4305" w:rsidRDefault="008203A8" w:rsidP="008203A8">
      <w:pPr>
        <w:tabs>
          <w:tab w:val="left" w:pos="851"/>
        </w:tabs>
        <w:ind w:left="851"/>
        <w:rPr>
          <w:sz w:val="24"/>
          <w:szCs w:val="24"/>
          <w:u w:val="single"/>
        </w:rPr>
      </w:pPr>
      <w:r w:rsidRPr="00AF4305">
        <w:rPr>
          <w:sz w:val="24"/>
          <w:szCs w:val="24"/>
          <w:u w:val="single"/>
        </w:rPr>
        <w:t>Andre forholdsregler</w:t>
      </w:r>
    </w:p>
    <w:p w14:paraId="04A78F70" w14:textId="787C41B9" w:rsidR="008203A8" w:rsidRPr="00AF4305" w:rsidRDefault="003C0325" w:rsidP="008203A8">
      <w:pPr>
        <w:tabs>
          <w:tab w:val="left" w:pos="851"/>
        </w:tabs>
        <w:ind w:left="851"/>
        <w:rPr>
          <w:sz w:val="24"/>
          <w:szCs w:val="24"/>
        </w:rPr>
      </w:pPr>
      <w:r w:rsidRPr="00AF4305">
        <w:rPr>
          <w:sz w:val="24"/>
          <w:szCs w:val="24"/>
        </w:rPr>
        <w:t>-</w:t>
      </w:r>
    </w:p>
    <w:p w14:paraId="2B36626D" w14:textId="77777777" w:rsidR="008203A8" w:rsidRPr="00AF4305" w:rsidRDefault="008203A8" w:rsidP="008203A8">
      <w:pPr>
        <w:tabs>
          <w:tab w:val="left" w:pos="851"/>
        </w:tabs>
        <w:ind w:left="851"/>
        <w:rPr>
          <w:sz w:val="24"/>
          <w:szCs w:val="24"/>
        </w:rPr>
      </w:pPr>
    </w:p>
    <w:p w14:paraId="606AC5EA" w14:textId="77777777" w:rsidR="008203A8" w:rsidRPr="00AF4305" w:rsidRDefault="008203A8" w:rsidP="008203A8">
      <w:pPr>
        <w:tabs>
          <w:tab w:val="left" w:pos="851"/>
        </w:tabs>
        <w:ind w:left="851" w:hanging="851"/>
        <w:rPr>
          <w:b/>
          <w:sz w:val="24"/>
          <w:szCs w:val="24"/>
        </w:rPr>
      </w:pPr>
      <w:r w:rsidRPr="00AF4305">
        <w:rPr>
          <w:b/>
          <w:sz w:val="24"/>
          <w:szCs w:val="24"/>
        </w:rPr>
        <w:t>3.6</w:t>
      </w:r>
      <w:r w:rsidRPr="00AF4305">
        <w:rPr>
          <w:b/>
          <w:sz w:val="24"/>
          <w:szCs w:val="24"/>
        </w:rPr>
        <w:tab/>
        <w:t>Bivirkninger</w:t>
      </w:r>
    </w:p>
    <w:p w14:paraId="40F6121A" w14:textId="77777777" w:rsidR="003C0325" w:rsidRPr="00AF4305" w:rsidRDefault="003C0325" w:rsidP="00EF502C">
      <w:pPr>
        <w:ind w:left="851"/>
        <w:rPr>
          <w:sz w:val="24"/>
          <w:szCs w:val="24"/>
        </w:rPr>
      </w:pPr>
      <w:r w:rsidRPr="00AF4305">
        <w:rPr>
          <w:sz w:val="24"/>
          <w:szCs w:val="24"/>
        </w:rPr>
        <w:t>Kvæg, svin, heste, hunde og katte:</w:t>
      </w:r>
    </w:p>
    <w:p w14:paraId="3B21356E" w14:textId="77777777" w:rsidR="003C0325" w:rsidRPr="00AF4305" w:rsidRDefault="003C0325" w:rsidP="003C0325">
      <w:pPr>
        <w:rPr>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879"/>
      </w:tblGrid>
      <w:tr w:rsidR="003C0325" w:rsidRPr="00AF4305" w14:paraId="141E9184" w14:textId="77777777" w:rsidTr="00EF502C">
        <w:tc>
          <w:tcPr>
            <w:tcW w:w="2179" w:type="pct"/>
            <w:tcBorders>
              <w:top w:val="single" w:sz="4" w:space="0" w:color="auto"/>
              <w:left w:val="single" w:sz="4" w:space="0" w:color="auto"/>
              <w:bottom w:val="single" w:sz="4" w:space="0" w:color="auto"/>
              <w:right w:val="single" w:sz="4" w:space="0" w:color="auto"/>
            </w:tcBorders>
            <w:hideMark/>
          </w:tcPr>
          <w:p w14:paraId="49A55F2A" w14:textId="62CC4991" w:rsidR="003C0325" w:rsidRPr="00AF4305" w:rsidRDefault="007D651D">
            <w:pPr>
              <w:spacing w:before="60" w:after="60"/>
              <w:rPr>
                <w:sz w:val="24"/>
                <w:szCs w:val="24"/>
              </w:rPr>
            </w:pPr>
            <w:r w:rsidRPr="00AF4305">
              <w:rPr>
                <w:color w:val="000000"/>
                <w:sz w:val="24"/>
                <w:szCs w:val="24"/>
                <w:shd w:val="clear" w:color="auto" w:fill="FFFFFF"/>
              </w:rPr>
              <w:t>Sjælden (&gt;1/10.000 og &lt;1/1000)</w:t>
            </w:r>
            <w:r w:rsidR="00AA19F9" w:rsidRPr="00AF4305">
              <w:rPr>
                <w:color w:val="000000"/>
                <w:sz w:val="24"/>
                <w:szCs w:val="24"/>
                <w:shd w:val="clear" w:color="auto" w:fill="FFFFFF"/>
              </w:rPr>
              <w:t>:</w:t>
            </w:r>
          </w:p>
        </w:tc>
        <w:tc>
          <w:tcPr>
            <w:tcW w:w="2821" w:type="pct"/>
            <w:tcBorders>
              <w:top w:val="single" w:sz="4" w:space="0" w:color="auto"/>
              <w:left w:val="single" w:sz="4" w:space="0" w:color="auto"/>
              <w:bottom w:val="single" w:sz="4" w:space="0" w:color="auto"/>
              <w:right w:val="single" w:sz="4" w:space="0" w:color="auto"/>
            </w:tcBorders>
            <w:vAlign w:val="center"/>
            <w:hideMark/>
          </w:tcPr>
          <w:p w14:paraId="6840AC4A" w14:textId="77777777" w:rsidR="003C0325" w:rsidRPr="00AF4305" w:rsidRDefault="003C0325">
            <w:pPr>
              <w:spacing w:before="60" w:after="60"/>
              <w:rPr>
                <w:sz w:val="24"/>
                <w:szCs w:val="24"/>
                <w:vertAlign w:val="superscript"/>
              </w:rPr>
            </w:pPr>
            <w:proofErr w:type="spellStart"/>
            <w:r w:rsidRPr="00AF4305">
              <w:rPr>
                <w:sz w:val="24"/>
                <w:szCs w:val="24"/>
              </w:rPr>
              <w:t>Anafylaktisk</w:t>
            </w:r>
            <w:proofErr w:type="spellEnd"/>
            <w:r w:rsidRPr="00AF4305">
              <w:rPr>
                <w:sz w:val="24"/>
                <w:szCs w:val="24"/>
              </w:rPr>
              <w:t xml:space="preserve"> chok</w:t>
            </w:r>
            <w:r w:rsidRPr="00AF4305">
              <w:rPr>
                <w:sz w:val="24"/>
                <w:szCs w:val="24"/>
                <w:vertAlign w:val="superscript"/>
              </w:rPr>
              <w:t>1</w:t>
            </w:r>
          </w:p>
        </w:tc>
      </w:tr>
      <w:tr w:rsidR="003C0325" w:rsidRPr="00AF4305" w14:paraId="540B8226" w14:textId="77777777" w:rsidTr="00EF502C">
        <w:tc>
          <w:tcPr>
            <w:tcW w:w="2179" w:type="pct"/>
            <w:tcBorders>
              <w:top w:val="single" w:sz="4" w:space="0" w:color="auto"/>
              <w:left w:val="single" w:sz="4" w:space="0" w:color="auto"/>
              <w:bottom w:val="single" w:sz="4" w:space="0" w:color="auto"/>
              <w:right w:val="single" w:sz="4" w:space="0" w:color="auto"/>
            </w:tcBorders>
            <w:hideMark/>
          </w:tcPr>
          <w:p w14:paraId="54109771" w14:textId="1D97C77A" w:rsidR="003C0325" w:rsidRPr="00AF4305" w:rsidRDefault="00AA19F9">
            <w:pPr>
              <w:spacing w:before="60" w:after="60"/>
              <w:rPr>
                <w:sz w:val="24"/>
                <w:szCs w:val="24"/>
              </w:rPr>
            </w:pPr>
            <w:r w:rsidRPr="00AF4305">
              <w:rPr>
                <w:color w:val="000000"/>
                <w:sz w:val="24"/>
                <w:szCs w:val="24"/>
                <w:shd w:val="clear" w:color="auto" w:fill="FFFFFF"/>
              </w:rPr>
              <w:t>Meget sjælden (&lt;1/10.000, inklusive enkeltstående rapporter):</w:t>
            </w:r>
          </w:p>
        </w:tc>
        <w:tc>
          <w:tcPr>
            <w:tcW w:w="2821" w:type="pct"/>
            <w:tcBorders>
              <w:top w:val="single" w:sz="4" w:space="0" w:color="auto"/>
              <w:left w:val="single" w:sz="4" w:space="0" w:color="auto"/>
              <w:bottom w:val="single" w:sz="4" w:space="0" w:color="auto"/>
              <w:right w:val="single" w:sz="4" w:space="0" w:color="auto"/>
            </w:tcBorders>
            <w:vAlign w:val="center"/>
            <w:hideMark/>
          </w:tcPr>
          <w:p w14:paraId="1B8EB6C6" w14:textId="5D9A65CC" w:rsidR="003C0325" w:rsidRPr="00AF4305" w:rsidRDefault="003C0325">
            <w:pPr>
              <w:autoSpaceDE w:val="0"/>
              <w:autoSpaceDN w:val="0"/>
              <w:adjustRightInd w:val="0"/>
              <w:rPr>
                <w:sz w:val="24"/>
                <w:szCs w:val="24"/>
              </w:rPr>
            </w:pPr>
            <w:r w:rsidRPr="00AF4305">
              <w:rPr>
                <w:sz w:val="24"/>
                <w:szCs w:val="24"/>
              </w:rPr>
              <w:t>Hævelse på administrationsstedet og/eller ømhed</w:t>
            </w:r>
            <w:r w:rsidRPr="00AF4305">
              <w:rPr>
                <w:sz w:val="24"/>
                <w:szCs w:val="24"/>
                <w:vertAlign w:val="superscript"/>
              </w:rPr>
              <w:t>2</w:t>
            </w:r>
          </w:p>
          <w:p w14:paraId="4D0692E9" w14:textId="77777777" w:rsidR="003C0325" w:rsidRPr="00AF4305" w:rsidRDefault="003C0325">
            <w:pPr>
              <w:autoSpaceDE w:val="0"/>
              <w:autoSpaceDN w:val="0"/>
              <w:adjustRightInd w:val="0"/>
              <w:rPr>
                <w:sz w:val="24"/>
                <w:szCs w:val="24"/>
              </w:rPr>
            </w:pPr>
            <w:proofErr w:type="spellStart"/>
            <w:r w:rsidRPr="00AF4305">
              <w:rPr>
                <w:sz w:val="24"/>
                <w:szCs w:val="24"/>
              </w:rPr>
              <w:t>Krystalluri</w:t>
            </w:r>
            <w:proofErr w:type="spellEnd"/>
            <w:r w:rsidRPr="00AF4305">
              <w:rPr>
                <w:sz w:val="24"/>
                <w:szCs w:val="24"/>
              </w:rPr>
              <w:t>, hæmaturi, urinvejsobstruktion/blokering</w:t>
            </w:r>
          </w:p>
          <w:p w14:paraId="103ECB57" w14:textId="77777777" w:rsidR="003C0325" w:rsidRPr="00AF4305" w:rsidRDefault="003C0325">
            <w:pPr>
              <w:autoSpaceDE w:val="0"/>
              <w:autoSpaceDN w:val="0"/>
              <w:adjustRightInd w:val="0"/>
              <w:rPr>
                <w:sz w:val="24"/>
                <w:szCs w:val="24"/>
              </w:rPr>
            </w:pPr>
            <w:proofErr w:type="spellStart"/>
            <w:r w:rsidRPr="00AF4305">
              <w:rPr>
                <w:sz w:val="24"/>
                <w:szCs w:val="24"/>
              </w:rPr>
              <w:t>Bloddyskrasi</w:t>
            </w:r>
            <w:proofErr w:type="spellEnd"/>
            <w:r w:rsidRPr="00AF4305">
              <w:rPr>
                <w:sz w:val="24"/>
                <w:szCs w:val="24"/>
              </w:rPr>
              <w:t xml:space="preserve"> NOS</w:t>
            </w:r>
          </w:p>
        </w:tc>
      </w:tr>
    </w:tbl>
    <w:p w14:paraId="2E66FB82" w14:textId="4DDD0F3C" w:rsidR="003C0325" w:rsidRPr="00AF4305" w:rsidRDefault="003C0325" w:rsidP="00EF502C">
      <w:pPr>
        <w:ind w:left="851"/>
        <w:rPr>
          <w:sz w:val="24"/>
          <w:szCs w:val="24"/>
        </w:rPr>
      </w:pPr>
      <w:r w:rsidRPr="00AF4305">
        <w:rPr>
          <w:sz w:val="24"/>
          <w:szCs w:val="24"/>
          <w:vertAlign w:val="superscript"/>
        </w:rPr>
        <w:t xml:space="preserve">1 </w:t>
      </w:r>
      <w:r w:rsidRPr="00AF4305">
        <w:rPr>
          <w:sz w:val="24"/>
          <w:szCs w:val="24"/>
        </w:rPr>
        <w:t xml:space="preserve">Især efter den intravenøse administrationsvej (se </w:t>
      </w:r>
      <w:r w:rsidR="00AF4305">
        <w:rPr>
          <w:sz w:val="24"/>
          <w:szCs w:val="24"/>
        </w:rPr>
        <w:t>pkt.</w:t>
      </w:r>
      <w:r w:rsidRPr="00AF4305">
        <w:rPr>
          <w:sz w:val="24"/>
          <w:szCs w:val="24"/>
        </w:rPr>
        <w:t xml:space="preserve"> 3.5). Ved det første tegn på intolerance skal indsprøjtningen afbrydes, og chokbehandling påbegyndes. </w:t>
      </w:r>
    </w:p>
    <w:p w14:paraId="3FCB706F" w14:textId="77777777" w:rsidR="003C0325" w:rsidRPr="00AF4305" w:rsidRDefault="003C0325" w:rsidP="00EF502C">
      <w:pPr>
        <w:ind w:left="851"/>
        <w:rPr>
          <w:sz w:val="24"/>
          <w:szCs w:val="24"/>
        </w:rPr>
      </w:pPr>
      <w:r w:rsidRPr="00AF4305">
        <w:rPr>
          <w:sz w:val="24"/>
          <w:szCs w:val="24"/>
          <w:vertAlign w:val="superscript"/>
        </w:rPr>
        <w:t xml:space="preserve">2 </w:t>
      </w:r>
      <w:r w:rsidRPr="00AF4305">
        <w:rPr>
          <w:sz w:val="24"/>
          <w:szCs w:val="24"/>
        </w:rPr>
        <w:t>Disse læsioner er af forbigående karakter, der løses inden for en uge efter behandlingen.</w:t>
      </w:r>
    </w:p>
    <w:p w14:paraId="7AA533BA" w14:textId="77777777" w:rsidR="003C0325" w:rsidRPr="00AF4305" w:rsidRDefault="003C0325" w:rsidP="00EF502C">
      <w:pPr>
        <w:tabs>
          <w:tab w:val="left" w:pos="1304"/>
        </w:tabs>
        <w:ind w:left="851"/>
        <w:rPr>
          <w:sz w:val="24"/>
          <w:szCs w:val="24"/>
        </w:rPr>
      </w:pPr>
    </w:p>
    <w:p w14:paraId="2EBE6BDE" w14:textId="77777777" w:rsidR="003C0325" w:rsidRPr="00AF4305" w:rsidRDefault="003C0325" w:rsidP="00EF502C">
      <w:pPr>
        <w:ind w:left="851"/>
        <w:rPr>
          <w:sz w:val="24"/>
          <w:szCs w:val="24"/>
        </w:rPr>
      </w:pPr>
      <w:r w:rsidRPr="00AF4305">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p w14:paraId="1C06F4F4" w14:textId="349E5700" w:rsidR="00AF4305" w:rsidRDefault="00AF4305">
      <w:pPr>
        <w:rPr>
          <w:sz w:val="24"/>
          <w:szCs w:val="24"/>
        </w:rPr>
      </w:pPr>
      <w:r>
        <w:rPr>
          <w:sz w:val="24"/>
          <w:szCs w:val="24"/>
        </w:rPr>
        <w:br w:type="page"/>
      </w:r>
    </w:p>
    <w:p w14:paraId="397C6B8C" w14:textId="77777777" w:rsidR="008203A8" w:rsidRPr="00AF4305" w:rsidRDefault="008203A8" w:rsidP="008203A8">
      <w:pPr>
        <w:tabs>
          <w:tab w:val="left" w:pos="851"/>
        </w:tabs>
        <w:ind w:left="851"/>
        <w:rPr>
          <w:sz w:val="24"/>
          <w:szCs w:val="24"/>
        </w:rPr>
      </w:pPr>
    </w:p>
    <w:p w14:paraId="51EFF168" w14:textId="77777777" w:rsidR="008203A8" w:rsidRPr="00AF4305" w:rsidRDefault="008203A8" w:rsidP="008203A8">
      <w:pPr>
        <w:tabs>
          <w:tab w:val="left" w:pos="851"/>
        </w:tabs>
        <w:ind w:left="851" w:hanging="851"/>
        <w:rPr>
          <w:b/>
          <w:sz w:val="24"/>
          <w:szCs w:val="24"/>
        </w:rPr>
      </w:pPr>
      <w:r w:rsidRPr="00AF4305">
        <w:rPr>
          <w:b/>
          <w:sz w:val="24"/>
          <w:szCs w:val="24"/>
        </w:rPr>
        <w:t>3.7</w:t>
      </w:r>
      <w:r w:rsidRPr="00AF4305">
        <w:rPr>
          <w:b/>
          <w:sz w:val="24"/>
          <w:szCs w:val="24"/>
        </w:rPr>
        <w:tab/>
        <w:t>Anvendelse under drægtighed, laktation eller æglægning</w:t>
      </w:r>
    </w:p>
    <w:p w14:paraId="6146E93B" w14:textId="77777777" w:rsidR="003C0325" w:rsidRPr="00AF4305" w:rsidRDefault="003C0325" w:rsidP="00EF502C">
      <w:pPr>
        <w:ind w:left="851"/>
        <w:rPr>
          <w:sz w:val="24"/>
          <w:szCs w:val="24"/>
        </w:rPr>
      </w:pPr>
      <w:r w:rsidRPr="00AF4305">
        <w:rPr>
          <w:sz w:val="24"/>
          <w:szCs w:val="24"/>
        </w:rPr>
        <w:t>Veterinærlægemidlets sikkerhed er ikke konstateret hos kvæg, svin, heste, hunde og katte under drægtighed eller laktation. Laboratorieundersøgelser af kaniner og rotter med hjælpestoffet N-</w:t>
      </w:r>
      <w:proofErr w:type="spellStart"/>
      <w:r w:rsidRPr="00AF4305">
        <w:rPr>
          <w:sz w:val="24"/>
          <w:szCs w:val="24"/>
        </w:rPr>
        <w:t>methyl</w:t>
      </w:r>
      <w:proofErr w:type="spellEnd"/>
      <w:r w:rsidRPr="00AF4305">
        <w:rPr>
          <w:sz w:val="24"/>
          <w:szCs w:val="24"/>
        </w:rPr>
        <w:t>-</w:t>
      </w:r>
      <w:proofErr w:type="spellStart"/>
      <w:r w:rsidRPr="00AF4305">
        <w:rPr>
          <w:sz w:val="24"/>
          <w:szCs w:val="24"/>
        </w:rPr>
        <w:t>pyrrolidon</w:t>
      </w:r>
      <w:proofErr w:type="spellEnd"/>
      <w:r w:rsidRPr="00AF4305">
        <w:rPr>
          <w:sz w:val="24"/>
          <w:szCs w:val="24"/>
        </w:rPr>
        <w:t xml:space="preserve"> har vist tegn på </w:t>
      </w:r>
      <w:proofErr w:type="spellStart"/>
      <w:r w:rsidRPr="00AF4305">
        <w:rPr>
          <w:sz w:val="24"/>
          <w:szCs w:val="24"/>
        </w:rPr>
        <w:t>føtotoksiske</w:t>
      </w:r>
      <w:proofErr w:type="spellEnd"/>
      <w:r w:rsidRPr="00AF4305">
        <w:rPr>
          <w:sz w:val="24"/>
          <w:szCs w:val="24"/>
        </w:rPr>
        <w:t xml:space="preserve"> virkninger. Må kun anvendes i henhold til den ansvarlige dyrlæges vurdering af fordele og risici.</w:t>
      </w:r>
    </w:p>
    <w:p w14:paraId="780D3CDE" w14:textId="77777777" w:rsidR="008203A8" w:rsidRPr="00AF4305" w:rsidRDefault="008203A8" w:rsidP="008203A8">
      <w:pPr>
        <w:tabs>
          <w:tab w:val="left" w:pos="851"/>
        </w:tabs>
        <w:ind w:left="851"/>
        <w:rPr>
          <w:sz w:val="24"/>
          <w:szCs w:val="24"/>
        </w:rPr>
      </w:pPr>
    </w:p>
    <w:p w14:paraId="2EE50D68" w14:textId="77777777" w:rsidR="008203A8" w:rsidRPr="00AF4305" w:rsidRDefault="008203A8" w:rsidP="008203A8">
      <w:pPr>
        <w:tabs>
          <w:tab w:val="left" w:pos="851"/>
        </w:tabs>
        <w:ind w:left="851" w:hanging="851"/>
        <w:rPr>
          <w:b/>
          <w:sz w:val="24"/>
          <w:szCs w:val="24"/>
        </w:rPr>
      </w:pPr>
      <w:r w:rsidRPr="00AF4305">
        <w:rPr>
          <w:b/>
          <w:sz w:val="24"/>
          <w:szCs w:val="24"/>
        </w:rPr>
        <w:t>3.8</w:t>
      </w:r>
      <w:r w:rsidRPr="00AF4305">
        <w:rPr>
          <w:b/>
          <w:sz w:val="24"/>
          <w:szCs w:val="24"/>
        </w:rPr>
        <w:tab/>
        <w:t>Interaktion med andre lægemidler og andre former for interaktion</w:t>
      </w:r>
    </w:p>
    <w:p w14:paraId="4229DDF9" w14:textId="77777777" w:rsidR="003C0325" w:rsidRPr="00AF4305" w:rsidRDefault="003C0325" w:rsidP="00EF502C">
      <w:pPr>
        <w:ind w:left="851"/>
        <w:rPr>
          <w:sz w:val="24"/>
          <w:szCs w:val="24"/>
        </w:rPr>
      </w:pPr>
      <w:r w:rsidRPr="00AF4305">
        <w:rPr>
          <w:sz w:val="24"/>
          <w:szCs w:val="24"/>
        </w:rPr>
        <w:t xml:space="preserve">Må ikke administrere med </w:t>
      </w:r>
      <w:proofErr w:type="spellStart"/>
      <w:r w:rsidRPr="00AF4305">
        <w:rPr>
          <w:sz w:val="24"/>
          <w:szCs w:val="24"/>
        </w:rPr>
        <w:t>para-aminobenzosyre</w:t>
      </w:r>
      <w:proofErr w:type="spellEnd"/>
      <w:r w:rsidRPr="00AF4305">
        <w:rPr>
          <w:sz w:val="24"/>
          <w:szCs w:val="24"/>
        </w:rPr>
        <w:t xml:space="preserve"> (PABA).</w:t>
      </w:r>
    </w:p>
    <w:p w14:paraId="5B3569B4" w14:textId="77777777" w:rsidR="003C0325" w:rsidRPr="00AF4305" w:rsidRDefault="003C0325" w:rsidP="00EF502C">
      <w:pPr>
        <w:ind w:left="851"/>
        <w:rPr>
          <w:sz w:val="24"/>
          <w:szCs w:val="24"/>
        </w:rPr>
      </w:pPr>
    </w:p>
    <w:p w14:paraId="2B250CD6" w14:textId="77777777" w:rsidR="003C0325" w:rsidRPr="00AF4305" w:rsidRDefault="003C0325" w:rsidP="00EF502C">
      <w:pPr>
        <w:ind w:left="851"/>
        <w:rPr>
          <w:sz w:val="24"/>
          <w:szCs w:val="24"/>
        </w:rPr>
      </w:pPr>
      <w:r w:rsidRPr="00AF4305">
        <w:rPr>
          <w:sz w:val="24"/>
          <w:szCs w:val="24"/>
        </w:rPr>
        <w:t xml:space="preserve">Lokale </w:t>
      </w:r>
      <w:proofErr w:type="spellStart"/>
      <w:r w:rsidRPr="00AF4305">
        <w:rPr>
          <w:sz w:val="24"/>
          <w:szCs w:val="24"/>
        </w:rPr>
        <w:t>anæstetika</w:t>
      </w:r>
      <w:proofErr w:type="spellEnd"/>
      <w:r w:rsidRPr="00AF4305">
        <w:rPr>
          <w:sz w:val="24"/>
          <w:szCs w:val="24"/>
        </w:rPr>
        <w:t xml:space="preserve"> fra gruppen af </w:t>
      </w:r>
      <w:proofErr w:type="spellStart"/>
      <w:r w:rsidRPr="00AF4305">
        <w:rPr>
          <w:sz w:val="24"/>
          <w:szCs w:val="24"/>
        </w:rPr>
        <w:t>para-aminobenzosyreestere</w:t>
      </w:r>
      <w:proofErr w:type="spellEnd"/>
      <w:r w:rsidRPr="00AF4305">
        <w:rPr>
          <w:sz w:val="24"/>
          <w:szCs w:val="24"/>
        </w:rPr>
        <w:t xml:space="preserve"> (</w:t>
      </w:r>
      <w:proofErr w:type="spellStart"/>
      <w:r w:rsidRPr="00AF4305">
        <w:rPr>
          <w:sz w:val="24"/>
          <w:szCs w:val="24"/>
        </w:rPr>
        <w:t>prokain</w:t>
      </w:r>
      <w:proofErr w:type="spellEnd"/>
      <w:r w:rsidRPr="00AF4305">
        <w:rPr>
          <w:sz w:val="24"/>
          <w:szCs w:val="24"/>
        </w:rPr>
        <w:t xml:space="preserve">, </w:t>
      </w:r>
      <w:proofErr w:type="spellStart"/>
      <w:r w:rsidRPr="00AF4305">
        <w:rPr>
          <w:sz w:val="24"/>
          <w:szCs w:val="24"/>
        </w:rPr>
        <w:t>tetrakain</w:t>
      </w:r>
      <w:proofErr w:type="spellEnd"/>
      <w:r w:rsidRPr="00AF4305">
        <w:rPr>
          <w:sz w:val="24"/>
          <w:szCs w:val="24"/>
        </w:rPr>
        <w:t xml:space="preserve">) kan lokalt hæmme virkningen af sulfonamider. </w:t>
      </w:r>
    </w:p>
    <w:p w14:paraId="476A3D8A" w14:textId="77777777" w:rsidR="003C0325" w:rsidRPr="00AF4305" w:rsidRDefault="003C0325" w:rsidP="00EF502C">
      <w:pPr>
        <w:ind w:left="851"/>
        <w:rPr>
          <w:sz w:val="24"/>
          <w:szCs w:val="24"/>
        </w:rPr>
      </w:pPr>
    </w:p>
    <w:p w14:paraId="51C7C221" w14:textId="77777777" w:rsidR="003C0325" w:rsidRPr="00AF4305" w:rsidRDefault="003C0325" w:rsidP="00EF502C">
      <w:pPr>
        <w:ind w:left="851"/>
        <w:rPr>
          <w:sz w:val="24"/>
          <w:szCs w:val="24"/>
        </w:rPr>
      </w:pPr>
      <w:r w:rsidRPr="00AF4305">
        <w:rPr>
          <w:sz w:val="24"/>
          <w:szCs w:val="24"/>
        </w:rPr>
        <w:t xml:space="preserve">Må ikke administreres orale </w:t>
      </w:r>
      <w:proofErr w:type="spellStart"/>
      <w:r w:rsidRPr="00AF4305">
        <w:rPr>
          <w:sz w:val="24"/>
          <w:szCs w:val="24"/>
        </w:rPr>
        <w:t>antikoagulanter</w:t>
      </w:r>
      <w:proofErr w:type="spellEnd"/>
      <w:r w:rsidRPr="00AF4305">
        <w:rPr>
          <w:sz w:val="24"/>
          <w:szCs w:val="24"/>
        </w:rPr>
        <w:t xml:space="preserve"> eller urinforsurende midler.</w:t>
      </w:r>
    </w:p>
    <w:p w14:paraId="776F5483" w14:textId="77777777" w:rsidR="003C0325" w:rsidRPr="00AF4305" w:rsidRDefault="003C0325" w:rsidP="00EF502C">
      <w:pPr>
        <w:ind w:left="851"/>
        <w:rPr>
          <w:sz w:val="24"/>
          <w:szCs w:val="24"/>
        </w:rPr>
      </w:pPr>
    </w:p>
    <w:p w14:paraId="050A0E58" w14:textId="77777777" w:rsidR="003C0325" w:rsidRPr="00AF4305" w:rsidRDefault="003C0325" w:rsidP="00EF502C">
      <w:pPr>
        <w:ind w:left="851"/>
        <w:rPr>
          <w:sz w:val="24"/>
          <w:szCs w:val="24"/>
        </w:rPr>
      </w:pPr>
      <w:r w:rsidRPr="00AF4305">
        <w:rPr>
          <w:sz w:val="24"/>
          <w:szCs w:val="24"/>
        </w:rPr>
        <w:t xml:space="preserve">Der er observeret tilfælde af dødelige </w:t>
      </w:r>
      <w:proofErr w:type="spellStart"/>
      <w:r w:rsidRPr="00AF4305">
        <w:rPr>
          <w:sz w:val="24"/>
          <w:szCs w:val="24"/>
        </w:rPr>
        <w:t>hjertearytmier</w:t>
      </w:r>
      <w:proofErr w:type="spellEnd"/>
      <w:r w:rsidRPr="00AF4305">
        <w:rPr>
          <w:sz w:val="24"/>
          <w:szCs w:val="24"/>
        </w:rPr>
        <w:t xml:space="preserve"> som følge af interaktion mellem sulfonamid-</w:t>
      </w:r>
      <w:proofErr w:type="spellStart"/>
      <w:r w:rsidRPr="00AF4305">
        <w:rPr>
          <w:sz w:val="24"/>
          <w:szCs w:val="24"/>
        </w:rPr>
        <w:t>trimethoprim</w:t>
      </w:r>
      <w:proofErr w:type="spellEnd"/>
      <w:r w:rsidRPr="00AF4305">
        <w:rPr>
          <w:sz w:val="24"/>
          <w:szCs w:val="24"/>
        </w:rPr>
        <w:t xml:space="preserve">-kombinationen og visse midler til at berolige og bedøve heste (f.eks. </w:t>
      </w:r>
      <w:proofErr w:type="spellStart"/>
      <w:r w:rsidRPr="00AF4305">
        <w:rPr>
          <w:sz w:val="24"/>
          <w:szCs w:val="24"/>
        </w:rPr>
        <w:t>detomidin</w:t>
      </w:r>
      <w:proofErr w:type="spellEnd"/>
      <w:r w:rsidRPr="00AF4305">
        <w:rPr>
          <w:sz w:val="24"/>
          <w:szCs w:val="24"/>
        </w:rPr>
        <w:t>).</w:t>
      </w:r>
    </w:p>
    <w:p w14:paraId="492192F0" w14:textId="77777777" w:rsidR="008203A8" w:rsidRPr="00AF4305" w:rsidRDefault="008203A8" w:rsidP="008203A8">
      <w:pPr>
        <w:tabs>
          <w:tab w:val="left" w:pos="851"/>
        </w:tabs>
        <w:ind w:left="851"/>
        <w:rPr>
          <w:sz w:val="24"/>
          <w:szCs w:val="24"/>
        </w:rPr>
      </w:pPr>
    </w:p>
    <w:p w14:paraId="280EE06C" w14:textId="77777777" w:rsidR="008203A8" w:rsidRPr="00AF4305" w:rsidRDefault="008203A8" w:rsidP="008203A8">
      <w:pPr>
        <w:tabs>
          <w:tab w:val="left" w:pos="851"/>
        </w:tabs>
        <w:ind w:left="851" w:hanging="851"/>
        <w:rPr>
          <w:b/>
          <w:sz w:val="24"/>
          <w:szCs w:val="24"/>
        </w:rPr>
      </w:pPr>
      <w:r w:rsidRPr="00AF4305">
        <w:rPr>
          <w:b/>
          <w:sz w:val="24"/>
          <w:szCs w:val="24"/>
        </w:rPr>
        <w:t>3.9</w:t>
      </w:r>
      <w:r w:rsidRPr="00AF4305">
        <w:rPr>
          <w:b/>
          <w:sz w:val="24"/>
          <w:szCs w:val="24"/>
        </w:rPr>
        <w:tab/>
        <w:t>Administrationsveje og dosering</w:t>
      </w:r>
    </w:p>
    <w:p w14:paraId="7AE7897C" w14:textId="77777777" w:rsidR="003C0325" w:rsidRPr="00AF4305" w:rsidRDefault="003C0325" w:rsidP="00EF502C">
      <w:pPr>
        <w:ind w:left="851"/>
        <w:rPr>
          <w:sz w:val="24"/>
          <w:szCs w:val="24"/>
        </w:rPr>
      </w:pPr>
      <w:r w:rsidRPr="00AF4305">
        <w:rPr>
          <w:sz w:val="24"/>
          <w:szCs w:val="24"/>
        </w:rPr>
        <w:t xml:space="preserve">Intramuskulær, intravenøs eller subkutan administration </w:t>
      </w:r>
    </w:p>
    <w:p w14:paraId="1F92529C" w14:textId="77777777" w:rsidR="003C0325" w:rsidRPr="00AF4305" w:rsidRDefault="003C0325" w:rsidP="00EF502C">
      <w:pPr>
        <w:ind w:left="851"/>
        <w:rPr>
          <w:sz w:val="24"/>
          <w:szCs w:val="24"/>
        </w:rPr>
      </w:pPr>
    </w:p>
    <w:p w14:paraId="4B77E830" w14:textId="77777777" w:rsidR="003C0325" w:rsidRPr="00AF4305" w:rsidRDefault="003C0325" w:rsidP="00EF502C">
      <w:pPr>
        <w:ind w:left="851"/>
        <w:rPr>
          <w:sz w:val="24"/>
          <w:szCs w:val="24"/>
        </w:rPr>
      </w:pPr>
      <w:r w:rsidRPr="00AF4305">
        <w:rPr>
          <w:sz w:val="24"/>
          <w:szCs w:val="24"/>
          <w:u w:val="single"/>
        </w:rPr>
        <w:t>Kvæg, svin og heste</w:t>
      </w:r>
      <w:r w:rsidRPr="00AF4305">
        <w:rPr>
          <w:sz w:val="24"/>
          <w:szCs w:val="24"/>
        </w:rPr>
        <w:t xml:space="preserve">: 12,5 mg </w:t>
      </w:r>
      <w:proofErr w:type="spellStart"/>
      <w:r w:rsidRPr="00AF4305">
        <w:rPr>
          <w:sz w:val="24"/>
          <w:szCs w:val="24"/>
        </w:rPr>
        <w:t>sulfadiazin</w:t>
      </w:r>
      <w:proofErr w:type="spellEnd"/>
      <w:r w:rsidRPr="00AF4305">
        <w:rPr>
          <w:sz w:val="24"/>
          <w:szCs w:val="24"/>
        </w:rPr>
        <w:t xml:space="preserve"> + 2,5 mg </w:t>
      </w:r>
      <w:proofErr w:type="spellStart"/>
      <w:r w:rsidRPr="00AF4305">
        <w:rPr>
          <w:sz w:val="24"/>
          <w:szCs w:val="24"/>
        </w:rPr>
        <w:t>trimethoprim</w:t>
      </w:r>
      <w:proofErr w:type="spellEnd"/>
      <w:r w:rsidRPr="00AF4305">
        <w:rPr>
          <w:sz w:val="24"/>
          <w:szCs w:val="24"/>
        </w:rPr>
        <w:t xml:space="preserve">/kg kropsvægt., svarende til 1 ml veterinærlægemiddel/16 kg kropsvægt </w:t>
      </w:r>
    </w:p>
    <w:p w14:paraId="52135825" w14:textId="77777777" w:rsidR="003C0325" w:rsidRPr="00AF4305" w:rsidRDefault="003C0325" w:rsidP="00EF502C">
      <w:pPr>
        <w:ind w:left="1134" w:hanging="283"/>
        <w:rPr>
          <w:sz w:val="24"/>
          <w:szCs w:val="24"/>
        </w:rPr>
      </w:pPr>
      <w:r w:rsidRPr="00AF4305">
        <w:rPr>
          <w:sz w:val="24"/>
          <w:szCs w:val="24"/>
        </w:rPr>
        <w:t>-</w:t>
      </w:r>
      <w:r w:rsidRPr="00AF4305">
        <w:rPr>
          <w:sz w:val="24"/>
          <w:szCs w:val="24"/>
        </w:rPr>
        <w:tab/>
        <w:t>Kvæg og svin: administrer med intramuskulær eller langsom intravenøs injektion. Maksimalt anbefalet volumen til administrering på et enkelt intramuskulært sted: 15 ml veterinærlægemiddel</w:t>
      </w:r>
    </w:p>
    <w:p w14:paraId="4B29740F" w14:textId="77777777" w:rsidR="003C0325" w:rsidRPr="00AF4305" w:rsidRDefault="003C0325" w:rsidP="00EF502C">
      <w:pPr>
        <w:ind w:left="1134" w:hanging="283"/>
        <w:rPr>
          <w:sz w:val="24"/>
          <w:szCs w:val="24"/>
        </w:rPr>
      </w:pPr>
      <w:r w:rsidRPr="00AF4305">
        <w:rPr>
          <w:sz w:val="24"/>
          <w:szCs w:val="24"/>
        </w:rPr>
        <w:t>-</w:t>
      </w:r>
      <w:r w:rsidRPr="00AF4305">
        <w:rPr>
          <w:sz w:val="24"/>
          <w:szCs w:val="24"/>
        </w:rPr>
        <w:tab/>
        <w:t>Heste: Administration må kun ske ved langsom intravenøs injektion.</w:t>
      </w:r>
    </w:p>
    <w:p w14:paraId="10563D84" w14:textId="77777777" w:rsidR="003C0325" w:rsidRPr="00AF4305" w:rsidRDefault="003C0325" w:rsidP="00EF502C">
      <w:pPr>
        <w:ind w:left="851"/>
        <w:rPr>
          <w:sz w:val="24"/>
          <w:szCs w:val="24"/>
        </w:rPr>
      </w:pPr>
    </w:p>
    <w:p w14:paraId="5782B12A" w14:textId="77777777" w:rsidR="003C0325" w:rsidRPr="00AF4305" w:rsidRDefault="003C0325" w:rsidP="00EF502C">
      <w:pPr>
        <w:ind w:left="851"/>
        <w:rPr>
          <w:sz w:val="24"/>
          <w:szCs w:val="24"/>
        </w:rPr>
      </w:pPr>
      <w:r w:rsidRPr="00AF4305">
        <w:rPr>
          <w:sz w:val="24"/>
          <w:szCs w:val="24"/>
          <w:u w:val="single"/>
        </w:rPr>
        <w:t>Hunde og katte</w:t>
      </w:r>
      <w:r w:rsidRPr="00AF4305">
        <w:rPr>
          <w:sz w:val="24"/>
          <w:szCs w:val="24"/>
        </w:rPr>
        <w:t xml:space="preserve">: 25 mg </w:t>
      </w:r>
      <w:proofErr w:type="spellStart"/>
      <w:r w:rsidRPr="00AF4305">
        <w:rPr>
          <w:sz w:val="24"/>
          <w:szCs w:val="24"/>
        </w:rPr>
        <w:t>sulfadiazin</w:t>
      </w:r>
      <w:proofErr w:type="spellEnd"/>
      <w:r w:rsidRPr="00AF4305">
        <w:rPr>
          <w:sz w:val="24"/>
          <w:szCs w:val="24"/>
        </w:rPr>
        <w:t xml:space="preserve"> + 5 mg </w:t>
      </w:r>
      <w:proofErr w:type="spellStart"/>
      <w:r w:rsidRPr="00AF4305">
        <w:rPr>
          <w:sz w:val="24"/>
          <w:szCs w:val="24"/>
        </w:rPr>
        <w:t>trimethoprim</w:t>
      </w:r>
      <w:proofErr w:type="spellEnd"/>
      <w:r w:rsidRPr="00AF4305">
        <w:rPr>
          <w:sz w:val="24"/>
          <w:szCs w:val="24"/>
        </w:rPr>
        <w:t>/kg kropsvægt, svarende til 1 ml veterinærlægemiddel/8 kg kropsvægt Administration må kun ske ved subkutan injektion.</w:t>
      </w:r>
    </w:p>
    <w:p w14:paraId="4BD38BA6" w14:textId="77777777" w:rsidR="003C0325" w:rsidRPr="00AF4305" w:rsidRDefault="003C0325" w:rsidP="00EF502C">
      <w:pPr>
        <w:ind w:left="851"/>
        <w:rPr>
          <w:sz w:val="24"/>
          <w:szCs w:val="24"/>
        </w:rPr>
      </w:pPr>
    </w:p>
    <w:p w14:paraId="0DA12EA8" w14:textId="77777777" w:rsidR="003C0325" w:rsidRPr="00AF4305" w:rsidRDefault="003C0325" w:rsidP="00EF502C">
      <w:pPr>
        <w:ind w:left="851"/>
        <w:rPr>
          <w:sz w:val="24"/>
          <w:szCs w:val="24"/>
        </w:rPr>
      </w:pPr>
      <w:r w:rsidRPr="00AF4305">
        <w:rPr>
          <w:sz w:val="24"/>
          <w:szCs w:val="24"/>
        </w:rPr>
        <w:t>Behandlingen kan gentages indtil to dage efter, at symptomerne er blevet afhjulpet i op til højst fem dage.</w:t>
      </w:r>
    </w:p>
    <w:p w14:paraId="7B87A437" w14:textId="77777777" w:rsidR="003C0325" w:rsidRPr="00AF4305" w:rsidRDefault="003C0325" w:rsidP="00EF502C">
      <w:pPr>
        <w:ind w:left="851"/>
        <w:rPr>
          <w:sz w:val="24"/>
          <w:szCs w:val="24"/>
        </w:rPr>
      </w:pPr>
    </w:p>
    <w:p w14:paraId="1DB3D33C" w14:textId="77777777" w:rsidR="003C0325" w:rsidRPr="00AF4305" w:rsidRDefault="003C0325" w:rsidP="00EF502C">
      <w:pPr>
        <w:ind w:left="851"/>
        <w:rPr>
          <w:sz w:val="24"/>
          <w:szCs w:val="24"/>
        </w:rPr>
      </w:pPr>
      <w:r w:rsidRPr="00AF4305">
        <w:rPr>
          <w:sz w:val="24"/>
          <w:szCs w:val="24"/>
        </w:rPr>
        <w:t>For at sikre en korrekt dosering skal kropsvægten bestemmes så nøjagtigt som muligt.</w:t>
      </w:r>
    </w:p>
    <w:p w14:paraId="16BB6503" w14:textId="77777777" w:rsidR="003C0325" w:rsidRPr="00AF4305" w:rsidRDefault="003C0325" w:rsidP="00EF502C">
      <w:pPr>
        <w:ind w:left="851"/>
        <w:rPr>
          <w:sz w:val="24"/>
          <w:szCs w:val="24"/>
        </w:rPr>
      </w:pPr>
    </w:p>
    <w:p w14:paraId="2E1EF11E" w14:textId="77777777" w:rsidR="003C0325" w:rsidRPr="00AF4305" w:rsidRDefault="003C0325" w:rsidP="00EF502C">
      <w:pPr>
        <w:ind w:left="851"/>
        <w:rPr>
          <w:sz w:val="24"/>
          <w:szCs w:val="24"/>
        </w:rPr>
      </w:pPr>
      <w:r w:rsidRPr="00AF4305">
        <w:rPr>
          <w:sz w:val="24"/>
          <w:szCs w:val="24"/>
        </w:rPr>
        <w:t>Hætten kan punkteres sikkert op til 30 gange. Brugeren skal vælge den mest passende hætteglasstørrelse i forhold til den dyreart, der skal behandles.</w:t>
      </w:r>
    </w:p>
    <w:p w14:paraId="5239787F" w14:textId="77777777" w:rsidR="008203A8" w:rsidRPr="00AF4305" w:rsidRDefault="008203A8" w:rsidP="008203A8">
      <w:pPr>
        <w:tabs>
          <w:tab w:val="left" w:pos="851"/>
        </w:tabs>
        <w:ind w:left="851"/>
        <w:rPr>
          <w:sz w:val="24"/>
          <w:szCs w:val="24"/>
        </w:rPr>
      </w:pPr>
    </w:p>
    <w:p w14:paraId="01D08957" w14:textId="77777777" w:rsidR="008203A8" w:rsidRPr="00AF4305" w:rsidRDefault="008203A8" w:rsidP="008203A8">
      <w:pPr>
        <w:tabs>
          <w:tab w:val="left" w:pos="851"/>
        </w:tabs>
        <w:ind w:left="851" w:hanging="851"/>
        <w:rPr>
          <w:b/>
          <w:sz w:val="24"/>
          <w:szCs w:val="24"/>
        </w:rPr>
      </w:pPr>
      <w:r w:rsidRPr="00AF4305">
        <w:rPr>
          <w:b/>
          <w:sz w:val="24"/>
          <w:szCs w:val="24"/>
        </w:rPr>
        <w:t>3.10</w:t>
      </w:r>
      <w:r w:rsidRPr="00AF4305">
        <w:rPr>
          <w:b/>
          <w:sz w:val="24"/>
          <w:szCs w:val="24"/>
        </w:rPr>
        <w:tab/>
        <w:t>Symptomer på overdosering (og, hvis relevant, nødforanstaltninger og modgift)</w:t>
      </w:r>
    </w:p>
    <w:p w14:paraId="7A464D7C" w14:textId="77777777" w:rsidR="003C0325" w:rsidRPr="00AF4305" w:rsidRDefault="003C0325" w:rsidP="00EF502C">
      <w:pPr>
        <w:ind w:left="851"/>
        <w:rPr>
          <w:sz w:val="24"/>
          <w:szCs w:val="24"/>
        </w:rPr>
      </w:pPr>
      <w:proofErr w:type="spellStart"/>
      <w:r w:rsidRPr="00AF4305">
        <w:rPr>
          <w:sz w:val="24"/>
          <w:szCs w:val="24"/>
        </w:rPr>
        <w:t>Krystalluri</w:t>
      </w:r>
      <w:proofErr w:type="spellEnd"/>
      <w:r w:rsidRPr="00AF4305">
        <w:rPr>
          <w:sz w:val="24"/>
          <w:szCs w:val="24"/>
        </w:rPr>
        <w:t xml:space="preserve"> og nerve- og </w:t>
      </w:r>
      <w:proofErr w:type="spellStart"/>
      <w:r w:rsidRPr="00AF4305">
        <w:rPr>
          <w:sz w:val="24"/>
          <w:szCs w:val="24"/>
        </w:rPr>
        <w:t>hæmatiske</w:t>
      </w:r>
      <w:proofErr w:type="spellEnd"/>
      <w:r w:rsidRPr="00AF4305">
        <w:rPr>
          <w:sz w:val="24"/>
          <w:szCs w:val="24"/>
        </w:rPr>
        <w:t xml:space="preserve"> lidelser kan forekomme.</w:t>
      </w:r>
    </w:p>
    <w:p w14:paraId="76178CE6" w14:textId="77777777" w:rsidR="003C0325" w:rsidRPr="00AF4305" w:rsidRDefault="003C0325" w:rsidP="00EF502C">
      <w:pPr>
        <w:ind w:left="851"/>
        <w:rPr>
          <w:sz w:val="24"/>
          <w:szCs w:val="24"/>
        </w:rPr>
      </w:pPr>
      <w:r w:rsidRPr="00AF4305">
        <w:rPr>
          <w:sz w:val="24"/>
          <w:szCs w:val="24"/>
        </w:rPr>
        <w:t xml:space="preserve">I tilfælde af overdosis skal behandlingen afbrydes, og der skal administreres rigelige mængder vand og </w:t>
      </w:r>
      <w:proofErr w:type="spellStart"/>
      <w:r w:rsidRPr="00AF4305">
        <w:rPr>
          <w:sz w:val="24"/>
          <w:szCs w:val="24"/>
        </w:rPr>
        <w:t>folinsyre</w:t>
      </w:r>
      <w:proofErr w:type="spellEnd"/>
      <w:r w:rsidRPr="00AF4305">
        <w:rPr>
          <w:sz w:val="24"/>
          <w:szCs w:val="24"/>
        </w:rPr>
        <w:t>.</w:t>
      </w:r>
    </w:p>
    <w:p w14:paraId="5E7AAFC0" w14:textId="77777777" w:rsidR="008203A8" w:rsidRPr="00AF4305" w:rsidRDefault="008203A8" w:rsidP="008203A8">
      <w:pPr>
        <w:tabs>
          <w:tab w:val="left" w:pos="851"/>
        </w:tabs>
        <w:ind w:left="851"/>
        <w:rPr>
          <w:sz w:val="24"/>
          <w:szCs w:val="24"/>
        </w:rPr>
      </w:pPr>
    </w:p>
    <w:p w14:paraId="23B53E0E" w14:textId="77777777" w:rsidR="008203A8" w:rsidRPr="00AF4305" w:rsidRDefault="008203A8" w:rsidP="008203A8">
      <w:pPr>
        <w:tabs>
          <w:tab w:val="left" w:pos="851"/>
        </w:tabs>
        <w:ind w:left="851" w:hanging="851"/>
        <w:rPr>
          <w:sz w:val="24"/>
          <w:szCs w:val="24"/>
        </w:rPr>
      </w:pPr>
      <w:r w:rsidRPr="00AF4305">
        <w:rPr>
          <w:b/>
          <w:sz w:val="24"/>
          <w:szCs w:val="24"/>
        </w:rPr>
        <w:t>3.11</w:t>
      </w:r>
      <w:r w:rsidRPr="00AF4305">
        <w:rPr>
          <w:sz w:val="24"/>
          <w:szCs w:val="24"/>
        </w:rPr>
        <w:tab/>
      </w:r>
      <w:r w:rsidRPr="00AF4305">
        <w:rPr>
          <w:b/>
          <w:sz w:val="24"/>
          <w:szCs w:val="24"/>
        </w:rPr>
        <w:t>Særlige begrænsninger og betingelser for anvendelse, herunder begrænsninger for anvendelsen af antimikrobielle og antiparasitære veterinærlægemidler for at begrænse risikoen for udvikling af resistens</w:t>
      </w:r>
    </w:p>
    <w:p w14:paraId="0AD12911" w14:textId="77777777" w:rsidR="003C0325" w:rsidRPr="00AF4305" w:rsidRDefault="003C0325" w:rsidP="00EF502C">
      <w:pPr>
        <w:ind w:left="851"/>
        <w:rPr>
          <w:sz w:val="24"/>
          <w:szCs w:val="24"/>
        </w:rPr>
      </w:pPr>
      <w:r w:rsidRPr="00AF4305">
        <w:rPr>
          <w:sz w:val="24"/>
          <w:szCs w:val="24"/>
        </w:rPr>
        <w:t>Skal administreres af en dyrlægekirurg (i tilfælde af intravenøs administrationsvej) eller under dennes direkte ansvar.</w:t>
      </w:r>
    </w:p>
    <w:p w14:paraId="3F3109B4" w14:textId="77777777" w:rsidR="008203A8" w:rsidRPr="00AF4305" w:rsidRDefault="008203A8" w:rsidP="008203A8">
      <w:pPr>
        <w:tabs>
          <w:tab w:val="left" w:pos="851"/>
        </w:tabs>
        <w:ind w:left="851"/>
        <w:rPr>
          <w:sz w:val="24"/>
          <w:szCs w:val="24"/>
        </w:rPr>
      </w:pPr>
    </w:p>
    <w:p w14:paraId="574E1FB9" w14:textId="77777777" w:rsidR="008203A8" w:rsidRPr="00AF4305" w:rsidRDefault="008203A8" w:rsidP="008203A8">
      <w:pPr>
        <w:tabs>
          <w:tab w:val="left" w:pos="851"/>
        </w:tabs>
        <w:ind w:left="851" w:hanging="851"/>
        <w:rPr>
          <w:b/>
          <w:sz w:val="24"/>
          <w:szCs w:val="24"/>
        </w:rPr>
      </w:pPr>
      <w:r w:rsidRPr="00AF4305">
        <w:rPr>
          <w:b/>
          <w:sz w:val="24"/>
          <w:szCs w:val="24"/>
        </w:rPr>
        <w:lastRenderedPageBreak/>
        <w:t>3.12</w:t>
      </w:r>
      <w:r w:rsidRPr="00AF4305">
        <w:rPr>
          <w:b/>
          <w:sz w:val="24"/>
          <w:szCs w:val="24"/>
        </w:rPr>
        <w:tab/>
        <w:t>Tilbageholdelsestid(er)</w:t>
      </w:r>
    </w:p>
    <w:p w14:paraId="501CBA3D" w14:textId="77777777" w:rsidR="00AF4305" w:rsidRDefault="00AF4305" w:rsidP="00EF502C">
      <w:pPr>
        <w:ind w:left="851"/>
        <w:rPr>
          <w:sz w:val="24"/>
          <w:szCs w:val="24"/>
          <w:u w:val="single"/>
        </w:rPr>
      </w:pPr>
    </w:p>
    <w:p w14:paraId="58FDB9E4" w14:textId="7536BDD0" w:rsidR="003C0325" w:rsidRPr="00AF4305" w:rsidRDefault="003C0325" w:rsidP="00EF502C">
      <w:pPr>
        <w:ind w:left="851"/>
        <w:rPr>
          <w:sz w:val="24"/>
          <w:szCs w:val="24"/>
          <w:u w:val="single"/>
        </w:rPr>
      </w:pPr>
      <w:r w:rsidRPr="00AF4305">
        <w:rPr>
          <w:sz w:val="24"/>
          <w:szCs w:val="24"/>
          <w:u w:val="single"/>
        </w:rPr>
        <w:t>Kvæg:</w:t>
      </w:r>
    </w:p>
    <w:p w14:paraId="18D13F70" w14:textId="77777777" w:rsidR="003C0325" w:rsidRPr="00AF4305" w:rsidRDefault="003C0325" w:rsidP="00EF502C">
      <w:pPr>
        <w:ind w:left="851"/>
        <w:rPr>
          <w:sz w:val="24"/>
          <w:szCs w:val="24"/>
        </w:rPr>
      </w:pPr>
      <w:r w:rsidRPr="00AF4305">
        <w:rPr>
          <w:sz w:val="24"/>
          <w:szCs w:val="24"/>
        </w:rPr>
        <w:t xml:space="preserve">Slagtning: 12 dage </w:t>
      </w:r>
    </w:p>
    <w:p w14:paraId="2E7B7CD6" w14:textId="77777777" w:rsidR="003C0325" w:rsidRPr="00AF4305" w:rsidRDefault="003C0325" w:rsidP="00EF502C">
      <w:pPr>
        <w:ind w:left="851"/>
        <w:rPr>
          <w:sz w:val="24"/>
          <w:szCs w:val="24"/>
        </w:rPr>
      </w:pPr>
      <w:r w:rsidRPr="00AF4305">
        <w:rPr>
          <w:sz w:val="24"/>
          <w:szCs w:val="24"/>
        </w:rPr>
        <w:t>Mælk: 48 timer</w:t>
      </w:r>
    </w:p>
    <w:p w14:paraId="5270ECB7" w14:textId="77777777" w:rsidR="003C0325" w:rsidRPr="00AF4305" w:rsidRDefault="003C0325" w:rsidP="00EF502C">
      <w:pPr>
        <w:ind w:left="851"/>
        <w:rPr>
          <w:sz w:val="24"/>
          <w:szCs w:val="24"/>
        </w:rPr>
      </w:pPr>
    </w:p>
    <w:p w14:paraId="5136138D" w14:textId="77777777" w:rsidR="003C0325" w:rsidRPr="00AF4305" w:rsidRDefault="003C0325" w:rsidP="00EF502C">
      <w:pPr>
        <w:ind w:left="851"/>
        <w:rPr>
          <w:sz w:val="24"/>
          <w:szCs w:val="24"/>
          <w:u w:val="single"/>
        </w:rPr>
      </w:pPr>
      <w:r w:rsidRPr="00AF4305">
        <w:rPr>
          <w:sz w:val="24"/>
          <w:szCs w:val="24"/>
          <w:u w:val="single"/>
        </w:rPr>
        <w:t>Svin:</w:t>
      </w:r>
    </w:p>
    <w:p w14:paraId="2298F7B8" w14:textId="77777777" w:rsidR="003C0325" w:rsidRPr="00AF4305" w:rsidRDefault="003C0325" w:rsidP="00EF502C">
      <w:pPr>
        <w:ind w:left="851"/>
        <w:rPr>
          <w:sz w:val="24"/>
          <w:szCs w:val="24"/>
        </w:rPr>
      </w:pPr>
      <w:r w:rsidRPr="00AF4305">
        <w:rPr>
          <w:sz w:val="24"/>
          <w:szCs w:val="24"/>
        </w:rPr>
        <w:t>Slagtning: 20 dage</w:t>
      </w:r>
    </w:p>
    <w:p w14:paraId="61640C1C" w14:textId="77777777" w:rsidR="003C0325" w:rsidRPr="00AF4305" w:rsidRDefault="003C0325" w:rsidP="00EF502C">
      <w:pPr>
        <w:ind w:left="851"/>
        <w:rPr>
          <w:sz w:val="24"/>
          <w:szCs w:val="24"/>
        </w:rPr>
      </w:pPr>
    </w:p>
    <w:p w14:paraId="563165D6" w14:textId="77777777" w:rsidR="003C0325" w:rsidRPr="00AF4305" w:rsidRDefault="003C0325" w:rsidP="00EF502C">
      <w:pPr>
        <w:ind w:left="851"/>
        <w:rPr>
          <w:sz w:val="24"/>
          <w:szCs w:val="24"/>
          <w:u w:val="single"/>
        </w:rPr>
      </w:pPr>
      <w:r w:rsidRPr="00AF4305">
        <w:rPr>
          <w:sz w:val="24"/>
          <w:szCs w:val="24"/>
          <w:u w:val="single"/>
        </w:rPr>
        <w:t>Heste:</w:t>
      </w:r>
    </w:p>
    <w:p w14:paraId="401CB083" w14:textId="77777777" w:rsidR="003C0325" w:rsidRPr="00AF4305" w:rsidRDefault="003C0325" w:rsidP="00EF502C">
      <w:pPr>
        <w:ind w:left="851"/>
        <w:rPr>
          <w:sz w:val="24"/>
          <w:szCs w:val="24"/>
        </w:rPr>
      </w:pPr>
      <w:r w:rsidRPr="00AF4305">
        <w:rPr>
          <w:sz w:val="24"/>
          <w:szCs w:val="24"/>
        </w:rPr>
        <w:t>Slagtning: 28 dage</w:t>
      </w:r>
    </w:p>
    <w:p w14:paraId="27AC6F67" w14:textId="1A6CC158" w:rsidR="003C0325" w:rsidRPr="00AF4305" w:rsidRDefault="003C0325" w:rsidP="00EF502C">
      <w:pPr>
        <w:ind w:left="851"/>
        <w:rPr>
          <w:sz w:val="24"/>
          <w:szCs w:val="24"/>
        </w:rPr>
      </w:pPr>
      <w:bookmarkStart w:id="2" w:name="_Hlk141266346"/>
      <w:r w:rsidRPr="00AF4305">
        <w:rPr>
          <w:sz w:val="24"/>
          <w:szCs w:val="24"/>
        </w:rPr>
        <w:t>Må ikke anvendes til heste, hvis mælk er bestemt til menneskeføde</w:t>
      </w:r>
      <w:r w:rsidR="00AF4305">
        <w:rPr>
          <w:sz w:val="24"/>
          <w:szCs w:val="24"/>
        </w:rPr>
        <w:t>.</w:t>
      </w:r>
      <w:bookmarkEnd w:id="2"/>
    </w:p>
    <w:p w14:paraId="588F7F43" w14:textId="77777777" w:rsidR="008203A8" w:rsidRPr="00AF4305" w:rsidRDefault="008203A8" w:rsidP="008203A8">
      <w:pPr>
        <w:pStyle w:val="Sidehoved"/>
        <w:tabs>
          <w:tab w:val="clear" w:pos="4819"/>
        </w:tabs>
        <w:ind w:left="851"/>
        <w:rPr>
          <w:szCs w:val="24"/>
        </w:rPr>
      </w:pPr>
    </w:p>
    <w:p w14:paraId="1412211B" w14:textId="77777777" w:rsidR="008203A8" w:rsidRPr="00AF4305" w:rsidRDefault="008203A8" w:rsidP="008203A8">
      <w:pPr>
        <w:tabs>
          <w:tab w:val="left" w:pos="851"/>
        </w:tabs>
        <w:ind w:left="851"/>
        <w:rPr>
          <w:sz w:val="24"/>
          <w:szCs w:val="24"/>
        </w:rPr>
      </w:pPr>
    </w:p>
    <w:p w14:paraId="168CD4A4" w14:textId="5E28C57E" w:rsidR="008203A8" w:rsidRPr="00AF4305" w:rsidRDefault="008203A8" w:rsidP="008203A8">
      <w:pPr>
        <w:ind w:left="851" w:hanging="851"/>
        <w:rPr>
          <w:b/>
          <w:sz w:val="24"/>
          <w:szCs w:val="24"/>
        </w:rPr>
      </w:pPr>
      <w:r w:rsidRPr="00AF4305">
        <w:rPr>
          <w:b/>
          <w:sz w:val="24"/>
          <w:szCs w:val="24"/>
        </w:rPr>
        <w:t>4.</w:t>
      </w:r>
      <w:r w:rsidRPr="00AF4305">
        <w:rPr>
          <w:b/>
          <w:sz w:val="24"/>
          <w:szCs w:val="24"/>
        </w:rPr>
        <w:tab/>
        <w:t>FARMAKOLOGISKE OPLYSNINGER</w:t>
      </w:r>
    </w:p>
    <w:p w14:paraId="33C64429" w14:textId="77777777" w:rsidR="008203A8" w:rsidRPr="00AF4305" w:rsidRDefault="008203A8" w:rsidP="008203A8">
      <w:pPr>
        <w:ind w:left="851"/>
        <w:rPr>
          <w:sz w:val="24"/>
          <w:szCs w:val="24"/>
        </w:rPr>
      </w:pPr>
    </w:p>
    <w:p w14:paraId="5831B5A8" w14:textId="77777777" w:rsidR="008203A8" w:rsidRPr="00AF4305" w:rsidRDefault="008203A8" w:rsidP="008203A8">
      <w:pPr>
        <w:ind w:left="851" w:hanging="851"/>
        <w:rPr>
          <w:b/>
          <w:sz w:val="24"/>
          <w:szCs w:val="24"/>
        </w:rPr>
      </w:pPr>
      <w:r w:rsidRPr="00AF4305">
        <w:rPr>
          <w:b/>
          <w:sz w:val="24"/>
          <w:szCs w:val="24"/>
        </w:rPr>
        <w:t>4.1</w:t>
      </w:r>
      <w:r w:rsidRPr="00AF4305">
        <w:rPr>
          <w:b/>
          <w:sz w:val="24"/>
          <w:szCs w:val="24"/>
        </w:rPr>
        <w:tab/>
      </w:r>
      <w:proofErr w:type="spellStart"/>
      <w:r w:rsidRPr="00AF4305">
        <w:rPr>
          <w:b/>
          <w:sz w:val="24"/>
          <w:szCs w:val="24"/>
        </w:rPr>
        <w:t>ATCvet</w:t>
      </w:r>
      <w:proofErr w:type="spellEnd"/>
      <w:r w:rsidRPr="00AF4305">
        <w:rPr>
          <w:b/>
          <w:sz w:val="24"/>
          <w:szCs w:val="24"/>
        </w:rPr>
        <w:t>-kode</w:t>
      </w:r>
    </w:p>
    <w:p w14:paraId="0612C2EE" w14:textId="2F7ABC5B" w:rsidR="008203A8" w:rsidRPr="00AF4305" w:rsidRDefault="003C0325" w:rsidP="008203A8">
      <w:pPr>
        <w:ind w:left="851"/>
        <w:rPr>
          <w:sz w:val="24"/>
          <w:szCs w:val="24"/>
        </w:rPr>
      </w:pPr>
      <w:r w:rsidRPr="00AF4305">
        <w:rPr>
          <w:sz w:val="24"/>
          <w:szCs w:val="24"/>
        </w:rPr>
        <w:t>QJ01EW10</w:t>
      </w:r>
    </w:p>
    <w:p w14:paraId="18CCD039" w14:textId="77777777" w:rsidR="008203A8" w:rsidRPr="00AF4305" w:rsidRDefault="008203A8" w:rsidP="008203A8">
      <w:pPr>
        <w:ind w:left="851"/>
        <w:rPr>
          <w:sz w:val="24"/>
          <w:szCs w:val="24"/>
        </w:rPr>
      </w:pPr>
    </w:p>
    <w:p w14:paraId="045CD12F" w14:textId="77777777" w:rsidR="008203A8" w:rsidRPr="00AF4305" w:rsidRDefault="008203A8" w:rsidP="008203A8">
      <w:pPr>
        <w:tabs>
          <w:tab w:val="left" w:pos="851"/>
        </w:tabs>
        <w:ind w:left="851" w:hanging="851"/>
        <w:rPr>
          <w:b/>
          <w:sz w:val="24"/>
          <w:szCs w:val="24"/>
        </w:rPr>
      </w:pPr>
      <w:r w:rsidRPr="00AF4305">
        <w:rPr>
          <w:b/>
          <w:sz w:val="24"/>
          <w:szCs w:val="24"/>
        </w:rPr>
        <w:t>4.2</w:t>
      </w:r>
      <w:r w:rsidRPr="00AF4305">
        <w:rPr>
          <w:b/>
          <w:sz w:val="24"/>
          <w:szCs w:val="24"/>
        </w:rPr>
        <w:tab/>
      </w:r>
      <w:proofErr w:type="spellStart"/>
      <w:r w:rsidRPr="00AF4305">
        <w:rPr>
          <w:b/>
          <w:sz w:val="24"/>
          <w:szCs w:val="24"/>
        </w:rPr>
        <w:t>Farmakodynamiske</w:t>
      </w:r>
      <w:proofErr w:type="spellEnd"/>
      <w:r w:rsidRPr="00AF4305">
        <w:rPr>
          <w:b/>
          <w:sz w:val="24"/>
          <w:szCs w:val="24"/>
        </w:rPr>
        <w:t xml:space="preserve"> oplysninger</w:t>
      </w:r>
    </w:p>
    <w:p w14:paraId="0691126F" w14:textId="77777777" w:rsidR="003C0325" w:rsidRPr="00AF4305" w:rsidRDefault="003C0325" w:rsidP="00EF502C">
      <w:pPr>
        <w:ind w:left="851"/>
        <w:rPr>
          <w:sz w:val="24"/>
          <w:szCs w:val="24"/>
        </w:rPr>
      </w:pPr>
      <w:proofErr w:type="spellStart"/>
      <w:r w:rsidRPr="00AF4305">
        <w:rPr>
          <w:sz w:val="24"/>
          <w:szCs w:val="24"/>
        </w:rPr>
        <w:t>Sulfadiazin</w:t>
      </w:r>
      <w:proofErr w:type="spellEnd"/>
      <w:r w:rsidRPr="00AF4305">
        <w:rPr>
          <w:sz w:val="24"/>
          <w:szCs w:val="24"/>
        </w:rPr>
        <w:t xml:space="preserve"> tilhører gruppen af kemoterapeutiske sulfonamid-midler, </w:t>
      </w:r>
      <w:proofErr w:type="spellStart"/>
      <w:r w:rsidRPr="00AF4305">
        <w:rPr>
          <w:sz w:val="24"/>
          <w:szCs w:val="24"/>
        </w:rPr>
        <w:t>trimethoprim</w:t>
      </w:r>
      <w:proofErr w:type="spellEnd"/>
      <w:r w:rsidRPr="00AF4305">
        <w:rPr>
          <w:sz w:val="24"/>
          <w:szCs w:val="24"/>
        </w:rPr>
        <w:t xml:space="preserve"> tilhører </w:t>
      </w:r>
      <w:proofErr w:type="spellStart"/>
      <w:r w:rsidRPr="00AF4305">
        <w:rPr>
          <w:sz w:val="24"/>
          <w:szCs w:val="24"/>
        </w:rPr>
        <w:t>diaminopyrimid</w:t>
      </w:r>
      <w:proofErr w:type="spellEnd"/>
      <w:r w:rsidRPr="00AF4305">
        <w:rPr>
          <w:sz w:val="24"/>
          <w:szCs w:val="24"/>
        </w:rPr>
        <w:t xml:space="preserve">-midlerne. Begge aktive substanser har en hæmmende virkning på mikroorganismernes </w:t>
      </w:r>
      <w:proofErr w:type="spellStart"/>
      <w:r w:rsidRPr="00AF4305">
        <w:rPr>
          <w:sz w:val="24"/>
          <w:szCs w:val="24"/>
        </w:rPr>
        <w:t>folinsyremetabolisme</w:t>
      </w:r>
      <w:proofErr w:type="spellEnd"/>
      <w:r w:rsidRPr="00AF4305">
        <w:rPr>
          <w:sz w:val="24"/>
          <w:szCs w:val="24"/>
        </w:rPr>
        <w:t xml:space="preserve"> på to forskellige stadier (sekventiel effekt). Blokering af individuelle trin afbryder syntesen af nukleinsyrer og proteiner i følsomme bakterier.</w:t>
      </w:r>
    </w:p>
    <w:p w14:paraId="067CE68C" w14:textId="77777777" w:rsidR="003C0325" w:rsidRPr="00AF4305" w:rsidRDefault="003C0325" w:rsidP="00EF502C">
      <w:pPr>
        <w:ind w:left="851"/>
        <w:rPr>
          <w:sz w:val="24"/>
          <w:szCs w:val="24"/>
        </w:rPr>
      </w:pPr>
      <w:proofErr w:type="spellStart"/>
      <w:r w:rsidRPr="00AF4305">
        <w:rPr>
          <w:sz w:val="24"/>
          <w:szCs w:val="24"/>
        </w:rPr>
        <w:t>Sulfadiazin</w:t>
      </w:r>
      <w:proofErr w:type="spellEnd"/>
      <w:r w:rsidRPr="00AF4305">
        <w:rPr>
          <w:sz w:val="24"/>
          <w:szCs w:val="24"/>
        </w:rPr>
        <w:t xml:space="preserve"> hæmmer inkorporering af p-</w:t>
      </w:r>
      <w:proofErr w:type="spellStart"/>
      <w:r w:rsidRPr="00AF4305">
        <w:rPr>
          <w:sz w:val="24"/>
          <w:szCs w:val="24"/>
        </w:rPr>
        <w:t>aminobenzosyre</w:t>
      </w:r>
      <w:proofErr w:type="spellEnd"/>
      <w:r w:rsidRPr="00AF4305">
        <w:rPr>
          <w:sz w:val="24"/>
          <w:szCs w:val="24"/>
        </w:rPr>
        <w:t xml:space="preserve"> (PABA)i </w:t>
      </w:r>
      <w:proofErr w:type="spellStart"/>
      <w:r w:rsidRPr="00AF4305">
        <w:rPr>
          <w:sz w:val="24"/>
          <w:szCs w:val="24"/>
        </w:rPr>
        <w:t>dihydrofolinsyre</w:t>
      </w:r>
      <w:proofErr w:type="spellEnd"/>
      <w:r w:rsidRPr="00AF4305">
        <w:rPr>
          <w:sz w:val="24"/>
          <w:szCs w:val="24"/>
        </w:rPr>
        <w:t xml:space="preserve">. </w:t>
      </w:r>
      <w:proofErr w:type="spellStart"/>
      <w:r w:rsidRPr="00AF4305">
        <w:rPr>
          <w:sz w:val="24"/>
          <w:szCs w:val="24"/>
        </w:rPr>
        <w:t>Sulfadiazin</w:t>
      </w:r>
      <w:proofErr w:type="spellEnd"/>
      <w:r w:rsidRPr="00AF4305">
        <w:rPr>
          <w:sz w:val="24"/>
          <w:szCs w:val="24"/>
        </w:rPr>
        <w:t xml:space="preserve"> konkurrerer specifikt med PABA om enzymet </w:t>
      </w:r>
      <w:proofErr w:type="spellStart"/>
      <w:r w:rsidRPr="00AF4305">
        <w:rPr>
          <w:sz w:val="24"/>
          <w:szCs w:val="24"/>
        </w:rPr>
        <w:t>dihydroproteosyntetase</w:t>
      </w:r>
      <w:proofErr w:type="spellEnd"/>
      <w:r w:rsidRPr="00AF4305">
        <w:rPr>
          <w:sz w:val="24"/>
          <w:szCs w:val="24"/>
        </w:rPr>
        <w:t xml:space="preserve">, og dennes selektive </w:t>
      </w:r>
      <w:proofErr w:type="spellStart"/>
      <w:r w:rsidRPr="00AF4305">
        <w:rPr>
          <w:sz w:val="24"/>
          <w:szCs w:val="24"/>
        </w:rPr>
        <w:t>bakteriostatiske</w:t>
      </w:r>
      <w:proofErr w:type="spellEnd"/>
      <w:r w:rsidRPr="00AF4305">
        <w:rPr>
          <w:sz w:val="24"/>
          <w:szCs w:val="24"/>
        </w:rPr>
        <w:t xml:space="preserve"> virkning afhænger af forskellen i dannelsen af </w:t>
      </w:r>
      <w:proofErr w:type="spellStart"/>
      <w:r w:rsidRPr="00AF4305">
        <w:rPr>
          <w:sz w:val="24"/>
          <w:szCs w:val="24"/>
        </w:rPr>
        <w:t>folinsyre</w:t>
      </w:r>
      <w:proofErr w:type="spellEnd"/>
      <w:r w:rsidRPr="00AF4305">
        <w:rPr>
          <w:sz w:val="24"/>
          <w:szCs w:val="24"/>
        </w:rPr>
        <w:t xml:space="preserve"> i bakterieceller og pattedyrsceller. Modtagelige mikroorganismer syntetiserer </w:t>
      </w:r>
      <w:proofErr w:type="spellStart"/>
      <w:r w:rsidRPr="00AF4305">
        <w:rPr>
          <w:sz w:val="24"/>
          <w:szCs w:val="24"/>
        </w:rPr>
        <w:t>folinsyre</w:t>
      </w:r>
      <w:proofErr w:type="spellEnd"/>
      <w:r w:rsidRPr="00AF4305">
        <w:rPr>
          <w:sz w:val="24"/>
          <w:szCs w:val="24"/>
        </w:rPr>
        <w:t xml:space="preserve">, mens pattedyrsceller anvender </w:t>
      </w:r>
      <w:proofErr w:type="spellStart"/>
      <w:r w:rsidRPr="00AF4305">
        <w:rPr>
          <w:sz w:val="24"/>
          <w:szCs w:val="24"/>
        </w:rPr>
        <w:t>foruddannet</w:t>
      </w:r>
      <w:proofErr w:type="spellEnd"/>
      <w:r w:rsidRPr="00AF4305">
        <w:rPr>
          <w:sz w:val="24"/>
          <w:szCs w:val="24"/>
        </w:rPr>
        <w:t xml:space="preserve"> </w:t>
      </w:r>
      <w:proofErr w:type="spellStart"/>
      <w:r w:rsidRPr="00AF4305">
        <w:rPr>
          <w:sz w:val="24"/>
          <w:szCs w:val="24"/>
        </w:rPr>
        <w:t>folinsyre</w:t>
      </w:r>
      <w:proofErr w:type="spellEnd"/>
      <w:r w:rsidRPr="00AF4305">
        <w:rPr>
          <w:sz w:val="24"/>
          <w:szCs w:val="24"/>
        </w:rPr>
        <w:t>.</w:t>
      </w:r>
    </w:p>
    <w:p w14:paraId="724DBFEF" w14:textId="77777777" w:rsidR="00EF502C" w:rsidRPr="00AF4305" w:rsidRDefault="00EF502C" w:rsidP="00EF502C">
      <w:pPr>
        <w:ind w:left="851" w:right="-1"/>
        <w:rPr>
          <w:sz w:val="24"/>
          <w:szCs w:val="24"/>
        </w:rPr>
      </w:pPr>
    </w:p>
    <w:p w14:paraId="00A54182" w14:textId="3E2D7E29" w:rsidR="003C0325" w:rsidRPr="00AF4305" w:rsidRDefault="003C0325" w:rsidP="00EF502C">
      <w:pPr>
        <w:ind w:left="851" w:right="-1"/>
        <w:rPr>
          <w:sz w:val="24"/>
          <w:szCs w:val="24"/>
        </w:rPr>
      </w:pPr>
      <w:proofErr w:type="spellStart"/>
      <w:r w:rsidRPr="00AF4305">
        <w:rPr>
          <w:sz w:val="24"/>
          <w:szCs w:val="24"/>
        </w:rPr>
        <w:t>Trimethoprim</w:t>
      </w:r>
      <w:proofErr w:type="spellEnd"/>
      <w:r w:rsidRPr="00AF4305">
        <w:rPr>
          <w:sz w:val="24"/>
          <w:szCs w:val="24"/>
        </w:rPr>
        <w:t xml:space="preserve"> hæmmer selektivt enzymet </w:t>
      </w:r>
      <w:proofErr w:type="spellStart"/>
      <w:r w:rsidRPr="00AF4305">
        <w:rPr>
          <w:sz w:val="24"/>
          <w:szCs w:val="24"/>
        </w:rPr>
        <w:t>dihydrofolatreduktase</w:t>
      </w:r>
      <w:proofErr w:type="spellEnd"/>
      <w:r w:rsidRPr="00AF4305">
        <w:rPr>
          <w:sz w:val="24"/>
          <w:szCs w:val="24"/>
        </w:rPr>
        <w:t xml:space="preserve"> og forhindrer dermed konvertering af </w:t>
      </w:r>
      <w:proofErr w:type="spellStart"/>
      <w:r w:rsidRPr="00AF4305">
        <w:rPr>
          <w:sz w:val="24"/>
          <w:szCs w:val="24"/>
        </w:rPr>
        <w:t>dihydrofolsyre</w:t>
      </w:r>
      <w:proofErr w:type="spellEnd"/>
      <w:r w:rsidRPr="00AF4305">
        <w:rPr>
          <w:sz w:val="24"/>
          <w:szCs w:val="24"/>
        </w:rPr>
        <w:t xml:space="preserve"> til </w:t>
      </w:r>
      <w:proofErr w:type="spellStart"/>
      <w:r w:rsidRPr="00AF4305">
        <w:rPr>
          <w:sz w:val="24"/>
          <w:szCs w:val="24"/>
        </w:rPr>
        <w:t>tetrahydrofolsyre</w:t>
      </w:r>
      <w:proofErr w:type="spellEnd"/>
      <w:r w:rsidRPr="00AF4305">
        <w:rPr>
          <w:sz w:val="24"/>
          <w:szCs w:val="24"/>
        </w:rPr>
        <w:t xml:space="preserve">. </w:t>
      </w:r>
    </w:p>
    <w:p w14:paraId="5ECED7FD" w14:textId="77777777" w:rsidR="003C0325" w:rsidRPr="00AF4305" w:rsidRDefault="003C0325" w:rsidP="00EF502C">
      <w:pPr>
        <w:ind w:left="851" w:right="-1"/>
        <w:rPr>
          <w:sz w:val="24"/>
          <w:szCs w:val="24"/>
        </w:rPr>
      </w:pPr>
    </w:p>
    <w:p w14:paraId="4040F4DB" w14:textId="2BC93A3F" w:rsidR="003C0325" w:rsidRPr="00AF4305" w:rsidRDefault="003C0325" w:rsidP="00EF502C">
      <w:pPr>
        <w:ind w:left="851" w:right="-1"/>
        <w:rPr>
          <w:sz w:val="24"/>
          <w:szCs w:val="24"/>
        </w:rPr>
      </w:pPr>
      <w:r w:rsidRPr="00AF4305">
        <w:rPr>
          <w:sz w:val="24"/>
          <w:szCs w:val="24"/>
        </w:rPr>
        <w:t>Sulfonamid-resistensgener er forbundet kromosomalt (</w:t>
      </w:r>
      <w:proofErr w:type="spellStart"/>
      <w:r w:rsidRPr="00AF4305">
        <w:rPr>
          <w:sz w:val="24"/>
          <w:szCs w:val="24"/>
        </w:rPr>
        <w:t>folP</w:t>
      </w:r>
      <w:proofErr w:type="spellEnd"/>
      <w:r w:rsidRPr="00AF4305">
        <w:rPr>
          <w:sz w:val="24"/>
          <w:szCs w:val="24"/>
        </w:rPr>
        <w:t xml:space="preserve">-gener) eller ekstrakromosomalt, f.eks. til </w:t>
      </w:r>
      <w:proofErr w:type="spellStart"/>
      <w:r w:rsidRPr="00AF4305">
        <w:rPr>
          <w:sz w:val="24"/>
          <w:szCs w:val="24"/>
        </w:rPr>
        <w:t>integron</w:t>
      </w:r>
      <w:proofErr w:type="spellEnd"/>
      <w:r w:rsidRPr="00AF4305">
        <w:rPr>
          <w:sz w:val="24"/>
          <w:szCs w:val="24"/>
        </w:rPr>
        <w:t xml:space="preserve"> 1 (sul1-gener) og plasmider (sul2-, sul3-gener). Resultatet af disse geners udtryk er en strukturændring i enzymet </w:t>
      </w:r>
      <w:proofErr w:type="spellStart"/>
      <w:r w:rsidRPr="00AF4305">
        <w:rPr>
          <w:sz w:val="24"/>
          <w:szCs w:val="24"/>
        </w:rPr>
        <w:t>dihydropteroatsyntetase</w:t>
      </w:r>
      <w:proofErr w:type="spellEnd"/>
      <w:r w:rsidRPr="00AF4305">
        <w:rPr>
          <w:sz w:val="24"/>
          <w:szCs w:val="24"/>
        </w:rPr>
        <w:t>, således at sulfonamider mister deres evne til at binde og deres virkningsmekanisme afbrydes. Der er gensidig krydsresistens i sulfonamid-gruppen.</w:t>
      </w:r>
    </w:p>
    <w:p w14:paraId="16FE42BD" w14:textId="77777777" w:rsidR="003C0325" w:rsidRPr="00AF4305" w:rsidRDefault="003C0325" w:rsidP="00EF502C">
      <w:pPr>
        <w:ind w:left="851" w:right="-1"/>
        <w:rPr>
          <w:sz w:val="24"/>
          <w:szCs w:val="24"/>
        </w:rPr>
      </w:pPr>
    </w:p>
    <w:p w14:paraId="33530395" w14:textId="77777777" w:rsidR="003C0325" w:rsidRPr="00AF4305" w:rsidRDefault="003C0325" w:rsidP="00EF502C">
      <w:pPr>
        <w:ind w:left="851" w:right="-1"/>
        <w:rPr>
          <w:sz w:val="24"/>
          <w:szCs w:val="24"/>
        </w:rPr>
      </w:pPr>
      <w:proofErr w:type="spellStart"/>
      <w:r w:rsidRPr="00AF4305">
        <w:rPr>
          <w:sz w:val="24"/>
          <w:szCs w:val="24"/>
        </w:rPr>
        <w:t>Trimethoprim</w:t>
      </w:r>
      <w:proofErr w:type="spellEnd"/>
      <w:r w:rsidRPr="00AF4305">
        <w:rPr>
          <w:sz w:val="24"/>
          <w:szCs w:val="24"/>
        </w:rPr>
        <w:t>-resistensgener (</w:t>
      </w:r>
      <w:proofErr w:type="spellStart"/>
      <w:r w:rsidRPr="00AF4305">
        <w:rPr>
          <w:sz w:val="24"/>
          <w:szCs w:val="24"/>
        </w:rPr>
        <w:t>dfr</w:t>
      </w:r>
      <w:proofErr w:type="spellEnd"/>
      <w:r w:rsidRPr="00AF4305">
        <w:rPr>
          <w:sz w:val="24"/>
          <w:szCs w:val="24"/>
        </w:rPr>
        <w:t xml:space="preserve">-gener) er forbundet kromosomalt eller ekstrakromosomalt, f.eks. på </w:t>
      </w:r>
      <w:proofErr w:type="spellStart"/>
      <w:r w:rsidRPr="00AF4305">
        <w:rPr>
          <w:sz w:val="24"/>
          <w:szCs w:val="24"/>
        </w:rPr>
        <w:t>integroner</w:t>
      </w:r>
      <w:proofErr w:type="spellEnd"/>
      <w:r w:rsidRPr="00AF4305">
        <w:rPr>
          <w:sz w:val="24"/>
          <w:szCs w:val="24"/>
        </w:rPr>
        <w:t xml:space="preserve"> 1 og 2 eller på </w:t>
      </w:r>
      <w:proofErr w:type="spellStart"/>
      <w:r w:rsidRPr="00AF4305">
        <w:rPr>
          <w:sz w:val="24"/>
          <w:szCs w:val="24"/>
        </w:rPr>
        <w:t>transposoner</w:t>
      </w:r>
      <w:proofErr w:type="spellEnd"/>
      <w:r w:rsidRPr="00AF4305">
        <w:rPr>
          <w:sz w:val="24"/>
          <w:szCs w:val="24"/>
        </w:rPr>
        <w:t xml:space="preserve">. Ekstrakromosomale </w:t>
      </w:r>
      <w:proofErr w:type="spellStart"/>
      <w:r w:rsidRPr="00AF4305">
        <w:rPr>
          <w:sz w:val="24"/>
          <w:szCs w:val="24"/>
        </w:rPr>
        <w:t>dfr</w:t>
      </w:r>
      <w:proofErr w:type="spellEnd"/>
      <w:r w:rsidRPr="00AF4305">
        <w:rPr>
          <w:sz w:val="24"/>
          <w:szCs w:val="24"/>
        </w:rPr>
        <w:t xml:space="preserve">-gener er opdelt i to undergrupper. Mere end 30 </w:t>
      </w:r>
      <w:proofErr w:type="spellStart"/>
      <w:r w:rsidRPr="00AF4305">
        <w:rPr>
          <w:sz w:val="24"/>
          <w:szCs w:val="24"/>
        </w:rPr>
        <w:t>dfr</w:t>
      </w:r>
      <w:proofErr w:type="spellEnd"/>
      <w:r w:rsidRPr="00AF4305">
        <w:rPr>
          <w:sz w:val="24"/>
          <w:szCs w:val="24"/>
        </w:rPr>
        <w:t xml:space="preserve">-gener er indtil videre beskrevet. Deres virkning manifesteres ved en strukturændring i enzymet </w:t>
      </w:r>
      <w:proofErr w:type="spellStart"/>
      <w:r w:rsidRPr="00AF4305">
        <w:rPr>
          <w:sz w:val="24"/>
          <w:szCs w:val="24"/>
        </w:rPr>
        <w:t>dihydrofolatreduktase</w:t>
      </w:r>
      <w:proofErr w:type="spellEnd"/>
      <w:r w:rsidRPr="00AF4305">
        <w:rPr>
          <w:sz w:val="24"/>
          <w:szCs w:val="24"/>
        </w:rPr>
        <w:t xml:space="preserve"> og dets følsomhed over for </w:t>
      </w:r>
      <w:proofErr w:type="spellStart"/>
      <w:r w:rsidRPr="00AF4305">
        <w:rPr>
          <w:sz w:val="24"/>
          <w:szCs w:val="24"/>
        </w:rPr>
        <w:t>trimethoprim</w:t>
      </w:r>
      <w:proofErr w:type="spellEnd"/>
      <w:r w:rsidRPr="00AF4305">
        <w:rPr>
          <w:sz w:val="24"/>
          <w:szCs w:val="24"/>
        </w:rPr>
        <w:t xml:space="preserve">. Kromosomalt forbundet resistens manifesteres enten ved overproduktion af </w:t>
      </w:r>
      <w:proofErr w:type="spellStart"/>
      <w:r w:rsidRPr="00AF4305">
        <w:rPr>
          <w:sz w:val="24"/>
          <w:szCs w:val="24"/>
        </w:rPr>
        <w:t>dihydrofolatreduktase</w:t>
      </w:r>
      <w:proofErr w:type="spellEnd"/>
      <w:r w:rsidRPr="00AF4305">
        <w:rPr>
          <w:sz w:val="24"/>
          <w:szCs w:val="24"/>
        </w:rPr>
        <w:t xml:space="preserve"> eller ved at enzymet </w:t>
      </w:r>
      <w:proofErr w:type="spellStart"/>
      <w:r w:rsidRPr="00AF4305">
        <w:rPr>
          <w:sz w:val="24"/>
          <w:szCs w:val="24"/>
        </w:rPr>
        <w:t>tymidylatsyntase</w:t>
      </w:r>
      <w:proofErr w:type="spellEnd"/>
      <w:r w:rsidRPr="00AF4305">
        <w:rPr>
          <w:sz w:val="24"/>
          <w:szCs w:val="24"/>
        </w:rPr>
        <w:t xml:space="preserve"> mister sin virkning.</w:t>
      </w:r>
    </w:p>
    <w:p w14:paraId="41FCAE67" w14:textId="77777777" w:rsidR="008203A8" w:rsidRPr="00AF4305" w:rsidRDefault="008203A8" w:rsidP="008203A8">
      <w:pPr>
        <w:tabs>
          <w:tab w:val="left" w:pos="851"/>
        </w:tabs>
        <w:ind w:left="851"/>
        <w:rPr>
          <w:sz w:val="24"/>
          <w:szCs w:val="24"/>
        </w:rPr>
      </w:pPr>
    </w:p>
    <w:p w14:paraId="15BB82B5" w14:textId="77777777" w:rsidR="008203A8" w:rsidRPr="00AF4305" w:rsidRDefault="008203A8" w:rsidP="008203A8">
      <w:pPr>
        <w:tabs>
          <w:tab w:val="left" w:pos="851"/>
        </w:tabs>
        <w:ind w:left="851" w:hanging="851"/>
        <w:rPr>
          <w:b/>
          <w:sz w:val="24"/>
          <w:szCs w:val="24"/>
        </w:rPr>
      </w:pPr>
      <w:r w:rsidRPr="00AF4305">
        <w:rPr>
          <w:b/>
          <w:sz w:val="24"/>
          <w:szCs w:val="24"/>
        </w:rPr>
        <w:t>4.3</w:t>
      </w:r>
      <w:r w:rsidRPr="00AF4305">
        <w:rPr>
          <w:b/>
          <w:sz w:val="24"/>
          <w:szCs w:val="24"/>
        </w:rPr>
        <w:tab/>
      </w:r>
      <w:proofErr w:type="spellStart"/>
      <w:r w:rsidRPr="00AF4305">
        <w:rPr>
          <w:b/>
          <w:sz w:val="24"/>
          <w:szCs w:val="24"/>
        </w:rPr>
        <w:t>Farmakokinetiske</w:t>
      </w:r>
      <w:proofErr w:type="spellEnd"/>
      <w:r w:rsidRPr="00AF4305">
        <w:rPr>
          <w:b/>
          <w:sz w:val="24"/>
          <w:szCs w:val="24"/>
        </w:rPr>
        <w:t xml:space="preserve"> oplysninger</w:t>
      </w:r>
    </w:p>
    <w:p w14:paraId="317892B8" w14:textId="77777777" w:rsidR="003C0325" w:rsidRPr="00AF4305" w:rsidRDefault="003C0325" w:rsidP="00EF502C">
      <w:pPr>
        <w:ind w:left="851"/>
        <w:rPr>
          <w:sz w:val="24"/>
          <w:szCs w:val="24"/>
        </w:rPr>
      </w:pPr>
      <w:r w:rsidRPr="00AF4305">
        <w:rPr>
          <w:sz w:val="24"/>
          <w:szCs w:val="24"/>
        </w:rPr>
        <w:t>Begge aktive substanser i kombinationen absorberes hurtigt efter parenteral administration og fordeles ud i hele kroppen.</w:t>
      </w:r>
    </w:p>
    <w:p w14:paraId="79A16346" w14:textId="77777777" w:rsidR="003C0325" w:rsidRPr="00AF4305" w:rsidRDefault="003C0325" w:rsidP="00EF502C">
      <w:pPr>
        <w:ind w:left="851"/>
        <w:rPr>
          <w:sz w:val="24"/>
          <w:szCs w:val="24"/>
        </w:rPr>
      </w:pPr>
    </w:p>
    <w:p w14:paraId="3F6A6ABE" w14:textId="77777777" w:rsidR="003C0325" w:rsidRPr="00AF4305" w:rsidRDefault="003C0325" w:rsidP="00EF502C">
      <w:pPr>
        <w:ind w:left="851"/>
        <w:rPr>
          <w:sz w:val="24"/>
          <w:szCs w:val="24"/>
        </w:rPr>
      </w:pPr>
      <w:proofErr w:type="spellStart"/>
      <w:r w:rsidRPr="00AF4305">
        <w:rPr>
          <w:sz w:val="24"/>
          <w:szCs w:val="24"/>
        </w:rPr>
        <w:t>Sulfadiazin</w:t>
      </w:r>
      <w:proofErr w:type="spellEnd"/>
      <w:r w:rsidRPr="00AF4305">
        <w:rPr>
          <w:sz w:val="24"/>
          <w:szCs w:val="24"/>
        </w:rPr>
        <w:t xml:space="preserve"> </w:t>
      </w:r>
      <w:proofErr w:type="spellStart"/>
      <w:r w:rsidRPr="00AF4305">
        <w:rPr>
          <w:sz w:val="24"/>
          <w:szCs w:val="24"/>
        </w:rPr>
        <w:t>metaboliseres</w:t>
      </w:r>
      <w:proofErr w:type="spellEnd"/>
      <w:r w:rsidRPr="00AF4305">
        <w:rPr>
          <w:sz w:val="24"/>
          <w:szCs w:val="24"/>
        </w:rPr>
        <w:t xml:space="preserve"> i leveren til </w:t>
      </w:r>
      <w:proofErr w:type="spellStart"/>
      <w:r w:rsidRPr="00AF4305">
        <w:rPr>
          <w:sz w:val="24"/>
          <w:szCs w:val="24"/>
        </w:rPr>
        <w:t>acetylerede</w:t>
      </w:r>
      <w:proofErr w:type="spellEnd"/>
      <w:r w:rsidRPr="00AF4305">
        <w:rPr>
          <w:sz w:val="24"/>
          <w:szCs w:val="24"/>
        </w:rPr>
        <w:t xml:space="preserve"> derivater (25 %) og i mindre grad til </w:t>
      </w:r>
      <w:proofErr w:type="spellStart"/>
      <w:r w:rsidRPr="00AF4305">
        <w:rPr>
          <w:sz w:val="24"/>
          <w:szCs w:val="24"/>
        </w:rPr>
        <w:t>hydroxylerede</w:t>
      </w:r>
      <w:proofErr w:type="spellEnd"/>
      <w:r w:rsidRPr="00AF4305">
        <w:rPr>
          <w:sz w:val="24"/>
          <w:szCs w:val="24"/>
        </w:rPr>
        <w:t xml:space="preserve"> derivater. Udskillelsen sker </w:t>
      </w:r>
      <w:proofErr w:type="spellStart"/>
      <w:r w:rsidRPr="00AF4305">
        <w:rPr>
          <w:sz w:val="24"/>
          <w:szCs w:val="24"/>
        </w:rPr>
        <w:t>renalt</w:t>
      </w:r>
      <w:proofErr w:type="spellEnd"/>
      <w:r w:rsidRPr="00AF4305">
        <w:rPr>
          <w:sz w:val="24"/>
          <w:szCs w:val="24"/>
        </w:rPr>
        <w:t xml:space="preserve"> (ved </w:t>
      </w:r>
      <w:proofErr w:type="spellStart"/>
      <w:r w:rsidRPr="00AF4305">
        <w:rPr>
          <w:sz w:val="24"/>
          <w:szCs w:val="24"/>
        </w:rPr>
        <w:t>glomerulær</w:t>
      </w:r>
      <w:proofErr w:type="spellEnd"/>
      <w:r w:rsidRPr="00AF4305">
        <w:rPr>
          <w:sz w:val="24"/>
          <w:szCs w:val="24"/>
        </w:rPr>
        <w:t xml:space="preserve"> filtrering og </w:t>
      </w:r>
      <w:proofErr w:type="spellStart"/>
      <w:r w:rsidRPr="00AF4305">
        <w:rPr>
          <w:sz w:val="24"/>
          <w:szCs w:val="24"/>
        </w:rPr>
        <w:t>tubulær</w:t>
      </w:r>
      <w:proofErr w:type="spellEnd"/>
      <w:r w:rsidRPr="00AF4305">
        <w:rPr>
          <w:sz w:val="24"/>
          <w:szCs w:val="24"/>
        </w:rPr>
        <w:t xml:space="preserve"> sekretion). 50 % af dosis genindvindes fra urinen inden for 24 timer.</w:t>
      </w:r>
    </w:p>
    <w:p w14:paraId="708DCDAB" w14:textId="77777777" w:rsidR="003C0325" w:rsidRPr="00AF4305" w:rsidRDefault="003C0325" w:rsidP="00EF502C">
      <w:pPr>
        <w:ind w:left="851"/>
        <w:rPr>
          <w:sz w:val="24"/>
          <w:szCs w:val="24"/>
        </w:rPr>
      </w:pPr>
    </w:p>
    <w:p w14:paraId="0B180060" w14:textId="77777777" w:rsidR="003C0325" w:rsidRPr="00AF4305" w:rsidRDefault="003C0325" w:rsidP="00EF502C">
      <w:pPr>
        <w:ind w:left="851"/>
        <w:rPr>
          <w:sz w:val="24"/>
          <w:szCs w:val="24"/>
        </w:rPr>
      </w:pPr>
      <w:proofErr w:type="spellStart"/>
      <w:r w:rsidRPr="00AF4305">
        <w:rPr>
          <w:sz w:val="24"/>
          <w:szCs w:val="24"/>
        </w:rPr>
        <w:t>Trimethoprim</w:t>
      </w:r>
      <w:proofErr w:type="spellEnd"/>
      <w:r w:rsidRPr="00AF4305">
        <w:rPr>
          <w:sz w:val="24"/>
          <w:szCs w:val="24"/>
        </w:rPr>
        <w:t xml:space="preserve"> </w:t>
      </w:r>
      <w:proofErr w:type="spellStart"/>
      <w:r w:rsidRPr="00AF4305">
        <w:rPr>
          <w:sz w:val="24"/>
          <w:szCs w:val="24"/>
        </w:rPr>
        <w:t>metaboliseres</w:t>
      </w:r>
      <w:proofErr w:type="spellEnd"/>
      <w:r w:rsidRPr="00AF4305">
        <w:rPr>
          <w:sz w:val="24"/>
          <w:szCs w:val="24"/>
        </w:rPr>
        <w:t xml:space="preserve"> i leveren ved oxidering og efterfølgende konjugation. Udskillelsen sker hovedsageligt </w:t>
      </w:r>
      <w:proofErr w:type="spellStart"/>
      <w:r w:rsidRPr="00AF4305">
        <w:rPr>
          <w:sz w:val="24"/>
          <w:szCs w:val="24"/>
        </w:rPr>
        <w:t>renalt</w:t>
      </w:r>
      <w:proofErr w:type="spellEnd"/>
      <w:r w:rsidRPr="00AF4305">
        <w:rPr>
          <w:sz w:val="24"/>
          <w:szCs w:val="24"/>
        </w:rPr>
        <w:t xml:space="preserve"> (ved </w:t>
      </w:r>
      <w:proofErr w:type="spellStart"/>
      <w:r w:rsidRPr="00AF4305">
        <w:rPr>
          <w:sz w:val="24"/>
          <w:szCs w:val="24"/>
        </w:rPr>
        <w:t>glomerulær</w:t>
      </w:r>
      <w:proofErr w:type="spellEnd"/>
      <w:r w:rsidRPr="00AF4305">
        <w:rPr>
          <w:sz w:val="24"/>
          <w:szCs w:val="24"/>
        </w:rPr>
        <w:t xml:space="preserve"> filtrering og </w:t>
      </w:r>
      <w:proofErr w:type="spellStart"/>
      <w:r w:rsidRPr="00AF4305">
        <w:rPr>
          <w:sz w:val="24"/>
          <w:szCs w:val="24"/>
        </w:rPr>
        <w:t>tubulær</w:t>
      </w:r>
      <w:proofErr w:type="spellEnd"/>
      <w:r w:rsidRPr="00AF4305">
        <w:rPr>
          <w:sz w:val="24"/>
          <w:szCs w:val="24"/>
        </w:rPr>
        <w:t xml:space="preserve"> sekretion) og udskilles i mindre grad med galde. 75 % af dosis genindvindes fra urinen inden for 24 timer og 85-90 % fra urinen og fæces inden for 3 dage.</w:t>
      </w:r>
    </w:p>
    <w:p w14:paraId="32D3220A" w14:textId="77777777" w:rsidR="003C0325" w:rsidRPr="00AF4305" w:rsidRDefault="003C0325" w:rsidP="003C0325">
      <w:pPr>
        <w:tabs>
          <w:tab w:val="left" w:pos="1304"/>
        </w:tabs>
        <w:rPr>
          <w:sz w:val="24"/>
          <w:szCs w:val="24"/>
        </w:rPr>
      </w:pPr>
    </w:p>
    <w:p w14:paraId="758C9CCB" w14:textId="77777777" w:rsidR="008203A8" w:rsidRPr="00AF4305" w:rsidRDefault="008203A8" w:rsidP="00EF502C">
      <w:pPr>
        <w:tabs>
          <w:tab w:val="left" w:pos="851"/>
        </w:tabs>
        <w:rPr>
          <w:sz w:val="24"/>
          <w:szCs w:val="24"/>
        </w:rPr>
      </w:pPr>
    </w:p>
    <w:p w14:paraId="2E680E5C" w14:textId="77777777" w:rsidR="008203A8" w:rsidRPr="00AF4305" w:rsidRDefault="008203A8" w:rsidP="008203A8">
      <w:pPr>
        <w:ind w:left="851" w:hanging="851"/>
        <w:rPr>
          <w:b/>
          <w:sz w:val="24"/>
          <w:szCs w:val="24"/>
        </w:rPr>
      </w:pPr>
      <w:r w:rsidRPr="00AF4305">
        <w:rPr>
          <w:b/>
          <w:sz w:val="24"/>
          <w:szCs w:val="24"/>
        </w:rPr>
        <w:t>5.</w:t>
      </w:r>
      <w:r w:rsidRPr="00AF4305">
        <w:rPr>
          <w:b/>
          <w:sz w:val="24"/>
          <w:szCs w:val="24"/>
        </w:rPr>
        <w:tab/>
        <w:t>FARMACEUTISKE OPLYSNINGER</w:t>
      </w:r>
    </w:p>
    <w:p w14:paraId="68FBA793" w14:textId="77777777" w:rsidR="008203A8" w:rsidRPr="00AF4305" w:rsidRDefault="008203A8" w:rsidP="008203A8">
      <w:pPr>
        <w:tabs>
          <w:tab w:val="left" w:pos="851"/>
        </w:tabs>
        <w:ind w:left="851"/>
        <w:rPr>
          <w:sz w:val="24"/>
          <w:szCs w:val="24"/>
        </w:rPr>
      </w:pPr>
    </w:p>
    <w:p w14:paraId="1958AF89" w14:textId="77777777" w:rsidR="008203A8" w:rsidRPr="00AF4305" w:rsidRDefault="008203A8" w:rsidP="008203A8">
      <w:pPr>
        <w:ind w:left="851" w:hanging="851"/>
        <w:rPr>
          <w:b/>
          <w:sz w:val="24"/>
          <w:szCs w:val="24"/>
        </w:rPr>
      </w:pPr>
      <w:r w:rsidRPr="00AF4305">
        <w:rPr>
          <w:b/>
          <w:sz w:val="24"/>
          <w:szCs w:val="24"/>
        </w:rPr>
        <w:t>5.1</w:t>
      </w:r>
      <w:r w:rsidRPr="00AF4305">
        <w:rPr>
          <w:b/>
          <w:sz w:val="24"/>
          <w:szCs w:val="24"/>
        </w:rPr>
        <w:tab/>
        <w:t>Væsentlige uforligeligheder</w:t>
      </w:r>
    </w:p>
    <w:p w14:paraId="601A9F6B" w14:textId="77777777" w:rsidR="003C0325" w:rsidRPr="00AF4305" w:rsidRDefault="003C0325" w:rsidP="00EF502C">
      <w:pPr>
        <w:ind w:left="851"/>
        <w:rPr>
          <w:sz w:val="24"/>
          <w:szCs w:val="24"/>
        </w:rPr>
      </w:pPr>
      <w:r w:rsidRPr="00AF4305">
        <w:rPr>
          <w:sz w:val="24"/>
          <w:szCs w:val="24"/>
        </w:rPr>
        <w:t>Da der ikke foreligger undersøgelser vedrørende eventuelle uforligeligheder, må dette veterinærlægemiddel ikke blandes med andre veterinærlægemidler.</w:t>
      </w:r>
    </w:p>
    <w:p w14:paraId="57B3420E" w14:textId="77777777" w:rsidR="008203A8" w:rsidRPr="00AF4305" w:rsidRDefault="008203A8" w:rsidP="008203A8">
      <w:pPr>
        <w:tabs>
          <w:tab w:val="left" w:pos="851"/>
        </w:tabs>
        <w:ind w:left="851"/>
        <w:rPr>
          <w:sz w:val="24"/>
          <w:szCs w:val="24"/>
        </w:rPr>
      </w:pPr>
    </w:p>
    <w:p w14:paraId="12F9F851" w14:textId="77777777" w:rsidR="008203A8" w:rsidRPr="00AF4305" w:rsidRDefault="008203A8" w:rsidP="008203A8">
      <w:pPr>
        <w:ind w:left="851" w:hanging="851"/>
        <w:rPr>
          <w:b/>
          <w:sz w:val="24"/>
          <w:szCs w:val="24"/>
        </w:rPr>
      </w:pPr>
      <w:r w:rsidRPr="00AF4305">
        <w:rPr>
          <w:b/>
          <w:sz w:val="24"/>
          <w:szCs w:val="24"/>
        </w:rPr>
        <w:t>5.2</w:t>
      </w:r>
      <w:r w:rsidRPr="00AF4305">
        <w:rPr>
          <w:b/>
          <w:sz w:val="24"/>
          <w:szCs w:val="24"/>
        </w:rPr>
        <w:tab/>
        <w:t>Opbevaringstid</w:t>
      </w:r>
    </w:p>
    <w:p w14:paraId="3FF9C828" w14:textId="77777777" w:rsidR="003C0325" w:rsidRPr="00AF4305" w:rsidRDefault="003C0325" w:rsidP="00EF502C">
      <w:pPr>
        <w:ind w:left="851"/>
        <w:rPr>
          <w:sz w:val="24"/>
          <w:szCs w:val="24"/>
        </w:rPr>
      </w:pPr>
      <w:r w:rsidRPr="00AF4305">
        <w:rPr>
          <w:sz w:val="24"/>
          <w:szCs w:val="24"/>
        </w:rPr>
        <w:t>Opbevaringstid for veterinærlægemidlet i salgspakningen: 2 år.</w:t>
      </w:r>
    </w:p>
    <w:p w14:paraId="6C806C49" w14:textId="77777777" w:rsidR="003C0325" w:rsidRPr="00AF4305" w:rsidRDefault="003C0325" w:rsidP="00EF502C">
      <w:pPr>
        <w:ind w:left="851"/>
        <w:rPr>
          <w:sz w:val="24"/>
          <w:szCs w:val="24"/>
        </w:rPr>
      </w:pPr>
      <w:r w:rsidRPr="00AF4305">
        <w:rPr>
          <w:sz w:val="24"/>
          <w:szCs w:val="24"/>
        </w:rPr>
        <w:t>Opbevaringstid efter første åbning af den indre emballage: 28 dage.</w:t>
      </w:r>
    </w:p>
    <w:p w14:paraId="1F9C6B57" w14:textId="77777777" w:rsidR="008203A8" w:rsidRPr="00AF4305" w:rsidRDefault="008203A8" w:rsidP="008203A8">
      <w:pPr>
        <w:tabs>
          <w:tab w:val="left" w:pos="851"/>
        </w:tabs>
        <w:ind w:left="851"/>
        <w:rPr>
          <w:sz w:val="24"/>
          <w:szCs w:val="24"/>
        </w:rPr>
      </w:pPr>
    </w:p>
    <w:p w14:paraId="4ECEA30D" w14:textId="77777777" w:rsidR="008203A8" w:rsidRPr="00AF4305" w:rsidRDefault="008203A8" w:rsidP="008203A8">
      <w:pPr>
        <w:ind w:left="851" w:hanging="851"/>
        <w:rPr>
          <w:b/>
          <w:sz w:val="24"/>
          <w:szCs w:val="24"/>
        </w:rPr>
      </w:pPr>
      <w:r w:rsidRPr="00AF4305">
        <w:rPr>
          <w:b/>
          <w:sz w:val="24"/>
          <w:szCs w:val="24"/>
        </w:rPr>
        <w:t>5.3</w:t>
      </w:r>
      <w:r w:rsidRPr="00AF4305">
        <w:rPr>
          <w:b/>
          <w:sz w:val="24"/>
          <w:szCs w:val="24"/>
        </w:rPr>
        <w:tab/>
        <w:t>Særlige forholdsregler vedrørende opbevaring</w:t>
      </w:r>
    </w:p>
    <w:p w14:paraId="0B703F6D" w14:textId="77777777" w:rsidR="003C0325" w:rsidRPr="00AF4305" w:rsidRDefault="003C0325" w:rsidP="00EF502C">
      <w:pPr>
        <w:ind w:left="851"/>
        <w:rPr>
          <w:sz w:val="24"/>
          <w:szCs w:val="24"/>
        </w:rPr>
      </w:pPr>
      <w:r w:rsidRPr="00AF4305">
        <w:rPr>
          <w:sz w:val="24"/>
          <w:szCs w:val="24"/>
        </w:rPr>
        <w:t>Må ikke nedfryses.</w:t>
      </w:r>
    </w:p>
    <w:p w14:paraId="6C3DEA1F" w14:textId="5942058A" w:rsidR="003C0325" w:rsidRPr="00AF4305" w:rsidRDefault="003C0325" w:rsidP="00EF502C">
      <w:pPr>
        <w:ind w:left="851"/>
        <w:rPr>
          <w:sz w:val="24"/>
          <w:szCs w:val="24"/>
        </w:rPr>
      </w:pPr>
      <w:r w:rsidRPr="00AF4305">
        <w:rPr>
          <w:sz w:val="24"/>
          <w:szCs w:val="24"/>
        </w:rPr>
        <w:t>Opbevares i den originale pakning</w:t>
      </w:r>
      <w:r w:rsidR="00AF4305">
        <w:rPr>
          <w:sz w:val="24"/>
          <w:szCs w:val="24"/>
        </w:rPr>
        <w:t xml:space="preserve"> </w:t>
      </w:r>
      <w:r w:rsidRPr="00AF4305">
        <w:rPr>
          <w:sz w:val="24"/>
          <w:szCs w:val="24"/>
        </w:rPr>
        <w:t>for at beskytte mod lys.</w:t>
      </w:r>
    </w:p>
    <w:p w14:paraId="1E4BA9F0" w14:textId="77777777" w:rsidR="003C0325" w:rsidRPr="00AF4305" w:rsidRDefault="003C0325" w:rsidP="00EF502C">
      <w:pPr>
        <w:ind w:left="851"/>
        <w:rPr>
          <w:sz w:val="24"/>
          <w:szCs w:val="24"/>
        </w:rPr>
      </w:pPr>
    </w:p>
    <w:p w14:paraId="57C32DA2" w14:textId="77777777" w:rsidR="003C0325" w:rsidRPr="00AF4305" w:rsidRDefault="003C0325" w:rsidP="00EF502C">
      <w:pPr>
        <w:ind w:left="851"/>
        <w:rPr>
          <w:sz w:val="24"/>
          <w:szCs w:val="24"/>
        </w:rPr>
      </w:pPr>
      <w:r w:rsidRPr="00AF4305">
        <w:rPr>
          <w:sz w:val="24"/>
          <w:szCs w:val="24"/>
        </w:rPr>
        <w:t>Krystallisering af præparatet, som kan forekomme ved lave temperaturer, kan reverseres ved skånsom opvarmning.</w:t>
      </w:r>
    </w:p>
    <w:p w14:paraId="2B881232" w14:textId="77777777" w:rsidR="008203A8" w:rsidRPr="00AF4305" w:rsidRDefault="008203A8" w:rsidP="008203A8">
      <w:pPr>
        <w:tabs>
          <w:tab w:val="left" w:pos="851"/>
        </w:tabs>
        <w:ind w:left="851"/>
        <w:rPr>
          <w:sz w:val="24"/>
          <w:szCs w:val="24"/>
        </w:rPr>
      </w:pPr>
    </w:p>
    <w:p w14:paraId="1E2ED2DF" w14:textId="77777777" w:rsidR="008203A8" w:rsidRPr="00AF4305" w:rsidRDefault="008203A8" w:rsidP="008203A8">
      <w:pPr>
        <w:ind w:left="851" w:hanging="851"/>
        <w:rPr>
          <w:b/>
          <w:sz w:val="24"/>
          <w:szCs w:val="24"/>
        </w:rPr>
      </w:pPr>
      <w:r w:rsidRPr="00AF4305">
        <w:rPr>
          <w:b/>
          <w:sz w:val="24"/>
          <w:szCs w:val="24"/>
        </w:rPr>
        <w:t>5.4</w:t>
      </w:r>
      <w:r w:rsidRPr="00AF4305">
        <w:rPr>
          <w:b/>
          <w:sz w:val="24"/>
          <w:szCs w:val="24"/>
        </w:rPr>
        <w:tab/>
        <w:t>Den indre emballages art og indhold</w:t>
      </w:r>
    </w:p>
    <w:p w14:paraId="3105C8CF" w14:textId="77777777" w:rsidR="003C0325" w:rsidRPr="00AF4305" w:rsidRDefault="003C0325" w:rsidP="00EF502C">
      <w:pPr>
        <w:ind w:left="851"/>
        <w:rPr>
          <w:sz w:val="24"/>
          <w:szCs w:val="24"/>
        </w:rPr>
      </w:pPr>
      <w:r w:rsidRPr="00AF4305">
        <w:rPr>
          <w:sz w:val="24"/>
          <w:szCs w:val="24"/>
        </w:rPr>
        <w:t xml:space="preserve">Gule hætteglas med </w:t>
      </w:r>
      <w:proofErr w:type="spellStart"/>
      <w:r w:rsidRPr="00AF4305">
        <w:rPr>
          <w:sz w:val="24"/>
          <w:szCs w:val="24"/>
        </w:rPr>
        <w:t>bromobutylprop</w:t>
      </w:r>
      <w:proofErr w:type="spellEnd"/>
      <w:r w:rsidRPr="00AF4305">
        <w:rPr>
          <w:sz w:val="24"/>
          <w:szCs w:val="24"/>
        </w:rPr>
        <w:t xml:space="preserve"> og aluminiumslåg med VIP-AF-forsegling.</w:t>
      </w:r>
    </w:p>
    <w:p w14:paraId="45F5725C" w14:textId="77777777" w:rsidR="003C0325" w:rsidRPr="00AF4305" w:rsidRDefault="003C0325" w:rsidP="00EF502C">
      <w:pPr>
        <w:ind w:left="851"/>
        <w:rPr>
          <w:sz w:val="24"/>
          <w:szCs w:val="24"/>
        </w:rPr>
      </w:pPr>
    </w:p>
    <w:p w14:paraId="7430FFFF" w14:textId="77777777" w:rsidR="003C0325" w:rsidRPr="00AF4305" w:rsidRDefault="003C0325" w:rsidP="00EF502C">
      <w:pPr>
        <w:ind w:left="851"/>
        <w:rPr>
          <w:sz w:val="24"/>
          <w:szCs w:val="24"/>
          <w:u w:val="single"/>
        </w:rPr>
      </w:pPr>
      <w:r w:rsidRPr="00AF4305">
        <w:rPr>
          <w:sz w:val="24"/>
          <w:szCs w:val="24"/>
          <w:u w:val="single"/>
        </w:rPr>
        <w:t>Pakkestørrelser:</w:t>
      </w:r>
    </w:p>
    <w:p w14:paraId="16D9CBE8" w14:textId="16AEB055" w:rsidR="003C0325" w:rsidRPr="00AF4305" w:rsidRDefault="003C0325" w:rsidP="00EF502C">
      <w:pPr>
        <w:ind w:left="851"/>
        <w:rPr>
          <w:sz w:val="24"/>
          <w:szCs w:val="24"/>
        </w:rPr>
      </w:pPr>
      <w:r w:rsidRPr="00AF4305">
        <w:rPr>
          <w:sz w:val="24"/>
          <w:szCs w:val="24"/>
        </w:rPr>
        <w:t>Karton</w:t>
      </w:r>
      <w:r w:rsidR="0010189B">
        <w:rPr>
          <w:sz w:val="24"/>
          <w:szCs w:val="24"/>
        </w:rPr>
        <w:t xml:space="preserve"> </w:t>
      </w:r>
      <w:r w:rsidRPr="00AF4305">
        <w:rPr>
          <w:sz w:val="24"/>
          <w:szCs w:val="24"/>
        </w:rPr>
        <w:t>med 1 hætteglas på 100 ml</w:t>
      </w:r>
    </w:p>
    <w:p w14:paraId="3C7036E8" w14:textId="77777777" w:rsidR="003C0325" w:rsidRPr="00AF4305" w:rsidRDefault="003C0325" w:rsidP="00EF502C">
      <w:pPr>
        <w:ind w:left="851"/>
        <w:rPr>
          <w:sz w:val="24"/>
          <w:szCs w:val="24"/>
        </w:rPr>
      </w:pPr>
      <w:r w:rsidRPr="00AF4305">
        <w:rPr>
          <w:sz w:val="24"/>
          <w:szCs w:val="24"/>
        </w:rPr>
        <w:t>Karton med 1 hætteglas på 250 ml</w:t>
      </w:r>
    </w:p>
    <w:p w14:paraId="37F741E4" w14:textId="77777777" w:rsidR="003C0325" w:rsidRPr="00AF4305" w:rsidRDefault="003C0325" w:rsidP="00EF502C">
      <w:pPr>
        <w:ind w:left="851"/>
        <w:rPr>
          <w:sz w:val="24"/>
          <w:szCs w:val="24"/>
        </w:rPr>
      </w:pPr>
      <w:r w:rsidRPr="00AF4305">
        <w:rPr>
          <w:sz w:val="24"/>
          <w:szCs w:val="24"/>
        </w:rPr>
        <w:t>Karton med 10 hætteglas på 100 ml</w:t>
      </w:r>
    </w:p>
    <w:p w14:paraId="23A798FA" w14:textId="77777777" w:rsidR="003C0325" w:rsidRPr="00AF4305" w:rsidRDefault="003C0325" w:rsidP="00EF502C">
      <w:pPr>
        <w:ind w:left="851"/>
        <w:rPr>
          <w:sz w:val="24"/>
          <w:szCs w:val="24"/>
        </w:rPr>
      </w:pPr>
      <w:r w:rsidRPr="00AF4305">
        <w:rPr>
          <w:sz w:val="24"/>
          <w:szCs w:val="24"/>
        </w:rPr>
        <w:t>Karton med 10 hætteglas på 250 ml</w:t>
      </w:r>
    </w:p>
    <w:p w14:paraId="6FA47DCB" w14:textId="77777777" w:rsidR="003C0325" w:rsidRPr="00AF4305" w:rsidRDefault="003C0325" w:rsidP="00EF502C">
      <w:pPr>
        <w:ind w:left="851"/>
        <w:rPr>
          <w:sz w:val="24"/>
          <w:szCs w:val="24"/>
        </w:rPr>
      </w:pPr>
    </w:p>
    <w:p w14:paraId="147ABFD2" w14:textId="77777777" w:rsidR="003C0325" w:rsidRPr="00AF4305" w:rsidRDefault="003C0325" w:rsidP="00EF502C">
      <w:pPr>
        <w:ind w:left="851"/>
        <w:rPr>
          <w:sz w:val="24"/>
          <w:szCs w:val="24"/>
        </w:rPr>
      </w:pPr>
      <w:r w:rsidRPr="00AF4305">
        <w:rPr>
          <w:sz w:val="24"/>
          <w:szCs w:val="24"/>
        </w:rPr>
        <w:t>Ikke alle pakningsstørrelser er nødvendigvis markedsført.</w:t>
      </w:r>
    </w:p>
    <w:p w14:paraId="45AE2EBF" w14:textId="77777777" w:rsidR="008203A8" w:rsidRPr="00AF4305" w:rsidRDefault="008203A8" w:rsidP="008203A8">
      <w:pPr>
        <w:tabs>
          <w:tab w:val="left" w:pos="851"/>
        </w:tabs>
        <w:ind w:left="851"/>
        <w:rPr>
          <w:sz w:val="24"/>
          <w:szCs w:val="24"/>
        </w:rPr>
      </w:pPr>
    </w:p>
    <w:p w14:paraId="464424A9" w14:textId="77777777" w:rsidR="008203A8" w:rsidRPr="00AF4305" w:rsidRDefault="008203A8" w:rsidP="008203A8">
      <w:pPr>
        <w:tabs>
          <w:tab w:val="left" w:pos="851"/>
        </w:tabs>
        <w:ind w:left="851" w:hanging="851"/>
        <w:rPr>
          <w:sz w:val="24"/>
          <w:szCs w:val="24"/>
        </w:rPr>
      </w:pPr>
      <w:r w:rsidRPr="00AF4305">
        <w:rPr>
          <w:b/>
          <w:sz w:val="24"/>
          <w:szCs w:val="24"/>
        </w:rPr>
        <w:t>5.5</w:t>
      </w:r>
      <w:r w:rsidRPr="00AF4305">
        <w:rPr>
          <w:b/>
          <w:sz w:val="24"/>
          <w:szCs w:val="24"/>
        </w:rPr>
        <w:tab/>
        <w:t>Særlige forholdsregler vedrørende bortskaffelse af ubrugte veterinærlægemidler eller affaldsmaterialer fra brugen heraf</w:t>
      </w:r>
    </w:p>
    <w:p w14:paraId="5D2D4342" w14:textId="77777777" w:rsidR="003C0325" w:rsidRPr="00AF4305" w:rsidRDefault="003C0325" w:rsidP="00EF502C">
      <w:pPr>
        <w:ind w:left="851" w:right="-143"/>
        <w:rPr>
          <w:sz w:val="24"/>
          <w:szCs w:val="24"/>
        </w:rPr>
      </w:pPr>
      <w:r w:rsidRPr="00AF430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E2D4B24" w14:textId="77777777" w:rsidR="008203A8" w:rsidRPr="00AF4305" w:rsidRDefault="008203A8" w:rsidP="008203A8">
      <w:pPr>
        <w:tabs>
          <w:tab w:val="left" w:pos="851"/>
        </w:tabs>
        <w:ind w:left="851"/>
        <w:rPr>
          <w:sz w:val="24"/>
          <w:szCs w:val="24"/>
        </w:rPr>
      </w:pPr>
    </w:p>
    <w:p w14:paraId="3AA89419" w14:textId="77777777" w:rsidR="008203A8" w:rsidRPr="00AF4305" w:rsidRDefault="008203A8" w:rsidP="008203A8">
      <w:pPr>
        <w:tabs>
          <w:tab w:val="left" w:pos="851"/>
        </w:tabs>
        <w:ind w:left="851" w:hanging="851"/>
        <w:rPr>
          <w:b/>
          <w:sz w:val="24"/>
          <w:szCs w:val="24"/>
        </w:rPr>
      </w:pPr>
      <w:r w:rsidRPr="00AF4305">
        <w:rPr>
          <w:b/>
          <w:sz w:val="24"/>
          <w:szCs w:val="24"/>
        </w:rPr>
        <w:t>6.</w:t>
      </w:r>
      <w:r w:rsidRPr="00AF4305">
        <w:rPr>
          <w:b/>
          <w:sz w:val="24"/>
          <w:szCs w:val="24"/>
        </w:rPr>
        <w:tab/>
        <w:t>NAVN PÅ INDEHAVEREN AF MARKEDSFØRINGSTILLADELSEN</w:t>
      </w:r>
    </w:p>
    <w:p w14:paraId="1F57BAC8" w14:textId="77777777" w:rsidR="003C0325" w:rsidRPr="00AF4305" w:rsidRDefault="003C0325" w:rsidP="00EF502C">
      <w:pPr>
        <w:ind w:left="851"/>
        <w:rPr>
          <w:sz w:val="24"/>
          <w:szCs w:val="24"/>
        </w:rPr>
      </w:pPr>
      <w:proofErr w:type="spellStart"/>
      <w:r w:rsidRPr="00AF4305">
        <w:rPr>
          <w:sz w:val="24"/>
          <w:szCs w:val="24"/>
        </w:rPr>
        <w:t>Cenavisa</w:t>
      </w:r>
      <w:proofErr w:type="spellEnd"/>
      <w:r w:rsidRPr="00AF4305">
        <w:rPr>
          <w:sz w:val="24"/>
          <w:szCs w:val="24"/>
        </w:rPr>
        <w:t xml:space="preserve"> S.L</w:t>
      </w:r>
    </w:p>
    <w:p w14:paraId="03A55BF5" w14:textId="77777777" w:rsidR="003C0325" w:rsidRPr="00AF4305" w:rsidRDefault="003C0325" w:rsidP="00EF502C">
      <w:pPr>
        <w:ind w:left="851"/>
        <w:rPr>
          <w:sz w:val="24"/>
          <w:szCs w:val="24"/>
          <w:lang w:val="en-US"/>
        </w:rPr>
      </w:pPr>
      <w:proofErr w:type="spellStart"/>
      <w:r w:rsidRPr="00AF4305">
        <w:rPr>
          <w:sz w:val="24"/>
          <w:szCs w:val="24"/>
          <w:lang w:val="en-US"/>
        </w:rPr>
        <w:t>Camí</w:t>
      </w:r>
      <w:proofErr w:type="spellEnd"/>
      <w:r w:rsidRPr="00AF4305">
        <w:rPr>
          <w:sz w:val="24"/>
          <w:szCs w:val="24"/>
          <w:lang w:val="en-US"/>
        </w:rPr>
        <w:t xml:space="preserve"> </w:t>
      </w:r>
      <w:proofErr w:type="spellStart"/>
      <w:r w:rsidRPr="00AF4305">
        <w:rPr>
          <w:sz w:val="24"/>
          <w:szCs w:val="24"/>
          <w:lang w:val="en-US"/>
        </w:rPr>
        <w:t>Pedra</w:t>
      </w:r>
      <w:proofErr w:type="spellEnd"/>
      <w:r w:rsidRPr="00AF4305">
        <w:rPr>
          <w:sz w:val="24"/>
          <w:szCs w:val="24"/>
          <w:lang w:val="en-US"/>
        </w:rPr>
        <w:t xml:space="preserve"> Estela s/n</w:t>
      </w:r>
    </w:p>
    <w:p w14:paraId="79C57C8C" w14:textId="77777777" w:rsidR="003C0325" w:rsidRPr="00AF4305" w:rsidRDefault="003C0325" w:rsidP="00EF502C">
      <w:pPr>
        <w:ind w:left="851"/>
        <w:rPr>
          <w:sz w:val="24"/>
          <w:szCs w:val="24"/>
          <w:lang w:val="en-US"/>
        </w:rPr>
      </w:pPr>
      <w:r w:rsidRPr="00AF4305">
        <w:rPr>
          <w:sz w:val="24"/>
          <w:szCs w:val="24"/>
          <w:lang w:val="en-US"/>
        </w:rPr>
        <w:t xml:space="preserve">43205 Reus </w:t>
      </w:r>
    </w:p>
    <w:p w14:paraId="2848100E" w14:textId="2FF6673D" w:rsidR="003C0325" w:rsidRDefault="003C0325" w:rsidP="00EF502C">
      <w:pPr>
        <w:ind w:left="851"/>
        <w:rPr>
          <w:sz w:val="24"/>
          <w:szCs w:val="24"/>
        </w:rPr>
      </w:pPr>
      <w:r w:rsidRPr="00AF4305">
        <w:rPr>
          <w:sz w:val="24"/>
          <w:szCs w:val="24"/>
        </w:rPr>
        <w:t>Spanien</w:t>
      </w:r>
    </w:p>
    <w:p w14:paraId="1AE36076" w14:textId="1FF8456B" w:rsidR="00A2479B" w:rsidRDefault="00A2479B" w:rsidP="00EF502C">
      <w:pPr>
        <w:ind w:left="851"/>
        <w:rPr>
          <w:sz w:val="24"/>
          <w:szCs w:val="24"/>
        </w:rPr>
      </w:pPr>
    </w:p>
    <w:p w14:paraId="128BD657" w14:textId="7E7AE605" w:rsidR="00A2479B" w:rsidRDefault="00A2479B" w:rsidP="00EF502C">
      <w:pPr>
        <w:ind w:left="851"/>
        <w:rPr>
          <w:sz w:val="24"/>
          <w:szCs w:val="24"/>
        </w:rPr>
      </w:pPr>
      <w:r>
        <w:rPr>
          <w:b/>
          <w:sz w:val="24"/>
          <w:szCs w:val="24"/>
        </w:rPr>
        <w:lastRenderedPageBreak/>
        <w:t>Repræsentant</w:t>
      </w:r>
    </w:p>
    <w:p w14:paraId="4CDEF60B" w14:textId="77777777" w:rsidR="00A2479B" w:rsidRPr="00A2479B" w:rsidRDefault="00A2479B" w:rsidP="00A2479B">
      <w:pPr>
        <w:ind w:left="851"/>
        <w:rPr>
          <w:sz w:val="24"/>
          <w:szCs w:val="24"/>
        </w:rPr>
      </w:pPr>
      <w:proofErr w:type="spellStart"/>
      <w:r w:rsidRPr="00A2479B">
        <w:rPr>
          <w:sz w:val="24"/>
          <w:szCs w:val="24"/>
        </w:rPr>
        <w:t>Salfarm</w:t>
      </w:r>
      <w:proofErr w:type="spellEnd"/>
      <w:r w:rsidRPr="00A2479B">
        <w:rPr>
          <w:sz w:val="24"/>
          <w:szCs w:val="24"/>
        </w:rPr>
        <w:t xml:space="preserve"> Danmark A/S</w:t>
      </w:r>
    </w:p>
    <w:p w14:paraId="2091D465" w14:textId="77777777" w:rsidR="00A2479B" w:rsidRPr="00A2479B" w:rsidRDefault="00A2479B" w:rsidP="00A2479B">
      <w:pPr>
        <w:ind w:left="851"/>
        <w:rPr>
          <w:sz w:val="24"/>
          <w:szCs w:val="24"/>
        </w:rPr>
      </w:pPr>
      <w:r w:rsidRPr="00A2479B">
        <w:rPr>
          <w:sz w:val="24"/>
          <w:szCs w:val="24"/>
        </w:rPr>
        <w:t>Nordager 19</w:t>
      </w:r>
    </w:p>
    <w:p w14:paraId="4BD746AD" w14:textId="5A4183EB" w:rsidR="00A2479B" w:rsidRPr="00A2479B" w:rsidRDefault="00A2479B" w:rsidP="00A2479B">
      <w:pPr>
        <w:ind w:left="851"/>
        <w:rPr>
          <w:sz w:val="24"/>
          <w:szCs w:val="24"/>
        </w:rPr>
      </w:pPr>
      <w:r w:rsidRPr="00A2479B">
        <w:rPr>
          <w:sz w:val="24"/>
          <w:szCs w:val="24"/>
        </w:rPr>
        <w:t>6000 Kolding</w:t>
      </w:r>
    </w:p>
    <w:p w14:paraId="4D0EE1C3" w14:textId="77777777" w:rsidR="008203A8" w:rsidRPr="00AF4305" w:rsidRDefault="008203A8" w:rsidP="008203A8">
      <w:pPr>
        <w:tabs>
          <w:tab w:val="left" w:pos="851"/>
        </w:tabs>
        <w:ind w:left="851"/>
        <w:rPr>
          <w:sz w:val="24"/>
          <w:szCs w:val="24"/>
        </w:rPr>
      </w:pPr>
    </w:p>
    <w:p w14:paraId="4EF7C21E" w14:textId="77777777" w:rsidR="008203A8" w:rsidRPr="00AF4305" w:rsidRDefault="008203A8" w:rsidP="008203A8">
      <w:pPr>
        <w:ind w:left="851" w:hanging="851"/>
        <w:rPr>
          <w:b/>
          <w:sz w:val="24"/>
          <w:szCs w:val="24"/>
        </w:rPr>
      </w:pPr>
      <w:r w:rsidRPr="00AF4305">
        <w:rPr>
          <w:b/>
          <w:sz w:val="24"/>
          <w:szCs w:val="24"/>
        </w:rPr>
        <w:t>7.</w:t>
      </w:r>
      <w:r w:rsidRPr="00AF4305">
        <w:rPr>
          <w:b/>
          <w:sz w:val="24"/>
          <w:szCs w:val="24"/>
        </w:rPr>
        <w:tab/>
        <w:t>MARKEDSFØRINGSTILLADELSESNUMMER (-NUMRE)</w:t>
      </w:r>
    </w:p>
    <w:p w14:paraId="11DECF4B" w14:textId="0E43032B" w:rsidR="008203A8" w:rsidRPr="00AF4305" w:rsidRDefault="003C0325" w:rsidP="008203A8">
      <w:pPr>
        <w:tabs>
          <w:tab w:val="left" w:pos="851"/>
        </w:tabs>
        <w:ind w:left="851"/>
        <w:rPr>
          <w:sz w:val="24"/>
          <w:szCs w:val="24"/>
        </w:rPr>
      </w:pPr>
      <w:r w:rsidRPr="00AF4305">
        <w:rPr>
          <w:sz w:val="24"/>
          <w:szCs w:val="24"/>
        </w:rPr>
        <w:t>68694</w:t>
      </w:r>
    </w:p>
    <w:p w14:paraId="2BC33448" w14:textId="77777777" w:rsidR="008203A8" w:rsidRPr="00AF4305" w:rsidRDefault="008203A8" w:rsidP="008203A8">
      <w:pPr>
        <w:tabs>
          <w:tab w:val="left" w:pos="851"/>
        </w:tabs>
        <w:ind w:left="851"/>
        <w:rPr>
          <w:sz w:val="24"/>
          <w:szCs w:val="24"/>
        </w:rPr>
      </w:pPr>
    </w:p>
    <w:p w14:paraId="7AB9854B" w14:textId="77777777" w:rsidR="008203A8" w:rsidRPr="00AF4305" w:rsidRDefault="008203A8" w:rsidP="008203A8">
      <w:pPr>
        <w:tabs>
          <w:tab w:val="left" w:pos="851"/>
        </w:tabs>
        <w:ind w:left="851" w:hanging="851"/>
        <w:rPr>
          <w:b/>
          <w:sz w:val="24"/>
          <w:szCs w:val="24"/>
        </w:rPr>
      </w:pPr>
      <w:r w:rsidRPr="00AF4305">
        <w:rPr>
          <w:b/>
          <w:sz w:val="24"/>
          <w:szCs w:val="24"/>
        </w:rPr>
        <w:t>8.</w:t>
      </w:r>
      <w:r w:rsidRPr="00AF4305">
        <w:rPr>
          <w:b/>
          <w:sz w:val="24"/>
          <w:szCs w:val="24"/>
        </w:rPr>
        <w:tab/>
        <w:t>DATO FOR FØRSTE TILLADELSE</w:t>
      </w:r>
    </w:p>
    <w:p w14:paraId="3A3B97F7" w14:textId="25EBC778" w:rsidR="008203A8" w:rsidRPr="00AF4305" w:rsidRDefault="00446B76" w:rsidP="008203A8">
      <w:pPr>
        <w:tabs>
          <w:tab w:val="left" w:pos="851"/>
        </w:tabs>
        <w:ind w:left="851"/>
        <w:rPr>
          <w:sz w:val="24"/>
          <w:szCs w:val="24"/>
        </w:rPr>
      </w:pPr>
      <w:r>
        <w:rPr>
          <w:sz w:val="24"/>
          <w:szCs w:val="24"/>
        </w:rPr>
        <w:t>7. august 2023</w:t>
      </w:r>
    </w:p>
    <w:p w14:paraId="1B41B32D" w14:textId="77777777" w:rsidR="008203A8" w:rsidRPr="00AF4305" w:rsidRDefault="008203A8" w:rsidP="008203A8">
      <w:pPr>
        <w:tabs>
          <w:tab w:val="left" w:pos="851"/>
        </w:tabs>
        <w:ind w:left="851"/>
        <w:rPr>
          <w:sz w:val="24"/>
          <w:szCs w:val="24"/>
        </w:rPr>
      </w:pPr>
    </w:p>
    <w:p w14:paraId="42839406" w14:textId="77777777" w:rsidR="008203A8" w:rsidRPr="00AF4305" w:rsidRDefault="008203A8" w:rsidP="008203A8">
      <w:pPr>
        <w:tabs>
          <w:tab w:val="left" w:pos="851"/>
        </w:tabs>
        <w:ind w:left="851" w:hanging="851"/>
        <w:rPr>
          <w:b/>
          <w:sz w:val="24"/>
          <w:szCs w:val="24"/>
        </w:rPr>
      </w:pPr>
      <w:r w:rsidRPr="00AF4305">
        <w:rPr>
          <w:b/>
          <w:sz w:val="24"/>
          <w:szCs w:val="24"/>
        </w:rPr>
        <w:t>9.</w:t>
      </w:r>
      <w:r w:rsidRPr="00AF4305">
        <w:rPr>
          <w:b/>
          <w:sz w:val="24"/>
          <w:szCs w:val="24"/>
        </w:rPr>
        <w:tab/>
        <w:t>DATO FOR SENESTE ÆNDRING AF PRODUKTRESUMÉET</w:t>
      </w:r>
    </w:p>
    <w:p w14:paraId="4CD27961" w14:textId="4B69ABF3" w:rsidR="008203A8" w:rsidRPr="00AF4305" w:rsidRDefault="00A2479B" w:rsidP="008203A8">
      <w:pPr>
        <w:tabs>
          <w:tab w:val="left" w:pos="851"/>
        </w:tabs>
        <w:ind w:left="851"/>
        <w:rPr>
          <w:sz w:val="24"/>
          <w:szCs w:val="24"/>
        </w:rPr>
      </w:pPr>
      <w:r>
        <w:rPr>
          <w:sz w:val="24"/>
          <w:szCs w:val="24"/>
        </w:rPr>
        <w:t>10. januar 2024</w:t>
      </w:r>
    </w:p>
    <w:p w14:paraId="418757DA" w14:textId="77777777" w:rsidR="008203A8" w:rsidRPr="00AF4305" w:rsidRDefault="008203A8" w:rsidP="008203A8">
      <w:pPr>
        <w:tabs>
          <w:tab w:val="left" w:pos="851"/>
        </w:tabs>
        <w:ind w:left="851"/>
        <w:rPr>
          <w:sz w:val="24"/>
          <w:szCs w:val="24"/>
        </w:rPr>
      </w:pPr>
    </w:p>
    <w:p w14:paraId="00422954" w14:textId="77777777" w:rsidR="008203A8" w:rsidRPr="00AF4305" w:rsidRDefault="008203A8" w:rsidP="008203A8">
      <w:pPr>
        <w:tabs>
          <w:tab w:val="left" w:pos="851"/>
        </w:tabs>
        <w:ind w:left="851" w:hanging="851"/>
        <w:rPr>
          <w:b/>
          <w:sz w:val="24"/>
          <w:szCs w:val="24"/>
        </w:rPr>
      </w:pPr>
      <w:r w:rsidRPr="00AF4305">
        <w:rPr>
          <w:b/>
          <w:sz w:val="24"/>
          <w:szCs w:val="24"/>
        </w:rPr>
        <w:t>10.</w:t>
      </w:r>
      <w:r w:rsidRPr="00AF4305">
        <w:rPr>
          <w:b/>
          <w:sz w:val="24"/>
          <w:szCs w:val="24"/>
        </w:rPr>
        <w:tab/>
        <w:t>KLASSIFICERING AF VETERINÆRLÆGEMIDLER</w:t>
      </w:r>
    </w:p>
    <w:p w14:paraId="39E51193" w14:textId="77777777" w:rsidR="003C0325" w:rsidRPr="00AF4305" w:rsidRDefault="003C0325" w:rsidP="00EF502C">
      <w:pPr>
        <w:ind w:left="851" w:right="-318"/>
        <w:rPr>
          <w:sz w:val="24"/>
          <w:szCs w:val="24"/>
        </w:rPr>
      </w:pPr>
      <w:r w:rsidRPr="00AF4305">
        <w:rPr>
          <w:sz w:val="24"/>
          <w:szCs w:val="24"/>
        </w:rPr>
        <w:t>BPK</w:t>
      </w:r>
    </w:p>
    <w:p w14:paraId="23DFFD9C" w14:textId="77777777" w:rsidR="003C0325" w:rsidRPr="00AF4305" w:rsidRDefault="003C0325" w:rsidP="00EF502C">
      <w:pPr>
        <w:ind w:left="851" w:right="-318"/>
        <w:rPr>
          <w:sz w:val="24"/>
          <w:szCs w:val="24"/>
        </w:rPr>
      </w:pPr>
    </w:p>
    <w:p w14:paraId="104D9042" w14:textId="77777777" w:rsidR="00B8617B" w:rsidRPr="00AF4305" w:rsidRDefault="00B8617B" w:rsidP="00B8617B">
      <w:pPr>
        <w:ind w:left="851"/>
        <w:rPr>
          <w:rStyle w:val="normaltextrun"/>
          <w:bCs/>
          <w:color w:val="000000"/>
          <w:sz w:val="24"/>
          <w:szCs w:val="24"/>
          <w:shd w:val="clear" w:color="auto" w:fill="FFFFFF"/>
        </w:rPr>
      </w:pPr>
      <w:r w:rsidRPr="00AF4305">
        <w:rPr>
          <w:rStyle w:val="normaltextrun"/>
          <w:bCs/>
          <w:color w:val="000000"/>
          <w:sz w:val="24"/>
          <w:szCs w:val="24"/>
          <w:shd w:val="clear" w:color="auto" w:fill="FFFFFF"/>
        </w:rPr>
        <w:t>Der findes detaljerede oplysninger om dette veterinærlægemiddel i EU-lægemiddeldatabasen.</w:t>
      </w:r>
    </w:p>
    <w:p w14:paraId="5938A362" w14:textId="4DE2C933" w:rsidR="0003527F" w:rsidRPr="00AF4305" w:rsidRDefault="0003527F" w:rsidP="00B8617B">
      <w:pPr>
        <w:ind w:left="851" w:right="-318"/>
        <w:rPr>
          <w:sz w:val="24"/>
          <w:szCs w:val="24"/>
        </w:rPr>
      </w:pPr>
    </w:p>
    <w:sectPr w:rsidR="0003527F" w:rsidRPr="00AF430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8BB1C" w14:textId="77777777" w:rsidR="002A1AE0" w:rsidRDefault="002A1AE0">
      <w:r>
        <w:separator/>
      </w:r>
    </w:p>
  </w:endnote>
  <w:endnote w:type="continuationSeparator" w:id="0">
    <w:p w14:paraId="56C51563" w14:textId="77777777" w:rsidR="002A1AE0" w:rsidRDefault="002A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971B" w14:textId="77777777" w:rsidR="004A62CC" w:rsidRDefault="004A62CC">
    <w:pPr>
      <w:pStyle w:val="Sidefod"/>
      <w:pBdr>
        <w:bottom w:val="single" w:sz="6" w:space="1" w:color="auto"/>
      </w:pBdr>
      <w:tabs>
        <w:tab w:val="clear" w:pos="4819"/>
        <w:tab w:val="left" w:pos="8647"/>
      </w:tabs>
      <w:rPr>
        <w:i/>
        <w:snapToGrid w:val="0"/>
        <w:sz w:val="18"/>
      </w:rPr>
    </w:pPr>
  </w:p>
  <w:p w14:paraId="55E7D361" w14:textId="77777777" w:rsidR="004A62CC" w:rsidRDefault="004A62CC">
    <w:pPr>
      <w:pStyle w:val="Sidefod"/>
      <w:tabs>
        <w:tab w:val="clear" w:pos="4819"/>
        <w:tab w:val="left" w:pos="8647"/>
      </w:tabs>
      <w:rPr>
        <w:i/>
        <w:snapToGrid w:val="0"/>
        <w:sz w:val="18"/>
      </w:rPr>
    </w:pPr>
  </w:p>
  <w:p w14:paraId="39A511A5" w14:textId="6225254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46B76">
      <w:rPr>
        <w:i/>
        <w:noProof/>
        <w:snapToGrid w:val="0"/>
        <w:sz w:val="18"/>
      </w:rPr>
      <w:t>Neuton Vet., injektionsvæske, opløsning 200+40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8D4B" w14:textId="77777777" w:rsidR="004A62CC" w:rsidRDefault="004A62CC">
    <w:pPr>
      <w:pStyle w:val="Sidefod"/>
      <w:pBdr>
        <w:bottom w:val="single" w:sz="6" w:space="1" w:color="auto"/>
      </w:pBdr>
      <w:tabs>
        <w:tab w:val="clear" w:pos="4819"/>
        <w:tab w:val="left" w:pos="8647"/>
      </w:tabs>
      <w:rPr>
        <w:i/>
        <w:snapToGrid w:val="0"/>
        <w:sz w:val="18"/>
      </w:rPr>
    </w:pPr>
  </w:p>
  <w:p w14:paraId="6C7D5F12" w14:textId="77777777" w:rsidR="004A62CC" w:rsidRDefault="004A62CC">
    <w:pPr>
      <w:pStyle w:val="Sidefod"/>
      <w:tabs>
        <w:tab w:val="clear" w:pos="4819"/>
        <w:tab w:val="left" w:pos="8647"/>
      </w:tabs>
      <w:rPr>
        <w:i/>
        <w:snapToGrid w:val="0"/>
        <w:sz w:val="18"/>
      </w:rPr>
    </w:pPr>
  </w:p>
  <w:p w14:paraId="20B513CD" w14:textId="660F5B1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46B76">
      <w:rPr>
        <w:i/>
        <w:noProof/>
        <w:snapToGrid w:val="0"/>
        <w:sz w:val="18"/>
      </w:rPr>
      <w:t>Neuton Vet., injektionsvæske, opløsning 200+40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C5A29" w14:textId="77777777" w:rsidR="002A1AE0" w:rsidRDefault="002A1AE0">
      <w:r>
        <w:separator/>
      </w:r>
    </w:p>
  </w:footnote>
  <w:footnote w:type="continuationSeparator" w:id="0">
    <w:p w14:paraId="7EBEA677" w14:textId="77777777" w:rsidR="002A1AE0" w:rsidRDefault="002A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A05F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188"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E0"/>
    <w:rsid w:val="000241E8"/>
    <w:rsid w:val="0003527F"/>
    <w:rsid w:val="0004390D"/>
    <w:rsid w:val="0005355A"/>
    <w:rsid w:val="00065C7D"/>
    <w:rsid w:val="00092AFF"/>
    <w:rsid w:val="000B102C"/>
    <w:rsid w:val="000B475D"/>
    <w:rsid w:val="000C6CD4"/>
    <w:rsid w:val="0010189B"/>
    <w:rsid w:val="00131D7A"/>
    <w:rsid w:val="001577E4"/>
    <w:rsid w:val="001623D2"/>
    <w:rsid w:val="00162A88"/>
    <w:rsid w:val="00173F52"/>
    <w:rsid w:val="0018534D"/>
    <w:rsid w:val="001858CA"/>
    <w:rsid w:val="001869DB"/>
    <w:rsid w:val="001903E6"/>
    <w:rsid w:val="001C4AEF"/>
    <w:rsid w:val="001D3CC5"/>
    <w:rsid w:val="00202A14"/>
    <w:rsid w:val="00207C0E"/>
    <w:rsid w:val="002A1AE0"/>
    <w:rsid w:val="002C3E74"/>
    <w:rsid w:val="002E304C"/>
    <w:rsid w:val="002E7439"/>
    <w:rsid w:val="002F3591"/>
    <w:rsid w:val="00322BDE"/>
    <w:rsid w:val="00340679"/>
    <w:rsid w:val="00371CA6"/>
    <w:rsid w:val="003C0325"/>
    <w:rsid w:val="003E4B6F"/>
    <w:rsid w:val="00406EE7"/>
    <w:rsid w:val="00407013"/>
    <w:rsid w:val="00412537"/>
    <w:rsid w:val="00415D7C"/>
    <w:rsid w:val="00417225"/>
    <w:rsid w:val="00446B76"/>
    <w:rsid w:val="00451FEF"/>
    <w:rsid w:val="004A62CC"/>
    <w:rsid w:val="004C733C"/>
    <w:rsid w:val="00514C36"/>
    <w:rsid w:val="00565A74"/>
    <w:rsid w:val="005B0036"/>
    <w:rsid w:val="005D1DAA"/>
    <w:rsid w:val="005E336B"/>
    <w:rsid w:val="005F5831"/>
    <w:rsid w:val="00601E64"/>
    <w:rsid w:val="0061389F"/>
    <w:rsid w:val="00614110"/>
    <w:rsid w:val="00614CE5"/>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D651D"/>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2479B"/>
    <w:rsid w:val="00A31E52"/>
    <w:rsid w:val="00A54E54"/>
    <w:rsid w:val="00A74A8A"/>
    <w:rsid w:val="00A85606"/>
    <w:rsid w:val="00A86C63"/>
    <w:rsid w:val="00A957A6"/>
    <w:rsid w:val="00A96525"/>
    <w:rsid w:val="00AA0D25"/>
    <w:rsid w:val="00AA19F9"/>
    <w:rsid w:val="00AC012D"/>
    <w:rsid w:val="00AD4D77"/>
    <w:rsid w:val="00AE29E5"/>
    <w:rsid w:val="00AE5757"/>
    <w:rsid w:val="00AF4305"/>
    <w:rsid w:val="00B25EB8"/>
    <w:rsid w:val="00B764E3"/>
    <w:rsid w:val="00B85456"/>
    <w:rsid w:val="00B8617B"/>
    <w:rsid w:val="00B87267"/>
    <w:rsid w:val="00B93A25"/>
    <w:rsid w:val="00BC634B"/>
    <w:rsid w:val="00BF2AE0"/>
    <w:rsid w:val="00C41394"/>
    <w:rsid w:val="00C479BF"/>
    <w:rsid w:val="00C66C59"/>
    <w:rsid w:val="00C81DA1"/>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EF502C"/>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02723"/>
  <w15:chartTrackingRefBased/>
  <w15:docId w15:val="{13A26F59-1B60-4950-BA02-205B2A85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character" w:customStyle="1" w:styleId="normaltextrun">
    <w:name w:val="normaltextrun"/>
    <w:basedOn w:val="Standardskrifttypeiafsnit"/>
    <w:rsid w:val="00B8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8345825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6045793">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6895618">
      <w:bodyDiv w:val="1"/>
      <w:marLeft w:val="0"/>
      <w:marRight w:val="0"/>
      <w:marTop w:val="0"/>
      <w:marBottom w:val="0"/>
      <w:divBdr>
        <w:top w:val="none" w:sz="0" w:space="0" w:color="auto"/>
        <w:left w:val="none" w:sz="0" w:space="0" w:color="auto"/>
        <w:bottom w:val="none" w:sz="0" w:space="0" w:color="auto"/>
        <w:right w:val="none" w:sz="0" w:space="0" w:color="auto"/>
      </w:divBdr>
    </w:div>
    <w:div w:id="310017549">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20076920">
      <w:bodyDiv w:val="1"/>
      <w:marLeft w:val="0"/>
      <w:marRight w:val="0"/>
      <w:marTop w:val="0"/>
      <w:marBottom w:val="0"/>
      <w:divBdr>
        <w:top w:val="none" w:sz="0" w:space="0" w:color="auto"/>
        <w:left w:val="none" w:sz="0" w:space="0" w:color="auto"/>
        <w:bottom w:val="none" w:sz="0" w:space="0" w:color="auto"/>
        <w:right w:val="none" w:sz="0" w:space="0" w:color="auto"/>
      </w:divBdr>
    </w:div>
    <w:div w:id="844781346">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2590533">
      <w:bodyDiv w:val="1"/>
      <w:marLeft w:val="0"/>
      <w:marRight w:val="0"/>
      <w:marTop w:val="0"/>
      <w:marBottom w:val="0"/>
      <w:divBdr>
        <w:top w:val="none" w:sz="0" w:space="0" w:color="auto"/>
        <w:left w:val="none" w:sz="0" w:space="0" w:color="auto"/>
        <w:bottom w:val="none" w:sz="0" w:space="0" w:color="auto"/>
        <w:right w:val="none" w:sz="0" w:space="0" w:color="auto"/>
      </w:divBdr>
    </w:div>
    <w:div w:id="116111412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79854801">
      <w:bodyDiv w:val="1"/>
      <w:marLeft w:val="0"/>
      <w:marRight w:val="0"/>
      <w:marTop w:val="0"/>
      <w:marBottom w:val="0"/>
      <w:divBdr>
        <w:top w:val="none" w:sz="0" w:space="0" w:color="auto"/>
        <w:left w:val="none" w:sz="0" w:space="0" w:color="auto"/>
        <w:bottom w:val="none" w:sz="0" w:space="0" w:color="auto"/>
        <w:right w:val="none" w:sz="0" w:space="0" w:color="auto"/>
      </w:divBdr>
    </w:div>
    <w:div w:id="1190140573">
      <w:bodyDiv w:val="1"/>
      <w:marLeft w:val="0"/>
      <w:marRight w:val="0"/>
      <w:marTop w:val="0"/>
      <w:marBottom w:val="0"/>
      <w:divBdr>
        <w:top w:val="none" w:sz="0" w:space="0" w:color="auto"/>
        <w:left w:val="none" w:sz="0" w:space="0" w:color="auto"/>
        <w:bottom w:val="none" w:sz="0" w:space="0" w:color="auto"/>
        <w:right w:val="none" w:sz="0" w:space="0" w:color="auto"/>
      </w:divBdr>
    </w:div>
    <w:div w:id="1238517020">
      <w:bodyDiv w:val="1"/>
      <w:marLeft w:val="0"/>
      <w:marRight w:val="0"/>
      <w:marTop w:val="0"/>
      <w:marBottom w:val="0"/>
      <w:divBdr>
        <w:top w:val="none" w:sz="0" w:space="0" w:color="auto"/>
        <w:left w:val="none" w:sz="0" w:space="0" w:color="auto"/>
        <w:bottom w:val="none" w:sz="0" w:space="0" w:color="auto"/>
        <w:right w:val="none" w:sz="0" w:space="0" w:color="auto"/>
      </w:divBdr>
    </w:div>
    <w:div w:id="1243611698">
      <w:bodyDiv w:val="1"/>
      <w:marLeft w:val="0"/>
      <w:marRight w:val="0"/>
      <w:marTop w:val="0"/>
      <w:marBottom w:val="0"/>
      <w:divBdr>
        <w:top w:val="none" w:sz="0" w:space="0" w:color="auto"/>
        <w:left w:val="none" w:sz="0" w:space="0" w:color="auto"/>
        <w:bottom w:val="none" w:sz="0" w:space="0" w:color="auto"/>
        <w:right w:val="none" w:sz="0" w:space="0" w:color="auto"/>
      </w:divBdr>
    </w:div>
    <w:div w:id="1285429059">
      <w:bodyDiv w:val="1"/>
      <w:marLeft w:val="0"/>
      <w:marRight w:val="0"/>
      <w:marTop w:val="0"/>
      <w:marBottom w:val="0"/>
      <w:divBdr>
        <w:top w:val="none" w:sz="0" w:space="0" w:color="auto"/>
        <w:left w:val="none" w:sz="0" w:space="0" w:color="auto"/>
        <w:bottom w:val="none" w:sz="0" w:space="0" w:color="auto"/>
        <w:right w:val="none" w:sz="0" w:space="0" w:color="auto"/>
      </w:divBdr>
    </w:div>
    <w:div w:id="1388455221">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7234829">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85159659">
      <w:bodyDiv w:val="1"/>
      <w:marLeft w:val="0"/>
      <w:marRight w:val="0"/>
      <w:marTop w:val="0"/>
      <w:marBottom w:val="0"/>
      <w:divBdr>
        <w:top w:val="none" w:sz="0" w:space="0" w:color="auto"/>
        <w:left w:val="none" w:sz="0" w:space="0" w:color="auto"/>
        <w:bottom w:val="none" w:sz="0" w:space="0" w:color="auto"/>
        <w:right w:val="none" w:sz="0" w:space="0" w:color="auto"/>
      </w:divBdr>
    </w:div>
    <w:div w:id="1705515843">
      <w:bodyDiv w:val="1"/>
      <w:marLeft w:val="0"/>
      <w:marRight w:val="0"/>
      <w:marTop w:val="0"/>
      <w:marBottom w:val="0"/>
      <w:divBdr>
        <w:top w:val="none" w:sz="0" w:space="0" w:color="auto"/>
        <w:left w:val="none" w:sz="0" w:space="0" w:color="auto"/>
        <w:bottom w:val="none" w:sz="0" w:space="0" w:color="auto"/>
        <w:right w:val="none" w:sz="0" w:space="0" w:color="auto"/>
      </w:divBdr>
    </w:div>
    <w:div w:id="1735350857">
      <w:bodyDiv w:val="1"/>
      <w:marLeft w:val="0"/>
      <w:marRight w:val="0"/>
      <w:marTop w:val="0"/>
      <w:marBottom w:val="0"/>
      <w:divBdr>
        <w:top w:val="none" w:sz="0" w:space="0" w:color="auto"/>
        <w:left w:val="none" w:sz="0" w:space="0" w:color="auto"/>
        <w:bottom w:val="none" w:sz="0" w:space="0" w:color="auto"/>
        <w:right w:val="none" w:sz="0" w:space="0" w:color="auto"/>
      </w:divBdr>
    </w:div>
    <w:div w:id="1769545285">
      <w:bodyDiv w:val="1"/>
      <w:marLeft w:val="0"/>
      <w:marRight w:val="0"/>
      <w:marTop w:val="0"/>
      <w:marBottom w:val="0"/>
      <w:divBdr>
        <w:top w:val="none" w:sz="0" w:space="0" w:color="auto"/>
        <w:left w:val="none" w:sz="0" w:space="0" w:color="auto"/>
        <w:bottom w:val="none" w:sz="0" w:space="0" w:color="auto"/>
        <w:right w:val="none" w:sz="0" w:space="0" w:color="auto"/>
      </w:divBdr>
    </w:div>
    <w:div w:id="1874148223">
      <w:bodyDiv w:val="1"/>
      <w:marLeft w:val="0"/>
      <w:marRight w:val="0"/>
      <w:marTop w:val="0"/>
      <w:marBottom w:val="0"/>
      <w:divBdr>
        <w:top w:val="none" w:sz="0" w:space="0" w:color="auto"/>
        <w:left w:val="none" w:sz="0" w:space="0" w:color="auto"/>
        <w:bottom w:val="none" w:sz="0" w:space="0" w:color="auto"/>
        <w:right w:val="none" w:sz="0" w:space="0" w:color="auto"/>
      </w:divBdr>
    </w:div>
    <w:div w:id="1958297673">
      <w:bodyDiv w:val="1"/>
      <w:marLeft w:val="0"/>
      <w:marRight w:val="0"/>
      <w:marTop w:val="0"/>
      <w:marBottom w:val="0"/>
      <w:divBdr>
        <w:top w:val="none" w:sz="0" w:space="0" w:color="auto"/>
        <w:left w:val="none" w:sz="0" w:space="0" w:color="auto"/>
        <w:bottom w:val="none" w:sz="0" w:space="0" w:color="auto"/>
        <w:right w:val="none" w:sz="0" w:space="0" w:color="auto"/>
      </w:divBdr>
    </w:div>
    <w:div w:id="2001764112">
      <w:bodyDiv w:val="1"/>
      <w:marLeft w:val="0"/>
      <w:marRight w:val="0"/>
      <w:marTop w:val="0"/>
      <w:marBottom w:val="0"/>
      <w:divBdr>
        <w:top w:val="none" w:sz="0" w:space="0" w:color="auto"/>
        <w:left w:val="none" w:sz="0" w:space="0" w:color="auto"/>
        <w:bottom w:val="none" w:sz="0" w:space="0" w:color="auto"/>
        <w:right w:val="none" w:sz="0" w:space="0" w:color="auto"/>
      </w:divBdr>
    </w:div>
    <w:div w:id="2012952109">
      <w:bodyDiv w:val="1"/>
      <w:marLeft w:val="0"/>
      <w:marRight w:val="0"/>
      <w:marTop w:val="0"/>
      <w:marBottom w:val="0"/>
      <w:divBdr>
        <w:top w:val="none" w:sz="0" w:space="0" w:color="auto"/>
        <w:left w:val="none" w:sz="0" w:space="0" w:color="auto"/>
        <w:bottom w:val="none" w:sz="0" w:space="0" w:color="auto"/>
        <w:right w:val="none" w:sz="0" w:space="0" w:color="auto"/>
      </w:divBdr>
    </w:div>
    <w:div w:id="2020428213">
      <w:bodyDiv w:val="1"/>
      <w:marLeft w:val="0"/>
      <w:marRight w:val="0"/>
      <w:marTop w:val="0"/>
      <w:marBottom w:val="0"/>
      <w:divBdr>
        <w:top w:val="none" w:sz="0" w:space="0" w:color="auto"/>
        <w:left w:val="none" w:sz="0" w:space="0" w:color="auto"/>
        <w:bottom w:val="none" w:sz="0" w:space="0" w:color="auto"/>
        <w:right w:val="none" w:sz="0" w:space="0" w:color="auto"/>
      </w:divBdr>
    </w:div>
    <w:div w:id="21044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2</TotalTime>
  <Pages>7</Pages>
  <Words>1570</Words>
  <Characters>10954</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2022112012, MT</dc:description>
  <cp:lastModifiedBy>Marianne Ott Jensen</cp:lastModifiedBy>
  <cp:revision>3</cp:revision>
  <cp:lastPrinted>2022-05-18T14:03:00Z</cp:lastPrinted>
  <dcterms:created xsi:type="dcterms:W3CDTF">2024-01-10T09:59:00Z</dcterms:created>
  <dcterms:modified xsi:type="dcterms:W3CDTF">2024-01-10T10:00:00Z</dcterms:modified>
</cp:coreProperties>
</file>