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BC487" w14:textId="77777777" w:rsidR="008203A8" w:rsidRPr="00AB11D5" w:rsidRDefault="008203A8" w:rsidP="008203A8">
      <w:pPr>
        <w:rPr>
          <w:sz w:val="24"/>
          <w:szCs w:val="24"/>
        </w:rPr>
      </w:pPr>
      <w:r w:rsidRPr="00AB11D5">
        <w:rPr>
          <w:noProof/>
          <w:sz w:val="24"/>
          <w:szCs w:val="24"/>
          <w:lang w:eastAsia="da-DK"/>
        </w:rPr>
        <w:drawing>
          <wp:inline distT="0" distB="0" distL="0" distR="0" wp14:anchorId="562F8BCE" wp14:editId="7913396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0EF7817" w14:textId="77777777" w:rsidR="008203A8" w:rsidRPr="00AB11D5" w:rsidRDefault="008203A8" w:rsidP="008203A8">
      <w:pPr>
        <w:rPr>
          <w:sz w:val="24"/>
          <w:szCs w:val="24"/>
        </w:rPr>
      </w:pPr>
    </w:p>
    <w:p w14:paraId="6F752E4B" w14:textId="2DEDE726" w:rsidR="00DB3CEB" w:rsidRPr="00AB11D5" w:rsidRDefault="00DD756A" w:rsidP="00DB3CEB">
      <w:pPr>
        <w:tabs>
          <w:tab w:val="right" w:pos="9356"/>
        </w:tabs>
        <w:jc w:val="right"/>
        <w:rPr>
          <w:b/>
          <w:sz w:val="24"/>
          <w:szCs w:val="24"/>
        </w:rPr>
      </w:pPr>
      <w:r>
        <w:rPr>
          <w:b/>
          <w:sz w:val="24"/>
          <w:szCs w:val="24"/>
        </w:rPr>
        <w:t>24</w:t>
      </w:r>
      <w:r w:rsidR="00DB3CEB">
        <w:rPr>
          <w:b/>
          <w:sz w:val="24"/>
          <w:szCs w:val="24"/>
        </w:rPr>
        <w:t xml:space="preserve">. </w:t>
      </w:r>
      <w:r w:rsidR="0025723B">
        <w:rPr>
          <w:b/>
          <w:sz w:val="24"/>
          <w:szCs w:val="24"/>
        </w:rPr>
        <w:t>juni</w:t>
      </w:r>
      <w:r w:rsidR="00DB3CEB">
        <w:rPr>
          <w:b/>
          <w:sz w:val="24"/>
          <w:szCs w:val="24"/>
        </w:rPr>
        <w:t xml:space="preserve"> 2024</w:t>
      </w:r>
    </w:p>
    <w:p w14:paraId="766D174E" w14:textId="177647CE" w:rsidR="008203A8" w:rsidRPr="00AB11D5" w:rsidRDefault="008203A8" w:rsidP="008203A8">
      <w:pPr>
        <w:rPr>
          <w:sz w:val="24"/>
          <w:szCs w:val="24"/>
        </w:rPr>
      </w:pPr>
    </w:p>
    <w:p w14:paraId="6D059166" w14:textId="7EEDB7FB" w:rsidR="00DD756A" w:rsidRDefault="00DD756A" w:rsidP="008203A8">
      <w:pPr>
        <w:rPr>
          <w:sz w:val="24"/>
          <w:szCs w:val="24"/>
        </w:rPr>
      </w:pPr>
    </w:p>
    <w:p w14:paraId="00B805A8" w14:textId="77777777" w:rsidR="0025723B" w:rsidRPr="00AB11D5" w:rsidRDefault="0025723B" w:rsidP="008203A8">
      <w:pPr>
        <w:rPr>
          <w:sz w:val="24"/>
          <w:szCs w:val="24"/>
        </w:rPr>
      </w:pPr>
    </w:p>
    <w:p w14:paraId="4A600FF3" w14:textId="77777777" w:rsidR="008203A8" w:rsidRPr="00AB11D5" w:rsidRDefault="008203A8" w:rsidP="008203A8">
      <w:pPr>
        <w:jc w:val="center"/>
        <w:rPr>
          <w:b/>
          <w:sz w:val="24"/>
          <w:szCs w:val="24"/>
        </w:rPr>
      </w:pPr>
      <w:r w:rsidRPr="00AB11D5">
        <w:rPr>
          <w:b/>
          <w:sz w:val="24"/>
          <w:szCs w:val="24"/>
        </w:rPr>
        <w:t>PRODUKTRESUMÉ</w:t>
      </w:r>
    </w:p>
    <w:p w14:paraId="6250C487" w14:textId="77777777" w:rsidR="008203A8" w:rsidRPr="00AB11D5" w:rsidRDefault="008203A8" w:rsidP="008203A8">
      <w:pPr>
        <w:jc w:val="center"/>
        <w:rPr>
          <w:b/>
          <w:sz w:val="24"/>
          <w:szCs w:val="24"/>
        </w:rPr>
      </w:pPr>
    </w:p>
    <w:p w14:paraId="4F90546C" w14:textId="77777777" w:rsidR="008203A8" w:rsidRPr="00AB11D5" w:rsidRDefault="008203A8" w:rsidP="008203A8">
      <w:pPr>
        <w:jc w:val="center"/>
        <w:rPr>
          <w:b/>
          <w:sz w:val="24"/>
          <w:szCs w:val="24"/>
        </w:rPr>
      </w:pPr>
      <w:r w:rsidRPr="00AB11D5">
        <w:rPr>
          <w:b/>
          <w:sz w:val="24"/>
          <w:szCs w:val="24"/>
        </w:rPr>
        <w:t>for</w:t>
      </w:r>
    </w:p>
    <w:p w14:paraId="6F0383DB" w14:textId="77777777" w:rsidR="008203A8" w:rsidRPr="00AB11D5" w:rsidRDefault="008203A8" w:rsidP="008203A8">
      <w:pPr>
        <w:jc w:val="center"/>
        <w:rPr>
          <w:b/>
          <w:sz w:val="24"/>
          <w:szCs w:val="24"/>
        </w:rPr>
      </w:pPr>
    </w:p>
    <w:p w14:paraId="74E6537A" w14:textId="152B8E66" w:rsidR="008203A8" w:rsidRPr="00AB11D5" w:rsidRDefault="00C9636D" w:rsidP="008203A8">
      <w:pPr>
        <w:jc w:val="center"/>
        <w:rPr>
          <w:b/>
          <w:sz w:val="24"/>
          <w:szCs w:val="24"/>
        </w:rPr>
      </w:pPr>
      <w:proofErr w:type="spellStart"/>
      <w:r w:rsidRPr="00AB11D5">
        <w:rPr>
          <w:b/>
          <w:sz w:val="24"/>
          <w:szCs w:val="24"/>
        </w:rPr>
        <w:t>Nexpraz</w:t>
      </w:r>
      <w:proofErr w:type="spellEnd"/>
      <w:r w:rsidRPr="00AB11D5">
        <w:rPr>
          <w:b/>
          <w:sz w:val="24"/>
          <w:szCs w:val="24"/>
        </w:rPr>
        <w:t xml:space="preserve"> Duo, oral pasta</w:t>
      </w:r>
    </w:p>
    <w:p w14:paraId="5C772BFA" w14:textId="77777777" w:rsidR="008203A8" w:rsidRPr="00AB11D5" w:rsidRDefault="008203A8" w:rsidP="008203A8">
      <w:pPr>
        <w:jc w:val="both"/>
        <w:rPr>
          <w:sz w:val="24"/>
          <w:szCs w:val="24"/>
        </w:rPr>
      </w:pPr>
    </w:p>
    <w:p w14:paraId="62DEEF95" w14:textId="77777777" w:rsidR="008203A8" w:rsidRPr="00AB11D5" w:rsidRDefault="008203A8" w:rsidP="008203A8">
      <w:pPr>
        <w:jc w:val="both"/>
        <w:rPr>
          <w:sz w:val="24"/>
          <w:szCs w:val="24"/>
        </w:rPr>
      </w:pPr>
    </w:p>
    <w:p w14:paraId="1D9A1833" w14:textId="77777777" w:rsidR="008203A8" w:rsidRPr="00AB11D5" w:rsidRDefault="008203A8" w:rsidP="008203A8">
      <w:pPr>
        <w:ind w:left="851" w:hanging="851"/>
        <w:rPr>
          <w:b/>
          <w:sz w:val="24"/>
          <w:szCs w:val="24"/>
        </w:rPr>
      </w:pPr>
      <w:r w:rsidRPr="00AB11D5">
        <w:rPr>
          <w:b/>
          <w:sz w:val="24"/>
          <w:szCs w:val="24"/>
        </w:rPr>
        <w:t>0.</w:t>
      </w:r>
      <w:r w:rsidRPr="00AB11D5">
        <w:rPr>
          <w:b/>
          <w:sz w:val="24"/>
          <w:szCs w:val="24"/>
        </w:rPr>
        <w:tab/>
        <w:t>D.SP.NR.</w:t>
      </w:r>
    </w:p>
    <w:p w14:paraId="3B9F13AD" w14:textId="5A7A6076" w:rsidR="008203A8" w:rsidRPr="00AB11D5" w:rsidRDefault="00B25E35" w:rsidP="008203A8">
      <w:pPr>
        <w:ind w:left="851"/>
        <w:rPr>
          <w:sz w:val="24"/>
          <w:szCs w:val="24"/>
        </w:rPr>
      </w:pPr>
      <w:r w:rsidRPr="00AB11D5">
        <w:rPr>
          <w:sz w:val="24"/>
          <w:szCs w:val="24"/>
        </w:rPr>
        <w:t>3</w:t>
      </w:r>
      <w:r w:rsidR="00C9636D" w:rsidRPr="00AB11D5">
        <w:rPr>
          <w:sz w:val="24"/>
          <w:szCs w:val="24"/>
        </w:rPr>
        <w:t>2942</w:t>
      </w:r>
    </w:p>
    <w:p w14:paraId="60C2A1B2" w14:textId="77777777" w:rsidR="008203A8" w:rsidRPr="00AB11D5" w:rsidRDefault="008203A8" w:rsidP="008203A8">
      <w:pPr>
        <w:ind w:left="851"/>
        <w:rPr>
          <w:sz w:val="24"/>
          <w:szCs w:val="24"/>
        </w:rPr>
      </w:pPr>
    </w:p>
    <w:p w14:paraId="25C21F4E" w14:textId="77777777" w:rsidR="008203A8" w:rsidRPr="00AB11D5" w:rsidRDefault="008203A8" w:rsidP="008203A8">
      <w:pPr>
        <w:ind w:left="851" w:hanging="851"/>
        <w:rPr>
          <w:b/>
          <w:sz w:val="24"/>
          <w:szCs w:val="24"/>
        </w:rPr>
      </w:pPr>
      <w:r w:rsidRPr="00AB11D5">
        <w:rPr>
          <w:b/>
          <w:sz w:val="24"/>
          <w:szCs w:val="24"/>
        </w:rPr>
        <w:t>1.</w:t>
      </w:r>
      <w:r w:rsidRPr="00AB11D5">
        <w:rPr>
          <w:b/>
          <w:sz w:val="24"/>
          <w:szCs w:val="24"/>
        </w:rPr>
        <w:tab/>
        <w:t>VETERINÆRLÆGEMIDLETS NAVN</w:t>
      </w:r>
    </w:p>
    <w:p w14:paraId="2337AD8F" w14:textId="2137DDA9" w:rsidR="008203A8" w:rsidRPr="00AB11D5" w:rsidRDefault="00C9636D" w:rsidP="008203A8">
      <w:pPr>
        <w:ind w:left="851"/>
        <w:rPr>
          <w:sz w:val="24"/>
          <w:szCs w:val="24"/>
        </w:rPr>
      </w:pPr>
      <w:proofErr w:type="spellStart"/>
      <w:r w:rsidRPr="00AB11D5">
        <w:rPr>
          <w:sz w:val="24"/>
          <w:szCs w:val="24"/>
        </w:rPr>
        <w:t>Nexpraz</w:t>
      </w:r>
      <w:proofErr w:type="spellEnd"/>
      <w:r w:rsidRPr="00AB11D5">
        <w:rPr>
          <w:sz w:val="24"/>
          <w:szCs w:val="24"/>
        </w:rPr>
        <w:t xml:space="preserve"> Duo</w:t>
      </w:r>
    </w:p>
    <w:p w14:paraId="2A09FF99" w14:textId="77777777" w:rsidR="008203A8" w:rsidRPr="00AB11D5" w:rsidRDefault="008203A8" w:rsidP="008203A8">
      <w:pPr>
        <w:ind w:left="851"/>
        <w:rPr>
          <w:sz w:val="24"/>
          <w:szCs w:val="24"/>
        </w:rPr>
      </w:pPr>
    </w:p>
    <w:p w14:paraId="5C9F5058" w14:textId="49740C4E" w:rsidR="008203A8" w:rsidRPr="00AB11D5" w:rsidRDefault="008203A8" w:rsidP="008203A8">
      <w:pPr>
        <w:ind w:left="851"/>
        <w:rPr>
          <w:sz w:val="24"/>
          <w:szCs w:val="24"/>
        </w:rPr>
      </w:pPr>
      <w:r w:rsidRPr="00AB11D5">
        <w:rPr>
          <w:sz w:val="24"/>
          <w:szCs w:val="24"/>
        </w:rPr>
        <w:t xml:space="preserve">Lægemiddelform: </w:t>
      </w:r>
      <w:r w:rsidR="00C9636D" w:rsidRPr="00AB11D5">
        <w:rPr>
          <w:sz w:val="24"/>
          <w:szCs w:val="24"/>
        </w:rPr>
        <w:t>Oral pasta</w:t>
      </w:r>
    </w:p>
    <w:p w14:paraId="66DA2FE9" w14:textId="5ED8445E" w:rsidR="008203A8" w:rsidRPr="00AB11D5" w:rsidRDefault="008203A8" w:rsidP="008203A8">
      <w:pPr>
        <w:ind w:left="851"/>
        <w:rPr>
          <w:sz w:val="24"/>
          <w:szCs w:val="24"/>
        </w:rPr>
      </w:pPr>
      <w:r w:rsidRPr="00AB11D5">
        <w:rPr>
          <w:sz w:val="24"/>
          <w:szCs w:val="24"/>
        </w:rPr>
        <w:t xml:space="preserve">Styrke(r): </w:t>
      </w:r>
      <w:r w:rsidR="00C9636D" w:rsidRPr="00AB11D5">
        <w:rPr>
          <w:sz w:val="24"/>
          <w:szCs w:val="24"/>
        </w:rPr>
        <w:t>18,7 mg/g+140,3 mg/g</w:t>
      </w:r>
    </w:p>
    <w:p w14:paraId="5B6CE5B8" w14:textId="77777777" w:rsidR="008203A8" w:rsidRPr="00AB11D5" w:rsidRDefault="008203A8" w:rsidP="008203A8">
      <w:pPr>
        <w:ind w:left="851"/>
        <w:rPr>
          <w:sz w:val="24"/>
          <w:szCs w:val="24"/>
        </w:rPr>
      </w:pPr>
    </w:p>
    <w:p w14:paraId="7BB5A925" w14:textId="77777777" w:rsidR="008203A8" w:rsidRPr="00AB11D5" w:rsidRDefault="008203A8" w:rsidP="008203A8">
      <w:pPr>
        <w:ind w:left="851" w:hanging="851"/>
        <w:rPr>
          <w:b/>
          <w:sz w:val="24"/>
          <w:szCs w:val="24"/>
        </w:rPr>
      </w:pPr>
      <w:r w:rsidRPr="00AB11D5">
        <w:rPr>
          <w:b/>
          <w:sz w:val="24"/>
          <w:szCs w:val="24"/>
        </w:rPr>
        <w:t>2.</w:t>
      </w:r>
      <w:r w:rsidRPr="00AB11D5">
        <w:rPr>
          <w:b/>
          <w:sz w:val="24"/>
          <w:szCs w:val="24"/>
        </w:rPr>
        <w:tab/>
        <w:t>KVALITATIV OG KVANTITATIV SAMMENSÆTNING</w:t>
      </w:r>
    </w:p>
    <w:p w14:paraId="6F02A550" w14:textId="224A516E" w:rsidR="009F78B2" w:rsidRDefault="009F78B2" w:rsidP="00CA671A">
      <w:pPr>
        <w:ind w:left="851"/>
        <w:rPr>
          <w:sz w:val="24"/>
          <w:szCs w:val="24"/>
        </w:rPr>
      </w:pPr>
      <w:r w:rsidRPr="00AB11D5">
        <w:rPr>
          <w:sz w:val="24"/>
          <w:szCs w:val="24"/>
        </w:rPr>
        <w:t>Hvert gram pasta indeholder:</w:t>
      </w:r>
    </w:p>
    <w:p w14:paraId="1822BBC2" w14:textId="77777777" w:rsidR="009D7B12" w:rsidRPr="00AB11D5" w:rsidRDefault="009D7B12" w:rsidP="00CA671A">
      <w:pPr>
        <w:ind w:left="851"/>
        <w:rPr>
          <w:sz w:val="24"/>
          <w:szCs w:val="24"/>
          <w:lang w:eastAsia="da-DK"/>
        </w:rPr>
      </w:pPr>
    </w:p>
    <w:p w14:paraId="538CDAB5" w14:textId="77777777" w:rsidR="009F78B2" w:rsidRPr="00AB11D5" w:rsidRDefault="009F78B2" w:rsidP="00CA671A">
      <w:pPr>
        <w:ind w:left="851"/>
        <w:rPr>
          <w:sz w:val="24"/>
          <w:szCs w:val="24"/>
        </w:rPr>
      </w:pPr>
      <w:r w:rsidRPr="00AB11D5">
        <w:rPr>
          <w:b/>
          <w:sz w:val="24"/>
          <w:szCs w:val="24"/>
        </w:rPr>
        <w:t>Aktivt stof (aktive stoffer):</w:t>
      </w:r>
    </w:p>
    <w:p w14:paraId="5DAF3A47" w14:textId="767F9B2D" w:rsidR="009F78B2" w:rsidRPr="00AB11D5" w:rsidRDefault="009F78B2" w:rsidP="009D7B12">
      <w:pPr>
        <w:tabs>
          <w:tab w:val="right" w:pos="4536"/>
        </w:tabs>
        <w:ind w:left="851"/>
        <w:rPr>
          <w:sz w:val="24"/>
          <w:szCs w:val="24"/>
        </w:rPr>
      </w:pPr>
      <w:proofErr w:type="spellStart"/>
      <w:r w:rsidRPr="00AB11D5">
        <w:rPr>
          <w:sz w:val="24"/>
          <w:szCs w:val="24"/>
        </w:rPr>
        <w:t>Ivermectinum</w:t>
      </w:r>
      <w:proofErr w:type="spellEnd"/>
      <w:r w:rsidR="009D7B12">
        <w:rPr>
          <w:sz w:val="24"/>
          <w:szCs w:val="24"/>
        </w:rPr>
        <w:tab/>
      </w:r>
      <w:r w:rsidRPr="00AB11D5">
        <w:rPr>
          <w:sz w:val="24"/>
          <w:szCs w:val="24"/>
        </w:rPr>
        <w:t>18,7 mg</w:t>
      </w:r>
    </w:p>
    <w:p w14:paraId="265B9E8B" w14:textId="55F763FB" w:rsidR="009F78B2" w:rsidRPr="00AB11D5" w:rsidRDefault="009F78B2" w:rsidP="009D7B12">
      <w:pPr>
        <w:tabs>
          <w:tab w:val="right" w:pos="4536"/>
        </w:tabs>
        <w:ind w:left="851"/>
        <w:rPr>
          <w:sz w:val="24"/>
          <w:szCs w:val="24"/>
        </w:rPr>
      </w:pPr>
      <w:proofErr w:type="spellStart"/>
      <w:r w:rsidRPr="00AB11D5">
        <w:rPr>
          <w:sz w:val="24"/>
          <w:szCs w:val="24"/>
        </w:rPr>
        <w:t>Praziquantelum</w:t>
      </w:r>
      <w:proofErr w:type="spellEnd"/>
      <w:r w:rsidR="009D7B12">
        <w:rPr>
          <w:sz w:val="24"/>
          <w:szCs w:val="24"/>
        </w:rPr>
        <w:tab/>
      </w:r>
      <w:r w:rsidRPr="00AB11D5">
        <w:rPr>
          <w:sz w:val="24"/>
          <w:szCs w:val="24"/>
        </w:rPr>
        <w:t>140,3 mg</w:t>
      </w:r>
    </w:p>
    <w:p w14:paraId="23DE11CA" w14:textId="77777777" w:rsidR="009F78B2" w:rsidRPr="00AB11D5" w:rsidRDefault="009F78B2" w:rsidP="00CA671A">
      <w:pPr>
        <w:ind w:left="851"/>
        <w:rPr>
          <w:bCs/>
          <w:sz w:val="24"/>
          <w:szCs w:val="24"/>
        </w:rPr>
      </w:pPr>
    </w:p>
    <w:p w14:paraId="195D3D50" w14:textId="77777777" w:rsidR="009F78B2" w:rsidRPr="00AB11D5" w:rsidRDefault="009F78B2" w:rsidP="00CA671A">
      <w:pPr>
        <w:ind w:left="851"/>
        <w:rPr>
          <w:sz w:val="24"/>
          <w:szCs w:val="24"/>
          <w:lang w:val="cs-CZ"/>
        </w:rPr>
      </w:pPr>
      <w:r w:rsidRPr="00AB11D5">
        <w:rPr>
          <w:b/>
          <w:sz w:val="24"/>
          <w:szCs w:val="24"/>
        </w:rPr>
        <w:t>Hjælpestoffer:</w:t>
      </w:r>
    </w:p>
    <w:p w14:paraId="2905F21E" w14:textId="77777777" w:rsidR="009F78B2" w:rsidRPr="00AB11D5" w:rsidRDefault="009F78B2" w:rsidP="00CA671A">
      <w:pPr>
        <w:ind w:left="851"/>
        <w:rPr>
          <w:b/>
          <w:sz w:val="24"/>
          <w:szCs w:val="24"/>
        </w:rPr>
      </w:pPr>
    </w:p>
    <w:tbl>
      <w:tblPr>
        <w:tblW w:w="8788" w:type="dxa"/>
        <w:tblInd w:w="846" w:type="dxa"/>
        <w:tblLayout w:type="fixed"/>
        <w:tblLook w:val="04A0" w:firstRow="1" w:lastRow="0" w:firstColumn="1" w:lastColumn="0" w:noHBand="0" w:noVBand="1"/>
      </w:tblPr>
      <w:tblGrid>
        <w:gridCol w:w="4643"/>
        <w:gridCol w:w="4145"/>
      </w:tblGrid>
      <w:tr w:rsidR="009F78B2" w:rsidRPr="00AB11D5" w14:paraId="33C30DCE" w14:textId="77777777" w:rsidTr="00CA671A">
        <w:tc>
          <w:tcPr>
            <w:tcW w:w="4643" w:type="dxa"/>
            <w:tcBorders>
              <w:top w:val="single" w:sz="4" w:space="0" w:color="000000"/>
              <w:left w:val="single" w:sz="4" w:space="0" w:color="000000"/>
              <w:bottom w:val="single" w:sz="4" w:space="0" w:color="000000"/>
              <w:right w:val="single" w:sz="4" w:space="0" w:color="000000"/>
            </w:tcBorders>
            <w:vAlign w:val="center"/>
            <w:hideMark/>
          </w:tcPr>
          <w:p w14:paraId="64262A62" w14:textId="77777777" w:rsidR="009F78B2" w:rsidRPr="00AB11D5" w:rsidRDefault="009F78B2">
            <w:pPr>
              <w:spacing w:before="60" w:after="60"/>
              <w:rPr>
                <w:sz w:val="24"/>
                <w:szCs w:val="24"/>
                <w:lang w:val="bg-BG"/>
              </w:rPr>
            </w:pPr>
            <w:r w:rsidRPr="00AB11D5">
              <w:rPr>
                <w:b/>
                <w:bCs/>
                <w:sz w:val="24"/>
                <w:szCs w:val="24"/>
              </w:rPr>
              <w:t>Kvalitativ sammensætning af hjælpestoffer og andre bestanddele</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2734E85D" w14:textId="77777777" w:rsidR="009F78B2" w:rsidRPr="00AB11D5" w:rsidRDefault="009F78B2">
            <w:pPr>
              <w:spacing w:before="60" w:after="60"/>
              <w:rPr>
                <w:sz w:val="24"/>
                <w:szCs w:val="24"/>
              </w:rPr>
            </w:pPr>
            <w:r w:rsidRPr="00AB11D5">
              <w:rPr>
                <w:b/>
                <w:bCs/>
                <w:sz w:val="24"/>
                <w:szCs w:val="24"/>
              </w:rPr>
              <w:t>Kvantitativ sammensætning, hvis disse oplysninger er nødvendige for en korrekt administration af veterinærlægemidlet</w:t>
            </w:r>
          </w:p>
        </w:tc>
      </w:tr>
      <w:tr w:rsidR="009F78B2" w:rsidRPr="00AB11D5" w14:paraId="1D6D9963" w14:textId="77777777" w:rsidTr="00CA671A">
        <w:tc>
          <w:tcPr>
            <w:tcW w:w="4643" w:type="dxa"/>
            <w:tcBorders>
              <w:top w:val="single" w:sz="4" w:space="0" w:color="000000"/>
              <w:left w:val="single" w:sz="4" w:space="0" w:color="000000"/>
              <w:bottom w:val="single" w:sz="4" w:space="0" w:color="000000"/>
              <w:right w:val="single" w:sz="4" w:space="0" w:color="000000"/>
            </w:tcBorders>
            <w:vAlign w:val="center"/>
            <w:hideMark/>
          </w:tcPr>
          <w:p w14:paraId="5CF55F64" w14:textId="77777777" w:rsidR="009F78B2" w:rsidRPr="00AB11D5" w:rsidRDefault="009F78B2">
            <w:pPr>
              <w:spacing w:before="60" w:after="60"/>
              <w:rPr>
                <w:sz w:val="24"/>
                <w:szCs w:val="24"/>
              </w:rPr>
            </w:pPr>
            <w:r w:rsidRPr="00AB11D5">
              <w:rPr>
                <w:sz w:val="24"/>
                <w:szCs w:val="24"/>
              </w:rPr>
              <w:t xml:space="preserve">Brillant blå FCF (E133) </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4C596B13" w14:textId="77777777" w:rsidR="009F78B2" w:rsidRPr="00AB11D5" w:rsidRDefault="009F78B2">
            <w:pPr>
              <w:spacing w:before="60" w:after="60"/>
              <w:rPr>
                <w:sz w:val="24"/>
                <w:szCs w:val="24"/>
              </w:rPr>
            </w:pPr>
            <w:r w:rsidRPr="00AB11D5">
              <w:rPr>
                <w:sz w:val="24"/>
                <w:szCs w:val="24"/>
              </w:rPr>
              <w:t>0,005 mg</w:t>
            </w:r>
          </w:p>
        </w:tc>
      </w:tr>
      <w:tr w:rsidR="009F78B2" w:rsidRPr="00AB11D5" w14:paraId="5B2F78FE" w14:textId="77777777" w:rsidTr="00CA671A">
        <w:tc>
          <w:tcPr>
            <w:tcW w:w="4643" w:type="dxa"/>
            <w:tcBorders>
              <w:top w:val="single" w:sz="4" w:space="0" w:color="000000"/>
              <w:left w:val="single" w:sz="4" w:space="0" w:color="000000"/>
              <w:bottom w:val="single" w:sz="4" w:space="0" w:color="000000"/>
              <w:right w:val="single" w:sz="4" w:space="0" w:color="000000"/>
            </w:tcBorders>
            <w:vAlign w:val="center"/>
            <w:hideMark/>
          </w:tcPr>
          <w:p w14:paraId="10A22A82" w14:textId="77777777" w:rsidR="009F78B2" w:rsidRPr="00AB11D5" w:rsidRDefault="009F78B2">
            <w:pPr>
              <w:spacing w:before="60" w:after="60"/>
              <w:rPr>
                <w:sz w:val="24"/>
                <w:szCs w:val="24"/>
              </w:rPr>
            </w:pPr>
            <w:r w:rsidRPr="00AB11D5">
              <w:rPr>
                <w:sz w:val="24"/>
                <w:szCs w:val="24"/>
              </w:rPr>
              <w:t>Tartrazin (E102)</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384571E7" w14:textId="77777777" w:rsidR="009F78B2" w:rsidRPr="00AB11D5" w:rsidRDefault="009F78B2">
            <w:pPr>
              <w:spacing w:before="60" w:after="60"/>
              <w:rPr>
                <w:sz w:val="24"/>
                <w:szCs w:val="24"/>
              </w:rPr>
            </w:pPr>
            <w:r w:rsidRPr="00AB11D5">
              <w:rPr>
                <w:sz w:val="24"/>
                <w:szCs w:val="24"/>
              </w:rPr>
              <w:t>0,021 mg</w:t>
            </w:r>
          </w:p>
        </w:tc>
      </w:tr>
      <w:tr w:rsidR="009F78B2" w:rsidRPr="00AB11D5" w14:paraId="3BEB338E" w14:textId="77777777" w:rsidTr="00CA671A">
        <w:tc>
          <w:tcPr>
            <w:tcW w:w="4643" w:type="dxa"/>
            <w:tcBorders>
              <w:top w:val="single" w:sz="4" w:space="0" w:color="000000"/>
              <w:left w:val="single" w:sz="4" w:space="0" w:color="000000"/>
              <w:bottom w:val="single" w:sz="4" w:space="0" w:color="000000"/>
              <w:right w:val="single" w:sz="4" w:space="0" w:color="000000"/>
            </w:tcBorders>
            <w:vAlign w:val="center"/>
            <w:hideMark/>
          </w:tcPr>
          <w:p w14:paraId="47418C74" w14:textId="77777777" w:rsidR="009F78B2" w:rsidRPr="00AB11D5" w:rsidRDefault="009F78B2">
            <w:pPr>
              <w:spacing w:before="60" w:after="60"/>
              <w:rPr>
                <w:sz w:val="24"/>
                <w:szCs w:val="24"/>
              </w:rPr>
            </w:pPr>
            <w:r w:rsidRPr="00AB11D5">
              <w:rPr>
                <w:iCs/>
                <w:sz w:val="24"/>
                <w:szCs w:val="24"/>
              </w:rPr>
              <w:t>Titandioxid</w:t>
            </w:r>
            <w:r w:rsidRPr="00AB11D5">
              <w:rPr>
                <w:sz w:val="24"/>
                <w:szCs w:val="24"/>
              </w:rPr>
              <w:t xml:space="preserve"> (E171)</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38B6125C" w14:textId="77777777" w:rsidR="009F78B2" w:rsidRPr="00AB11D5" w:rsidRDefault="009F78B2">
            <w:pPr>
              <w:spacing w:before="60" w:after="60"/>
              <w:rPr>
                <w:sz w:val="24"/>
                <w:szCs w:val="24"/>
              </w:rPr>
            </w:pPr>
            <w:r w:rsidRPr="00AB11D5">
              <w:rPr>
                <w:sz w:val="24"/>
                <w:szCs w:val="24"/>
              </w:rPr>
              <w:t>20,0 mg</w:t>
            </w:r>
          </w:p>
        </w:tc>
      </w:tr>
      <w:tr w:rsidR="009F78B2" w:rsidRPr="00AB11D5" w14:paraId="4464C6F1" w14:textId="77777777" w:rsidTr="00CA671A">
        <w:tc>
          <w:tcPr>
            <w:tcW w:w="4643" w:type="dxa"/>
            <w:tcBorders>
              <w:top w:val="single" w:sz="4" w:space="0" w:color="000000"/>
              <w:left w:val="single" w:sz="4" w:space="0" w:color="000000"/>
              <w:bottom w:val="single" w:sz="4" w:space="0" w:color="000000"/>
              <w:right w:val="single" w:sz="4" w:space="0" w:color="000000"/>
            </w:tcBorders>
            <w:vAlign w:val="center"/>
            <w:hideMark/>
          </w:tcPr>
          <w:p w14:paraId="4925AA26" w14:textId="77777777" w:rsidR="009F78B2" w:rsidRPr="00AB11D5" w:rsidRDefault="009F78B2">
            <w:pPr>
              <w:spacing w:before="60" w:after="60"/>
              <w:rPr>
                <w:sz w:val="24"/>
                <w:szCs w:val="24"/>
              </w:rPr>
            </w:pPr>
            <w:proofErr w:type="spellStart"/>
            <w:r w:rsidRPr="00AB11D5">
              <w:rPr>
                <w:sz w:val="24"/>
                <w:szCs w:val="24"/>
              </w:rPr>
              <w:t>Hydrogeneret</w:t>
            </w:r>
            <w:proofErr w:type="spellEnd"/>
            <w:r w:rsidRPr="00AB11D5">
              <w:rPr>
                <w:sz w:val="24"/>
                <w:szCs w:val="24"/>
              </w:rPr>
              <w:t xml:space="preserve"> ricinusolie</w:t>
            </w:r>
          </w:p>
        </w:tc>
        <w:tc>
          <w:tcPr>
            <w:tcW w:w="4145" w:type="dxa"/>
            <w:tcBorders>
              <w:top w:val="single" w:sz="4" w:space="0" w:color="000000"/>
              <w:left w:val="single" w:sz="4" w:space="0" w:color="000000"/>
              <w:bottom w:val="single" w:sz="4" w:space="0" w:color="000000"/>
              <w:right w:val="single" w:sz="4" w:space="0" w:color="000000"/>
            </w:tcBorders>
            <w:vAlign w:val="center"/>
          </w:tcPr>
          <w:p w14:paraId="44FD4C4C" w14:textId="77777777" w:rsidR="009F78B2" w:rsidRPr="00AB11D5" w:rsidRDefault="009F78B2">
            <w:pPr>
              <w:snapToGrid w:val="0"/>
              <w:spacing w:before="60" w:after="60"/>
              <w:rPr>
                <w:b/>
                <w:bCs/>
                <w:iCs/>
                <w:sz w:val="24"/>
                <w:szCs w:val="24"/>
              </w:rPr>
            </w:pPr>
          </w:p>
        </w:tc>
      </w:tr>
      <w:tr w:rsidR="009F78B2" w:rsidRPr="00AB11D5" w14:paraId="652EF0C3" w14:textId="77777777" w:rsidTr="00CA671A">
        <w:tc>
          <w:tcPr>
            <w:tcW w:w="4643" w:type="dxa"/>
            <w:tcBorders>
              <w:top w:val="single" w:sz="4" w:space="0" w:color="000000"/>
              <w:left w:val="single" w:sz="4" w:space="0" w:color="000000"/>
              <w:bottom w:val="single" w:sz="4" w:space="0" w:color="000000"/>
              <w:right w:val="single" w:sz="4" w:space="0" w:color="000000"/>
            </w:tcBorders>
            <w:vAlign w:val="center"/>
            <w:hideMark/>
          </w:tcPr>
          <w:p w14:paraId="6930E264" w14:textId="77777777" w:rsidR="009F78B2" w:rsidRPr="00AB11D5" w:rsidRDefault="009F78B2">
            <w:pPr>
              <w:spacing w:before="60" w:after="60"/>
              <w:rPr>
                <w:sz w:val="24"/>
                <w:szCs w:val="24"/>
                <w:lang w:val="bg-BG"/>
              </w:rPr>
            </w:pPr>
            <w:proofErr w:type="spellStart"/>
            <w:r w:rsidRPr="00AB11D5">
              <w:rPr>
                <w:sz w:val="24"/>
                <w:szCs w:val="24"/>
              </w:rPr>
              <w:t>Hydroxypropylcellulose</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tcPr>
          <w:p w14:paraId="136A042D" w14:textId="77777777" w:rsidR="009F78B2" w:rsidRPr="00AB11D5" w:rsidRDefault="009F78B2">
            <w:pPr>
              <w:snapToGrid w:val="0"/>
              <w:spacing w:before="60" w:after="60"/>
              <w:rPr>
                <w:iCs/>
                <w:sz w:val="24"/>
                <w:szCs w:val="24"/>
              </w:rPr>
            </w:pPr>
          </w:p>
        </w:tc>
      </w:tr>
      <w:tr w:rsidR="009F78B2" w:rsidRPr="00AB11D5" w14:paraId="26134E54" w14:textId="77777777" w:rsidTr="00CA671A">
        <w:tc>
          <w:tcPr>
            <w:tcW w:w="4643" w:type="dxa"/>
            <w:tcBorders>
              <w:top w:val="single" w:sz="4" w:space="0" w:color="000000"/>
              <w:left w:val="single" w:sz="4" w:space="0" w:color="000000"/>
              <w:bottom w:val="single" w:sz="4" w:space="0" w:color="000000"/>
              <w:right w:val="single" w:sz="4" w:space="0" w:color="000000"/>
            </w:tcBorders>
            <w:vAlign w:val="center"/>
            <w:hideMark/>
          </w:tcPr>
          <w:p w14:paraId="54D74E71" w14:textId="77777777" w:rsidR="009F78B2" w:rsidRPr="00AB11D5" w:rsidRDefault="009F78B2">
            <w:pPr>
              <w:spacing w:before="60" w:after="60"/>
              <w:rPr>
                <w:sz w:val="24"/>
                <w:szCs w:val="24"/>
                <w:lang w:val="bg-BG"/>
              </w:rPr>
            </w:pPr>
            <w:r w:rsidRPr="00AB11D5">
              <w:rPr>
                <w:sz w:val="24"/>
                <w:szCs w:val="24"/>
              </w:rPr>
              <w:t>Propylenglycol (E1520)</w:t>
            </w:r>
          </w:p>
        </w:tc>
        <w:tc>
          <w:tcPr>
            <w:tcW w:w="4145" w:type="dxa"/>
            <w:tcBorders>
              <w:top w:val="single" w:sz="4" w:space="0" w:color="000000"/>
              <w:left w:val="single" w:sz="4" w:space="0" w:color="000000"/>
              <w:bottom w:val="single" w:sz="4" w:space="0" w:color="000000"/>
              <w:right w:val="single" w:sz="4" w:space="0" w:color="000000"/>
            </w:tcBorders>
            <w:vAlign w:val="center"/>
          </w:tcPr>
          <w:p w14:paraId="62E92A94" w14:textId="77777777" w:rsidR="009F78B2" w:rsidRPr="00AB11D5" w:rsidRDefault="009F78B2">
            <w:pPr>
              <w:snapToGrid w:val="0"/>
              <w:spacing w:before="60" w:after="60"/>
              <w:rPr>
                <w:iCs/>
                <w:sz w:val="24"/>
                <w:szCs w:val="24"/>
              </w:rPr>
            </w:pPr>
          </w:p>
        </w:tc>
      </w:tr>
      <w:tr w:rsidR="009F78B2" w:rsidRPr="00AB11D5" w14:paraId="64978066" w14:textId="77777777" w:rsidTr="00CA671A">
        <w:tc>
          <w:tcPr>
            <w:tcW w:w="4643" w:type="dxa"/>
            <w:tcBorders>
              <w:top w:val="single" w:sz="4" w:space="0" w:color="000000"/>
              <w:left w:val="single" w:sz="4" w:space="0" w:color="000000"/>
              <w:bottom w:val="single" w:sz="4" w:space="0" w:color="000000"/>
              <w:right w:val="single" w:sz="4" w:space="0" w:color="000000"/>
            </w:tcBorders>
            <w:vAlign w:val="center"/>
            <w:hideMark/>
          </w:tcPr>
          <w:p w14:paraId="4DB0A8D5" w14:textId="77777777" w:rsidR="009F78B2" w:rsidRPr="00AB11D5" w:rsidRDefault="009F78B2">
            <w:pPr>
              <w:spacing w:before="60" w:after="60"/>
              <w:rPr>
                <w:sz w:val="24"/>
                <w:szCs w:val="24"/>
                <w:lang w:val="bg-BG"/>
              </w:rPr>
            </w:pPr>
            <w:proofErr w:type="spellStart"/>
            <w:r w:rsidRPr="00AB11D5">
              <w:rPr>
                <w:sz w:val="24"/>
                <w:szCs w:val="24"/>
              </w:rPr>
              <w:t>Sucralose</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tcPr>
          <w:p w14:paraId="0D49D5B0" w14:textId="77777777" w:rsidR="009F78B2" w:rsidRPr="00AB11D5" w:rsidRDefault="009F78B2">
            <w:pPr>
              <w:snapToGrid w:val="0"/>
              <w:spacing w:before="60" w:after="60"/>
              <w:rPr>
                <w:iCs/>
                <w:sz w:val="24"/>
                <w:szCs w:val="24"/>
              </w:rPr>
            </w:pPr>
          </w:p>
        </w:tc>
      </w:tr>
      <w:tr w:rsidR="009F78B2" w:rsidRPr="00AB11D5" w14:paraId="1B25721E" w14:textId="77777777" w:rsidTr="00CA671A">
        <w:tc>
          <w:tcPr>
            <w:tcW w:w="4643" w:type="dxa"/>
            <w:tcBorders>
              <w:top w:val="single" w:sz="4" w:space="0" w:color="000000"/>
              <w:left w:val="single" w:sz="4" w:space="0" w:color="000000"/>
              <w:bottom w:val="single" w:sz="4" w:space="0" w:color="000000"/>
              <w:right w:val="single" w:sz="4" w:space="0" w:color="000000"/>
            </w:tcBorders>
            <w:vAlign w:val="center"/>
            <w:hideMark/>
          </w:tcPr>
          <w:p w14:paraId="2325C37D" w14:textId="72C63B76" w:rsidR="009F78B2" w:rsidRPr="00AB11D5" w:rsidRDefault="009F78B2">
            <w:pPr>
              <w:spacing w:before="60" w:after="60"/>
              <w:rPr>
                <w:sz w:val="24"/>
                <w:szCs w:val="24"/>
                <w:lang w:val="bg-BG"/>
              </w:rPr>
            </w:pPr>
            <w:r w:rsidRPr="00AB11D5">
              <w:rPr>
                <w:sz w:val="24"/>
                <w:szCs w:val="24"/>
              </w:rPr>
              <w:t xml:space="preserve">Aroma </w:t>
            </w:r>
            <w:r w:rsidR="00CA671A" w:rsidRPr="00AB11D5">
              <w:rPr>
                <w:sz w:val="24"/>
                <w:szCs w:val="24"/>
              </w:rPr>
              <w:t>"</w:t>
            </w:r>
            <w:r w:rsidRPr="00AB11D5">
              <w:rPr>
                <w:sz w:val="24"/>
                <w:szCs w:val="24"/>
              </w:rPr>
              <w:t>Æbleessens</w:t>
            </w:r>
            <w:r w:rsidR="00CA671A" w:rsidRPr="00AB11D5">
              <w:rPr>
                <w:sz w:val="24"/>
                <w:szCs w:val="24"/>
              </w:rPr>
              <w:t>"</w:t>
            </w:r>
          </w:p>
        </w:tc>
        <w:tc>
          <w:tcPr>
            <w:tcW w:w="4145" w:type="dxa"/>
            <w:tcBorders>
              <w:top w:val="single" w:sz="4" w:space="0" w:color="000000"/>
              <w:left w:val="single" w:sz="4" w:space="0" w:color="000000"/>
              <w:bottom w:val="single" w:sz="4" w:space="0" w:color="000000"/>
              <w:right w:val="single" w:sz="4" w:space="0" w:color="000000"/>
            </w:tcBorders>
            <w:vAlign w:val="center"/>
          </w:tcPr>
          <w:p w14:paraId="7AC9649A" w14:textId="77777777" w:rsidR="009F78B2" w:rsidRPr="00AB11D5" w:rsidRDefault="009F78B2">
            <w:pPr>
              <w:snapToGrid w:val="0"/>
              <w:spacing w:before="60" w:after="60"/>
              <w:rPr>
                <w:iCs/>
                <w:sz w:val="24"/>
                <w:szCs w:val="24"/>
              </w:rPr>
            </w:pPr>
          </w:p>
        </w:tc>
      </w:tr>
      <w:tr w:rsidR="009F78B2" w:rsidRPr="00AB11D5" w14:paraId="6D3D9F4F" w14:textId="77777777" w:rsidTr="00CA671A">
        <w:tc>
          <w:tcPr>
            <w:tcW w:w="4643" w:type="dxa"/>
            <w:tcBorders>
              <w:top w:val="single" w:sz="4" w:space="0" w:color="000000"/>
              <w:left w:val="single" w:sz="4" w:space="0" w:color="000000"/>
              <w:bottom w:val="single" w:sz="4" w:space="0" w:color="000000"/>
              <w:right w:val="single" w:sz="4" w:space="0" w:color="000000"/>
            </w:tcBorders>
            <w:vAlign w:val="center"/>
            <w:hideMark/>
          </w:tcPr>
          <w:p w14:paraId="06979A48" w14:textId="77777777" w:rsidR="009F78B2" w:rsidRPr="00AB11D5" w:rsidRDefault="009F78B2">
            <w:pPr>
              <w:spacing w:before="60" w:after="60"/>
              <w:rPr>
                <w:sz w:val="24"/>
                <w:szCs w:val="24"/>
                <w:lang w:val="bg-BG"/>
              </w:rPr>
            </w:pPr>
            <w:r w:rsidRPr="00AB11D5">
              <w:rPr>
                <w:iCs/>
                <w:sz w:val="24"/>
                <w:szCs w:val="24"/>
              </w:rPr>
              <w:lastRenderedPageBreak/>
              <w:t>Æterisk olie af Ceylon kanelbladolie</w:t>
            </w:r>
          </w:p>
        </w:tc>
        <w:tc>
          <w:tcPr>
            <w:tcW w:w="4145" w:type="dxa"/>
            <w:tcBorders>
              <w:top w:val="single" w:sz="4" w:space="0" w:color="000000"/>
              <w:left w:val="single" w:sz="4" w:space="0" w:color="000000"/>
              <w:bottom w:val="single" w:sz="4" w:space="0" w:color="000000"/>
              <w:right w:val="single" w:sz="4" w:space="0" w:color="000000"/>
            </w:tcBorders>
            <w:vAlign w:val="center"/>
          </w:tcPr>
          <w:p w14:paraId="0106642C" w14:textId="77777777" w:rsidR="009F78B2" w:rsidRPr="00AB11D5" w:rsidRDefault="009F78B2">
            <w:pPr>
              <w:snapToGrid w:val="0"/>
              <w:spacing w:before="60" w:after="60"/>
              <w:rPr>
                <w:iCs/>
                <w:sz w:val="24"/>
                <w:szCs w:val="24"/>
              </w:rPr>
            </w:pPr>
          </w:p>
        </w:tc>
      </w:tr>
    </w:tbl>
    <w:p w14:paraId="701583CC" w14:textId="77777777" w:rsidR="009F78B2" w:rsidRPr="00AB11D5" w:rsidRDefault="009F78B2" w:rsidP="005A7989">
      <w:pPr>
        <w:pStyle w:val="Slutnotetekst"/>
        <w:tabs>
          <w:tab w:val="right" w:leader="dot" w:pos="5670"/>
          <w:tab w:val="decimal" w:pos="6237"/>
          <w:tab w:val="left" w:pos="6804"/>
        </w:tabs>
        <w:ind w:left="851" w:firstLine="0"/>
        <w:rPr>
          <w:sz w:val="24"/>
          <w:szCs w:val="24"/>
          <w:lang w:val="da-DK"/>
        </w:rPr>
      </w:pPr>
    </w:p>
    <w:p w14:paraId="046E1649" w14:textId="77777777" w:rsidR="009F78B2" w:rsidRPr="00AB11D5" w:rsidRDefault="009F78B2" w:rsidP="005A7989">
      <w:pPr>
        <w:ind w:left="851"/>
        <w:rPr>
          <w:sz w:val="24"/>
          <w:szCs w:val="24"/>
          <w:lang w:val="bg-BG"/>
        </w:rPr>
      </w:pPr>
      <w:r w:rsidRPr="00AB11D5">
        <w:rPr>
          <w:sz w:val="24"/>
          <w:szCs w:val="24"/>
        </w:rPr>
        <w:t>Grøn pasta med en karakteristisk aroma af æbler og kanel.</w:t>
      </w:r>
    </w:p>
    <w:p w14:paraId="0E5994A9" w14:textId="77777777" w:rsidR="009F78B2" w:rsidRPr="00AB11D5" w:rsidRDefault="009F78B2" w:rsidP="005A7989">
      <w:pPr>
        <w:ind w:left="851"/>
        <w:rPr>
          <w:sz w:val="24"/>
          <w:szCs w:val="24"/>
        </w:rPr>
      </w:pPr>
    </w:p>
    <w:p w14:paraId="47C5D6EA" w14:textId="77777777" w:rsidR="008203A8" w:rsidRPr="00AB11D5" w:rsidRDefault="008203A8" w:rsidP="008203A8">
      <w:pPr>
        <w:ind w:left="851"/>
        <w:rPr>
          <w:sz w:val="24"/>
          <w:szCs w:val="24"/>
        </w:rPr>
      </w:pPr>
    </w:p>
    <w:p w14:paraId="0BD2ABEA" w14:textId="77777777" w:rsidR="008203A8" w:rsidRPr="00AB11D5" w:rsidRDefault="008203A8" w:rsidP="008203A8">
      <w:pPr>
        <w:ind w:left="851" w:hanging="851"/>
        <w:rPr>
          <w:b/>
          <w:sz w:val="24"/>
          <w:szCs w:val="24"/>
        </w:rPr>
      </w:pPr>
      <w:r w:rsidRPr="00AB11D5">
        <w:rPr>
          <w:b/>
          <w:sz w:val="24"/>
          <w:szCs w:val="24"/>
        </w:rPr>
        <w:t>3.</w:t>
      </w:r>
      <w:r w:rsidRPr="00AB11D5">
        <w:rPr>
          <w:b/>
          <w:sz w:val="24"/>
          <w:szCs w:val="24"/>
        </w:rPr>
        <w:tab/>
        <w:t>KLINISKE OPLYSNINGER</w:t>
      </w:r>
    </w:p>
    <w:p w14:paraId="2C19DD31" w14:textId="77777777" w:rsidR="008203A8" w:rsidRPr="00AB11D5" w:rsidRDefault="008203A8" w:rsidP="008203A8">
      <w:pPr>
        <w:tabs>
          <w:tab w:val="left" w:pos="851"/>
        </w:tabs>
        <w:ind w:left="851"/>
        <w:rPr>
          <w:sz w:val="24"/>
          <w:szCs w:val="24"/>
        </w:rPr>
      </w:pPr>
    </w:p>
    <w:p w14:paraId="77476894" w14:textId="77777777" w:rsidR="008203A8" w:rsidRPr="00AB11D5" w:rsidRDefault="008203A8" w:rsidP="008203A8">
      <w:pPr>
        <w:ind w:left="851" w:hanging="851"/>
        <w:rPr>
          <w:b/>
          <w:sz w:val="24"/>
          <w:szCs w:val="24"/>
          <w:u w:val="single"/>
        </w:rPr>
      </w:pPr>
      <w:r w:rsidRPr="00AB11D5">
        <w:rPr>
          <w:b/>
          <w:sz w:val="24"/>
          <w:szCs w:val="24"/>
        </w:rPr>
        <w:t>3.1</w:t>
      </w:r>
      <w:r w:rsidRPr="00AB11D5">
        <w:rPr>
          <w:b/>
          <w:sz w:val="24"/>
          <w:szCs w:val="24"/>
        </w:rPr>
        <w:tab/>
        <w:t>Dyrearter, som lægemidlet er beregnet til</w:t>
      </w:r>
    </w:p>
    <w:p w14:paraId="0BCD4297" w14:textId="77777777" w:rsidR="009F78B2" w:rsidRPr="00AB11D5" w:rsidRDefault="009F78B2" w:rsidP="00CA671A">
      <w:pPr>
        <w:ind w:left="851"/>
        <w:rPr>
          <w:sz w:val="24"/>
          <w:szCs w:val="24"/>
          <w:lang w:eastAsia="da-DK"/>
        </w:rPr>
      </w:pPr>
      <w:r w:rsidRPr="00AB11D5">
        <w:rPr>
          <w:sz w:val="24"/>
          <w:szCs w:val="24"/>
        </w:rPr>
        <w:t>Hest</w:t>
      </w:r>
    </w:p>
    <w:p w14:paraId="26913C11" w14:textId="77777777" w:rsidR="008203A8" w:rsidRPr="00AB11D5" w:rsidRDefault="008203A8" w:rsidP="008203A8">
      <w:pPr>
        <w:ind w:left="851"/>
        <w:rPr>
          <w:sz w:val="24"/>
          <w:szCs w:val="24"/>
        </w:rPr>
      </w:pPr>
    </w:p>
    <w:p w14:paraId="2CBA1FCF" w14:textId="77777777" w:rsidR="008203A8" w:rsidRPr="00AB11D5" w:rsidRDefault="008203A8" w:rsidP="008203A8">
      <w:pPr>
        <w:pStyle w:val="Sidehoved"/>
        <w:tabs>
          <w:tab w:val="clear" w:pos="4819"/>
        </w:tabs>
        <w:ind w:left="851" w:hanging="851"/>
        <w:rPr>
          <w:b/>
          <w:szCs w:val="24"/>
        </w:rPr>
      </w:pPr>
      <w:r w:rsidRPr="00AB11D5">
        <w:rPr>
          <w:b/>
          <w:szCs w:val="24"/>
        </w:rPr>
        <w:t>3.2</w:t>
      </w:r>
      <w:r w:rsidRPr="00AB11D5">
        <w:rPr>
          <w:b/>
          <w:szCs w:val="24"/>
        </w:rPr>
        <w:tab/>
        <w:t>Terapeutiske indikationer for hver dyreart, som lægemidlet er beregnet til</w:t>
      </w:r>
    </w:p>
    <w:p w14:paraId="2C510EC2" w14:textId="77777777" w:rsidR="009F78B2" w:rsidRPr="00AB11D5" w:rsidRDefault="009F78B2" w:rsidP="00CA671A">
      <w:pPr>
        <w:ind w:left="851"/>
        <w:rPr>
          <w:sz w:val="24"/>
          <w:szCs w:val="24"/>
          <w:lang w:eastAsia="da-DK"/>
        </w:rPr>
      </w:pPr>
      <w:r w:rsidRPr="00AB11D5">
        <w:rPr>
          <w:sz w:val="24"/>
          <w:szCs w:val="24"/>
        </w:rPr>
        <w:t xml:space="preserve">Behandling af blandede </w:t>
      </w:r>
      <w:proofErr w:type="spellStart"/>
      <w:r w:rsidRPr="00AB11D5">
        <w:rPr>
          <w:sz w:val="24"/>
          <w:szCs w:val="24"/>
        </w:rPr>
        <w:t>infestationer</w:t>
      </w:r>
      <w:proofErr w:type="spellEnd"/>
      <w:r w:rsidRPr="00AB11D5">
        <w:rPr>
          <w:sz w:val="24"/>
          <w:szCs w:val="24"/>
        </w:rPr>
        <w:t xml:space="preserve"> med </w:t>
      </w:r>
      <w:proofErr w:type="spellStart"/>
      <w:r w:rsidRPr="00AB11D5">
        <w:rPr>
          <w:sz w:val="24"/>
          <w:szCs w:val="24"/>
        </w:rPr>
        <w:t>cestoder</w:t>
      </w:r>
      <w:proofErr w:type="spellEnd"/>
      <w:r w:rsidRPr="00AB11D5">
        <w:rPr>
          <w:sz w:val="24"/>
          <w:szCs w:val="24"/>
        </w:rPr>
        <w:t xml:space="preserve"> og </w:t>
      </w:r>
      <w:proofErr w:type="spellStart"/>
      <w:r w:rsidRPr="00AB11D5">
        <w:rPr>
          <w:sz w:val="24"/>
          <w:szCs w:val="24"/>
        </w:rPr>
        <w:t>nematoder</w:t>
      </w:r>
      <w:proofErr w:type="spellEnd"/>
      <w:r w:rsidRPr="00AB11D5">
        <w:rPr>
          <w:sz w:val="24"/>
          <w:szCs w:val="24"/>
        </w:rPr>
        <w:t xml:space="preserve"> eller </w:t>
      </w:r>
      <w:proofErr w:type="spellStart"/>
      <w:r w:rsidRPr="00AB11D5">
        <w:rPr>
          <w:sz w:val="24"/>
          <w:szCs w:val="24"/>
        </w:rPr>
        <w:t>arthropoder</w:t>
      </w:r>
      <w:proofErr w:type="spellEnd"/>
      <w:r w:rsidRPr="00AB11D5">
        <w:rPr>
          <w:sz w:val="24"/>
          <w:szCs w:val="24"/>
        </w:rPr>
        <w:t>, forårsaget af voksne og umodne rundorm, lungeorm, bremselarver og bændelorm hos hest</w:t>
      </w:r>
      <w:bookmarkStart w:id="0" w:name="_Hlk106270157"/>
      <w:r w:rsidRPr="00AB11D5">
        <w:rPr>
          <w:sz w:val="24"/>
          <w:szCs w:val="24"/>
        </w:rPr>
        <w:t>.</w:t>
      </w:r>
    </w:p>
    <w:p w14:paraId="3CAFF02F" w14:textId="77777777" w:rsidR="009F78B2" w:rsidRPr="00AB11D5" w:rsidRDefault="009F78B2" w:rsidP="00CA671A">
      <w:pPr>
        <w:ind w:left="851"/>
        <w:rPr>
          <w:sz w:val="24"/>
          <w:szCs w:val="24"/>
        </w:rPr>
      </w:pPr>
      <w:r w:rsidRPr="00AB11D5">
        <w:rPr>
          <w:sz w:val="24"/>
          <w:szCs w:val="24"/>
        </w:rPr>
        <w:t>Dette veterinærlægemiddel er kun indiceret, hvis samtidig brug mod rundorm (</w:t>
      </w:r>
      <w:proofErr w:type="spellStart"/>
      <w:r w:rsidRPr="00AB11D5">
        <w:rPr>
          <w:sz w:val="24"/>
          <w:szCs w:val="24"/>
        </w:rPr>
        <w:t>nematoder</w:t>
      </w:r>
      <w:proofErr w:type="spellEnd"/>
      <w:r w:rsidRPr="00AB11D5">
        <w:rPr>
          <w:sz w:val="24"/>
          <w:szCs w:val="24"/>
        </w:rPr>
        <w:t>), bremselarver og bændelorm er indiceret.</w:t>
      </w:r>
    </w:p>
    <w:p w14:paraId="449E0E65" w14:textId="77777777" w:rsidR="009F78B2" w:rsidRPr="00AB11D5" w:rsidRDefault="009F78B2" w:rsidP="00CA671A">
      <w:pPr>
        <w:ind w:left="851"/>
        <w:rPr>
          <w:bCs/>
          <w:iCs/>
          <w:sz w:val="24"/>
          <w:szCs w:val="24"/>
        </w:rPr>
      </w:pPr>
    </w:p>
    <w:bookmarkEnd w:id="0"/>
    <w:p w14:paraId="7E9B11ED" w14:textId="77777777" w:rsidR="009F78B2" w:rsidRPr="005A7989" w:rsidRDefault="009F78B2" w:rsidP="005A7989">
      <w:pPr>
        <w:pStyle w:val="Listeafsnit"/>
        <w:numPr>
          <w:ilvl w:val="0"/>
          <w:numId w:val="8"/>
        </w:numPr>
        <w:tabs>
          <w:tab w:val="clear" w:pos="567"/>
        </w:tabs>
        <w:ind w:left="1276" w:hanging="425"/>
        <w:rPr>
          <w:sz w:val="24"/>
          <w:szCs w:val="24"/>
          <w:lang w:val="bg-BG"/>
        </w:rPr>
      </w:pPr>
      <w:r w:rsidRPr="005A7989">
        <w:rPr>
          <w:b/>
          <w:sz w:val="24"/>
          <w:szCs w:val="24"/>
        </w:rPr>
        <w:t>Rundorm:</w:t>
      </w:r>
    </w:p>
    <w:p w14:paraId="1E0BBE1D" w14:textId="77777777" w:rsidR="009F78B2" w:rsidRPr="00AB11D5" w:rsidRDefault="009F78B2" w:rsidP="00CA671A">
      <w:pPr>
        <w:ind w:left="851"/>
        <w:rPr>
          <w:sz w:val="24"/>
          <w:szCs w:val="24"/>
        </w:rPr>
      </w:pPr>
      <w:r w:rsidRPr="00AB11D5">
        <w:rPr>
          <w:sz w:val="24"/>
          <w:szCs w:val="24"/>
          <w:u w:val="single"/>
        </w:rPr>
        <w:t xml:space="preserve">Store </w:t>
      </w:r>
      <w:proofErr w:type="spellStart"/>
      <w:r w:rsidRPr="00AB11D5">
        <w:rPr>
          <w:sz w:val="24"/>
          <w:szCs w:val="24"/>
          <w:u w:val="single"/>
        </w:rPr>
        <w:t>strongylider</w:t>
      </w:r>
      <w:proofErr w:type="spellEnd"/>
      <w:r w:rsidRPr="00AB11D5">
        <w:rPr>
          <w:sz w:val="24"/>
          <w:szCs w:val="24"/>
          <w:u w:val="single"/>
        </w:rPr>
        <w:t>:</w:t>
      </w:r>
    </w:p>
    <w:p w14:paraId="438932AE" w14:textId="77777777" w:rsidR="009F78B2" w:rsidRPr="00AB11D5" w:rsidRDefault="009F78B2" w:rsidP="00CA671A">
      <w:pPr>
        <w:ind w:left="851"/>
        <w:rPr>
          <w:sz w:val="24"/>
          <w:szCs w:val="24"/>
        </w:rPr>
      </w:pPr>
      <w:proofErr w:type="spellStart"/>
      <w:r w:rsidRPr="00AB11D5">
        <w:rPr>
          <w:i/>
          <w:sz w:val="24"/>
          <w:szCs w:val="24"/>
        </w:rPr>
        <w:t>Strongylus</w:t>
      </w:r>
      <w:proofErr w:type="spellEnd"/>
      <w:r w:rsidRPr="00AB11D5">
        <w:rPr>
          <w:i/>
          <w:sz w:val="24"/>
          <w:szCs w:val="24"/>
        </w:rPr>
        <w:t xml:space="preserve"> </w:t>
      </w:r>
      <w:proofErr w:type="spellStart"/>
      <w:r w:rsidRPr="00AB11D5">
        <w:rPr>
          <w:i/>
          <w:sz w:val="24"/>
          <w:szCs w:val="24"/>
        </w:rPr>
        <w:t>vulgaris</w:t>
      </w:r>
      <w:proofErr w:type="spellEnd"/>
      <w:r w:rsidRPr="00AB11D5">
        <w:rPr>
          <w:i/>
          <w:sz w:val="24"/>
          <w:szCs w:val="24"/>
        </w:rPr>
        <w:t xml:space="preserve"> </w:t>
      </w:r>
      <w:r w:rsidRPr="00AB11D5">
        <w:rPr>
          <w:sz w:val="24"/>
          <w:szCs w:val="24"/>
        </w:rPr>
        <w:t>(voksne og larvestadier i arterier, L4)</w:t>
      </w:r>
    </w:p>
    <w:p w14:paraId="016A1661" w14:textId="77777777" w:rsidR="009F78B2" w:rsidRPr="00AB11D5" w:rsidRDefault="009F78B2" w:rsidP="00CA671A">
      <w:pPr>
        <w:ind w:left="851"/>
        <w:rPr>
          <w:sz w:val="24"/>
          <w:szCs w:val="24"/>
        </w:rPr>
      </w:pPr>
      <w:proofErr w:type="spellStart"/>
      <w:r w:rsidRPr="00AB11D5">
        <w:rPr>
          <w:i/>
          <w:sz w:val="24"/>
          <w:szCs w:val="24"/>
        </w:rPr>
        <w:t>Strongylus</w:t>
      </w:r>
      <w:proofErr w:type="spellEnd"/>
      <w:r w:rsidRPr="00AB11D5">
        <w:rPr>
          <w:i/>
          <w:sz w:val="24"/>
          <w:szCs w:val="24"/>
        </w:rPr>
        <w:t xml:space="preserve"> </w:t>
      </w:r>
      <w:proofErr w:type="spellStart"/>
      <w:r w:rsidRPr="00AB11D5">
        <w:rPr>
          <w:i/>
          <w:sz w:val="24"/>
          <w:szCs w:val="24"/>
        </w:rPr>
        <w:t>edentatus</w:t>
      </w:r>
      <w:proofErr w:type="spellEnd"/>
      <w:r w:rsidRPr="00AB11D5">
        <w:rPr>
          <w:i/>
          <w:sz w:val="24"/>
          <w:szCs w:val="24"/>
        </w:rPr>
        <w:t xml:space="preserve"> </w:t>
      </w:r>
      <w:r w:rsidRPr="00AB11D5">
        <w:rPr>
          <w:sz w:val="24"/>
          <w:szCs w:val="24"/>
        </w:rPr>
        <w:t>(voksne og larvestadier i væv, L4)</w:t>
      </w:r>
    </w:p>
    <w:p w14:paraId="5DE9408F" w14:textId="77777777" w:rsidR="009F78B2" w:rsidRPr="00AB11D5" w:rsidRDefault="009F78B2" w:rsidP="00CA671A">
      <w:pPr>
        <w:ind w:left="851"/>
        <w:rPr>
          <w:sz w:val="24"/>
          <w:szCs w:val="24"/>
          <w:lang w:val="en-US"/>
        </w:rPr>
      </w:pPr>
      <w:proofErr w:type="spellStart"/>
      <w:r w:rsidRPr="00AB11D5">
        <w:rPr>
          <w:i/>
          <w:sz w:val="24"/>
          <w:szCs w:val="24"/>
          <w:lang w:val="en-US"/>
        </w:rPr>
        <w:t>Strongylus</w:t>
      </w:r>
      <w:proofErr w:type="spellEnd"/>
      <w:r w:rsidRPr="00AB11D5">
        <w:rPr>
          <w:i/>
          <w:sz w:val="24"/>
          <w:szCs w:val="24"/>
          <w:lang w:val="en-US"/>
        </w:rPr>
        <w:t xml:space="preserve"> </w:t>
      </w:r>
      <w:proofErr w:type="spellStart"/>
      <w:r w:rsidRPr="00AB11D5">
        <w:rPr>
          <w:i/>
          <w:sz w:val="24"/>
          <w:szCs w:val="24"/>
          <w:lang w:val="en-US"/>
        </w:rPr>
        <w:t>equinus</w:t>
      </w:r>
      <w:proofErr w:type="spellEnd"/>
      <w:r w:rsidRPr="00AB11D5">
        <w:rPr>
          <w:i/>
          <w:sz w:val="24"/>
          <w:szCs w:val="24"/>
          <w:lang w:val="en-US"/>
        </w:rPr>
        <w:t xml:space="preserve"> </w:t>
      </w:r>
      <w:r w:rsidRPr="00AB11D5">
        <w:rPr>
          <w:sz w:val="24"/>
          <w:szCs w:val="24"/>
          <w:lang w:val="en-US"/>
        </w:rPr>
        <w:t>(</w:t>
      </w:r>
      <w:proofErr w:type="spellStart"/>
      <w:r w:rsidRPr="00AB11D5">
        <w:rPr>
          <w:sz w:val="24"/>
          <w:szCs w:val="24"/>
          <w:lang w:val="en-US"/>
        </w:rPr>
        <w:t>voksne</w:t>
      </w:r>
      <w:proofErr w:type="spellEnd"/>
      <w:r w:rsidRPr="00AB11D5">
        <w:rPr>
          <w:sz w:val="24"/>
          <w:szCs w:val="24"/>
          <w:lang w:val="en-US"/>
        </w:rPr>
        <w:t>)</w:t>
      </w:r>
    </w:p>
    <w:p w14:paraId="585E8611" w14:textId="77777777" w:rsidR="009F78B2" w:rsidRPr="00AB11D5" w:rsidRDefault="009F78B2" w:rsidP="00CA671A">
      <w:pPr>
        <w:ind w:left="851"/>
        <w:rPr>
          <w:sz w:val="24"/>
          <w:szCs w:val="24"/>
          <w:lang w:val="en-US"/>
        </w:rPr>
      </w:pPr>
      <w:proofErr w:type="spellStart"/>
      <w:r w:rsidRPr="00AB11D5">
        <w:rPr>
          <w:i/>
          <w:sz w:val="24"/>
          <w:szCs w:val="24"/>
          <w:lang w:val="en-US"/>
        </w:rPr>
        <w:t>Triodontophorus</w:t>
      </w:r>
      <w:proofErr w:type="spellEnd"/>
      <w:r w:rsidRPr="00AB11D5">
        <w:rPr>
          <w:i/>
          <w:sz w:val="24"/>
          <w:szCs w:val="24"/>
          <w:lang w:val="en-US"/>
        </w:rPr>
        <w:t xml:space="preserve"> </w:t>
      </w:r>
      <w:r w:rsidRPr="00AB11D5">
        <w:rPr>
          <w:sz w:val="24"/>
          <w:szCs w:val="24"/>
          <w:lang w:val="en-US"/>
        </w:rPr>
        <w:t>spp.</w:t>
      </w:r>
      <w:r w:rsidRPr="00AB11D5">
        <w:rPr>
          <w:i/>
          <w:sz w:val="24"/>
          <w:szCs w:val="24"/>
          <w:lang w:val="en-US"/>
        </w:rPr>
        <w:t xml:space="preserve"> </w:t>
      </w:r>
      <w:r w:rsidRPr="00AB11D5">
        <w:rPr>
          <w:sz w:val="24"/>
          <w:szCs w:val="24"/>
          <w:lang w:val="en-US"/>
        </w:rPr>
        <w:t>(</w:t>
      </w:r>
      <w:proofErr w:type="spellStart"/>
      <w:r w:rsidRPr="00AB11D5">
        <w:rPr>
          <w:sz w:val="24"/>
          <w:szCs w:val="24"/>
          <w:lang w:val="en-US"/>
        </w:rPr>
        <w:t>voksne</w:t>
      </w:r>
      <w:proofErr w:type="spellEnd"/>
      <w:r w:rsidRPr="00AB11D5">
        <w:rPr>
          <w:sz w:val="24"/>
          <w:szCs w:val="24"/>
          <w:lang w:val="en-US"/>
        </w:rPr>
        <w:t>)</w:t>
      </w:r>
    </w:p>
    <w:p w14:paraId="3D4A107E" w14:textId="77777777" w:rsidR="009F78B2" w:rsidRPr="00AB11D5" w:rsidRDefault="009F78B2" w:rsidP="00CA671A">
      <w:pPr>
        <w:ind w:left="851"/>
        <w:rPr>
          <w:sz w:val="24"/>
          <w:szCs w:val="24"/>
          <w:lang w:val="en-US"/>
        </w:rPr>
      </w:pPr>
      <w:proofErr w:type="spellStart"/>
      <w:r w:rsidRPr="00AB11D5">
        <w:rPr>
          <w:sz w:val="24"/>
          <w:szCs w:val="24"/>
          <w:u w:val="single"/>
          <w:lang w:val="en-US"/>
        </w:rPr>
        <w:t>Små</w:t>
      </w:r>
      <w:proofErr w:type="spellEnd"/>
      <w:r w:rsidRPr="00AB11D5">
        <w:rPr>
          <w:sz w:val="24"/>
          <w:szCs w:val="24"/>
          <w:u w:val="single"/>
          <w:lang w:val="en-US"/>
        </w:rPr>
        <w:t xml:space="preserve"> </w:t>
      </w:r>
      <w:proofErr w:type="spellStart"/>
      <w:r w:rsidRPr="00AB11D5">
        <w:rPr>
          <w:sz w:val="24"/>
          <w:szCs w:val="24"/>
          <w:u w:val="single"/>
          <w:lang w:val="en-US"/>
        </w:rPr>
        <w:t>strongylider</w:t>
      </w:r>
      <w:proofErr w:type="spellEnd"/>
      <w:r w:rsidRPr="00AB11D5">
        <w:rPr>
          <w:sz w:val="24"/>
          <w:szCs w:val="24"/>
          <w:u w:val="single"/>
          <w:lang w:val="en-US"/>
        </w:rPr>
        <w:t>:</w:t>
      </w:r>
    </w:p>
    <w:p w14:paraId="5D679534" w14:textId="77777777" w:rsidR="009F78B2" w:rsidRPr="00AB11D5" w:rsidRDefault="009F78B2" w:rsidP="00CA671A">
      <w:pPr>
        <w:ind w:left="851"/>
        <w:rPr>
          <w:sz w:val="24"/>
          <w:szCs w:val="24"/>
        </w:rPr>
      </w:pPr>
      <w:proofErr w:type="spellStart"/>
      <w:r w:rsidRPr="00AB11D5">
        <w:rPr>
          <w:i/>
          <w:sz w:val="24"/>
          <w:szCs w:val="24"/>
          <w:lang w:val="en-US"/>
        </w:rPr>
        <w:t>Cyathostomum</w:t>
      </w:r>
      <w:proofErr w:type="spellEnd"/>
      <w:r w:rsidRPr="00AB11D5">
        <w:rPr>
          <w:i/>
          <w:sz w:val="24"/>
          <w:szCs w:val="24"/>
          <w:lang w:val="en-US"/>
        </w:rPr>
        <w:t xml:space="preserve"> </w:t>
      </w:r>
      <w:r w:rsidRPr="00AB11D5">
        <w:rPr>
          <w:sz w:val="24"/>
          <w:szCs w:val="24"/>
          <w:lang w:val="en-US"/>
        </w:rPr>
        <w:t xml:space="preserve">spp., </w:t>
      </w:r>
      <w:proofErr w:type="spellStart"/>
      <w:r w:rsidRPr="00AB11D5">
        <w:rPr>
          <w:i/>
          <w:sz w:val="24"/>
          <w:szCs w:val="24"/>
          <w:lang w:val="en-US"/>
        </w:rPr>
        <w:t>Cylicocyclus</w:t>
      </w:r>
      <w:proofErr w:type="spellEnd"/>
      <w:r w:rsidRPr="00AB11D5">
        <w:rPr>
          <w:i/>
          <w:sz w:val="24"/>
          <w:szCs w:val="24"/>
          <w:lang w:val="en-US"/>
        </w:rPr>
        <w:t xml:space="preserve"> </w:t>
      </w:r>
      <w:r w:rsidRPr="00AB11D5">
        <w:rPr>
          <w:sz w:val="24"/>
          <w:szCs w:val="24"/>
          <w:lang w:val="en-US"/>
        </w:rPr>
        <w:t>spp.</w:t>
      </w:r>
      <w:r w:rsidRPr="00AB11D5">
        <w:rPr>
          <w:i/>
          <w:sz w:val="24"/>
          <w:szCs w:val="24"/>
          <w:lang w:val="en-US"/>
        </w:rPr>
        <w:t xml:space="preserve">, </w:t>
      </w:r>
      <w:proofErr w:type="spellStart"/>
      <w:r w:rsidRPr="00AB11D5">
        <w:rPr>
          <w:i/>
          <w:sz w:val="24"/>
          <w:szCs w:val="24"/>
          <w:lang w:val="en-US"/>
        </w:rPr>
        <w:t>Cylicostephanus</w:t>
      </w:r>
      <w:proofErr w:type="spellEnd"/>
      <w:r w:rsidRPr="00AB11D5">
        <w:rPr>
          <w:i/>
          <w:sz w:val="24"/>
          <w:szCs w:val="24"/>
          <w:lang w:val="en-US"/>
        </w:rPr>
        <w:t xml:space="preserve"> </w:t>
      </w:r>
      <w:r w:rsidRPr="00AB11D5">
        <w:rPr>
          <w:sz w:val="24"/>
          <w:szCs w:val="24"/>
          <w:lang w:val="en-US"/>
        </w:rPr>
        <w:t xml:space="preserve">spp., </w:t>
      </w:r>
      <w:proofErr w:type="spellStart"/>
      <w:r w:rsidRPr="00AB11D5">
        <w:rPr>
          <w:i/>
          <w:sz w:val="24"/>
          <w:szCs w:val="24"/>
          <w:lang w:val="en-US"/>
        </w:rPr>
        <w:t>Cylicodontophorus</w:t>
      </w:r>
      <w:proofErr w:type="spellEnd"/>
      <w:r w:rsidRPr="00AB11D5">
        <w:rPr>
          <w:i/>
          <w:sz w:val="24"/>
          <w:szCs w:val="24"/>
          <w:lang w:val="en-US"/>
        </w:rPr>
        <w:t xml:space="preserve"> </w:t>
      </w:r>
      <w:r w:rsidRPr="00AB11D5">
        <w:rPr>
          <w:sz w:val="24"/>
          <w:szCs w:val="24"/>
          <w:lang w:val="en-US"/>
        </w:rPr>
        <w:t xml:space="preserve">spp., </w:t>
      </w:r>
      <w:proofErr w:type="spellStart"/>
      <w:r w:rsidRPr="00AB11D5">
        <w:rPr>
          <w:i/>
          <w:sz w:val="24"/>
          <w:szCs w:val="24"/>
          <w:lang w:val="en-US"/>
        </w:rPr>
        <w:t>Gyalocephalus</w:t>
      </w:r>
      <w:proofErr w:type="spellEnd"/>
      <w:r w:rsidRPr="00AB11D5">
        <w:rPr>
          <w:i/>
          <w:sz w:val="24"/>
          <w:szCs w:val="24"/>
          <w:lang w:val="en-US"/>
        </w:rPr>
        <w:t xml:space="preserve"> </w:t>
      </w:r>
      <w:r w:rsidRPr="00AB11D5">
        <w:rPr>
          <w:sz w:val="24"/>
          <w:szCs w:val="24"/>
          <w:lang w:val="en-US"/>
        </w:rPr>
        <w:t xml:space="preserve">spp. </w:t>
      </w:r>
      <w:r w:rsidRPr="00AB11D5">
        <w:rPr>
          <w:sz w:val="24"/>
          <w:szCs w:val="24"/>
        </w:rPr>
        <w:t>(voksne og ikke-hæmmede slimhindelarver)</w:t>
      </w:r>
    </w:p>
    <w:p w14:paraId="69D3C727" w14:textId="77777777" w:rsidR="009F78B2" w:rsidRPr="00AB11D5" w:rsidRDefault="009F78B2" w:rsidP="00CA671A">
      <w:pPr>
        <w:ind w:left="851"/>
        <w:rPr>
          <w:sz w:val="24"/>
          <w:szCs w:val="24"/>
        </w:rPr>
      </w:pPr>
      <w:r w:rsidRPr="00AB11D5">
        <w:rPr>
          <w:sz w:val="24"/>
          <w:szCs w:val="24"/>
          <w:u w:val="single"/>
        </w:rPr>
        <w:t>Spolorm:</w:t>
      </w:r>
      <w:r w:rsidRPr="00AB11D5">
        <w:rPr>
          <w:sz w:val="24"/>
          <w:szCs w:val="24"/>
        </w:rPr>
        <w:t xml:space="preserve"> </w:t>
      </w:r>
      <w:proofErr w:type="spellStart"/>
      <w:r w:rsidRPr="00AB11D5">
        <w:rPr>
          <w:i/>
          <w:sz w:val="24"/>
          <w:szCs w:val="24"/>
        </w:rPr>
        <w:t>Parascaris</w:t>
      </w:r>
      <w:proofErr w:type="spellEnd"/>
      <w:r w:rsidRPr="00AB11D5">
        <w:rPr>
          <w:i/>
          <w:sz w:val="24"/>
          <w:szCs w:val="24"/>
        </w:rPr>
        <w:t xml:space="preserve"> </w:t>
      </w:r>
      <w:proofErr w:type="spellStart"/>
      <w:r w:rsidRPr="00AB11D5">
        <w:rPr>
          <w:i/>
          <w:sz w:val="24"/>
          <w:szCs w:val="24"/>
        </w:rPr>
        <w:t>equorum</w:t>
      </w:r>
      <w:proofErr w:type="spellEnd"/>
      <w:r w:rsidRPr="00AB11D5">
        <w:rPr>
          <w:sz w:val="24"/>
          <w:szCs w:val="24"/>
        </w:rPr>
        <w:t xml:space="preserve"> (voksne og larver)</w:t>
      </w:r>
    </w:p>
    <w:p w14:paraId="7C8C0625" w14:textId="77777777" w:rsidR="009F78B2" w:rsidRPr="00AB11D5" w:rsidRDefault="009F78B2" w:rsidP="00CA671A">
      <w:pPr>
        <w:ind w:left="851"/>
        <w:rPr>
          <w:sz w:val="24"/>
          <w:szCs w:val="24"/>
        </w:rPr>
      </w:pPr>
      <w:r w:rsidRPr="00AB11D5">
        <w:rPr>
          <w:sz w:val="24"/>
          <w:szCs w:val="24"/>
          <w:u w:val="single"/>
        </w:rPr>
        <w:t>Haleorm:</w:t>
      </w:r>
      <w:r w:rsidRPr="00AB11D5">
        <w:rPr>
          <w:sz w:val="24"/>
          <w:szCs w:val="24"/>
        </w:rPr>
        <w:t xml:space="preserve"> </w:t>
      </w:r>
      <w:proofErr w:type="spellStart"/>
      <w:r w:rsidRPr="00AB11D5">
        <w:rPr>
          <w:i/>
          <w:sz w:val="24"/>
          <w:szCs w:val="24"/>
        </w:rPr>
        <w:t>Oxyuris</w:t>
      </w:r>
      <w:proofErr w:type="spellEnd"/>
      <w:r w:rsidRPr="00AB11D5">
        <w:rPr>
          <w:i/>
          <w:sz w:val="24"/>
          <w:szCs w:val="24"/>
        </w:rPr>
        <w:t xml:space="preserve"> </w:t>
      </w:r>
      <w:proofErr w:type="spellStart"/>
      <w:r w:rsidRPr="00AB11D5">
        <w:rPr>
          <w:i/>
          <w:sz w:val="24"/>
          <w:szCs w:val="24"/>
        </w:rPr>
        <w:t>equi</w:t>
      </w:r>
      <w:proofErr w:type="spellEnd"/>
      <w:r w:rsidRPr="00AB11D5">
        <w:rPr>
          <w:i/>
          <w:sz w:val="24"/>
          <w:szCs w:val="24"/>
        </w:rPr>
        <w:t xml:space="preserve"> </w:t>
      </w:r>
      <w:r w:rsidRPr="00AB11D5">
        <w:rPr>
          <w:sz w:val="24"/>
          <w:szCs w:val="24"/>
        </w:rPr>
        <w:t>(larver)</w:t>
      </w:r>
    </w:p>
    <w:p w14:paraId="22D4B79F" w14:textId="77777777" w:rsidR="009F78B2" w:rsidRPr="00AB11D5" w:rsidRDefault="009F78B2" w:rsidP="00CA671A">
      <w:pPr>
        <w:ind w:left="851"/>
        <w:rPr>
          <w:sz w:val="24"/>
          <w:szCs w:val="24"/>
        </w:rPr>
      </w:pPr>
      <w:proofErr w:type="spellStart"/>
      <w:r w:rsidRPr="00AB11D5">
        <w:rPr>
          <w:sz w:val="24"/>
          <w:szCs w:val="24"/>
          <w:u w:val="single"/>
        </w:rPr>
        <w:t>Hårorm</w:t>
      </w:r>
      <w:proofErr w:type="spellEnd"/>
      <w:r w:rsidRPr="00AB11D5">
        <w:rPr>
          <w:sz w:val="24"/>
          <w:szCs w:val="24"/>
        </w:rPr>
        <w:t xml:space="preserve">: </w:t>
      </w:r>
      <w:proofErr w:type="spellStart"/>
      <w:r w:rsidRPr="00AB11D5">
        <w:rPr>
          <w:i/>
          <w:sz w:val="24"/>
          <w:szCs w:val="24"/>
        </w:rPr>
        <w:t>Trichostrongylus</w:t>
      </w:r>
      <w:proofErr w:type="spellEnd"/>
      <w:r w:rsidRPr="00AB11D5">
        <w:rPr>
          <w:i/>
          <w:sz w:val="24"/>
          <w:szCs w:val="24"/>
        </w:rPr>
        <w:t xml:space="preserve"> </w:t>
      </w:r>
      <w:proofErr w:type="spellStart"/>
      <w:r w:rsidRPr="00AB11D5">
        <w:rPr>
          <w:i/>
          <w:sz w:val="24"/>
          <w:szCs w:val="24"/>
        </w:rPr>
        <w:t>axei</w:t>
      </w:r>
      <w:proofErr w:type="spellEnd"/>
      <w:r w:rsidRPr="00AB11D5">
        <w:rPr>
          <w:sz w:val="24"/>
          <w:szCs w:val="24"/>
        </w:rPr>
        <w:t xml:space="preserve"> (voksne)</w:t>
      </w:r>
    </w:p>
    <w:p w14:paraId="5595241B" w14:textId="77777777" w:rsidR="009F78B2" w:rsidRPr="00AB11D5" w:rsidRDefault="009F78B2" w:rsidP="00CA671A">
      <w:pPr>
        <w:ind w:left="851"/>
        <w:rPr>
          <w:sz w:val="24"/>
          <w:szCs w:val="24"/>
        </w:rPr>
      </w:pPr>
      <w:proofErr w:type="spellStart"/>
      <w:r w:rsidRPr="00AB11D5">
        <w:rPr>
          <w:sz w:val="24"/>
          <w:szCs w:val="24"/>
          <w:u w:val="single"/>
        </w:rPr>
        <w:t>Intestinale</w:t>
      </w:r>
      <w:proofErr w:type="spellEnd"/>
      <w:r w:rsidRPr="00AB11D5">
        <w:rPr>
          <w:sz w:val="24"/>
          <w:szCs w:val="24"/>
          <w:u w:val="single"/>
        </w:rPr>
        <w:t xml:space="preserve"> trådorm</w:t>
      </w:r>
      <w:r w:rsidRPr="00AB11D5">
        <w:rPr>
          <w:sz w:val="24"/>
          <w:szCs w:val="24"/>
        </w:rPr>
        <w:t xml:space="preserve">: </w:t>
      </w:r>
      <w:proofErr w:type="spellStart"/>
      <w:r w:rsidRPr="00AB11D5">
        <w:rPr>
          <w:i/>
          <w:sz w:val="24"/>
          <w:szCs w:val="24"/>
        </w:rPr>
        <w:t>Strongyloides</w:t>
      </w:r>
      <w:proofErr w:type="spellEnd"/>
      <w:r w:rsidRPr="00AB11D5">
        <w:rPr>
          <w:i/>
          <w:sz w:val="24"/>
          <w:szCs w:val="24"/>
        </w:rPr>
        <w:t xml:space="preserve"> </w:t>
      </w:r>
      <w:proofErr w:type="spellStart"/>
      <w:r w:rsidRPr="00AB11D5">
        <w:rPr>
          <w:i/>
          <w:sz w:val="24"/>
          <w:szCs w:val="24"/>
        </w:rPr>
        <w:t>westeri</w:t>
      </w:r>
      <w:proofErr w:type="spellEnd"/>
      <w:r w:rsidRPr="00AB11D5">
        <w:rPr>
          <w:i/>
          <w:sz w:val="24"/>
          <w:szCs w:val="24"/>
        </w:rPr>
        <w:t xml:space="preserve"> </w:t>
      </w:r>
      <w:r w:rsidRPr="00AB11D5">
        <w:rPr>
          <w:sz w:val="24"/>
          <w:szCs w:val="24"/>
        </w:rPr>
        <w:t>(voksne)</w:t>
      </w:r>
    </w:p>
    <w:p w14:paraId="5596F560" w14:textId="77777777" w:rsidR="009F78B2" w:rsidRPr="00AB11D5" w:rsidRDefault="009F78B2" w:rsidP="00CA671A">
      <w:pPr>
        <w:ind w:left="851"/>
        <w:rPr>
          <w:sz w:val="24"/>
          <w:szCs w:val="24"/>
        </w:rPr>
      </w:pPr>
      <w:r w:rsidRPr="00AB11D5">
        <w:rPr>
          <w:iCs/>
          <w:sz w:val="24"/>
          <w:szCs w:val="24"/>
          <w:u w:val="single"/>
        </w:rPr>
        <w:t>Maveorm</w:t>
      </w:r>
      <w:r w:rsidRPr="00AB11D5">
        <w:rPr>
          <w:sz w:val="24"/>
          <w:szCs w:val="24"/>
        </w:rPr>
        <w:t xml:space="preserve">: </w:t>
      </w:r>
      <w:proofErr w:type="spellStart"/>
      <w:r w:rsidRPr="00AB11D5">
        <w:rPr>
          <w:i/>
          <w:sz w:val="24"/>
          <w:szCs w:val="24"/>
        </w:rPr>
        <w:t>Habronema</w:t>
      </w:r>
      <w:proofErr w:type="spellEnd"/>
      <w:r w:rsidRPr="00AB11D5">
        <w:rPr>
          <w:i/>
          <w:sz w:val="24"/>
          <w:szCs w:val="24"/>
        </w:rPr>
        <w:t xml:space="preserve"> </w:t>
      </w:r>
      <w:proofErr w:type="spellStart"/>
      <w:r w:rsidRPr="00AB11D5">
        <w:rPr>
          <w:sz w:val="24"/>
          <w:szCs w:val="24"/>
        </w:rPr>
        <w:t>spp</w:t>
      </w:r>
      <w:proofErr w:type="spellEnd"/>
      <w:r w:rsidRPr="00AB11D5">
        <w:rPr>
          <w:sz w:val="24"/>
          <w:szCs w:val="24"/>
        </w:rPr>
        <w:t>. (voksne)</w:t>
      </w:r>
    </w:p>
    <w:p w14:paraId="1B504E5A" w14:textId="77777777" w:rsidR="009F78B2" w:rsidRPr="00AB11D5" w:rsidRDefault="009F78B2" w:rsidP="00CA671A">
      <w:pPr>
        <w:ind w:left="851"/>
        <w:rPr>
          <w:sz w:val="24"/>
          <w:szCs w:val="24"/>
        </w:rPr>
      </w:pPr>
      <w:proofErr w:type="spellStart"/>
      <w:r w:rsidRPr="00AB11D5">
        <w:rPr>
          <w:sz w:val="24"/>
          <w:szCs w:val="24"/>
          <w:u w:val="single"/>
        </w:rPr>
        <w:t>Microfilarier</w:t>
      </w:r>
      <w:proofErr w:type="spellEnd"/>
      <w:r w:rsidRPr="00AB11D5">
        <w:rPr>
          <w:sz w:val="24"/>
          <w:szCs w:val="24"/>
        </w:rPr>
        <w:t xml:space="preserve">: </w:t>
      </w:r>
      <w:proofErr w:type="spellStart"/>
      <w:r w:rsidRPr="00AB11D5">
        <w:rPr>
          <w:i/>
          <w:sz w:val="24"/>
          <w:szCs w:val="24"/>
        </w:rPr>
        <w:t>Onchocerca</w:t>
      </w:r>
      <w:proofErr w:type="spellEnd"/>
      <w:r w:rsidRPr="00AB11D5">
        <w:rPr>
          <w:i/>
          <w:sz w:val="24"/>
          <w:szCs w:val="24"/>
        </w:rPr>
        <w:t xml:space="preserve"> </w:t>
      </w:r>
      <w:proofErr w:type="spellStart"/>
      <w:r w:rsidRPr="00AB11D5">
        <w:rPr>
          <w:sz w:val="24"/>
          <w:szCs w:val="24"/>
        </w:rPr>
        <w:t>spp</w:t>
      </w:r>
      <w:proofErr w:type="spellEnd"/>
      <w:r w:rsidRPr="00AB11D5">
        <w:rPr>
          <w:i/>
          <w:sz w:val="24"/>
          <w:szCs w:val="24"/>
        </w:rPr>
        <w:t>.</w:t>
      </w:r>
      <w:r w:rsidRPr="00AB11D5">
        <w:rPr>
          <w:sz w:val="24"/>
          <w:szCs w:val="24"/>
        </w:rPr>
        <w:t xml:space="preserve">, dvs. </w:t>
      </w:r>
      <w:proofErr w:type="spellStart"/>
      <w:r w:rsidRPr="00AB11D5">
        <w:rPr>
          <w:sz w:val="24"/>
          <w:szCs w:val="24"/>
        </w:rPr>
        <w:t>onchocerciasis</w:t>
      </w:r>
      <w:proofErr w:type="spellEnd"/>
    </w:p>
    <w:p w14:paraId="72DA8A70" w14:textId="77777777" w:rsidR="009F78B2" w:rsidRPr="00AB11D5" w:rsidRDefault="009F78B2" w:rsidP="00CA671A">
      <w:pPr>
        <w:ind w:left="851"/>
        <w:rPr>
          <w:sz w:val="24"/>
          <w:szCs w:val="24"/>
        </w:rPr>
      </w:pPr>
      <w:r w:rsidRPr="00AB11D5">
        <w:rPr>
          <w:sz w:val="24"/>
          <w:szCs w:val="24"/>
          <w:u w:val="single"/>
        </w:rPr>
        <w:t>Lungeorm</w:t>
      </w:r>
      <w:r w:rsidRPr="00AB11D5">
        <w:rPr>
          <w:sz w:val="24"/>
          <w:szCs w:val="24"/>
        </w:rPr>
        <w:t xml:space="preserve">: </w:t>
      </w:r>
      <w:proofErr w:type="spellStart"/>
      <w:r w:rsidRPr="00AB11D5">
        <w:rPr>
          <w:i/>
          <w:sz w:val="24"/>
          <w:szCs w:val="24"/>
        </w:rPr>
        <w:t>Dictyocaulus</w:t>
      </w:r>
      <w:proofErr w:type="spellEnd"/>
      <w:r w:rsidRPr="00AB11D5">
        <w:rPr>
          <w:i/>
          <w:sz w:val="24"/>
          <w:szCs w:val="24"/>
        </w:rPr>
        <w:t xml:space="preserve"> </w:t>
      </w:r>
      <w:proofErr w:type="spellStart"/>
      <w:r w:rsidRPr="00AB11D5">
        <w:rPr>
          <w:i/>
          <w:sz w:val="24"/>
          <w:szCs w:val="24"/>
        </w:rPr>
        <w:t>arnfieldi</w:t>
      </w:r>
      <w:proofErr w:type="spellEnd"/>
      <w:r w:rsidRPr="00AB11D5">
        <w:rPr>
          <w:sz w:val="24"/>
          <w:szCs w:val="24"/>
        </w:rPr>
        <w:t xml:space="preserve"> (voksne og larver)</w:t>
      </w:r>
    </w:p>
    <w:p w14:paraId="44FDF049" w14:textId="77777777" w:rsidR="009F78B2" w:rsidRPr="005A7989" w:rsidRDefault="009F78B2" w:rsidP="005A7989">
      <w:pPr>
        <w:pStyle w:val="Listeafsnit"/>
        <w:numPr>
          <w:ilvl w:val="0"/>
          <w:numId w:val="8"/>
        </w:numPr>
        <w:tabs>
          <w:tab w:val="clear" w:pos="567"/>
        </w:tabs>
        <w:ind w:left="1276" w:hanging="425"/>
        <w:rPr>
          <w:sz w:val="24"/>
          <w:szCs w:val="24"/>
        </w:rPr>
      </w:pPr>
      <w:r w:rsidRPr="005A7989">
        <w:rPr>
          <w:b/>
          <w:sz w:val="24"/>
          <w:szCs w:val="24"/>
        </w:rPr>
        <w:t>Bændelorm:</w:t>
      </w:r>
      <w:r w:rsidRPr="005A7989">
        <w:rPr>
          <w:sz w:val="24"/>
          <w:szCs w:val="24"/>
        </w:rPr>
        <w:t xml:space="preserve"> </w:t>
      </w:r>
      <w:proofErr w:type="spellStart"/>
      <w:r w:rsidRPr="005A7989">
        <w:rPr>
          <w:i/>
          <w:sz w:val="24"/>
          <w:szCs w:val="24"/>
        </w:rPr>
        <w:t>Anoplocephala</w:t>
      </w:r>
      <w:proofErr w:type="spellEnd"/>
      <w:r w:rsidRPr="005A7989">
        <w:rPr>
          <w:i/>
          <w:sz w:val="24"/>
          <w:szCs w:val="24"/>
        </w:rPr>
        <w:t xml:space="preserve"> </w:t>
      </w:r>
      <w:proofErr w:type="spellStart"/>
      <w:r w:rsidRPr="005A7989">
        <w:rPr>
          <w:i/>
          <w:sz w:val="24"/>
          <w:szCs w:val="24"/>
        </w:rPr>
        <w:t>perfoliata</w:t>
      </w:r>
      <w:proofErr w:type="spellEnd"/>
      <w:r w:rsidRPr="005A7989">
        <w:rPr>
          <w:i/>
          <w:sz w:val="24"/>
          <w:szCs w:val="24"/>
        </w:rPr>
        <w:t xml:space="preserve"> </w:t>
      </w:r>
      <w:r w:rsidRPr="005A7989">
        <w:rPr>
          <w:sz w:val="24"/>
          <w:szCs w:val="24"/>
        </w:rPr>
        <w:t>(voksne)</w:t>
      </w:r>
    </w:p>
    <w:p w14:paraId="5CF7F543" w14:textId="56C044F6" w:rsidR="009F78B2" w:rsidRPr="005A7989" w:rsidRDefault="009F78B2" w:rsidP="005A7989">
      <w:pPr>
        <w:pStyle w:val="Listeafsnit"/>
        <w:numPr>
          <w:ilvl w:val="0"/>
          <w:numId w:val="8"/>
        </w:numPr>
        <w:tabs>
          <w:tab w:val="clear" w:pos="567"/>
        </w:tabs>
        <w:ind w:left="1276" w:hanging="425"/>
        <w:rPr>
          <w:sz w:val="24"/>
          <w:szCs w:val="24"/>
        </w:rPr>
      </w:pPr>
      <w:r w:rsidRPr="005A7989">
        <w:rPr>
          <w:b/>
          <w:sz w:val="24"/>
          <w:szCs w:val="24"/>
        </w:rPr>
        <w:t>Bremser:</w:t>
      </w:r>
      <w:r w:rsidRPr="005A7989">
        <w:rPr>
          <w:i/>
          <w:sz w:val="24"/>
          <w:szCs w:val="24"/>
        </w:rPr>
        <w:t xml:space="preserve"> </w:t>
      </w:r>
      <w:proofErr w:type="spellStart"/>
      <w:r w:rsidRPr="005A7989">
        <w:rPr>
          <w:i/>
          <w:sz w:val="24"/>
          <w:szCs w:val="24"/>
        </w:rPr>
        <w:t>Gasterophilus</w:t>
      </w:r>
      <w:proofErr w:type="spellEnd"/>
      <w:r w:rsidRPr="005A7989">
        <w:rPr>
          <w:i/>
          <w:sz w:val="24"/>
          <w:szCs w:val="24"/>
        </w:rPr>
        <w:t xml:space="preserve"> </w:t>
      </w:r>
      <w:proofErr w:type="spellStart"/>
      <w:r w:rsidRPr="005A7989">
        <w:rPr>
          <w:sz w:val="24"/>
          <w:szCs w:val="24"/>
        </w:rPr>
        <w:t>spp</w:t>
      </w:r>
      <w:proofErr w:type="spellEnd"/>
      <w:r w:rsidRPr="005A7989">
        <w:rPr>
          <w:sz w:val="24"/>
          <w:szCs w:val="24"/>
        </w:rPr>
        <w:t>. (larver)</w:t>
      </w:r>
    </w:p>
    <w:p w14:paraId="23184296" w14:textId="77777777" w:rsidR="008203A8" w:rsidRPr="00AB11D5" w:rsidRDefault="008203A8" w:rsidP="00CA671A">
      <w:pPr>
        <w:ind w:left="851"/>
        <w:rPr>
          <w:sz w:val="24"/>
          <w:szCs w:val="24"/>
        </w:rPr>
      </w:pPr>
    </w:p>
    <w:p w14:paraId="74BF348E" w14:textId="77777777" w:rsidR="008203A8" w:rsidRPr="00AB11D5" w:rsidRDefault="008203A8" w:rsidP="008203A8">
      <w:pPr>
        <w:pStyle w:val="Sidehoved"/>
        <w:tabs>
          <w:tab w:val="clear" w:pos="4819"/>
          <w:tab w:val="left" w:pos="851"/>
        </w:tabs>
        <w:ind w:left="851" w:hanging="851"/>
        <w:rPr>
          <w:b/>
          <w:szCs w:val="24"/>
        </w:rPr>
      </w:pPr>
      <w:r w:rsidRPr="00AB11D5">
        <w:rPr>
          <w:b/>
          <w:szCs w:val="24"/>
        </w:rPr>
        <w:t>3.3</w:t>
      </w:r>
      <w:r w:rsidRPr="00AB11D5">
        <w:rPr>
          <w:b/>
          <w:szCs w:val="24"/>
        </w:rPr>
        <w:tab/>
        <w:t>Kontraindikationer</w:t>
      </w:r>
    </w:p>
    <w:p w14:paraId="4C6BE358" w14:textId="77777777" w:rsidR="009F78B2" w:rsidRPr="00AB11D5" w:rsidRDefault="009F78B2" w:rsidP="00CA671A">
      <w:pPr>
        <w:ind w:left="851"/>
        <w:rPr>
          <w:sz w:val="24"/>
          <w:szCs w:val="24"/>
          <w:lang w:eastAsia="da-DK"/>
        </w:rPr>
      </w:pPr>
      <w:r w:rsidRPr="00AB11D5">
        <w:rPr>
          <w:sz w:val="24"/>
          <w:szCs w:val="24"/>
        </w:rPr>
        <w:t xml:space="preserve">Må ikke anvendes til føl, der er mindre end 2 uger gamle. </w:t>
      </w:r>
    </w:p>
    <w:p w14:paraId="61FD8A06" w14:textId="77777777" w:rsidR="009F78B2" w:rsidRPr="00AB11D5" w:rsidRDefault="009F78B2" w:rsidP="00CA671A">
      <w:pPr>
        <w:ind w:left="851"/>
        <w:rPr>
          <w:sz w:val="24"/>
          <w:szCs w:val="24"/>
        </w:rPr>
      </w:pPr>
      <w:r w:rsidRPr="00AB11D5">
        <w:rPr>
          <w:sz w:val="24"/>
          <w:szCs w:val="24"/>
        </w:rPr>
        <w:t xml:space="preserve">Må ikke anvendes til heste med kendt overfølsomhed over for de aktive indholdsstoffer eller nogen af hjælpestofferne. </w:t>
      </w:r>
    </w:p>
    <w:p w14:paraId="28AA8460" w14:textId="77777777" w:rsidR="008203A8" w:rsidRPr="00AB11D5" w:rsidRDefault="008203A8" w:rsidP="00CA671A">
      <w:pPr>
        <w:ind w:left="851"/>
        <w:rPr>
          <w:sz w:val="24"/>
          <w:szCs w:val="24"/>
        </w:rPr>
      </w:pPr>
    </w:p>
    <w:p w14:paraId="30A52540" w14:textId="77777777" w:rsidR="008203A8" w:rsidRPr="00AB11D5" w:rsidRDefault="008203A8" w:rsidP="008203A8">
      <w:pPr>
        <w:tabs>
          <w:tab w:val="left" w:pos="851"/>
        </w:tabs>
        <w:ind w:left="851" w:hanging="851"/>
        <w:rPr>
          <w:b/>
          <w:sz w:val="24"/>
          <w:szCs w:val="24"/>
        </w:rPr>
      </w:pPr>
      <w:r w:rsidRPr="00AB11D5">
        <w:rPr>
          <w:b/>
          <w:sz w:val="24"/>
          <w:szCs w:val="24"/>
        </w:rPr>
        <w:t>3.4</w:t>
      </w:r>
      <w:r w:rsidRPr="00AB11D5">
        <w:rPr>
          <w:b/>
          <w:sz w:val="24"/>
          <w:szCs w:val="24"/>
        </w:rPr>
        <w:tab/>
        <w:t>Særlige advarsler</w:t>
      </w:r>
    </w:p>
    <w:p w14:paraId="1A0F1218" w14:textId="77777777" w:rsidR="009F78B2" w:rsidRPr="00AB11D5" w:rsidRDefault="009F78B2" w:rsidP="00CA671A">
      <w:pPr>
        <w:ind w:left="851"/>
        <w:rPr>
          <w:sz w:val="24"/>
          <w:szCs w:val="24"/>
          <w:lang w:eastAsia="da-DK"/>
        </w:rPr>
      </w:pPr>
      <w:r w:rsidRPr="00AB11D5">
        <w:rPr>
          <w:sz w:val="24"/>
          <w:szCs w:val="24"/>
        </w:rPr>
        <w:t>Veterinærlægemidlet kan bruges til hingste.</w:t>
      </w:r>
    </w:p>
    <w:p w14:paraId="4F35F36A" w14:textId="77777777" w:rsidR="009F78B2" w:rsidRPr="00AB11D5" w:rsidRDefault="009F78B2" w:rsidP="00CA671A">
      <w:pPr>
        <w:ind w:left="851"/>
        <w:rPr>
          <w:iCs/>
          <w:sz w:val="24"/>
          <w:szCs w:val="24"/>
        </w:rPr>
      </w:pPr>
    </w:p>
    <w:p w14:paraId="63C81B66" w14:textId="77777777" w:rsidR="009F78B2" w:rsidRPr="00AB11D5" w:rsidRDefault="009F78B2" w:rsidP="00CA671A">
      <w:pPr>
        <w:ind w:left="851"/>
        <w:rPr>
          <w:sz w:val="24"/>
          <w:szCs w:val="24"/>
          <w:lang w:val="bg-BG"/>
        </w:rPr>
      </w:pPr>
      <w:r w:rsidRPr="00AB11D5">
        <w:rPr>
          <w:iCs/>
          <w:sz w:val="24"/>
          <w:szCs w:val="24"/>
        </w:rPr>
        <w:t xml:space="preserve">Unødvendig brug af </w:t>
      </w:r>
      <w:proofErr w:type="spellStart"/>
      <w:r w:rsidRPr="00AB11D5">
        <w:rPr>
          <w:iCs/>
          <w:sz w:val="24"/>
          <w:szCs w:val="24"/>
        </w:rPr>
        <w:t>antiparasitika</w:t>
      </w:r>
      <w:proofErr w:type="spellEnd"/>
      <w:r w:rsidRPr="00AB11D5">
        <w:rPr>
          <w:iCs/>
          <w:sz w:val="24"/>
          <w:szCs w:val="24"/>
        </w:rPr>
        <w:t xml:space="preserve"> eller brug, der afviger fra instruktionerne i produktresuméet, kan øge risikoen for resistens og medføre en nedsat effekt. Beslutning om at bruge produktet til hver gruppe af dyr skal baseres på bekræftelse af den parasitære art og parasitbyrden eller risikoen for angreb baseret på produktets epidemiologiske egenskaber.</w:t>
      </w:r>
    </w:p>
    <w:p w14:paraId="0ECFF57E" w14:textId="77777777" w:rsidR="009F78B2" w:rsidRPr="00AB11D5" w:rsidRDefault="009F78B2" w:rsidP="00CA671A">
      <w:pPr>
        <w:ind w:left="851"/>
        <w:rPr>
          <w:iCs/>
          <w:sz w:val="24"/>
          <w:szCs w:val="24"/>
        </w:rPr>
      </w:pPr>
    </w:p>
    <w:p w14:paraId="5B09A9A7" w14:textId="7CB61602" w:rsidR="009F78B2" w:rsidRPr="00AB11D5" w:rsidRDefault="009F78B2" w:rsidP="00CA671A">
      <w:pPr>
        <w:ind w:left="851"/>
        <w:rPr>
          <w:sz w:val="24"/>
          <w:szCs w:val="24"/>
          <w:lang w:val="bg-BG"/>
        </w:rPr>
      </w:pPr>
      <w:r w:rsidRPr="00AB11D5">
        <w:rPr>
          <w:iCs/>
          <w:sz w:val="24"/>
          <w:szCs w:val="24"/>
        </w:rPr>
        <w:lastRenderedPageBreak/>
        <w:t>Gentagen brug gennem længere tid, især når man bruger den samme klasse af stoffer, øger risikoen for resistensudvikling. Inden for en besætning er vedligeholdelse af modtagelige refugier afgørende for at reducere denne risiko. Systematisk anvendt og intervalbaseret behandling og behandling af en hel besætning bør undgås. I stedet bør man, hvor det er muligt, kun behandle udvalgte individuelle dyr eller undergrupper (målrettet selektiv behandling). Denne behandling bør kombineres med passende drifts- og afgræsnings</w:t>
      </w:r>
      <w:r w:rsidR="001230B3">
        <w:rPr>
          <w:iCs/>
          <w:sz w:val="24"/>
          <w:szCs w:val="24"/>
        </w:rPr>
        <w:softHyphen/>
      </w:r>
      <w:r w:rsidRPr="00AB11D5">
        <w:rPr>
          <w:iCs/>
          <w:sz w:val="24"/>
          <w:szCs w:val="24"/>
        </w:rPr>
        <w:t>foranstaltninger. Vejledning for den enkelte besætning bør søges hos den ansvarlige dyrlæge.</w:t>
      </w:r>
    </w:p>
    <w:p w14:paraId="1CBE656E" w14:textId="77777777" w:rsidR="009F78B2" w:rsidRPr="00AB11D5" w:rsidRDefault="009F78B2" w:rsidP="00CA671A">
      <w:pPr>
        <w:ind w:left="851"/>
        <w:rPr>
          <w:iCs/>
          <w:sz w:val="24"/>
          <w:szCs w:val="24"/>
        </w:rPr>
      </w:pPr>
    </w:p>
    <w:p w14:paraId="4F45E6CE" w14:textId="77777777" w:rsidR="009F78B2" w:rsidRPr="00AB11D5" w:rsidRDefault="009F78B2" w:rsidP="00CA671A">
      <w:pPr>
        <w:ind w:left="851"/>
        <w:rPr>
          <w:sz w:val="24"/>
          <w:szCs w:val="24"/>
          <w:lang w:val="bg-BG"/>
        </w:rPr>
      </w:pPr>
      <w:r w:rsidRPr="00AB11D5">
        <w:rPr>
          <w:iCs/>
          <w:sz w:val="24"/>
          <w:szCs w:val="24"/>
        </w:rPr>
        <w:t xml:space="preserve">Hvis der ikke er risiko for </w:t>
      </w:r>
      <w:proofErr w:type="spellStart"/>
      <w:r w:rsidRPr="00AB11D5">
        <w:rPr>
          <w:iCs/>
          <w:sz w:val="24"/>
          <w:szCs w:val="24"/>
        </w:rPr>
        <w:t>co</w:t>
      </w:r>
      <w:proofErr w:type="spellEnd"/>
      <w:r w:rsidRPr="00AB11D5">
        <w:rPr>
          <w:iCs/>
          <w:sz w:val="24"/>
          <w:szCs w:val="24"/>
        </w:rPr>
        <w:t>-infektion, bør man bruge et lægemiddel med et smalt virkningsspektrum</w:t>
      </w:r>
      <w:r w:rsidRPr="00AB11D5">
        <w:rPr>
          <w:sz w:val="24"/>
          <w:szCs w:val="24"/>
        </w:rPr>
        <w:t>.</w:t>
      </w:r>
    </w:p>
    <w:p w14:paraId="47B44F5E" w14:textId="77777777" w:rsidR="009F78B2" w:rsidRPr="00AB11D5" w:rsidRDefault="009F78B2" w:rsidP="00CA671A">
      <w:pPr>
        <w:ind w:left="851"/>
        <w:rPr>
          <w:iCs/>
          <w:sz w:val="24"/>
          <w:szCs w:val="24"/>
        </w:rPr>
      </w:pPr>
    </w:p>
    <w:p w14:paraId="6B559D84" w14:textId="6241E61B" w:rsidR="009F78B2" w:rsidRPr="00AB11D5" w:rsidRDefault="009F78B2" w:rsidP="00CA671A">
      <w:pPr>
        <w:ind w:left="851"/>
        <w:rPr>
          <w:sz w:val="24"/>
          <w:szCs w:val="24"/>
          <w:lang w:val="bg-BG"/>
        </w:rPr>
      </w:pPr>
      <w:r w:rsidRPr="00AB11D5">
        <w:rPr>
          <w:iCs/>
          <w:sz w:val="24"/>
          <w:szCs w:val="24"/>
        </w:rPr>
        <w:t xml:space="preserve">Der er rapporteret om en delvis krydsresistens mellem </w:t>
      </w:r>
      <w:proofErr w:type="spellStart"/>
      <w:r w:rsidRPr="00AB11D5">
        <w:rPr>
          <w:iCs/>
          <w:sz w:val="24"/>
          <w:szCs w:val="24"/>
        </w:rPr>
        <w:t>ivermectin</w:t>
      </w:r>
      <w:proofErr w:type="spellEnd"/>
      <w:r w:rsidRPr="00AB11D5">
        <w:rPr>
          <w:iCs/>
          <w:sz w:val="24"/>
          <w:szCs w:val="24"/>
        </w:rPr>
        <w:t xml:space="preserve"> og </w:t>
      </w:r>
      <w:proofErr w:type="spellStart"/>
      <w:r w:rsidRPr="00AB11D5">
        <w:rPr>
          <w:iCs/>
          <w:sz w:val="24"/>
          <w:szCs w:val="24"/>
        </w:rPr>
        <w:t>moxidectin</w:t>
      </w:r>
      <w:proofErr w:type="spellEnd"/>
      <w:r w:rsidRPr="00AB11D5">
        <w:rPr>
          <w:iCs/>
          <w:sz w:val="24"/>
          <w:szCs w:val="24"/>
        </w:rPr>
        <w:t xml:space="preserve">. Desuden er der rapporteret om resistens over for </w:t>
      </w:r>
      <w:proofErr w:type="spellStart"/>
      <w:r w:rsidRPr="00AB11D5">
        <w:rPr>
          <w:iCs/>
          <w:sz w:val="24"/>
          <w:szCs w:val="24"/>
        </w:rPr>
        <w:t>ivermectin</w:t>
      </w:r>
      <w:proofErr w:type="spellEnd"/>
      <w:r w:rsidRPr="00AB11D5">
        <w:rPr>
          <w:iCs/>
          <w:sz w:val="24"/>
          <w:szCs w:val="24"/>
        </w:rPr>
        <w:t xml:space="preserve"> (</w:t>
      </w:r>
      <w:proofErr w:type="spellStart"/>
      <w:r w:rsidRPr="00AB11D5">
        <w:rPr>
          <w:iCs/>
          <w:sz w:val="24"/>
          <w:szCs w:val="24"/>
        </w:rPr>
        <w:t>avermectin</w:t>
      </w:r>
      <w:proofErr w:type="spellEnd"/>
      <w:r w:rsidRPr="00AB11D5">
        <w:rPr>
          <w:iCs/>
          <w:sz w:val="24"/>
          <w:szCs w:val="24"/>
        </w:rPr>
        <w:t xml:space="preserve">) hos rundormen </w:t>
      </w:r>
      <w:proofErr w:type="spellStart"/>
      <w:r w:rsidRPr="00AB11D5">
        <w:rPr>
          <w:i/>
          <w:iCs/>
          <w:sz w:val="24"/>
          <w:szCs w:val="24"/>
        </w:rPr>
        <w:t>Parascaris</w:t>
      </w:r>
      <w:proofErr w:type="spellEnd"/>
      <w:r w:rsidRPr="00AB11D5">
        <w:rPr>
          <w:i/>
          <w:iCs/>
          <w:sz w:val="24"/>
          <w:szCs w:val="24"/>
        </w:rPr>
        <w:t xml:space="preserve"> </w:t>
      </w:r>
      <w:proofErr w:type="spellStart"/>
      <w:r w:rsidRPr="00AB11D5">
        <w:rPr>
          <w:i/>
          <w:iCs/>
          <w:sz w:val="24"/>
          <w:szCs w:val="24"/>
        </w:rPr>
        <w:t>equorum</w:t>
      </w:r>
      <w:proofErr w:type="spellEnd"/>
      <w:r w:rsidRPr="00AB11D5">
        <w:rPr>
          <w:iCs/>
          <w:sz w:val="24"/>
          <w:szCs w:val="24"/>
        </w:rPr>
        <w:t xml:space="preserve"> hos heste i en række lande, herunder EU. Derfor bør brugen af dette produkt tage hensyn til lokale oplysninger om målparasitternes modtagelighed, hvis de er tilgængelige. Det anbefales yderligere at undersøge tilfælde af mistanke om resistens ved hjælp af en passende diagnostisk metode (f.eks. fækal </w:t>
      </w:r>
      <w:proofErr w:type="spellStart"/>
      <w:r w:rsidRPr="00AB11D5">
        <w:rPr>
          <w:iCs/>
          <w:sz w:val="24"/>
          <w:szCs w:val="24"/>
        </w:rPr>
        <w:t>ægreduktionstest</w:t>
      </w:r>
      <w:proofErr w:type="spellEnd"/>
      <w:r w:rsidRPr="00AB11D5">
        <w:rPr>
          <w:iCs/>
          <w:sz w:val="24"/>
          <w:szCs w:val="24"/>
        </w:rPr>
        <w:t xml:space="preserve"> - </w:t>
      </w:r>
      <w:proofErr w:type="spellStart"/>
      <w:r w:rsidRPr="00AB11D5">
        <w:rPr>
          <w:iCs/>
          <w:sz w:val="24"/>
          <w:szCs w:val="24"/>
        </w:rPr>
        <w:t>Faecal</w:t>
      </w:r>
      <w:proofErr w:type="spellEnd"/>
      <w:r w:rsidRPr="00AB11D5">
        <w:rPr>
          <w:iCs/>
          <w:sz w:val="24"/>
          <w:szCs w:val="24"/>
        </w:rPr>
        <w:t xml:space="preserve"> </w:t>
      </w:r>
      <w:proofErr w:type="spellStart"/>
      <w:r w:rsidRPr="00AB11D5">
        <w:rPr>
          <w:iCs/>
          <w:sz w:val="24"/>
          <w:szCs w:val="24"/>
        </w:rPr>
        <w:t>Egg</w:t>
      </w:r>
      <w:proofErr w:type="spellEnd"/>
      <w:r w:rsidRPr="00AB11D5">
        <w:rPr>
          <w:iCs/>
          <w:sz w:val="24"/>
          <w:szCs w:val="24"/>
        </w:rPr>
        <w:t xml:space="preserve"> Count </w:t>
      </w:r>
      <w:proofErr w:type="spellStart"/>
      <w:r w:rsidRPr="00AB11D5">
        <w:rPr>
          <w:iCs/>
          <w:sz w:val="24"/>
          <w:szCs w:val="24"/>
        </w:rPr>
        <w:t>Reduction</w:t>
      </w:r>
      <w:proofErr w:type="spellEnd"/>
      <w:r w:rsidRPr="00AB11D5">
        <w:rPr>
          <w:iCs/>
          <w:sz w:val="24"/>
          <w:szCs w:val="24"/>
        </w:rPr>
        <w:t xml:space="preserve"> test, FECRT). Bekræftet resistens skal indberettes til indehaveren af markedsførings</w:t>
      </w:r>
      <w:r w:rsidR="00FB692E">
        <w:rPr>
          <w:iCs/>
          <w:sz w:val="24"/>
          <w:szCs w:val="24"/>
        </w:rPr>
        <w:softHyphen/>
      </w:r>
      <w:r w:rsidRPr="00AB11D5">
        <w:rPr>
          <w:iCs/>
          <w:sz w:val="24"/>
          <w:szCs w:val="24"/>
        </w:rPr>
        <w:t xml:space="preserve">tilladelsen eller de kompetente myndigheder. </w:t>
      </w:r>
    </w:p>
    <w:p w14:paraId="4E88BF06" w14:textId="77777777" w:rsidR="009F78B2" w:rsidRPr="00AB11D5" w:rsidRDefault="009F78B2" w:rsidP="00CA671A">
      <w:pPr>
        <w:ind w:left="851"/>
        <w:rPr>
          <w:iCs/>
          <w:sz w:val="24"/>
          <w:szCs w:val="24"/>
        </w:rPr>
      </w:pPr>
    </w:p>
    <w:p w14:paraId="6F151C93" w14:textId="77777777" w:rsidR="009F78B2" w:rsidRPr="00AB11D5" w:rsidRDefault="009F78B2" w:rsidP="00CA671A">
      <w:pPr>
        <w:ind w:left="851"/>
        <w:rPr>
          <w:sz w:val="24"/>
          <w:szCs w:val="24"/>
          <w:lang w:val="bg-BG"/>
        </w:rPr>
      </w:pPr>
      <w:proofErr w:type="spellStart"/>
      <w:r w:rsidRPr="00AB11D5">
        <w:rPr>
          <w:iCs/>
          <w:sz w:val="24"/>
          <w:szCs w:val="24"/>
        </w:rPr>
        <w:t>Infestation</w:t>
      </w:r>
      <w:proofErr w:type="spellEnd"/>
      <w:r w:rsidRPr="00AB11D5">
        <w:rPr>
          <w:iCs/>
          <w:sz w:val="24"/>
          <w:szCs w:val="24"/>
        </w:rPr>
        <w:t xml:space="preserve"> med bændelorm er sjældne hos føl under 2 måneder, og derfor anses behandling af føl under 2 måneder ikke for nødvendig.</w:t>
      </w:r>
    </w:p>
    <w:p w14:paraId="7FF29E48" w14:textId="77777777" w:rsidR="008203A8" w:rsidRPr="00AB11D5" w:rsidRDefault="008203A8" w:rsidP="008203A8">
      <w:pPr>
        <w:pStyle w:val="Sidehoved"/>
        <w:tabs>
          <w:tab w:val="clear" w:pos="4819"/>
        </w:tabs>
        <w:ind w:left="851"/>
        <w:rPr>
          <w:szCs w:val="24"/>
        </w:rPr>
      </w:pPr>
    </w:p>
    <w:p w14:paraId="19AF3827" w14:textId="77777777" w:rsidR="008203A8" w:rsidRPr="00AB11D5" w:rsidRDefault="008203A8" w:rsidP="008203A8">
      <w:pPr>
        <w:tabs>
          <w:tab w:val="left" w:pos="851"/>
        </w:tabs>
        <w:ind w:left="851" w:hanging="851"/>
        <w:rPr>
          <w:b/>
          <w:sz w:val="24"/>
          <w:szCs w:val="24"/>
        </w:rPr>
      </w:pPr>
      <w:r w:rsidRPr="00AB11D5">
        <w:rPr>
          <w:b/>
          <w:sz w:val="24"/>
          <w:szCs w:val="24"/>
        </w:rPr>
        <w:t>3.5</w:t>
      </w:r>
      <w:r w:rsidRPr="00AB11D5">
        <w:rPr>
          <w:b/>
          <w:sz w:val="24"/>
          <w:szCs w:val="24"/>
        </w:rPr>
        <w:tab/>
        <w:t>Særlige forholdsregler vedrørende brugen</w:t>
      </w:r>
    </w:p>
    <w:p w14:paraId="7209FDB7" w14:textId="77777777" w:rsidR="008203A8" w:rsidRPr="00AB11D5" w:rsidRDefault="008203A8" w:rsidP="008203A8">
      <w:pPr>
        <w:tabs>
          <w:tab w:val="left" w:pos="851"/>
        </w:tabs>
        <w:ind w:left="851"/>
        <w:rPr>
          <w:sz w:val="24"/>
          <w:szCs w:val="24"/>
        </w:rPr>
      </w:pPr>
    </w:p>
    <w:p w14:paraId="0457559D" w14:textId="77777777" w:rsidR="008203A8" w:rsidRPr="00AB11D5" w:rsidRDefault="008203A8" w:rsidP="008203A8">
      <w:pPr>
        <w:tabs>
          <w:tab w:val="left" w:pos="851"/>
        </w:tabs>
        <w:ind w:left="851"/>
        <w:rPr>
          <w:sz w:val="24"/>
          <w:szCs w:val="24"/>
          <w:u w:val="single"/>
        </w:rPr>
      </w:pPr>
      <w:r w:rsidRPr="00AB11D5">
        <w:rPr>
          <w:sz w:val="24"/>
          <w:szCs w:val="24"/>
          <w:u w:val="single"/>
        </w:rPr>
        <w:t>Særlige forholdsregler vedrørende sikker brug hos de dyrearter, som lægemidlet er beregnet til</w:t>
      </w:r>
    </w:p>
    <w:p w14:paraId="65241626" w14:textId="77777777" w:rsidR="009F78B2" w:rsidRPr="00AB11D5" w:rsidRDefault="009F78B2" w:rsidP="00CA671A">
      <w:pPr>
        <w:ind w:left="851"/>
        <w:rPr>
          <w:sz w:val="24"/>
          <w:szCs w:val="24"/>
          <w:lang w:eastAsia="da-DK"/>
        </w:rPr>
      </w:pPr>
      <w:proofErr w:type="spellStart"/>
      <w:r w:rsidRPr="00AB11D5">
        <w:rPr>
          <w:sz w:val="24"/>
          <w:szCs w:val="24"/>
        </w:rPr>
        <w:t>Avermectiner</w:t>
      </w:r>
      <w:proofErr w:type="spellEnd"/>
      <w:r w:rsidRPr="00AB11D5">
        <w:rPr>
          <w:sz w:val="24"/>
          <w:szCs w:val="24"/>
        </w:rPr>
        <w:t xml:space="preserve"> tolereres ikke nødvendigvis lige godt af andre arter end </w:t>
      </w:r>
      <w:proofErr w:type="spellStart"/>
      <w:r w:rsidRPr="00AB11D5">
        <w:rPr>
          <w:sz w:val="24"/>
          <w:szCs w:val="24"/>
        </w:rPr>
        <w:t>måldyrene</w:t>
      </w:r>
      <w:proofErr w:type="spellEnd"/>
      <w:r w:rsidRPr="00AB11D5">
        <w:rPr>
          <w:sz w:val="24"/>
          <w:szCs w:val="24"/>
        </w:rPr>
        <w:t xml:space="preserve">. Tilfælde af intolerance er rapporteret hos hunde, især collier, old </w:t>
      </w:r>
      <w:proofErr w:type="spellStart"/>
      <w:r w:rsidRPr="00AB11D5">
        <w:rPr>
          <w:sz w:val="24"/>
          <w:szCs w:val="24"/>
        </w:rPr>
        <w:t>english</w:t>
      </w:r>
      <w:proofErr w:type="spellEnd"/>
      <w:r w:rsidRPr="00AB11D5">
        <w:rPr>
          <w:sz w:val="24"/>
          <w:szCs w:val="24"/>
        </w:rPr>
        <w:t xml:space="preserve"> </w:t>
      </w:r>
      <w:proofErr w:type="spellStart"/>
      <w:r w:rsidRPr="00AB11D5">
        <w:rPr>
          <w:sz w:val="24"/>
          <w:szCs w:val="24"/>
        </w:rPr>
        <w:t>sheepdogs</w:t>
      </w:r>
      <w:proofErr w:type="spellEnd"/>
      <w:r w:rsidRPr="00AB11D5">
        <w:rPr>
          <w:sz w:val="24"/>
          <w:szCs w:val="24"/>
        </w:rPr>
        <w:t xml:space="preserve"> og beslægtede racer eller krydsninger, samt hos havskildpadder og landskildpadder. </w:t>
      </w:r>
    </w:p>
    <w:p w14:paraId="34729D93" w14:textId="77777777" w:rsidR="009F78B2" w:rsidRPr="00AB11D5" w:rsidRDefault="009F78B2" w:rsidP="00CA671A">
      <w:pPr>
        <w:ind w:left="851"/>
        <w:rPr>
          <w:sz w:val="24"/>
          <w:szCs w:val="24"/>
        </w:rPr>
      </w:pPr>
      <w:r w:rsidRPr="00AB11D5">
        <w:rPr>
          <w:sz w:val="24"/>
          <w:szCs w:val="24"/>
        </w:rPr>
        <w:t xml:space="preserve">Hunde og katte bør ikke få mulighed for at indtage spildt pasta eller have adgang til brugte sprøjter pga. risikoen for bivirkninger knyttet til </w:t>
      </w:r>
      <w:proofErr w:type="spellStart"/>
      <w:r w:rsidRPr="00AB11D5">
        <w:rPr>
          <w:sz w:val="24"/>
          <w:szCs w:val="24"/>
        </w:rPr>
        <w:t>ivermectins</w:t>
      </w:r>
      <w:proofErr w:type="spellEnd"/>
      <w:r w:rsidRPr="00AB11D5">
        <w:rPr>
          <w:sz w:val="24"/>
          <w:szCs w:val="24"/>
        </w:rPr>
        <w:t xml:space="preserve"> toksicitet. </w:t>
      </w:r>
    </w:p>
    <w:p w14:paraId="22F95C21" w14:textId="77777777" w:rsidR="008203A8" w:rsidRPr="00AB11D5" w:rsidRDefault="008203A8" w:rsidP="00CA671A">
      <w:pPr>
        <w:ind w:left="851"/>
        <w:rPr>
          <w:sz w:val="24"/>
          <w:szCs w:val="24"/>
        </w:rPr>
      </w:pPr>
    </w:p>
    <w:p w14:paraId="53502399" w14:textId="77777777" w:rsidR="008203A8" w:rsidRPr="00AB11D5" w:rsidRDefault="008203A8" w:rsidP="008203A8">
      <w:pPr>
        <w:tabs>
          <w:tab w:val="left" w:pos="851"/>
        </w:tabs>
        <w:ind w:left="851"/>
        <w:rPr>
          <w:sz w:val="24"/>
          <w:szCs w:val="24"/>
          <w:u w:val="single"/>
        </w:rPr>
      </w:pPr>
      <w:r w:rsidRPr="00AB11D5">
        <w:rPr>
          <w:sz w:val="24"/>
          <w:szCs w:val="24"/>
          <w:u w:val="single"/>
        </w:rPr>
        <w:t>Særlige forholdsregler for personer, der administrerer veterinærlægemidlet til dyr</w:t>
      </w:r>
    </w:p>
    <w:p w14:paraId="48FE1D0D" w14:textId="77777777" w:rsidR="009F78B2" w:rsidRPr="00AB11D5" w:rsidRDefault="009F78B2" w:rsidP="00CA671A">
      <w:pPr>
        <w:ind w:left="851"/>
        <w:rPr>
          <w:sz w:val="24"/>
          <w:szCs w:val="24"/>
          <w:lang w:eastAsia="da-DK"/>
        </w:rPr>
      </w:pPr>
      <w:r w:rsidRPr="00AB11D5">
        <w:rPr>
          <w:sz w:val="24"/>
          <w:szCs w:val="24"/>
        </w:rPr>
        <w:t xml:space="preserve">Personer med kendt overfølsomhed over for </w:t>
      </w:r>
      <w:proofErr w:type="spellStart"/>
      <w:r w:rsidRPr="00AB11D5">
        <w:rPr>
          <w:sz w:val="24"/>
          <w:szCs w:val="24"/>
        </w:rPr>
        <w:t>ivermectin</w:t>
      </w:r>
      <w:proofErr w:type="spellEnd"/>
      <w:r w:rsidRPr="00AB11D5">
        <w:rPr>
          <w:sz w:val="24"/>
          <w:szCs w:val="24"/>
        </w:rPr>
        <w:t xml:space="preserve">, </w:t>
      </w:r>
      <w:proofErr w:type="spellStart"/>
      <w:r w:rsidRPr="00AB11D5">
        <w:rPr>
          <w:sz w:val="24"/>
          <w:szCs w:val="24"/>
        </w:rPr>
        <w:t>praziquantel</w:t>
      </w:r>
      <w:proofErr w:type="spellEnd"/>
      <w:r w:rsidRPr="00AB11D5">
        <w:rPr>
          <w:sz w:val="24"/>
          <w:szCs w:val="24"/>
        </w:rPr>
        <w:t xml:space="preserve"> eller nogen af hjælpestofferne bør undgå kontakt med dette veterinærlægemiddel.</w:t>
      </w:r>
    </w:p>
    <w:p w14:paraId="57AD65BF" w14:textId="77777777" w:rsidR="009F78B2" w:rsidRPr="00AB11D5" w:rsidRDefault="009F78B2" w:rsidP="00CA671A">
      <w:pPr>
        <w:ind w:left="851"/>
        <w:rPr>
          <w:sz w:val="24"/>
          <w:szCs w:val="24"/>
        </w:rPr>
      </w:pPr>
      <w:r w:rsidRPr="00AB11D5">
        <w:rPr>
          <w:sz w:val="24"/>
          <w:szCs w:val="24"/>
        </w:rPr>
        <w:t>Dette præparat kan forårsage irritation af hud og øjne. Undgå derfor at præparatet kommer i kontakt med hud og øjne. Skulle dette ske, skylles øjeblikkeligt med masser af vand. Hvis hud- eller øjenirritation fortsætter, søg lægehjælp. I tilfælde af utilsigtet indtagelse, især af et barn, skal du straks søge lægehjælp og vise indlægssedlen eller etiketten til din læge.</w:t>
      </w:r>
    </w:p>
    <w:p w14:paraId="32252B0D" w14:textId="77777777" w:rsidR="009F78B2" w:rsidRPr="00AB11D5" w:rsidRDefault="009F78B2" w:rsidP="00CA671A">
      <w:pPr>
        <w:ind w:left="851"/>
        <w:rPr>
          <w:sz w:val="24"/>
          <w:szCs w:val="24"/>
        </w:rPr>
      </w:pPr>
      <w:r w:rsidRPr="00AB11D5">
        <w:rPr>
          <w:sz w:val="24"/>
          <w:szCs w:val="24"/>
        </w:rPr>
        <w:t>Ved håndtering af veterinærlægemidlet, især når produktet anvendes gentagne gange, skal anvendes personlige værnemidler bestående af handsker.</w:t>
      </w:r>
    </w:p>
    <w:p w14:paraId="56F16352" w14:textId="77777777" w:rsidR="009F78B2" w:rsidRPr="00AB11D5" w:rsidRDefault="009F78B2" w:rsidP="00CA671A">
      <w:pPr>
        <w:ind w:left="851"/>
        <w:rPr>
          <w:sz w:val="24"/>
          <w:szCs w:val="24"/>
        </w:rPr>
      </w:pPr>
      <w:r w:rsidRPr="00AB11D5">
        <w:rPr>
          <w:sz w:val="24"/>
          <w:szCs w:val="24"/>
        </w:rPr>
        <w:t>Spis, drik og ryg ikke, mens du håndterer præparatet.</w:t>
      </w:r>
    </w:p>
    <w:p w14:paraId="057C1337" w14:textId="77777777" w:rsidR="009F78B2" w:rsidRPr="00AB11D5" w:rsidRDefault="009F78B2" w:rsidP="00CA671A">
      <w:pPr>
        <w:ind w:left="851"/>
        <w:rPr>
          <w:sz w:val="24"/>
          <w:szCs w:val="24"/>
        </w:rPr>
      </w:pPr>
      <w:r w:rsidRPr="00AB11D5">
        <w:rPr>
          <w:sz w:val="24"/>
          <w:szCs w:val="24"/>
        </w:rPr>
        <w:t>Vask hænder efter brugen.</w:t>
      </w:r>
    </w:p>
    <w:p w14:paraId="75F037D8" w14:textId="77777777" w:rsidR="008203A8" w:rsidRPr="00AB11D5" w:rsidRDefault="008203A8" w:rsidP="00CA671A">
      <w:pPr>
        <w:ind w:left="851"/>
        <w:rPr>
          <w:sz w:val="24"/>
          <w:szCs w:val="24"/>
        </w:rPr>
      </w:pPr>
    </w:p>
    <w:p w14:paraId="1B9B5BFF" w14:textId="77777777" w:rsidR="008203A8" w:rsidRPr="00AB11D5" w:rsidRDefault="008203A8" w:rsidP="008203A8">
      <w:pPr>
        <w:tabs>
          <w:tab w:val="left" w:pos="851"/>
        </w:tabs>
        <w:ind w:left="851"/>
        <w:rPr>
          <w:sz w:val="24"/>
          <w:szCs w:val="24"/>
          <w:u w:val="single"/>
        </w:rPr>
      </w:pPr>
      <w:r w:rsidRPr="00AB11D5">
        <w:rPr>
          <w:sz w:val="24"/>
          <w:szCs w:val="24"/>
          <w:u w:val="single"/>
        </w:rPr>
        <w:t>Særlige forholdsregler vedrørende beskyttelse af miljøet</w:t>
      </w:r>
    </w:p>
    <w:p w14:paraId="2BC62C3A" w14:textId="77777777" w:rsidR="009F78B2" w:rsidRPr="00AB11D5" w:rsidRDefault="009F78B2" w:rsidP="00CA671A">
      <w:pPr>
        <w:ind w:left="851"/>
        <w:rPr>
          <w:sz w:val="24"/>
          <w:szCs w:val="24"/>
          <w:lang w:eastAsia="da-DK"/>
        </w:rPr>
      </w:pPr>
      <w:r w:rsidRPr="00AB11D5">
        <w:rPr>
          <w:sz w:val="24"/>
          <w:szCs w:val="24"/>
        </w:rPr>
        <w:t xml:space="preserve">Produktet er stærkt toksisk for organismer, der lever i vand, så behandlede dyr bør ikke have direkte adgang til damme, vandløb eller grøfter i 14 dage efter behandlingen. </w:t>
      </w:r>
    </w:p>
    <w:p w14:paraId="6C9B7DB1" w14:textId="77777777" w:rsidR="009F78B2" w:rsidRPr="00AB11D5" w:rsidRDefault="009F78B2" w:rsidP="00CA671A">
      <w:pPr>
        <w:ind w:left="851"/>
        <w:rPr>
          <w:sz w:val="24"/>
          <w:szCs w:val="24"/>
        </w:rPr>
      </w:pPr>
      <w:r w:rsidRPr="00AB11D5">
        <w:rPr>
          <w:sz w:val="24"/>
          <w:szCs w:val="24"/>
        </w:rPr>
        <w:t xml:space="preserve">Produktet er stærkt toksisk for gødningsfauna, og der kan ikke udelukkes langtidseffekter på gødningsinsekter forårsaget af kontinuerlig eller gentagen brug. Gentagen behandling af </w:t>
      </w:r>
      <w:r w:rsidRPr="00AB11D5">
        <w:rPr>
          <w:sz w:val="24"/>
          <w:szCs w:val="24"/>
        </w:rPr>
        <w:lastRenderedPageBreak/>
        <w:t xml:space="preserve">græssende dyr med </w:t>
      </w:r>
      <w:proofErr w:type="spellStart"/>
      <w:r w:rsidRPr="00AB11D5">
        <w:rPr>
          <w:sz w:val="24"/>
          <w:szCs w:val="24"/>
        </w:rPr>
        <w:t>ivermectin</w:t>
      </w:r>
      <w:proofErr w:type="spellEnd"/>
      <w:r w:rsidRPr="00AB11D5">
        <w:rPr>
          <w:sz w:val="24"/>
          <w:szCs w:val="24"/>
        </w:rPr>
        <w:t xml:space="preserve"> i løbet af sæsonen bør derfor kun udføres, når der ikke er alternative behandlinger eller metoder til at opretholde dyrenes sundhed, som er anbefalet af en dyrlæge.</w:t>
      </w:r>
    </w:p>
    <w:p w14:paraId="72941213" w14:textId="77777777" w:rsidR="008203A8" w:rsidRPr="00AB11D5" w:rsidRDefault="008203A8" w:rsidP="00CA671A">
      <w:pPr>
        <w:ind w:left="851"/>
        <w:rPr>
          <w:sz w:val="24"/>
          <w:szCs w:val="24"/>
        </w:rPr>
      </w:pPr>
    </w:p>
    <w:p w14:paraId="358654A5" w14:textId="77777777" w:rsidR="008203A8" w:rsidRPr="00AB11D5" w:rsidRDefault="008203A8" w:rsidP="008203A8">
      <w:pPr>
        <w:tabs>
          <w:tab w:val="left" w:pos="851"/>
        </w:tabs>
        <w:ind w:left="851" w:hanging="851"/>
        <w:rPr>
          <w:b/>
          <w:sz w:val="24"/>
          <w:szCs w:val="24"/>
        </w:rPr>
      </w:pPr>
      <w:r w:rsidRPr="00AB11D5">
        <w:rPr>
          <w:b/>
          <w:sz w:val="24"/>
          <w:szCs w:val="24"/>
        </w:rPr>
        <w:t>3.6</w:t>
      </w:r>
      <w:r w:rsidRPr="00AB11D5">
        <w:rPr>
          <w:b/>
          <w:sz w:val="24"/>
          <w:szCs w:val="24"/>
        </w:rPr>
        <w:tab/>
        <w:t>Bivirkninger</w:t>
      </w:r>
    </w:p>
    <w:p w14:paraId="74D8C973" w14:textId="15259179" w:rsidR="009F78B2" w:rsidRDefault="009F78B2" w:rsidP="00CA671A">
      <w:pPr>
        <w:ind w:left="851"/>
        <w:rPr>
          <w:sz w:val="24"/>
          <w:szCs w:val="24"/>
        </w:rPr>
      </w:pPr>
      <w:r w:rsidRPr="00AB11D5">
        <w:rPr>
          <w:sz w:val="24"/>
          <w:szCs w:val="24"/>
        </w:rPr>
        <w:t>Heste:</w:t>
      </w:r>
    </w:p>
    <w:tbl>
      <w:tblPr>
        <w:tblW w:w="4564" w:type="pct"/>
        <w:tblInd w:w="846" w:type="dxa"/>
        <w:tblLayout w:type="fixed"/>
        <w:tblLook w:val="04A0" w:firstRow="1" w:lastRow="0" w:firstColumn="1" w:lastColumn="0" w:noHBand="0" w:noVBand="1"/>
      </w:tblPr>
      <w:tblGrid>
        <w:gridCol w:w="3768"/>
        <w:gridCol w:w="5020"/>
      </w:tblGrid>
      <w:tr w:rsidR="009F78B2" w:rsidRPr="00AB11D5" w14:paraId="72466373" w14:textId="77777777" w:rsidTr="00CA671A">
        <w:tc>
          <w:tcPr>
            <w:tcW w:w="3768" w:type="dxa"/>
            <w:tcBorders>
              <w:top w:val="single" w:sz="4" w:space="0" w:color="000000"/>
              <w:left w:val="single" w:sz="4" w:space="0" w:color="000000"/>
              <w:bottom w:val="single" w:sz="4" w:space="0" w:color="000000"/>
              <w:right w:val="single" w:sz="4" w:space="0" w:color="000000"/>
            </w:tcBorders>
            <w:hideMark/>
          </w:tcPr>
          <w:p w14:paraId="3BB52D33" w14:textId="77777777" w:rsidR="009F78B2" w:rsidRPr="00AB11D5" w:rsidRDefault="009F78B2">
            <w:pPr>
              <w:spacing w:before="60" w:after="60"/>
              <w:rPr>
                <w:sz w:val="24"/>
                <w:szCs w:val="24"/>
              </w:rPr>
            </w:pPr>
            <w:r w:rsidRPr="00AB11D5">
              <w:rPr>
                <w:sz w:val="24"/>
                <w:szCs w:val="24"/>
              </w:rPr>
              <w:t>Meget sjælden</w:t>
            </w:r>
          </w:p>
          <w:p w14:paraId="3093D113" w14:textId="366286E4" w:rsidR="009F78B2" w:rsidRPr="00AB11D5" w:rsidRDefault="009F78B2">
            <w:pPr>
              <w:spacing w:before="60" w:after="60"/>
              <w:rPr>
                <w:sz w:val="24"/>
                <w:szCs w:val="24"/>
              </w:rPr>
            </w:pPr>
            <w:r w:rsidRPr="00AB11D5">
              <w:rPr>
                <w:sz w:val="24"/>
                <w:szCs w:val="24"/>
              </w:rPr>
              <w:t>(&lt; 1 dyr / 10</w:t>
            </w:r>
            <w:r w:rsidR="009954DA">
              <w:rPr>
                <w:sz w:val="24"/>
                <w:szCs w:val="24"/>
              </w:rPr>
              <w:t>.</w:t>
            </w:r>
            <w:r w:rsidRPr="00AB11D5">
              <w:rPr>
                <w:sz w:val="24"/>
                <w:szCs w:val="24"/>
              </w:rPr>
              <w:t>000 behandlede dyr, herunder enkeltstående indberetninger).</w:t>
            </w:r>
          </w:p>
        </w:tc>
        <w:tc>
          <w:tcPr>
            <w:tcW w:w="5020" w:type="dxa"/>
            <w:tcBorders>
              <w:top w:val="single" w:sz="4" w:space="0" w:color="000000"/>
              <w:left w:val="single" w:sz="4" w:space="0" w:color="000000"/>
              <w:bottom w:val="single" w:sz="4" w:space="0" w:color="000000"/>
              <w:right w:val="single" w:sz="4" w:space="0" w:color="000000"/>
            </w:tcBorders>
          </w:tcPr>
          <w:p w14:paraId="31C88DAF" w14:textId="77777777" w:rsidR="009F78B2" w:rsidRPr="00AB11D5" w:rsidRDefault="009F78B2">
            <w:pPr>
              <w:spacing w:before="60" w:after="60"/>
              <w:rPr>
                <w:sz w:val="24"/>
                <w:szCs w:val="24"/>
              </w:rPr>
            </w:pPr>
            <w:r w:rsidRPr="00AB11D5">
              <w:rPr>
                <w:sz w:val="24"/>
                <w:szCs w:val="24"/>
              </w:rPr>
              <w:t>Anoreksi</w:t>
            </w:r>
            <w:r w:rsidRPr="00AB11D5">
              <w:rPr>
                <w:sz w:val="24"/>
                <w:szCs w:val="24"/>
                <w:vertAlign w:val="superscript"/>
              </w:rPr>
              <w:t>1</w:t>
            </w:r>
          </w:p>
          <w:p w14:paraId="75F04CDC" w14:textId="77777777" w:rsidR="009F78B2" w:rsidRPr="00AB11D5" w:rsidRDefault="009F78B2">
            <w:pPr>
              <w:spacing w:before="60" w:after="60"/>
              <w:rPr>
                <w:sz w:val="24"/>
                <w:szCs w:val="24"/>
              </w:rPr>
            </w:pPr>
            <w:r w:rsidRPr="00AB11D5">
              <w:rPr>
                <w:sz w:val="24"/>
                <w:szCs w:val="24"/>
              </w:rPr>
              <w:t>Kolik</w:t>
            </w:r>
            <w:r w:rsidRPr="00AB11D5">
              <w:rPr>
                <w:sz w:val="24"/>
                <w:szCs w:val="24"/>
                <w:vertAlign w:val="superscript"/>
              </w:rPr>
              <w:t>1</w:t>
            </w:r>
            <w:r w:rsidRPr="00AB11D5">
              <w:rPr>
                <w:sz w:val="24"/>
                <w:szCs w:val="24"/>
              </w:rPr>
              <w:t xml:space="preserve">, </w:t>
            </w:r>
          </w:p>
          <w:p w14:paraId="1EC18F68" w14:textId="77777777" w:rsidR="009F78B2" w:rsidRPr="00AB11D5" w:rsidRDefault="009F78B2">
            <w:pPr>
              <w:spacing w:before="60" w:after="60"/>
              <w:rPr>
                <w:sz w:val="24"/>
                <w:szCs w:val="24"/>
              </w:rPr>
            </w:pPr>
            <w:r w:rsidRPr="00AB11D5">
              <w:rPr>
                <w:sz w:val="24"/>
                <w:szCs w:val="24"/>
              </w:rPr>
              <w:t>Diarré</w:t>
            </w:r>
            <w:r w:rsidRPr="00AB11D5">
              <w:rPr>
                <w:sz w:val="24"/>
                <w:szCs w:val="24"/>
                <w:vertAlign w:val="superscript"/>
              </w:rPr>
              <w:t>1</w:t>
            </w:r>
            <w:r w:rsidRPr="00AB11D5">
              <w:rPr>
                <w:sz w:val="24"/>
                <w:szCs w:val="24"/>
              </w:rPr>
              <w:t xml:space="preserve">, </w:t>
            </w:r>
          </w:p>
          <w:p w14:paraId="66B96AE3" w14:textId="70775591" w:rsidR="009F78B2" w:rsidRPr="00AB11D5" w:rsidRDefault="009F78B2" w:rsidP="001230B3">
            <w:pPr>
              <w:spacing w:before="60" w:after="60"/>
              <w:rPr>
                <w:iCs/>
                <w:sz w:val="24"/>
                <w:szCs w:val="24"/>
              </w:rPr>
            </w:pPr>
            <w:r w:rsidRPr="00AB11D5">
              <w:rPr>
                <w:sz w:val="24"/>
                <w:szCs w:val="24"/>
              </w:rPr>
              <w:t>Allergisk reaktion (f.eks. allergisk ødem</w:t>
            </w:r>
            <w:r w:rsidRPr="00AB11D5">
              <w:rPr>
                <w:sz w:val="24"/>
                <w:szCs w:val="24"/>
                <w:vertAlign w:val="superscript"/>
              </w:rPr>
              <w:t>3</w:t>
            </w:r>
            <w:r w:rsidRPr="00AB11D5">
              <w:rPr>
                <w:sz w:val="24"/>
                <w:szCs w:val="24"/>
              </w:rPr>
              <w:t xml:space="preserve">, hævede slimhinder, </w:t>
            </w:r>
            <w:proofErr w:type="spellStart"/>
            <w:r w:rsidRPr="00AB11D5">
              <w:rPr>
                <w:sz w:val="24"/>
                <w:szCs w:val="24"/>
              </w:rPr>
              <w:t>hypersalivation</w:t>
            </w:r>
            <w:proofErr w:type="spellEnd"/>
            <w:r w:rsidRPr="00AB11D5">
              <w:rPr>
                <w:sz w:val="24"/>
                <w:szCs w:val="24"/>
              </w:rPr>
              <w:t xml:space="preserve">, </w:t>
            </w:r>
            <w:proofErr w:type="spellStart"/>
            <w:r w:rsidRPr="00AB11D5">
              <w:rPr>
                <w:sz w:val="24"/>
                <w:szCs w:val="24"/>
              </w:rPr>
              <w:t>takykardi</w:t>
            </w:r>
            <w:proofErr w:type="spellEnd"/>
            <w:r w:rsidRPr="00AB11D5">
              <w:rPr>
                <w:sz w:val="24"/>
                <w:szCs w:val="24"/>
              </w:rPr>
              <w:t xml:space="preserve">, tungeødem, </w:t>
            </w:r>
            <w:proofErr w:type="spellStart"/>
            <w:r w:rsidRPr="00AB11D5">
              <w:rPr>
                <w:sz w:val="24"/>
                <w:szCs w:val="24"/>
              </w:rPr>
              <w:t>urticaria</w:t>
            </w:r>
            <w:proofErr w:type="spellEnd"/>
            <w:r w:rsidRPr="00AB11D5">
              <w:rPr>
                <w:sz w:val="24"/>
                <w:szCs w:val="24"/>
              </w:rPr>
              <w:t>)</w:t>
            </w:r>
          </w:p>
        </w:tc>
      </w:tr>
      <w:tr w:rsidR="009F78B2" w:rsidRPr="00AB11D5" w14:paraId="1AAF3DC8" w14:textId="77777777" w:rsidTr="00CA671A">
        <w:tc>
          <w:tcPr>
            <w:tcW w:w="3768" w:type="dxa"/>
            <w:tcBorders>
              <w:top w:val="single" w:sz="4" w:space="0" w:color="000000"/>
              <w:left w:val="single" w:sz="4" w:space="0" w:color="000000"/>
              <w:bottom w:val="single" w:sz="4" w:space="0" w:color="000000"/>
              <w:right w:val="single" w:sz="4" w:space="0" w:color="000000"/>
            </w:tcBorders>
          </w:tcPr>
          <w:p w14:paraId="5E0D11F1" w14:textId="2D1A8BD8" w:rsidR="009F78B2" w:rsidRPr="00AB11D5" w:rsidRDefault="009F78B2" w:rsidP="001230B3">
            <w:pPr>
              <w:spacing w:before="60" w:after="60"/>
              <w:rPr>
                <w:sz w:val="24"/>
                <w:szCs w:val="24"/>
                <w:lang w:val="bg-BG"/>
              </w:rPr>
            </w:pPr>
            <w:r w:rsidRPr="00AB11D5">
              <w:rPr>
                <w:sz w:val="24"/>
                <w:szCs w:val="24"/>
              </w:rPr>
              <w:t>Ikke kendt (hyppigheden kan ikke estimeres ud fra forhåndenværende data)</w:t>
            </w:r>
          </w:p>
        </w:tc>
        <w:tc>
          <w:tcPr>
            <w:tcW w:w="5020" w:type="dxa"/>
            <w:tcBorders>
              <w:top w:val="single" w:sz="4" w:space="0" w:color="000000"/>
              <w:left w:val="single" w:sz="4" w:space="0" w:color="000000"/>
              <w:bottom w:val="single" w:sz="4" w:space="0" w:color="000000"/>
              <w:right w:val="single" w:sz="4" w:space="0" w:color="000000"/>
            </w:tcBorders>
            <w:hideMark/>
          </w:tcPr>
          <w:p w14:paraId="36763E2B" w14:textId="77777777" w:rsidR="009F78B2" w:rsidRPr="00AB11D5" w:rsidRDefault="009F78B2">
            <w:pPr>
              <w:spacing w:before="60" w:after="60"/>
              <w:rPr>
                <w:sz w:val="24"/>
                <w:szCs w:val="24"/>
              </w:rPr>
            </w:pPr>
            <w:r w:rsidRPr="00AB11D5">
              <w:rPr>
                <w:sz w:val="24"/>
                <w:szCs w:val="24"/>
              </w:rPr>
              <w:t>Kløe</w:t>
            </w:r>
            <w:r w:rsidRPr="00AB11D5">
              <w:rPr>
                <w:sz w:val="24"/>
                <w:szCs w:val="24"/>
                <w:vertAlign w:val="superscript"/>
              </w:rPr>
              <w:t>2</w:t>
            </w:r>
          </w:p>
          <w:p w14:paraId="713BB582" w14:textId="77777777" w:rsidR="009F78B2" w:rsidRPr="00AB11D5" w:rsidRDefault="009F78B2">
            <w:pPr>
              <w:spacing w:before="60" w:after="60"/>
              <w:rPr>
                <w:sz w:val="24"/>
                <w:szCs w:val="24"/>
              </w:rPr>
            </w:pPr>
            <w:r w:rsidRPr="00AB11D5">
              <w:rPr>
                <w:sz w:val="24"/>
                <w:szCs w:val="24"/>
              </w:rPr>
              <w:t>Hævelse</w:t>
            </w:r>
            <w:r w:rsidRPr="00AB11D5">
              <w:rPr>
                <w:sz w:val="24"/>
                <w:szCs w:val="24"/>
                <w:vertAlign w:val="superscript"/>
              </w:rPr>
              <w:t>2</w:t>
            </w:r>
            <w:r w:rsidRPr="00AB11D5">
              <w:rPr>
                <w:sz w:val="24"/>
                <w:szCs w:val="24"/>
              </w:rPr>
              <w:t xml:space="preserve"> </w:t>
            </w:r>
          </w:p>
        </w:tc>
      </w:tr>
    </w:tbl>
    <w:p w14:paraId="4FE1D761" w14:textId="20D7F1C1" w:rsidR="009F78B2" w:rsidRPr="00AB11D5" w:rsidRDefault="009F78B2" w:rsidP="00CA671A">
      <w:pPr>
        <w:ind w:left="1134" w:hanging="283"/>
        <w:rPr>
          <w:sz w:val="24"/>
          <w:szCs w:val="24"/>
          <w:lang w:val="bg-BG"/>
        </w:rPr>
      </w:pPr>
      <w:r w:rsidRPr="00AB11D5">
        <w:rPr>
          <w:sz w:val="24"/>
          <w:szCs w:val="24"/>
          <w:vertAlign w:val="superscript"/>
        </w:rPr>
        <w:t>1</w:t>
      </w:r>
      <w:r w:rsidRPr="00AB11D5">
        <w:rPr>
          <w:sz w:val="24"/>
          <w:szCs w:val="24"/>
        </w:rPr>
        <w:t xml:space="preserve"> </w:t>
      </w:r>
      <w:r w:rsidR="00CA671A" w:rsidRPr="00AB11D5">
        <w:rPr>
          <w:sz w:val="24"/>
          <w:szCs w:val="24"/>
        </w:rPr>
        <w:tab/>
      </w:r>
      <w:r w:rsidRPr="00AB11D5">
        <w:rPr>
          <w:sz w:val="24"/>
          <w:szCs w:val="24"/>
        </w:rPr>
        <w:t>især i tilfælde af en stor parasitbyrde</w:t>
      </w:r>
    </w:p>
    <w:p w14:paraId="26108725" w14:textId="17623835" w:rsidR="009F78B2" w:rsidRPr="00AB11D5" w:rsidRDefault="009F78B2" w:rsidP="00CA671A">
      <w:pPr>
        <w:ind w:left="1134" w:hanging="283"/>
        <w:rPr>
          <w:sz w:val="24"/>
          <w:szCs w:val="24"/>
        </w:rPr>
      </w:pPr>
      <w:r w:rsidRPr="009954DA">
        <w:rPr>
          <w:sz w:val="24"/>
          <w:szCs w:val="24"/>
          <w:vertAlign w:val="superscript"/>
        </w:rPr>
        <w:t>2</w:t>
      </w:r>
      <w:r w:rsidRPr="00AB11D5">
        <w:rPr>
          <w:sz w:val="24"/>
          <w:szCs w:val="24"/>
        </w:rPr>
        <w:t xml:space="preserve"> </w:t>
      </w:r>
      <w:r w:rsidR="00CA671A" w:rsidRPr="00AB11D5">
        <w:rPr>
          <w:sz w:val="24"/>
          <w:szCs w:val="24"/>
        </w:rPr>
        <w:tab/>
      </w:r>
      <w:r w:rsidRPr="00AB11D5">
        <w:rPr>
          <w:sz w:val="24"/>
          <w:szCs w:val="24"/>
        </w:rPr>
        <w:t xml:space="preserve">efter behandling af heste med alvorlig </w:t>
      </w:r>
      <w:proofErr w:type="spellStart"/>
      <w:r w:rsidRPr="00AB11D5">
        <w:rPr>
          <w:sz w:val="24"/>
          <w:szCs w:val="24"/>
        </w:rPr>
        <w:t>infestation</w:t>
      </w:r>
      <w:proofErr w:type="spellEnd"/>
      <w:r w:rsidRPr="00AB11D5">
        <w:rPr>
          <w:sz w:val="24"/>
          <w:szCs w:val="24"/>
        </w:rPr>
        <w:t xml:space="preserve"> med </w:t>
      </w:r>
      <w:proofErr w:type="spellStart"/>
      <w:r w:rsidRPr="00AB11D5">
        <w:rPr>
          <w:sz w:val="24"/>
          <w:szCs w:val="24"/>
        </w:rPr>
        <w:t>hårorm</w:t>
      </w:r>
      <w:proofErr w:type="spellEnd"/>
      <w:r w:rsidRPr="00AB11D5">
        <w:rPr>
          <w:sz w:val="24"/>
          <w:szCs w:val="24"/>
        </w:rPr>
        <w:t xml:space="preserve"> </w:t>
      </w:r>
      <w:proofErr w:type="spellStart"/>
      <w:r w:rsidRPr="00AB11D5">
        <w:rPr>
          <w:i/>
          <w:iCs/>
          <w:sz w:val="24"/>
          <w:szCs w:val="24"/>
        </w:rPr>
        <w:t>Onchocerca</w:t>
      </w:r>
      <w:proofErr w:type="spellEnd"/>
      <w:r w:rsidRPr="00AB11D5">
        <w:rPr>
          <w:i/>
          <w:iCs/>
          <w:sz w:val="24"/>
          <w:szCs w:val="24"/>
        </w:rPr>
        <w:t xml:space="preserve"> </w:t>
      </w:r>
      <w:proofErr w:type="spellStart"/>
      <w:r w:rsidRPr="00AB11D5">
        <w:rPr>
          <w:i/>
          <w:iCs/>
          <w:sz w:val="24"/>
          <w:szCs w:val="24"/>
        </w:rPr>
        <w:t>microfilariae</w:t>
      </w:r>
      <w:proofErr w:type="spellEnd"/>
      <w:r w:rsidRPr="00AB11D5">
        <w:rPr>
          <w:sz w:val="24"/>
          <w:szCs w:val="24"/>
        </w:rPr>
        <w:t xml:space="preserve">. Disse reaktioner skyldes sandsynligvis, at et stort antal </w:t>
      </w:r>
      <w:proofErr w:type="spellStart"/>
      <w:r w:rsidRPr="00AB11D5">
        <w:rPr>
          <w:sz w:val="24"/>
          <w:szCs w:val="24"/>
        </w:rPr>
        <w:t>microfilarier</w:t>
      </w:r>
      <w:proofErr w:type="spellEnd"/>
      <w:r w:rsidRPr="00AB11D5">
        <w:rPr>
          <w:sz w:val="24"/>
          <w:szCs w:val="24"/>
        </w:rPr>
        <w:t xml:space="preserve"> dræbes.</w:t>
      </w:r>
    </w:p>
    <w:p w14:paraId="631D674A" w14:textId="2E12FA7C" w:rsidR="009F78B2" w:rsidRPr="00AB11D5" w:rsidRDefault="009F78B2" w:rsidP="00CA671A">
      <w:pPr>
        <w:ind w:left="1134" w:hanging="283"/>
        <w:rPr>
          <w:sz w:val="24"/>
          <w:szCs w:val="24"/>
        </w:rPr>
      </w:pPr>
      <w:r w:rsidRPr="00AB11D5">
        <w:rPr>
          <w:sz w:val="24"/>
          <w:szCs w:val="24"/>
          <w:vertAlign w:val="superscript"/>
        </w:rPr>
        <w:t>3</w:t>
      </w:r>
      <w:r w:rsidR="00CA671A" w:rsidRPr="00AB11D5">
        <w:rPr>
          <w:sz w:val="24"/>
          <w:szCs w:val="24"/>
          <w:vertAlign w:val="superscript"/>
        </w:rPr>
        <w:tab/>
      </w:r>
      <w:r w:rsidRPr="00AB11D5">
        <w:rPr>
          <w:sz w:val="24"/>
          <w:szCs w:val="24"/>
        </w:rPr>
        <w:t>subkutan</w:t>
      </w:r>
    </w:p>
    <w:p w14:paraId="7A105B58" w14:textId="77777777" w:rsidR="009F78B2" w:rsidRPr="00AB11D5" w:rsidRDefault="009F78B2" w:rsidP="00CA671A">
      <w:pPr>
        <w:ind w:left="1134" w:hanging="283"/>
        <w:rPr>
          <w:sz w:val="24"/>
          <w:szCs w:val="24"/>
        </w:rPr>
      </w:pPr>
      <w:r w:rsidRPr="00AB11D5">
        <w:rPr>
          <w:sz w:val="24"/>
          <w:szCs w:val="24"/>
        </w:rPr>
        <w:t xml:space="preserve">Hvis disse symptomer varer ved, skal du straks kontakte din dyrlæge. </w:t>
      </w:r>
    </w:p>
    <w:p w14:paraId="608D3A86" w14:textId="77777777" w:rsidR="009F78B2" w:rsidRPr="00AB11D5" w:rsidRDefault="009F78B2" w:rsidP="009F78B2">
      <w:pPr>
        <w:rPr>
          <w:sz w:val="24"/>
          <w:szCs w:val="24"/>
          <w:highlight w:val="yellow"/>
        </w:rPr>
      </w:pPr>
    </w:p>
    <w:p w14:paraId="250B14C0" w14:textId="3CB8DE8B" w:rsidR="009F78B2" w:rsidRPr="00AB11D5" w:rsidRDefault="009F78B2" w:rsidP="009F78B2">
      <w:pPr>
        <w:tabs>
          <w:tab w:val="left" w:pos="851"/>
        </w:tabs>
        <w:ind w:left="851"/>
        <w:rPr>
          <w:sz w:val="24"/>
          <w:szCs w:val="24"/>
          <w:lang w:val="bg-BG"/>
        </w:rPr>
      </w:pPr>
      <w:r w:rsidRPr="00AB11D5">
        <w:rPr>
          <w:sz w:val="24"/>
          <w:szCs w:val="24"/>
        </w:rPr>
        <w:t>Indberetning af bivirkninger er vigtig. Det giver mulighed for løbende sikkerheds</w:t>
      </w:r>
      <w:r w:rsidR="00FB692E">
        <w:rPr>
          <w:sz w:val="24"/>
          <w:szCs w:val="24"/>
        </w:rPr>
        <w:softHyphen/>
      </w:r>
      <w:r w:rsidRPr="00AB11D5">
        <w:rPr>
          <w:sz w:val="24"/>
          <w:szCs w:val="24"/>
        </w:rPr>
        <w:t>overvågning af et veterinærlægemiddel. Indberetninger skal sendes, helst via en dyrlæge, til enten indehaveren af markedsføringstilladelsen eller dennes lokale repræsentant, eller til den kompetente nationale myndighed via det nationale indberetningssystem. Se også afsnit 16 i indlægssedlen for de relevante kontaktoplysninger.</w:t>
      </w:r>
    </w:p>
    <w:p w14:paraId="689836EA" w14:textId="77777777" w:rsidR="008203A8" w:rsidRPr="00AB11D5" w:rsidRDefault="008203A8" w:rsidP="008203A8">
      <w:pPr>
        <w:tabs>
          <w:tab w:val="left" w:pos="851"/>
        </w:tabs>
        <w:ind w:left="851"/>
        <w:rPr>
          <w:sz w:val="24"/>
          <w:szCs w:val="24"/>
        </w:rPr>
      </w:pPr>
    </w:p>
    <w:p w14:paraId="327F9FED" w14:textId="77777777" w:rsidR="008203A8" w:rsidRPr="00AB11D5" w:rsidRDefault="008203A8" w:rsidP="008203A8">
      <w:pPr>
        <w:tabs>
          <w:tab w:val="left" w:pos="851"/>
        </w:tabs>
        <w:ind w:left="851" w:hanging="851"/>
        <w:rPr>
          <w:b/>
          <w:sz w:val="24"/>
          <w:szCs w:val="24"/>
        </w:rPr>
      </w:pPr>
      <w:r w:rsidRPr="00AB11D5">
        <w:rPr>
          <w:b/>
          <w:sz w:val="24"/>
          <w:szCs w:val="24"/>
        </w:rPr>
        <w:t>3.7</w:t>
      </w:r>
      <w:r w:rsidRPr="00AB11D5">
        <w:rPr>
          <w:b/>
          <w:sz w:val="24"/>
          <w:szCs w:val="24"/>
        </w:rPr>
        <w:tab/>
        <w:t>Anvendelse under drægtighed, laktation eller æglægning</w:t>
      </w:r>
    </w:p>
    <w:p w14:paraId="39C4B720" w14:textId="77777777" w:rsidR="009F78B2" w:rsidRPr="00AB11D5" w:rsidRDefault="009F78B2" w:rsidP="00CA671A">
      <w:pPr>
        <w:ind w:left="851"/>
        <w:rPr>
          <w:sz w:val="24"/>
          <w:szCs w:val="24"/>
          <w:lang w:eastAsia="da-DK"/>
        </w:rPr>
      </w:pPr>
      <w:r w:rsidRPr="00AB11D5">
        <w:rPr>
          <w:sz w:val="24"/>
          <w:szCs w:val="24"/>
        </w:rPr>
        <w:t>Drægtighed og diegivning:</w:t>
      </w:r>
    </w:p>
    <w:p w14:paraId="4AB21167" w14:textId="77777777" w:rsidR="009F78B2" w:rsidRPr="00AB11D5" w:rsidRDefault="009F78B2" w:rsidP="00CA671A">
      <w:pPr>
        <w:ind w:left="851"/>
        <w:rPr>
          <w:sz w:val="24"/>
          <w:szCs w:val="24"/>
        </w:rPr>
      </w:pPr>
      <w:r w:rsidRPr="00AB11D5">
        <w:rPr>
          <w:sz w:val="24"/>
          <w:szCs w:val="24"/>
        </w:rPr>
        <w:t>Kan anvendes under drægtighed og diegivning.</w:t>
      </w:r>
    </w:p>
    <w:p w14:paraId="2C5280E6" w14:textId="77777777" w:rsidR="009F78B2" w:rsidRPr="00FB692E" w:rsidRDefault="009F78B2" w:rsidP="009F78B2">
      <w:pPr>
        <w:rPr>
          <w:sz w:val="24"/>
          <w:szCs w:val="24"/>
        </w:rPr>
      </w:pPr>
    </w:p>
    <w:p w14:paraId="643FEE4A" w14:textId="77777777" w:rsidR="008203A8" w:rsidRPr="00AB11D5" w:rsidRDefault="008203A8" w:rsidP="008203A8">
      <w:pPr>
        <w:tabs>
          <w:tab w:val="left" w:pos="851"/>
        </w:tabs>
        <w:ind w:left="851" w:hanging="851"/>
        <w:rPr>
          <w:b/>
          <w:sz w:val="24"/>
          <w:szCs w:val="24"/>
        </w:rPr>
      </w:pPr>
      <w:r w:rsidRPr="00AB11D5">
        <w:rPr>
          <w:b/>
          <w:sz w:val="24"/>
          <w:szCs w:val="24"/>
        </w:rPr>
        <w:t>3.8</w:t>
      </w:r>
      <w:r w:rsidRPr="00AB11D5">
        <w:rPr>
          <w:b/>
          <w:sz w:val="24"/>
          <w:szCs w:val="24"/>
        </w:rPr>
        <w:tab/>
        <w:t>Interaktion med andre lægemidler og andre former for interaktion</w:t>
      </w:r>
    </w:p>
    <w:p w14:paraId="36D69FCD" w14:textId="77777777" w:rsidR="00364EBB" w:rsidRPr="00AB11D5" w:rsidRDefault="00364EBB" w:rsidP="002B1739">
      <w:pPr>
        <w:ind w:left="851"/>
        <w:rPr>
          <w:sz w:val="24"/>
          <w:szCs w:val="24"/>
        </w:rPr>
      </w:pPr>
      <w:r w:rsidRPr="00AB11D5">
        <w:rPr>
          <w:sz w:val="24"/>
          <w:szCs w:val="24"/>
        </w:rPr>
        <w:t>Ingen kendte.</w:t>
      </w:r>
    </w:p>
    <w:p w14:paraId="7D738114" w14:textId="77777777" w:rsidR="008203A8" w:rsidRPr="00AB11D5" w:rsidRDefault="008203A8" w:rsidP="008203A8">
      <w:pPr>
        <w:tabs>
          <w:tab w:val="left" w:pos="851"/>
        </w:tabs>
        <w:ind w:left="851"/>
        <w:rPr>
          <w:sz w:val="24"/>
          <w:szCs w:val="24"/>
        </w:rPr>
      </w:pPr>
    </w:p>
    <w:p w14:paraId="532BE502" w14:textId="77777777" w:rsidR="008203A8" w:rsidRPr="00AB11D5" w:rsidRDefault="008203A8" w:rsidP="008203A8">
      <w:pPr>
        <w:tabs>
          <w:tab w:val="left" w:pos="851"/>
        </w:tabs>
        <w:ind w:left="851" w:hanging="851"/>
        <w:rPr>
          <w:b/>
          <w:sz w:val="24"/>
          <w:szCs w:val="24"/>
        </w:rPr>
      </w:pPr>
      <w:r w:rsidRPr="00AB11D5">
        <w:rPr>
          <w:b/>
          <w:sz w:val="24"/>
          <w:szCs w:val="24"/>
        </w:rPr>
        <w:t>3.9</w:t>
      </w:r>
      <w:r w:rsidRPr="00AB11D5">
        <w:rPr>
          <w:b/>
          <w:sz w:val="24"/>
          <w:szCs w:val="24"/>
        </w:rPr>
        <w:tab/>
        <w:t>Administrationsveje og dosering</w:t>
      </w:r>
    </w:p>
    <w:p w14:paraId="4CB27FEF" w14:textId="1DC00881" w:rsidR="009F78B2" w:rsidRPr="00AB11D5" w:rsidRDefault="009F78B2" w:rsidP="00CA671A">
      <w:pPr>
        <w:ind w:left="851"/>
        <w:rPr>
          <w:sz w:val="24"/>
          <w:szCs w:val="24"/>
          <w:lang w:eastAsia="da-DK"/>
        </w:rPr>
      </w:pPr>
      <w:r w:rsidRPr="00AB11D5">
        <w:rPr>
          <w:sz w:val="24"/>
          <w:szCs w:val="24"/>
        </w:rPr>
        <w:t xml:space="preserve">Oral </w:t>
      </w:r>
      <w:r w:rsidR="000032BA">
        <w:rPr>
          <w:sz w:val="24"/>
          <w:szCs w:val="24"/>
        </w:rPr>
        <w:t>anvendelse</w:t>
      </w:r>
      <w:r w:rsidRPr="00AB11D5">
        <w:rPr>
          <w:sz w:val="24"/>
          <w:szCs w:val="24"/>
        </w:rPr>
        <w:t>.</w:t>
      </w:r>
    </w:p>
    <w:p w14:paraId="76E2C352" w14:textId="77777777" w:rsidR="009F78B2" w:rsidRPr="00AB11D5" w:rsidRDefault="009F78B2" w:rsidP="00CA671A">
      <w:pPr>
        <w:ind w:left="851"/>
        <w:rPr>
          <w:sz w:val="24"/>
          <w:szCs w:val="24"/>
        </w:rPr>
      </w:pPr>
      <w:r w:rsidRPr="00AB11D5">
        <w:rPr>
          <w:sz w:val="24"/>
          <w:szCs w:val="24"/>
        </w:rPr>
        <w:t xml:space="preserve">En enkelt dosis er 200 µg </w:t>
      </w:r>
      <w:proofErr w:type="spellStart"/>
      <w:r w:rsidRPr="00AB11D5">
        <w:rPr>
          <w:sz w:val="24"/>
          <w:szCs w:val="24"/>
        </w:rPr>
        <w:t>ivermectin</w:t>
      </w:r>
      <w:proofErr w:type="spellEnd"/>
      <w:r w:rsidRPr="00AB11D5">
        <w:rPr>
          <w:sz w:val="24"/>
          <w:szCs w:val="24"/>
        </w:rPr>
        <w:t xml:space="preserve"> og 1,5 mg </w:t>
      </w:r>
      <w:proofErr w:type="spellStart"/>
      <w:r w:rsidRPr="00AB11D5">
        <w:rPr>
          <w:sz w:val="24"/>
          <w:szCs w:val="24"/>
        </w:rPr>
        <w:t>praziquantel</w:t>
      </w:r>
      <w:proofErr w:type="spellEnd"/>
      <w:r w:rsidRPr="00AB11D5">
        <w:rPr>
          <w:sz w:val="24"/>
          <w:szCs w:val="24"/>
        </w:rPr>
        <w:t xml:space="preserve"> pr. kg legemsvægt, svarende til 1,07 g pasta pr. 100 kg legemsvægt.</w:t>
      </w:r>
    </w:p>
    <w:p w14:paraId="746C1646" w14:textId="77777777" w:rsidR="009F78B2" w:rsidRPr="00AB11D5" w:rsidRDefault="009F78B2" w:rsidP="00CA671A">
      <w:pPr>
        <w:ind w:left="851"/>
        <w:rPr>
          <w:sz w:val="24"/>
          <w:szCs w:val="24"/>
        </w:rPr>
      </w:pPr>
      <w:r w:rsidRPr="00AB11D5">
        <w:rPr>
          <w:sz w:val="24"/>
          <w:szCs w:val="24"/>
        </w:rPr>
        <w:t xml:space="preserve">For at sikre korrekt dosering er det vigtigt at bestemme den mest nøjagtige legemsvægt og måle den passende dosis for at undgå underdosering, hvilket kan øge risikoen for at udvikle </w:t>
      </w:r>
      <w:proofErr w:type="spellStart"/>
      <w:r w:rsidRPr="00AB11D5">
        <w:rPr>
          <w:sz w:val="24"/>
          <w:szCs w:val="24"/>
        </w:rPr>
        <w:t>anthelmintikaresistens</w:t>
      </w:r>
      <w:proofErr w:type="spellEnd"/>
      <w:r w:rsidRPr="00AB11D5">
        <w:rPr>
          <w:sz w:val="24"/>
          <w:szCs w:val="24"/>
        </w:rPr>
        <w:t xml:space="preserve">. </w:t>
      </w:r>
    </w:p>
    <w:p w14:paraId="719F7470" w14:textId="77777777" w:rsidR="009F78B2" w:rsidRPr="00AB11D5" w:rsidRDefault="009F78B2" w:rsidP="00CA671A">
      <w:pPr>
        <w:ind w:left="851"/>
        <w:rPr>
          <w:sz w:val="24"/>
          <w:szCs w:val="24"/>
        </w:rPr>
      </w:pPr>
    </w:p>
    <w:tbl>
      <w:tblPr>
        <w:tblW w:w="5000" w:type="pct"/>
        <w:tblCellMar>
          <w:left w:w="70" w:type="dxa"/>
          <w:right w:w="70" w:type="dxa"/>
        </w:tblCellMar>
        <w:tblLook w:val="04A0" w:firstRow="1" w:lastRow="0" w:firstColumn="1" w:lastColumn="0" w:noHBand="0" w:noVBand="1"/>
      </w:tblPr>
      <w:tblGrid>
        <w:gridCol w:w="2407"/>
        <w:gridCol w:w="2407"/>
        <w:gridCol w:w="2407"/>
        <w:gridCol w:w="2407"/>
      </w:tblGrid>
      <w:tr w:rsidR="009F78B2" w:rsidRPr="00AB11D5" w14:paraId="3A7C7289" w14:textId="77777777" w:rsidTr="00CA671A">
        <w:tc>
          <w:tcPr>
            <w:tcW w:w="1250" w:type="pct"/>
            <w:tcBorders>
              <w:top w:val="single" w:sz="4" w:space="0" w:color="000000"/>
              <w:left w:val="single" w:sz="4" w:space="0" w:color="000000"/>
              <w:bottom w:val="single" w:sz="4" w:space="0" w:color="000000"/>
              <w:right w:val="single" w:sz="4" w:space="0" w:color="000000"/>
            </w:tcBorders>
            <w:hideMark/>
          </w:tcPr>
          <w:p w14:paraId="0D42D404" w14:textId="77777777" w:rsidR="009F78B2" w:rsidRPr="00AB11D5" w:rsidRDefault="009F78B2">
            <w:pPr>
              <w:spacing w:before="120" w:after="120"/>
              <w:jc w:val="center"/>
              <w:rPr>
                <w:sz w:val="24"/>
                <w:szCs w:val="24"/>
                <w:lang w:val="bg-BG"/>
              </w:rPr>
            </w:pPr>
            <w:r w:rsidRPr="00AB11D5">
              <w:rPr>
                <w:sz w:val="24"/>
                <w:szCs w:val="24"/>
              </w:rPr>
              <w:t>Hestens vægt</w:t>
            </w:r>
          </w:p>
        </w:tc>
        <w:tc>
          <w:tcPr>
            <w:tcW w:w="1250" w:type="pct"/>
            <w:tcBorders>
              <w:top w:val="single" w:sz="4" w:space="0" w:color="000000"/>
              <w:left w:val="single" w:sz="4" w:space="0" w:color="000000"/>
              <w:bottom w:val="single" w:sz="4" w:space="0" w:color="000000"/>
              <w:right w:val="double" w:sz="4" w:space="0" w:color="000000"/>
            </w:tcBorders>
            <w:hideMark/>
          </w:tcPr>
          <w:p w14:paraId="57CC6383" w14:textId="77777777" w:rsidR="009F78B2" w:rsidRPr="00AB11D5" w:rsidRDefault="009F78B2">
            <w:pPr>
              <w:spacing w:before="120" w:after="120"/>
              <w:jc w:val="center"/>
              <w:rPr>
                <w:sz w:val="24"/>
                <w:szCs w:val="24"/>
              </w:rPr>
            </w:pPr>
            <w:r w:rsidRPr="00AB11D5">
              <w:rPr>
                <w:sz w:val="24"/>
                <w:szCs w:val="24"/>
              </w:rPr>
              <w:t>Dosis af pasta</w:t>
            </w:r>
          </w:p>
        </w:tc>
        <w:tc>
          <w:tcPr>
            <w:tcW w:w="1250" w:type="pct"/>
            <w:tcBorders>
              <w:top w:val="single" w:sz="4" w:space="0" w:color="000000"/>
              <w:left w:val="nil"/>
              <w:bottom w:val="single" w:sz="4" w:space="0" w:color="000000"/>
              <w:right w:val="single" w:sz="4" w:space="0" w:color="000000"/>
            </w:tcBorders>
            <w:hideMark/>
          </w:tcPr>
          <w:p w14:paraId="57126C0F" w14:textId="77777777" w:rsidR="009F78B2" w:rsidRPr="00AB11D5" w:rsidRDefault="009F78B2">
            <w:pPr>
              <w:spacing w:before="120" w:after="120"/>
              <w:jc w:val="center"/>
              <w:rPr>
                <w:sz w:val="24"/>
                <w:szCs w:val="24"/>
              </w:rPr>
            </w:pPr>
            <w:r w:rsidRPr="00AB11D5">
              <w:rPr>
                <w:sz w:val="24"/>
                <w:szCs w:val="24"/>
              </w:rPr>
              <w:t>Hestens vægt</w:t>
            </w:r>
          </w:p>
        </w:tc>
        <w:tc>
          <w:tcPr>
            <w:tcW w:w="1250" w:type="pct"/>
            <w:tcBorders>
              <w:top w:val="single" w:sz="4" w:space="0" w:color="000000"/>
              <w:left w:val="single" w:sz="4" w:space="0" w:color="000000"/>
              <w:bottom w:val="single" w:sz="4" w:space="0" w:color="000000"/>
              <w:right w:val="single" w:sz="4" w:space="0" w:color="000000"/>
            </w:tcBorders>
            <w:hideMark/>
          </w:tcPr>
          <w:p w14:paraId="78C8629F" w14:textId="77777777" w:rsidR="009F78B2" w:rsidRPr="00AB11D5" w:rsidRDefault="009F78B2">
            <w:pPr>
              <w:spacing w:before="120" w:after="120"/>
              <w:jc w:val="center"/>
              <w:rPr>
                <w:sz w:val="24"/>
                <w:szCs w:val="24"/>
              </w:rPr>
            </w:pPr>
            <w:r w:rsidRPr="00AB11D5">
              <w:rPr>
                <w:sz w:val="24"/>
                <w:szCs w:val="24"/>
              </w:rPr>
              <w:t>Dosis af pasta</w:t>
            </w:r>
          </w:p>
        </w:tc>
      </w:tr>
      <w:tr w:rsidR="009F78B2" w:rsidRPr="00AB11D5" w14:paraId="188F17F8" w14:textId="77777777" w:rsidTr="00CA671A">
        <w:tc>
          <w:tcPr>
            <w:tcW w:w="1250" w:type="pct"/>
            <w:tcBorders>
              <w:top w:val="single" w:sz="4" w:space="0" w:color="000000"/>
              <w:left w:val="single" w:sz="4" w:space="0" w:color="000000"/>
              <w:bottom w:val="single" w:sz="4" w:space="0" w:color="000000"/>
              <w:right w:val="single" w:sz="4" w:space="0" w:color="000000"/>
            </w:tcBorders>
            <w:hideMark/>
          </w:tcPr>
          <w:p w14:paraId="5342C683" w14:textId="77777777" w:rsidR="009F78B2" w:rsidRPr="00AB11D5" w:rsidRDefault="009F78B2">
            <w:pPr>
              <w:spacing w:line="280" w:lineRule="exact"/>
              <w:rPr>
                <w:sz w:val="24"/>
                <w:szCs w:val="24"/>
              </w:rPr>
            </w:pPr>
            <w:r w:rsidRPr="00AB11D5">
              <w:rPr>
                <w:sz w:val="24"/>
                <w:szCs w:val="24"/>
              </w:rPr>
              <w:t>Op til 100 kg</w:t>
            </w:r>
          </w:p>
        </w:tc>
        <w:tc>
          <w:tcPr>
            <w:tcW w:w="1250" w:type="pct"/>
            <w:tcBorders>
              <w:top w:val="single" w:sz="4" w:space="0" w:color="000000"/>
              <w:left w:val="single" w:sz="4" w:space="0" w:color="000000"/>
              <w:bottom w:val="single" w:sz="4" w:space="0" w:color="000000"/>
              <w:right w:val="double" w:sz="4" w:space="0" w:color="000000"/>
            </w:tcBorders>
            <w:hideMark/>
          </w:tcPr>
          <w:p w14:paraId="43C67A23" w14:textId="77777777" w:rsidR="009F78B2" w:rsidRPr="00AB11D5" w:rsidRDefault="009F78B2">
            <w:pPr>
              <w:spacing w:line="280" w:lineRule="exact"/>
              <w:rPr>
                <w:sz w:val="24"/>
                <w:szCs w:val="24"/>
              </w:rPr>
            </w:pPr>
            <w:r w:rsidRPr="00AB11D5">
              <w:rPr>
                <w:sz w:val="24"/>
                <w:szCs w:val="24"/>
              </w:rPr>
              <w:t>1,070 g</w:t>
            </w:r>
          </w:p>
        </w:tc>
        <w:tc>
          <w:tcPr>
            <w:tcW w:w="1250" w:type="pct"/>
            <w:tcBorders>
              <w:top w:val="single" w:sz="4" w:space="0" w:color="000000"/>
              <w:left w:val="nil"/>
              <w:bottom w:val="single" w:sz="4" w:space="0" w:color="000000"/>
              <w:right w:val="single" w:sz="4" w:space="0" w:color="000000"/>
            </w:tcBorders>
            <w:hideMark/>
          </w:tcPr>
          <w:p w14:paraId="304875CB" w14:textId="77777777" w:rsidR="009F78B2" w:rsidRPr="00AB11D5" w:rsidRDefault="009F78B2">
            <w:pPr>
              <w:spacing w:line="280" w:lineRule="exact"/>
              <w:rPr>
                <w:sz w:val="24"/>
                <w:szCs w:val="24"/>
              </w:rPr>
            </w:pPr>
            <w:r w:rsidRPr="00AB11D5">
              <w:rPr>
                <w:sz w:val="24"/>
                <w:szCs w:val="24"/>
              </w:rPr>
              <w:t>401-450 kg</w:t>
            </w:r>
          </w:p>
        </w:tc>
        <w:tc>
          <w:tcPr>
            <w:tcW w:w="1250" w:type="pct"/>
            <w:tcBorders>
              <w:top w:val="single" w:sz="4" w:space="0" w:color="000000"/>
              <w:left w:val="single" w:sz="4" w:space="0" w:color="000000"/>
              <w:bottom w:val="single" w:sz="4" w:space="0" w:color="000000"/>
              <w:right w:val="single" w:sz="4" w:space="0" w:color="000000"/>
            </w:tcBorders>
            <w:hideMark/>
          </w:tcPr>
          <w:p w14:paraId="66DBC7DB" w14:textId="77777777" w:rsidR="009F78B2" w:rsidRPr="00AB11D5" w:rsidRDefault="009F78B2">
            <w:pPr>
              <w:spacing w:line="280" w:lineRule="exact"/>
              <w:rPr>
                <w:sz w:val="24"/>
                <w:szCs w:val="24"/>
              </w:rPr>
            </w:pPr>
            <w:r w:rsidRPr="00AB11D5">
              <w:rPr>
                <w:sz w:val="24"/>
                <w:szCs w:val="24"/>
              </w:rPr>
              <w:t>4,815 g</w:t>
            </w:r>
          </w:p>
        </w:tc>
      </w:tr>
      <w:tr w:rsidR="009F78B2" w:rsidRPr="00AB11D5" w14:paraId="28F20F86" w14:textId="77777777" w:rsidTr="00CA671A">
        <w:tc>
          <w:tcPr>
            <w:tcW w:w="1250" w:type="pct"/>
            <w:tcBorders>
              <w:top w:val="single" w:sz="4" w:space="0" w:color="000000"/>
              <w:left w:val="single" w:sz="4" w:space="0" w:color="000000"/>
              <w:bottom w:val="single" w:sz="4" w:space="0" w:color="000000"/>
              <w:right w:val="single" w:sz="4" w:space="0" w:color="000000"/>
            </w:tcBorders>
            <w:hideMark/>
          </w:tcPr>
          <w:p w14:paraId="44973ECA" w14:textId="77777777" w:rsidR="009F78B2" w:rsidRPr="00AB11D5" w:rsidRDefault="009F78B2">
            <w:pPr>
              <w:spacing w:line="280" w:lineRule="exact"/>
              <w:rPr>
                <w:sz w:val="24"/>
                <w:szCs w:val="24"/>
              </w:rPr>
            </w:pPr>
            <w:r w:rsidRPr="00AB11D5">
              <w:rPr>
                <w:sz w:val="24"/>
                <w:szCs w:val="24"/>
              </w:rPr>
              <w:t>101-150 kg</w:t>
            </w:r>
          </w:p>
        </w:tc>
        <w:tc>
          <w:tcPr>
            <w:tcW w:w="1250" w:type="pct"/>
            <w:tcBorders>
              <w:top w:val="single" w:sz="4" w:space="0" w:color="000000"/>
              <w:left w:val="single" w:sz="4" w:space="0" w:color="000000"/>
              <w:bottom w:val="single" w:sz="4" w:space="0" w:color="000000"/>
              <w:right w:val="double" w:sz="4" w:space="0" w:color="000000"/>
            </w:tcBorders>
            <w:hideMark/>
          </w:tcPr>
          <w:p w14:paraId="79509FF9" w14:textId="77777777" w:rsidR="009F78B2" w:rsidRPr="00AB11D5" w:rsidRDefault="009F78B2">
            <w:pPr>
              <w:spacing w:line="280" w:lineRule="exact"/>
              <w:rPr>
                <w:sz w:val="24"/>
                <w:szCs w:val="24"/>
              </w:rPr>
            </w:pPr>
            <w:r w:rsidRPr="00AB11D5">
              <w:rPr>
                <w:sz w:val="24"/>
                <w:szCs w:val="24"/>
              </w:rPr>
              <w:t>1,605 g</w:t>
            </w:r>
          </w:p>
        </w:tc>
        <w:tc>
          <w:tcPr>
            <w:tcW w:w="1250" w:type="pct"/>
            <w:tcBorders>
              <w:top w:val="single" w:sz="4" w:space="0" w:color="000000"/>
              <w:left w:val="nil"/>
              <w:bottom w:val="single" w:sz="4" w:space="0" w:color="000000"/>
              <w:right w:val="single" w:sz="4" w:space="0" w:color="000000"/>
            </w:tcBorders>
            <w:hideMark/>
          </w:tcPr>
          <w:p w14:paraId="2516166F" w14:textId="77777777" w:rsidR="009F78B2" w:rsidRPr="00AB11D5" w:rsidRDefault="009F78B2">
            <w:pPr>
              <w:spacing w:line="280" w:lineRule="exact"/>
              <w:rPr>
                <w:sz w:val="24"/>
                <w:szCs w:val="24"/>
              </w:rPr>
            </w:pPr>
            <w:r w:rsidRPr="00AB11D5">
              <w:rPr>
                <w:sz w:val="24"/>
                <w:szCs w:val="24"/>
              </w:rPr>
              <w:t>451-500 kg</w:t>
            </w:r>
          </w:p>
        </w:tc>
        <w:tc>
          <w:tcPr>
            <w:tcW w:w="1250" w:type="pct"/>
            <w:tcBorders>
              <w:top w:val="single" w:sz="4" w:space="0" w:color="000000"/>
              <w:left w:val="single" w:sz="4" w:space="0" w:color="000000"/>
              <w:bottom w:val="single" w:sz="4" w:space="0" w:color="000000"/>
              <w:right w:val="single" w:sz="4" w:space="0" w:color="000000"/>
            </w:tcBorders>
            <w:hideMark/>
          </w:tcPr>
          <w:p w14:paraId="5B676748" w14:textId="77777777" w:rsidR="009F78B2" w:rsidRPr="00AB11D5" w:rsidRDefault="009F78B2">
            <w:pPr>
              <w:spacing w:line="280" w:lineRule="exact"/>
              <w:rPr>
                <w:sz w:val="24"/>
                <w:szCs w:val="24"/>
              </w:rPr>
            </w:pPr>
            <w:r w:rsidRPr="00AB11D5">
              <w:rPr>
                <w:sz w:val="24"/>
                <w:szCs w:val="24"/>
              </w:rPr>
              <w:t>5,350 g</w:t>
            </w:r>
          </w:p>
        </w:tc>
      </w:tr>
      <w:tr w:rsidR="009F78B2" w:rsidRPr="00AB11D5" w14:paraId="7394EF6C" w14:textId="77777777" w:rsidTr="00CA671A">
        <w:tc>
          <w:tcPr>
            <w:tcW w:w="1250" w:type="pct"/>
            <w:tcBorders>
              <w:top w:val="single" w:sz="4" w:space="0" w:color="000000"/>
              <w:left w:val="single" w:sz="4" w:space="0" w:color="000000"/>
              <w:bottom w:val="single" w:sz="4" w:space="0" w:color="000000"/>
              <w:right w:val="single" w:sz="4" w:space="0" w:color="000000"/>
            </w:tcBorders>
            <w:hideMark/>
          </w:tcPr>
          <w:p w14:paraId="694A3D67" w14:textId="77777777" w:rsidR="009F78B2" w:rsidRPr="00AB11D5" w:rsidRDefault="009F78B2">
            <w:pPr>
              <w:spacing w:line="280" w:lineRule="exact"/>
              <w:rPr>
                <w:sz w:val="24"/>
                <w:szCs w:val="24"/>
              </w:rPr>
            </w:pPr>
            <w:r w:rsidRPr="00AB11D5">
              <w:rPr>
                <w:sz w:val="24"/>
                <w:szCs w:val="24"/>
              </w:rPr>
              <w:t>151-200 kg</w:t>
            </w:r>
          </w:p>
        </w:tc>
        <w:tc>
          <w:tcPr>
            <w:tcW w:w="1250" w:type="pct"/>
            <w:tcBorders>
              <w:top w:val="single" w:sz="4" w:space="0" w:color="000000"/>
              <w:left w:val="single" w:sz="4" w:space="0" w:color="000000"/>
              <w:bottom w:val="single" w:sz="4" w:space="0" w:color="000000"/>
              <w:right w:val="double" w:sz="4" w:space="0" w:color="000000"/>
            </w:tcBorders>
            <w:hideMark/>
          </w:tcPr>
          <w:p w14:paraId="60227B52" w14:textId="77777777" w:rsidR="009F78B2" w:rsidRPr="00AB11D5" w:rsidRDefault="009F78B2">
            <w:pPr>
              <w:spacing w:line="280" w:lineRule="exact"/>
              <w:rPr>
                <w:sz w:val="24"/>
                <w:szCs w:val="24"/>
              </w:rPr>
            </w:pPr>
            <w:r w:rsidRPr="00AB11D5">
              <w:rPr>
                <w:sz w:val="24"/>
                <w:szCs w:val="24"/>
              </w:rPr>
              <w:t>2,140 g</w:t>
            </w:r>
          </w:p>
        </w:tc>
        <w:tc>
          <w:tcPr>
            <w:tcW w:w="1250" w:type="pct"/>
            <w:tcBorders>
              <w:top w:val="single" w:sz="4" w:space="0" w:color="000000"/>
              <w:left w:val="nil"/>
              <w:bottom w:val="single" w:sz="4" w:space="0" w:color="000000"/>
              <w:right w:val="single" w:sz="4" w:space="0" w:color="000000"/>
            </w:tcBorders>
            <w:hideMark/>
          </w:tcPr>
          <w:p w14:paraId="25E1F000" w14:textId="77777777" w:rsidR="009F78B2" w:rsidRPr="00AB11D5" w:rsidRDefault="009F78B2">
            <w:pPr>
              <w:spacing w:line="280" w:lineRule="exact"/>
              <w:rPr>
                <w:sz w:val="24"/>
                <w:szCs w:val="24"/>
              </w:rPr>
            </w:pPr>
            <w:r w:rsidRPr="00AB11D5">
              <w:rPr>
                <w:sz w:val="24"/>
                <w:szCs w:val="24"/>
              </w:rPr>
              <w:t>501-550 kg</w:t>
            </w:r>
          </w:p>
        </w:tc>
        <w:tc>
          <w:tcPr>
            <w:tcW w:w="1250" w:type="pct"/>
            <w:tcBorders>
              <w:top w:val="single" w:sz="4" w:space="0" w:color="000000"/>
              <w:left w:val="single" w:sz="4" w:space="0" w:color="000000"/>
              <w:bottom w:val="single" w:sz="4" w:space="0" w:color="000000"/>
              <w:right w:val="single" w:sz="4" w:space="0" w:color="000000"/>
            </w:tcBorders>
            <w:hideMark/>
          </w:tcPr>
          <w:p w14:paraId="67C10976" w14:textId="77777777" w:rsidR="009F78B2" w:rsidRPr="00AB11D5" w:rsidRDefault="009F78B2">
            <w:pPr>
              <w:spacing w:line="280" w:lineRule="exact"/>
              <w:rPr>
                <w:sz w:val="24"/>
                <w:szCs w:val="24"/>
              </w:rPr>
            </w:pPr>
            <w:r w:rsidRPr="00AB11D5">
              <w:rPr>
                <w:sz w:val="24"/>
                <w:szCs w:val="24"/>
              </w:rPr>
              <w:t>5,885 g</w:t>
            </w:r>
          </w:p>
        </w:tc>
      </w:tr>
      <w:tr w:rsidR="009F78B2" w:rsidRPr="00AB11D5" w14:paraId="2EF6ED79" w14:textId="77777777" w:rsidTr="00CA671A">
        <w:tc>
          <w:tcPr>
            <w:tcW w:w="1250" w:type="pct"/>
            <w:tcBorders>
              <w:top w:val="single" w:sz="4" w:space="0" w:color="000000"/>
              <w:left w:val="single" w:sz="4" w:space="0" w:color="000000"/>
              <w:bottom w:val="single" w:sz="4" w:space="0" w:color="000000"/>
              <w:right w:val="single" w:sz="4" w:space="0" w:color="000000"/>
            </w:tcBorders>
            <w:hideMark/>
          </w:tcPr>
          <w:p w14:paraId="33B1F03B" w14:textId="77777777" w:rsidR="009F78B2" w:rsidRPr="00AB11D5" w:rsidRDefault="009F78B2">
            <w:pPr>
              <w:spacing w:line="280" w:lineRule="exact"/>
              <w:rPr>
                <w:sz w:val="24"/>
                <w:szCs w:val="24"/>
              </w:rPr>
            </w:pPr>
            <w:r w:rsidRPr="00AB11D5">
              <w:rPr>
                <w:sz w:val="24"/>
                <w:szCs w:val="24"/>
              </w:rPr>
              <w:t>201-250 kg</w:t>
            </w:r>
          </w:p>
        </w:tc>
        <w:tc>
          <w:tcPr>
            <w:tcW w:w="1250" w:type="pct"/>
            <w:tcBorders>
              <w:top w:val="single" w:sz="4" w:space="0" w:color="000000"/>
              <w:left w:val="single" w:sz="4" w:space="0" w:color="000000"/>
              <w:bottom w:val="single" w:sz="4" w:space="0" w:color="000000"/>
              <w:right w:val="double" w:sz="4" w:space="0" w:color="000000"/>
            </w:tcBorders>
            <w:hideMark/>
          </w:tcPr>
          <w:p w14:paraId="4C59D3C9" w14:textId="77777777" w:rsidR="009F78B2" w:rsidRPr="00AB11D5" w:rsidRDefault="009F78B2">
            <w:pPr>
              <w:spacing w:line="280" w:lineRule="exact"/>
              <w:rPr>
                <w:sz w:val="24"/>
                <w:szCs w:val="24"/>
              </w:rPr>
            </w:pPr>
            <w:r w:rsidRPr="00AB11D5">
              <w:rPr>
                <w:sz w:val="24"/>
                <w:szCs w:val="24"/>
              </w:rPr>
              <w:t>2,675 g</w:t>
            </w:r>
          </w:p>
        </w:tc>
        <w:tc>
          <w:tcPr>
            <w:tcW w:w="1250" w:type="pct"/>
            <w:tcBorders>
              <w:top w:val="single" w:sz="4" w:space="0" w:color="000000"/>
              <w:left w:val="nil"/>
              <w:bottom w:val="single" w:sz="4" w:space="0" w:color="000000"/>
              <w:right w:val="single" w:sz="4" w:space="0" w:color="000000"/>
            </w:tcBorders>
            <w:hideMark/>
          </w:tcPr>
          <w:p w14:paraId="2D1EA362" w14:textId="77777777" w:rsidR="009F78B2" w:rsidRPr="00AB11D5" w:rsidRDefault="009F78B2">
            <w:pPr>
              <w:spacing w:line="280" w:lineRule="exact"/>
              <w:rPr>
                <w:sz w:val="24"/>
                <w:szCs w:val="24"/>
              </w:rPr>
            </w:pPr>
            <w:r w:rsidRPr="00AB11D5">
              <w:rPr>
                <w:sz w:val="24"/>
                <w:szCs w:val="24"/>
              </w:rPr>
              <w:t>551-600 kg</w:t>
            </w:r>
          </w:p>
        </w:tc>
        <w:tc>
          <w:tcPr>
            <w:tcW w:w="1250" w:type="pct"/>
            <w:tcBorders>
              <w:top w:val="single" w:sz="4" w:space="0" w:color="000000"/>
              <w:left w:val="single" w:sz="4" w:space="0" w:color="000000"/>
              <w:bottom w:val="single" w:sz="4" w:space="0" w:color="000000"/>
              <w:right w:val="single" w:sz="4" w:space="0" w:color="000000"/>
            </w:tcBorders>
            <w:hideMark/>
          </w:tcPr>
          <w:p w14:paraId="0B6EA685" w14:textId="77777777" w:rsidR="009F78B2" w:rsidRPr="00AB11D5" w:rsidRDefault="009F78B2">
            <w:pPr>
              <w:spacing w:line="280" w:lineRule="exact"/>
              <w:rPr>
                <w:sz w:val="24"/>
                <w:szCs w:val="24"/>
              </w:rPr>
            </w:pPr>
            <w:r w:rsidRPr="00AB11D5">
              <w:rPr>
                <w:sz w:val="24"/>
                <w:szCs w:val="24"/>
              </w:rPr>
              <w:t>6,420 g</w:t>
            </w:r>
          </w:p>
        </w:tc>
      </w:tr>
      <w:tr w:rsidR="009F78B2" w:rsidRPr="00AB11D5" w14:paraId="55B91E5B" w14:textId="77777777" w:rsidTr="00CA671A">
        <w:tc>
          <w:tcPr>
            <w:tcW w:w="1250" w:type="pct"/>
            <w:tcBorders>
              <w:top w:val="single" w:sz="4" w:space="0" w:color="000000"/>
              <w:left w:val="single" w:sz="4" w:space="0" w:color="000000"/>
              <w:bottom w:val="single" w:sz="4" w:space="0" w:color="000000"/>
              <w:right w:val="single" w:sz="4" w:space="0" w:color="000000"/>
            </w:tcBorders>
            <w:hideMark/>
          </w:tcPr>
          <w:p w14:paraId="5200F46D" w14:textId="77777777" w:rsidR="009F78B2" w:rsidRPr="00AB11D5" w:rsidRDefault="009F78B2">
            <w:pPr>
              <w:spacing w:line="280" w:lineRule="exact"/>
              <w:rPr>
                <w:sz w:val="24"/>
                <w:szCs w:val="24"/>
              </w:rPr>
            </w:pPr>
            <w:r w:rsidRPr="00AB11D5">
              <w:rPr>
                <w:sz w:val="24"/>
                <w:szCs w:val="24"/>
              </w:rPr>
              <w:lastRenderedPageBreak/>
              <w:t>251-300 kg</w:t>
            </w:r>
          </w:p>
        </w:tc>
        <w:tc>
          <w:tcPr>
            <w:tcW w:w="1250" w:type="pct"/>
            <w:tcBorders>
              <w:top w:val="single" w:sz="4" w:space="0" w:color="000000"/>
              <w:left w:val="single" w:sz="4" w:space="0" w:color="000000"/>
              <w:bottom w:val="single" w:sz="4" w:space="0" w:color="000000"/>
              <w:right w:val="double" w:sz="4" w:space="0" w:color="000000"/>
            </w:tcBorders>
            <w:hideMark/>
          </w:tcPr>
          <w:p w14:paraId="09ADDFA7" w14:textId="77777777" w:rsidR="009F78B2" w:rsidRPr="00AB11D5" w:rsidRDefault="009F78B2">
            <w:pPr>
              <w:spacing w:line="280" w:lineRule="exact"/>
              <w:rPr>
                <w:sz w:val="24"/>
                <w:szCs w:val="24"/>
              </w:rPr>
            </w:pPr>
            <w:r w:rsidRPr="00AB11D5">
              <w:rPr>
                <w:sz w:val="24"/>
                <w:szCs w:val="24"/>
              </w:rPr>
              <w:t>3,210 g</w:t>
            </w:r>
          </w:p>
        </w:tc>
        <w:tc>
          <w:tcPr>
            <w:tcW w:w="1250" w:type="pct"/>
            <w:tcBorders>
              <w:top w:val="single" w:sz="4" w:space="0" w:color="000000"/>
              <w:left w:val="nil"/>
              <w:bottom w:val="single" w:sz="4" w:space="0" w:color="000000"/>
              <w:right w:val="single" w:sz="4" w:space="0" w:color="000000"/>
            </w:tcBorders>
          </w:tcPr>
          <w:p w14:paraId="6BCEABFD" w14:textId="2FFDC8DA" w:rsidR="009F78B2" w:rsidRPr="00AB11D5" w:rsidRDefault="009F78B2" w:rsidP="00482FEF">
            <w:pPr>
              <w:spacing w:line="280" w:lineRule="exact"/>
              <w:rPr>
                <w:sz w:val="24"/>
                <w:szCs w:val="24"/>
              </w:rPr>
            </w:pPr>
            <w:r w:rsidRPr="00AB11D5">
              <w:rPr>
                <w:sz w:val="24"/>
                <w:szCs w:val="24"/>
              </w:rPr>
              <w:t>601-650 kg</w:t>
            </w:r>
          </w:p>
        </w:tc>
        <w:tc>
          <w:tcPr>
            <w:tcW w:w="1250" w:type="pct"/>
            <w:tcBorders>
              <w:top w:val="single" w:sz="4" w:space="0" w:color="000000"/>
              <w:left w:val="single" w:sz="4" w:space="0" w:color="000000"/>
              <w:bottom w:val="single" w:sz="4" w:space="0" w:color="000000"/>
              <w:right w:val="single" w:sz="4" w:space="0" w:color="000000"/>
            </w:tcBorders>
            <w:hideMark/>
          </w:tcPr>
          <w:p w14:paraId="72A8EDD6" w14:textId="77777777" w:rsidR="009F78B2" w:rsidRPr="00AB11D5" w:rsidRDefault="009F78B2">
            <w:pPr>
              <w:spacing w:line="280" w:lineRule="exact"/>
              <w:rPr>
                <w:sz w:val="24"/>
                <w:szCs w:val="24"/>
                <w:lang w:val="bg-BG"/>
              </w:rPr>
            </w:pPr>
            <w:r w:rsidRPr="00AB11D5">
              <w:rPr>
                <w:sz w:val="24"/>
                <w:szCs w:val="24"/>
              </w:rPr>
              <w:t>6,955 g</w:t>
            </w:r>
          </w:p>
        </w:tc>
      </w:tr>
      <w:tr w:rsidR="009F78B2" w:rsidRPr="00AB11D5" w14:paraId="284F02D6" w14:textId="77777777" w:rsidTr="00CA671A">
        <w:tc>
          <w:tcPr>
            <w:tcW w:w="1250" w:type="pct"/>
            <w:tcBorders>
              <w:top w:val="single" w:sz="4" w:space="0" w:color="000000"/>
              <w:left w:val="single" w:sz="4" w:space="0" w:color="000000"/>
              <w:bottom w:val="single" w:sz="4" w:space="0" w:color="000000"/>
              <w:right w:val="single" w:sz="4" w:space="0" w:color="000000"/>
            </w:tcBorders>
            <w:hideMark/>
          </w:tcPr>
          <w:p w14:paraId="39CE6D63" w14:textId="77777777" w:rsidR="009F78B2" w:rsidRPr="00AB11D5" w:rsidRDefault="009F78B2">
            <w:pPr>
              <w:spacing w:line="280" w:lineRule="exact"/>
              <w:rPr>
                <w:sz w:val="24"/>
                <w:szCs w:val="24"/>
              </w:rPr>
            </w:pPr>
            <w:r w:rsidRPr="00AB11D5">
              <w:rPr>
                <w:sz w:val="24"/>
                <w:szCs w:val="24"/>
              </w:rPr>
              <w:t>301-350 kg</w:t>
            </w:r>
          </w:p>
        </w:tc>
        <w:tc>
          <w:tcPr>
            <w:tcW w:w="1250" w:type="pct"/>
            <w:tcBorders>
              <w:top w:val="single" w:sz="4" w:space="0" w:color="000000"/>
              <w:left w:val="single" w:sz="4" w:space="0" w:color="000000"/>
              <w:bottom w:val="single" w:sz="4" w:space="0" w:color="000000"/>
              <w:right w:val="double" w:sz="4" w:space="0" w:color="000000"/>
            </w:tcBorders>
            <w:hideMark/>
          </w:tcPr>
          <w:p w14:paraId="3F47511F" w14:textId="77777777" w:rsidR="009F78B2" w:rsidRPr="00AB11D5" w:rsidRDefault="009F78B2">
            <w:pPr>
              <w:spacing w:line="280" w:lineRule="exact"/>
              <w:rPr>
                <w:sz w:val="24"/>
                <w:szCs w:val="24"/>
              </w:rPr>
            </w:pPr>
            <w:r w:rsidRPr="00AB11D5">
              <w:rPr>
                <w:sz w:val="24"/>
                <w:szCs w:val="24"/>
              </w:rPr>
              <w:t>3,745 g</w:t>
            </w:r>
          </w:p>
        </w:tc>
        <w:tc>
          <w:tcPr>
            <w:tcW w:w="1250" w:type="pct"/>
            <w:tcBorders>
              <w:top w:val="single" w:sz="4" w:space="0" w:color="000000"/>
              <w:left w:val="nil"/>
              <w:bottom w:val="single" w:sz="4" w:space="0" w:color="000000"/>
              <w:right w:val="single" w:sz="4" w:space="0" w:color="000000"/>
            </w:tcBorders>
          </w:tcPr>
          <w:p w14:paraId="4DC6B67B" w14:textId="360F11D6" w:rsidR="009F78B2" w:rsidRPr="00AB11D5" w:rsidRDefault="009F78B2" w:rsidP="00482FEF">
            <w:pPr>
              <w:spacing w:line="280" w:lineRule="exact"/>
              <w:rPr>
                <w:sz w:val="24"/>
                <w:szCs w:val="24"/>
              </w:rPr>
            </w:pPr>
            <w:r w:rsidRPr="00AB11D5">
              <w:rPr>
                <w:sz w:val="24"/>
                <w:szCs w:val="24"/>
              </w:rPr>
              <w:t>651-700 kg</w:t>
            </w:r>
          </w:p>
        </w:tc>
        <w:tc>
          <w:tcPr>
            <w:tcW w:w="1250" w:type="pct"/>
            <w:tcBorders>
              <w:top w:val="single" w:sz="4" w:space="0" w:color="000000"/>
              <w:left w:val="single" w:sz="4" w:space="0" w:color="000000"/>
              <w:bottom w:val="single" w:sz="4" w:space="0" w:color="000000"/>
              <w:right w:val="single" w:sz="4" w:space="0" w:color="000000"/>
            </w:tcBorders>
            <w:hideMark/>
          </w:tcPr>
          <w:p w14:paraId="5B535E21" w14:textId="77777777" w:rsidR="009F78B2" w:rsidRPr="00AB11D5" w:rsidRDefault="009F78B2">
            <w:pPr>
              <w:spacing w:line="280" w:lineRule="exact"/>
              <w:rPr>
                <w:sz w:val="24"/>
                <w:szCs w:val="24"/>
                <w:lang w:val="bg-BG"/>
              </w:rPr>
            </w:pPr>
            <w:r w:rsidRPr="00AB11D5">
              <w:rPr>
                <w:sz w:val="24"/>
                <w:szCs w:val="24"/>
              </w:rPr>
              <w:t>7,490 g</w:t>
            </w:r>
          </w:p>
        </w:tc>
      </w:tr>
      <w:tr w:rsidR="009F78B2" w:rsidRPr="00AB11D5" w14:paraId="0CCEDA30" w14:textId="77777777" w:rsidTr="00CA671A">
        <w:tc>
          <w:tcPr>
            <w:tcW w:w="1250" w:type="pct"/>
            <w:tcBorders>
              <w:top w:val="single" w:sz="4" w:space="0" w:color="000000"/>
              <w:left w:val="single" w:sz="4" w:space="0" w:color="000000"/>
              <w:bottom w:val="single" w:sz="4" w:space="0" w:color="000000"/>
              <w:right w:val="single" w:sz="4" w:space="0" w:color="000000"/>
            </w:tcBorders>
            <w:hideMark/>
          </w:tcPr>
          <w:p w14:paraId="7A2CA654" w14:textId="77777777" w:rsidR="009F78B2" w:rsidRPr="00AB11D5" w:rsidRDefault="009F78B2">
            <w:pPr>
              <w:spacing w:line="280" w:lineRule="exact"/>
              <w:rPr>
                <w:sz w:val="24"/>
                <w:szCs w:val="24"/>
              </w:rPr>
            </w:pPr>
            <w:r w:rsidRPr="00AB11D5">
              <w:rPr>
                <w:sz w:val="24"/>
                <w:szCs w:val="24"/>
              </w:rPr>
              <w:t>351-400 kg</w:t>
            </w:r>
          </w:p>
        </w:tc>
        <w:tc>
          <w:tcPr>
            <w:tcW w:w="1250" w:type="pct"/>
            <w:tcBorders>
              <w:top w:val="single" w:sz="4" w:space="0" w:color="000000"/>
              <w:left w:val="single" w:sz="4" w:space="0" w:color="000000"/>
              <w:bottom w:val="single" w:sz="4" w:space="0" w:color="000000"/>
              <w:right w:val="double" w:sz="4" w:space="0" w:color="000000"/>
            </w:tcBorders>
            <w:hideMark/>
          </w:tcPr>
          <w:p w14:paraId="1DF5D583" w14:textId="77777777" w:rsidR="009F78B2" w:rsidRPr="00AB11D5" w:rsidRDefault="009F78B2">
            <w:pPr>
              <w:spacing w:line="280" w:lineRule="exact"/>
              <w:rPr>
                <w:sz w:val="24"/>
                <w:szCs w:val="24"/>
              </w:rPr>
            </w:pPr>
            <w:r w:rsidRPr="00AB11D5">
              <w:rPr>
                <w:sz w:val="24"/>
                <w:szCs w:val="24"/>
              </w:rPr>
              <w:t>4,280 g</w:t>
            </w:r>
          </w:p>
        </w:tc>
        <w:tc>
          <w:tcPr>
            <w:tcW w:w="1250" w:type="pct"/>
            <w:tcBorders>
              <w:top w:val="single" w:sz="4" w:space="0" w:color="000000"/>
              <w:left w:val="nil"/>
              <w:bottom w:val="single" w:sz="4" w:space="0" w:color="000000"/>
              <w:right w:val="single" w:sz="4" w:space="0" w:color="000000"/>
            </w:tcBorders>
          </w:tcPr>
          <w:p w14:paraId="7B0CB2C4" w14:textId="77777777" w:rsidR="009F78B2" w:rsidRPr="00AB11D5" w:rsidRDefault="009F78B2">
            <w:pPr>
              <w:snapToGrid w:val="0"/>
              <w:spacing w:line="280" w:lineRule="exact"/>
              <w:rPr>
                <w:sz w:val="24"/>
                <w:szCs w:val="24"/>
              </w:rPr>
            </w:pPr>
          </w:p>
        </w:tc>
        <w:tc>
          <w:tcPr>
            <w:tcW w:w="1250" w:type="pct"/>
            <w:tcBorders>
              <w:top w:val="single" w:sz="4" w:space="0" w:color="000000"/>
              <w:left w:val="single" w:sz="4" w:space="0" w:color="000000"/>
              <w:bottom w:val="single" w:sz="4" w:space="0" w:color="000000"/>
              <w:right w:val="single" w:sz="4" w:space="0" w:color="000000"/>
            </w:tcBorders>
          </w:tcPr>
          <w:p w14:paraId="3133018A" w14:textId="77777777" w:rsidR="009F78B2" w:rsidRPr="00AB11D5" w:rsidRDefault="009F78B2">
            <w:pPr>
              <w:snapToGrid w:val="0"/>
              <w:spacing w:line="280" w:lineRule="exact"/>
              <w:rPr>
                <w:sz w:val="24"/>
                <w:szCs w:val="24"/>
              </w:rPr>
            </w:pPr>
          </w:p>
        </w:tc>
      </w:tr>
    </w:tbl>
    <w:p w14:paraId="769508C0" w14:textId="77777777" w:rsidR="009F78B2" w:rsidRPr="00AB11D5" w:rsidRDefault="009F78B2" w:rsidP="00CA671A">
      <w:pPr>
        <w:ind w:left="851"/>
        <w:rPr>
          <w:sz w:val="24"/>
          <w:szCs w:val="24"/>
        </w:rPr>
      </w:pPr>
    </w:p>
    <w:p w14:paraId="4E7D991F" w14:textId="41C5F273" w:rsidR="009F78B2" w:rsidRPr="00AB11D5" w:rsidRDefault="009F78B2" w:rsidP="00CA671A">
      <w:pPr>
        <w:ind w:left="851"/>
        <w:rPr>
          <w:sz w:val="24"/>
          <w:szCs w:val="24"/>
          <w:lang w:val="bg-BG"/>
        </w:rPr>
      </w:pPr>
      <w:r w:rsidRPr="00AB11D5">
        <w:rPr>
          <w:sz w:val="24"/>
          <w:szCs w:val="24"/>
        </w:rPr>
        <w:t>Den første dosis af pastaen er tilstrækkelig til at behandle dyr med en levende vægt på 100</w:t>
      </w:r>
      <w:r w:rsidR="00FB692E">
        <w:rPr>
          <w:sz w:val="24"/>
          <w:szCs w:val="24"/>
        </w:rPr>
        <w:t> </w:t>
      </w:r>
      <w:r w:rsidRPr="00AB11D5">
        <w:rPr>
          <w:sz w:val="24"/>
          <w:szCs w:val="24"/>
        </w:rPr>
        <w:t xml:space="preserve">kg. </w:t>
      </w:r>
    </w:p>
    <w:p w14:paraId="43681F57" w14:textId="77777777" w:rsidR="009F78B2" w:rsidRPr="00AB11D5" w:rsidRDefault="009F78B2" w:rsidP="00CA671A">
      <w:pPr>
        <w:ind w:left="851"/>
        <w:rPr>
          <w:sz w:val="24"/>
          <w:szCs w:val="24"/>
        </w:rPr>
      </w:pPr>
      <w:r w:rsidRPr="00AB11D5">
        <w:rPr>
          <w:sz w:val="24"/>
          <w:szCs w:val="24"/>
        </w:rPr>
        <w:t>Hv</w:t>
      </w:r>
      <w:r w:rsidRPr="00AB11D5">
        <w:rPr>
          <w:color w:val="000000"/>
          <w:sz w:val="24"/>
          <w:szCs w:val="24"/>
        </w:rPr>
        <w:t>er vægtmarkering på dosissprøjten giver tilstrækkelig mængde pasta til 50 kg legemsvægt.</w:t>
      </w:r>
      <w:r w:rsidRPr="00AB11D5">
        <w:rPr>
          <w:sz w:val="24"/>
          <w:szCs w:val="24"/>
        </w:rPr>
        <w:t xml:space="preserve"> Sprøjten bør justeres til den beregnede dosis ve</w:t>
      </w:r>
      <w:r w:rsidRPr="00AB11D5">
        <w:rPr>
          <w:color w:val="000000"/>
          <w:sz w:val="24"/>
          <w:szCs w:val="24"/>
        </w:rPr>
        <w:t>d at sætte ring</w:t>
      </w:r>
      <w:r w:rsidRPr="00AB11D5">
        <w:rPr>
          <w:sz w:val="24"/>
          <w:szCs w:val="24"/>
        </w:rPr>
        <w:t>en på det korrekte sted på stemplet.</w:t>
      </w:r>
    </w:p>
    <w:p w14:paraId="0C8727B9" w14:textId="77777777" w:rsidR="009F78B2" w:rsidRPr="00AB11D5" w:rsidRDefault="009F78B2" w:rsidP="00CA671A">
      <w:pPr>
        <w:ind w:left="851"/>
        <w:rPr>
          <w:sz w:val="24"/>
          <w:szCs w:val="24"/>
        </w:rPr>
      </w:pPr>
    </w:p>
    <w:p w14:paraId="380B92E3" w14:textId="77777777" w:rsidR="009F78B2" w:rsidRPr="00AB11D5" w:rsidRDefault="009F78B2" w:rsidP="00CA671A">
      <w:pPr>
        <w:ind w:left="851"/>
        <w:rPr>
          <w:sz w:val="24"/>
          <w:szCs w:val="24"/>
          <w:lang w:val="bg-BG"/>
        </w:rPr>
      </w:pPr>
      <w:r w:rsidRPr="00AB11D5">
        <w:rPr>
          <w:color w:val="000000"/>
          <w:sz w:val="24"/>
          <w:szCs w:val="24"/>
        </w:rPr>
        <w:t>En sprøjte, der indeholder 7,49 g pasta, giver nok pasta til at behandle en hest på op til 700 kg ved den anbefalede dosering.</w:t>
      </w:r>
    </w:p>
    <w:p w14:paraId="2F0EEE86" w14:textId="77777777" w:rsidR="009F78B2" w:rsidRPr="00AB11D5" w:rsidRDefault="009F78B2" w:rsidP="00CA671A">
      <w:pPr>
        <w:ind w:left="851"/>
        <w:rPr>
          <w:sz w:val="24"/>
          <w:szCs w:val="24"/>
        </w:rPr>
      </w:pPr>
    </w:p>
    <w:p w14:paraId="6AE15F45" w14:textId="77777777" w:rsidR="009F78B2" w:rsidRPr="00AB11D5" w:rsidRDefault="009F78B2" w:rsidP="00CA671A">
      <w:pPr>
        <w:ind w:left="851"/>
        <w:rPr>
          <w:sz w:val="24"/>
          <w:szCs w:val="24"/>
          <w:lang w:val="bg-BG"/>
        </w:rPr>
      </w:pPr>
      <w:r w:rsidRPr="00AB11D5">
        <w:rPr>
          <w:sz w:val="24"/>
          <w:szCs w:val="24"/>
        </w:rPr>
        <w:t>Brugsanvisning</w:t>
      </w:r>
    </w:p>
    <w:p w14:paraId="6310DD0A" w14:textId="77777777" w:rsidR="009F78B2" w:rsidRPr="00AB11D5" w:rsidRDefault="009F78B2" w:rsidP="00CA671A">
      <w:pPr>
        <w:ind w:left="851"/>
        <w:rPr>
          <w:sz w:val="24"/>
          <w:szCs w:val="24"/>
        </w:rPr>
      </w:pPr>
      <w:r w:rsidRPr="00AB11D5">
        <w:rPr>
          <w:sz w:val="24"/>
          <w:szCs w:val="24"/>
        </w:rPr>
        <w:t>Sprøjten justeres til den beregnede dosis ve</w:t>
      </w:r>
      <w:r w:rsidRPr="00AB11D5">
        <w:rPr>
          <w:color w:val="000000"/>
          <w:sz w:val="24"/>
          <w:szCs w:val="24"/>
        </w:rPr>
        <w:t>d at sætte ring</w:t>
      </w:r>
      <w:r w:rsidRPr="00AB11D5">
        <w:rPr>
          <w:sz w:val="24"/>
          <w:szCs w:val="24"/>
        </w:rPr>
        <w:t>en på det korrekte sted på stemplet inden brug. Før sprøjten ind i munden på hesten mellem for- og kindtænder og anbring pastaen på hestens tunge så langt bagud som muligt. Vær sikker på at hestens mund er tømt for foder. Løft straks derefter hestens hoved op i få sekunder for at sikre at pastaen er slugt.</w:t>
      </w:r>
    </w:p>
    <w:p w14:paraId="18FCB5F5" w14:textId="77777777" w:rsidR="009F78B2" w:rsidRPr="00AB11D5" w:rsidRDefault="009F78B2" w:rsidP="00CA671A">
      <w:pPr>
        <w:ind w:left="851"/>
        <w:rPr>
          <w:sz w:val="24"/>
          <w:szCs w:val="24"/>
        </w:rPr>
      </w:pPr>
    </w:p>
    <w:p w14:paraId="31DD2C01" w14:textId="77777777" w:rsidR="009F78B2" w:rsidRPr="00AB11D5" w:rsidRDefault="009F78B2" w:rsidP="00CA671A">
      <w:pPr>
        <w:ind w:left="851"/>
        <w:rPr>
          <w:sz w:val="24"/>
          <w:szCs w:val="24"/>
          <w:lang w:val="bg-BG"/>
        </w:rPr>
      </w:pPr>
      <w:r w:rsidRPr="00AB11D5">
        <w:rPr>
          <w:sz w:val="24"/>
          <w:szCs w:val="24"/>
        </w:rPr>
        <w:t xml:space="preserve">For at opnå en tilstrækkelig forebyggelse af infektioner med bændelorm og spolorm skal der gives dyrlægerådgivning om passende dosering og styring af avl. </w:t>
      </w:r>
    </w:p>
    <w:p w14:paraId="75EF467F" w14:textId="77777777" w:rsidR="008203A8" w:rsidRPr="00AB11D5" w:rsidRDefault="008203A8" w:rsidP="008203A8">
      <w:pPr>
        <w:tabs>
          <w:tab w:val="left" w:pos="851"/>
        </w:tabs>
        <w:ind w:left="851"/>
        <w:rPr>
          <w:sz w:val="24"/>
          <w:szCs w:val="24"/>
        </w:rPr>
      </w:pPr>
    </w:p>
    <w:p w14:paraId="77706AF2" w14:textId="77777777" w:rsidR="008203A8" w:rsidRPr="00AB11D5" w:rsidRDefault="008203A8" w:rsidP="008203A8">
      <w:pPr>
        <w:tabs>
          <w:tab w:val="left" w:pos="851"/>
        </w:tabs>
        <w:ind w:left="851" w:hanging="851"/>
        <w:rPr>
          <w:b/>
          <w:sz w:val="24"/>
          <w:szCs w:val="24"/>
        </w:rPr>
      </w:pPr>
      <w:r w:rsidRPr="00AB11D5">
        <w:rPr>
          <w:b/>
          <w:sz w:val="24"/>
          <w:szCs w:val="24"/>
        </w:rPr>
        <w:t>3.10</w:t>
      </w:r>
      <w:r w:rsidRPr="00AB11D5">
        <w:rPr>
          <w:b/>
          <w:sz w:val="24"/>
          <w:szCs w:val="24"/>
        </w:rPr>
        <w:tab/>
        <w:t>Symptomer på overdosering (og, hvis relevant, nødforanstaltninger og modgift)</w:t>
      </w:r>
    </w:p>
    <w:p w14:paraId="31792F10" w14:textId="77777777" w:rsidR="009F78B2" w:rsidRPr="00AB11D5" w:rsidRDefault="009F78B2" w:rsidP="00CA671A">
      <w:pPr>
        <w:ind w:left="851"/>
        <w:rPr>
          <w:sz w:val="24"/>
          <w:szCs w:val="24"/>
          <w:lang w:eastAsia="da-DK"/>
        </w:rPr>
      </w:pPr>
      <w:r w:rsidRPr="00AB11D5">
        <w:rPr>
          <w:sz w:val="24"/>
          <w:szCs w:val="24"/>
        </w:rPr>
        <w:t>Et tolerancestudie udført på føl over 2 uger med fem gange den anbefalede dosis viste ingen bivirkninger.</w:t>
      </w:r>
    </w:p>
    <w:p w14:paraId="110F5055" w14:textId="77777777" w:rsidR="009F78B2" w:rsidRPr="00AB11D5" w:rsidRDefault="009F78B2" w:rsidP="00CA671A">
      <w:pPr>
        <w:ind w:left="851"/>
        <w:rPr>
          <w:sz w:val="24"/>
          <w:szCs w:val="24"/>
        </w:rPr>
      </w:pPr>
      <w:r w:rsidRPr="00AB11D5">
        <w:rPr>
          <w:sz w:val="24"/>
          <w:szCs w:val="24"/>
        </w:rPr>
        <w:t>Sikkerhedsstudier udført på hopper med tre gange de anbefalede doser af veterinærlægemidlet med 14 dages mellemrum under drægtighed og diegivning afslørede ingen aborter, ingen negative virkninger på drægtighed, fødsel og generel sundhed hos hopperne og ingen abnormiteter.</w:t>
      </w:r>
    </w:p>
    <w:p w14:paraId="1389865A" w14:textId="77777777" w:rsidR="009F78B2" w:rsidRPr="00AB11D5" w:rsidRDefault="009F78B2" w:rsidP="00CA671A">
      <w:pPr>
        <w:ind w:left="851"/>
        <w:rPr>
          <w:sz w:val="24"/>
          <w:szCs w:val="24"/>
        </w:rPr>
      </w:pPr>
      <w:r w:rsidRPr="00AB11D5">
        <w:rPr>
          <w:sz w:val="24"/>
          <w:szCs w:val="24"/>
        </w:rPr>
        <w:t>Sikkerhedsstudier udført på hingste med tre gange de anbefalede doser af veterinærlægemidlet afslørede ingen negative virkninger, især på reproduktionsevnen.</w:t>
      </w:r>
    </w:p>
    <w:p w14:paraId="289CB2C0" w14:textId="77777777" w:rsidR="008203A8" w:rsidRPr="00AB11D5" w:rsidRDefault="008203A8" w:rsidP="00CA671A">
      <w:pPr>
        <w:ind w:left="851"/>
        <w:rPr>
          <w:sz w:val="24"/>
          <w:szCs w:val="24"/>
          <w:lang w:val="cs-CZ"/>
        </w:rPr>
      </w:pPr>
    </w:p>
    <w:p w14:paraId="1E822E3E" w14:textId="77777777" w:rsidR="008203A8" w:rsidRPr="00AB11D5" w:rsidRDefault="008203A8" w:rsidP="008203A8">
      <w:pPr>
        <w:tabs>
          <w:tab w:val="left" w:pos="851"/>
        </w:tabs>
        <w:ind w:left="851" w:hanging="851"/>
        <w:rPr>
          <w:sz w:val="24"/>
          <w:szCs w:val="24"/>
        </w:rPr>
      </w:pPr>
      <w:r w:rsidRPr="00AB11D5">
        <w:rPr>
          <w:b/>
          <w:sz w:val="24"/>
          <w:szCs w:val="24"/>
        </w:rPr>
        <w:t>3.11</w:t>
      </w:r>
      <w:r w:rsidRPr="00AB11D5">
        <w:rPr>
          <w:sz w:val="24"/>
          <w:szCs w:val="24"/>
        </w:rPr>
        <w:tab/>
      </w:r>
      <w:r w:rsidRPr="00AB11D5">
        <w:rPr>
          <w:b/>
          <w:sz w:val="24"/>
          <w:szCs w:val="24"/>
        </w:rPr>
        <w:t>Særlige begrænsninger og betingelser for anvendelse, herunder begrænsninger for anvendelsen af antimikrobielle og antiparasitære veterinærlægemidler for at begrænse risikoen for udvikling af resistens</w:t>
      </w:r>
    </w:p>
    <w:p w14:paraId="349C3223" w14:textId="77777777" w:rsidR="00364EBB" w:rsidRPr="00AB11D5" w:rsidRDefault="00364EBB" w:rsidP="002B1739">
      <w:pPr>
        <w:ind w:left="851"/>
        <w:rPr>
          <w:sz w:val="24"/>
          <w:szCs w:val="24"/>
        </w:rPr>
      </w:pPr>
      <w:r w:rsidRPr="00AB11D5">
        <w:rPr>
          <w:sz w:val="24"/>
          <w:szCs w:val="24"/>
        </w:rPr>
        <w:t>Ikke relevant.</w:t>
      </w:r>
    </w:p>
    <w:p w14:paraId="1AB8D558" w14:textId="77777777" w:rsidR="008203A8" w:rsidRPr="00AB11D5" w:rsidRDefault="008203A8" w:rsidP="008203A8">
      <w:pPr>
        <w:tabs>
          <w:tab w:val="left" w:pos="851"/>
        </w:tabs>
        <w:ind w:left="851"/>
        <w:rPr>
          <w:sz w:val="24"/>
          <w:szCs w:val="24"/>
        </w:rPr>
      </w:pPr>
    </w:p>
    <w:p w14:paraId="3FDD498B" w14:textId="77777777" w:rsidR="008203A8" w:rsidRPr="00AB11D5" w:rsidRDefault="008203A8" w:rsidP="008203A8">
      <w:pPr>
        <w:tabs>
          <w:tab w:val="left" w:pos="851"/>
        </w:tabs>
        <w:ind w:left="851" w:hanging="851"/>
        <w:rPr>
          <w:b/>
          <w:sz w:val="24"/>
          <w:szCs w:val="24"/>
        </w:rPr>
      </w:pPr>
      <w:r w:rsidRPr="00AB11D5">
        <w:rPr>
          <w:b/>
          <w:sz w:val="24"/>
          <w:szCs w:val="24"/>
        </w:rPr>
        <w:t>3.12</w:t>
      </w:r>
      <w:r w:rsidRPr="00AB11D5">
        <w:rPr>
          <w:b/>
          <w:sz w:val="24"/>
          <w:szCs w:val="24"/>
        </w:rPr>
        <w:tab/>
        <w:t>Tilbageholdelsestid(er)</w:t>
      </w:r>
    </w:p>
    <w:p w14:paraId="7D7C157A" w14:textId="77777777" w:rsidR="009F78B2" w:rsidRPr="00AB11D5" w:rsidRDefault="009F78B2" w:rsidP="00CA671A">
      <w:pPr>
        <w:ind w:left="851"/>
        <w:rPr>
          <w:sz w:val="24"/>
          <w:szCs w:val="24"/>
          <w:lang w:eastAsia="da-DK"/>
        </w:rPr>
      </w:pPr>
      <w:r w:rsidRPr="00AB11D5">
        <w:rPr>
          <w:sz w:val="24"/>
          <w:szCs w:val="24"/>
        </w:rPr>
        <w:t>Slagtning: 35 dage.</w:t>
      </w:r>
    </w:p>
    <w:p w14:paraId="1C50EF25" w14:textId="034FD35D" w:rsidR="009F78B2" w:rsidRPr="00AB11D5" w:rsidRDefault="009F78B2" w:rsidP="00CA671A">
      <w:pPr>
        <w:ind w:left="851"/>
        <w:rPr>
          <w:sz w:val="24"/>
          <w:szCs w:val="24"/>
        </w:rPr>
      </w:pPr>
      <w:r w:rsidRPr="00AB11D5">
        <w:rPr>
          <w:sz w:val="24"/>
          <w:szCs w:val="24"/>
        </w:rPr>
        <w:t>Må ikke anvendes til</w:t>
      </w:r>
      <w:r w:rsidR="00FB692E">
        <w:rPr>
          <w:sz w:val="24"/>
          <w:szCs w:val="24"/>
        </w:rPr>
        <w:t xml:space="preserve"> </w:t>
      </w:r>
      <w:r w:rsidRPr="00AB11D5">
        <w:rPr>
          <w:sz w:val="24"/>
          <w:szCs w:val="24"/>
        </w:rPr>
        <w:t xml:space="preserve">heste, hvis mælk er bestemt til menneskeføde. </w:t>
      </w:r>
    </w:p>
    <w:p w14:paraId="53A4EC0C" w14:textId="61F2F0EE" w:rsidR="008203A8" w:rsidRDefault="008203A8" w:rsidP="008203A8">
      <w:pPr>
        <w:tabs>
          <w:tab w:val="left" w:pos="851"/>
        </w:tabs>
        <w:ind w:left="851"/>
        <w:rPr>
          <w:sz w:val="24"/>
          <w:szCs w:val="24"/>
        </w:rPr>
      </w:pPr>
    </w:p>
    <w:p w14:paraId="4011BB6B" w14:textId="77777777" w:rsidR="00FB692E" w:rsidRPr="00AB11D5" w:rsidRDefault="00FB692E" w:rsidP="008203A8">
      <w:pPr>
        <w:tabs>
          <w:tab w:val="left" w:pos="851"/>
        </w:tabs>
        <w:ind w:left="851"/>
        <w:rPr>
          <w:sz w:val="24"/>
          <w:szCs w:val="24"/>
        </w:rPr>
      </w:pPr>
    </w:p>
    <w:p w14:paraId="7900712E" w14:textId="639E537A" w:rsidR="008203A8" w:rsidRPr="00AB11D5" w:rsidRDefault="008203A8" w:rsidP="008203A8">
      <w:pPr>
        <w:ind w:left="851" w:hanging="851"/>
        <w:rPr>
          <w:b/>
          <w:sz w:val="24"/>
          <w:szCs w:val="24"/>
        </w:rPr>
      </w:pPr>
      <w:r w:rsidRPr="00AB11D5">
        <w:rPr>
          <w:b/>
          <w:sz w:val="24"/>
          <w:szCs w:val="24"/>
        </w:rPr>
        <w:t>4.</w:t>
      </w:r>
      <w:r w:rsidRPr="00AB11D5">
        <w:rPr>
          <w:b/>
          <w:sz w:val="24"/>
          <w:szCs w:val="24"/>
        </w:rPr>
        <w:tab/>
        <w:t>FARMAKOLOGISKE OPLYSNINGER</w:t>
      </w:r>
    </w:p>
    <w:p w14:paraId="2102F656" w14:textId="77777777" w:rsidR="008203A8" w:rsidRPr="00AB11D5" w:rsidRDefault="008203A8" w:rsidP="008203A8">
      <w:pPr>
        <w:ind w:left="851"/>
        <w:rPr>
          <w:sz w:val="24"/>
          <w:szCs w:val="24"/>
        </w:rPr>
      </w:pPr>
    </w:p>
    <w:p w14:paraId="09B10834" w14:textId="77777777" w:rsidR="008203A8" w:rsidRPr="00AB11D5" w:rsidRDefault="008203A8" w:rsidP="008203A8">
      <w:pPr>
        <w:ind w:left="851" w:hanging="851"/>
        <w:rPr>
          <w:b/>
          <w:sz w:val="24"/>
          <w:szCs w:val="24"/>
        </w:rPr>
      </w:pPr>
      <w:r w:rsidRPr="00AB11D5">
        <w:rPr>
          <w:b/>
          <w:sz w:val="24"/>
          <w:szCs w:val="24"/>
        </w:rPr>
        <w:t>4.1</w:t>
      </w:r>
      <w:r w:rsidRPr="00AB11D5">
        <w:rPr>
          <w:b/>
          <w:sz w:val="24"/>
          <w:szCs w:val="24"/>
        </w:rPr>
        <w:tab/>
      </w:r>
      <w:proofErr w:type="spellStart"/>
      <w:r w:rsidRPr="00AB11D5">
        <w:rPr>
          <w:b/>
          <w:sz w:val="24"/>
          <w:szCs w:val="24"/>
        </w:rPr>
        <w:t>ATCvet</w:t>
      </w:r>
      <w:proofErr w:type="spellEnd"/>
      <w:r w:rsidRPr="00AB11D5">
        <w:rPr>
          <w:b/>
          <w:sz w:val="24"/>
          <w:szCs w:val="24"/>
        </w:rPr>
        <w:t>-kode</w:t>
      </w:r>
    </w:p>
    <w:p w14:paraId="433C14EA" w14:textId="2B844CC1" w:rsidR="008203A8" w:rsidRPr="00AB11D5" w:rsidRDefault="009F78B2" w:rsidP="008203A8">
      <w:pPr>
        <w:ind w:left="851"/>
        <w:rPr>
          <w:sz w:val="24"/>
          <w:szCs w:val="24"/>
        </w:rPr>
      </w:pPr>
      <w:r w:rsidRPr="00AB11D5">
        <w:rPr>
          <w:sz w:val="24"/>
          <w:szCs w:val="24"/>
        </w:rPr>
        <w:t>QP54AA51</w:t>
      </w:r>
    </w:p>
    <w:p w14:paraId="0D815990" w14:textId="56463DC0" w:rsidR="00895F04" w:rsidRDefault="00895F04">
      <w:pPr>
        <w:rPr>
          <w:sz w:val="24"/>
          <w:szCs w:val="24"/>
        </w:rPr>
      </w:pPr>
      <w:r>
        <w:rPr>
          <w:sz w:val="24"/>
          <w:szCs w:val="24"/>
        </w:rPr>
        <w:br w:type="page"/>
      </w:r>
    </w:p>
    <w:p w14:paraId="5FBBD061" w14:textId="77777777" w:rsidR="009F78B2" w:rsidRPr="00AB11D5" w:rsidRDefault="009F78B2" w:rsidP="008203A8">
      <w:pPr>
        <w:ind w:left="851"/>
        <w:rPr>
          <w:sz w:val="24"/>
          <w:szCs w:val="24"/>
        </w:rPr>
      </w:pPr>
    </w:p>
    <w:p w14:paraId="72FB37E9" w14:textId="77777777" w:rsidR="008203A8" w:rsidRPr="00AB11D5" w:rsidRDefault="008203A8" w:rsidP="008203A8">
      <w:pPr>
        <w:tabs>
          <w:tab w:val="left" w:pos="851"/>
        </w:tabs>
        <w:ind w:left="851" w:hanging="851"/>
        <w:rPr>
          <w:b/>
          <w:sz w:val="24"/>
          <w:szCs w:val="24"/>
        </w:rPr>
      </w:pPr>
      <w:r w:rsidRPr="00AB11D5">
        <w:rPr>
          <w:b/>
          <w:sz w:val="24"/>
          <w:szCs w:val="24"/>
        </w:rPr>
        <w:t>4.2</w:t>
      </w:r>
      <w:r w:rsidRPr="00AB11D5">
        <w:rPr>
          <w:b/>
          <w:sz w:val="24"/>
          <w:szCs w:val="24"/>
        </w:rPr>
        <w:tab/>
      </w:r>
      <w:proofErr w:type="spellStart"/>
      <w:r w:rsidRPr="00AB11D5">
        <w:rPr>
          <w:b/>
          <w:sz w:val="24"/>
          <w:szCs w:val="24"/>
        </w:rPr>
        <w:t>Farmakodynamiske</w:t>
      </w:r>
      <w:proofErr w:type="spellEnd"/>
      <w:r w:rsidRPr="00AB11D5">
        <w:rPr>
          <w:b/>
          <w:sz w:val="24"/>
          <w:szCs w:val="24"/>
        </w:rPr>
        <w:t xml:space="preserve"> oplysninger</w:t>
      </w:r>
    </w:p>
    <w:p w14:paraId="2518233B" w14:textId="77777777" w:rsidR="009F78B2" w:rsidRPr="00AB11D5" w:rsidRDefault="009F78B2" w:rsidP="00CA671A">
      <w:pPr>
        <w:ind w:left="851"/>
        <w:rPr>
          <w:sz w:val="24"/>
          <w:szCs w:val="24"/>
          <w:lang w:eastAsia="da-DK"/>
        </w:rPr>
      </w:pPr>
      <w:proofErr w:type="spellStart"/>
      <w:r w:rsidRPr="00AB11D5">
        <w:rPr>
          <w:sz w:val="24"/>
          <w:szCs w:val="24"/>
        </w:rPr>
        <w:t>Ivermectin</w:t>
      </w:r>
      <w:proofErr w:type="spellEnd"/>
      <w:r w:rsidRPr="00AB11D5">
        <w:rPr>
          <w:sz w:val="24"/>
          <w:szCs w:val="24"/>
        </w:rPr>
        <w:t xml:space="preserve"> er en makrocyklisk </w:t>
      </w:r>
      <w:proofErr w:type="spellStart"/>
      <w:r w:rsidRPr="00AB11D5">
        <w:rPr>
          <w:sz w:val="24"/>
          <w:szCs w:val="24"/>
        </w:rPr>
        <w:t>lacton</w:t>
      </w:r>
      <w:proofErr w:type="spellEnd"/>
      <w:r w:rsidRPr="00AB11D5">
        <w:rPr>
          <w:sz w:val="24"/>
          <w:szCs w:val="24"/>
        </w:rPr>
        <w:t xml:space="preserve">, der har en bred antiparasitisk effekt mod </w:t>
      </w:r>
      <w:proofErr w:type="spellStart"/>
      <w:r w:rsidRPr="00AB11D5">
        <w:rPr>
          <w:sz w:val="24"/>
          <w:szCs w:val="24"/>
        </w:rPr>
        <w:t>nematoder</w:t>
      </w:r>
      <w:proofErr w:type="spellEnd"/>
      <w:r w:rsidRPr="00AB11D5">
        <w:rPr>
          <w:sz w:val="24"/>
          <w:szCs w:val="24"/>
        </w:rPr>
        <w:t xml:space="preserve"> og leddyr. Det virker ved at dæmpe nervøse </w:t>
      </w:r>
      <w:proofErr w:type="spellStart"/>
      <w:r w:rsidRPr="00AB11D5">
        <w:rPr>
          <w:sz w:val="24"/>
          <w:szCs w:val="24"/>
        </w:rPr>
        <w:t>excitationer</w:t>
      </w:r>
      <w:proofErr w:type="spellEnd"/>
      <w:r w:rsidRPr="00AB11D5">
        <w:rPr>
          <w:sz w:val="24"/>
          <w:szCs w:val="24"/>
        </w:rPr>
        <w:t>. Virkningsmekanismen involverer glutamat-</w:t>
      </w:r>
      <w:proofErr w:type="spellStart"/>
      <w:r w:rsidRPr="00AB11D5">
        <w:rPr>
          <w:sz w:val="24"/>
          <w:szCs w:val="24"/>
        </w:rPr>
        <w:t>gatede</w:t>
      </w:r>
      <w:proofErr w:type="spellEnd"/>
      <w:r w:rsidRPr="00AB11D5">
        <w:rPr>
          <w:sz w:val="24"/>
          <w:szCs w:val="24"/>
        </w:rPr>
        <w:t xml:space="preserve"> </w:t>
      </w:r>
      <w:proofErr w:type="spellStart"/>
      <w:r w:rsidRPr="00AB11D5">
        <w:rPr>
          <w:sz w:val="24"/>
          <w:szCs w:val="24"/>
        </w:rPr>
        <w:t>chloridkanaler</w:t>
      </w:r>
      <w:proofErr w:type="spellEnd"/>
      <w:r w:rsidRPr="00AB11D5">
        <w:rPr>
          <w:sz w:val="24"/>
          <w:szCs w:val="24"/>
        </w:rPr>
        <w:t xml:space="preserve">. </w:t>
      </w:r>
      <w:proofErr w:type="spellStart"/>
      <w:r w:rsidRPr="00AB11D5">
        <w:rPr>
          <w:sz w:val="24"/>
          <w:szCs w:val="24"/>
        </w:rPr>
        <w:t>Ivermectin</w:t>
      </w:r>
      <w:proofErr w:type="spellEnd"/>
      <w:r w:rsidRPr="00AB11D5">
        <w:rPr>
          <w:sz w:val="24"/>
          <w:szCs w:val="24"/>
        </w:rPr>
        <w:t xml:space="preserve"> binder sig selektivt og med høj affinitet til glutamat-</w:t>
      </w:r>
      <w:proofErr w:type="spellStart"/>
      <w:r w:rsidRPr="00AB11D5">
        <w:rPr>
          <w:sz w:val="24"/>
          <w:szCs w:val="24"/>
        </w:rPr>
        <w:t>gatede</w:t>
      </w:r>
      <w:proofErr w:type="spellEnd"/>
      <w:r w:rsidRPr="00AB11D5">
        <w:rPr>
          <w:sz w:val="24"/>
          <w:szCs w:val="24"/>
        </w:rPr>
        <w:t xml:space="preserve"> kloridkanaler, der forekommer i hvirvelløse dyrs nerve- og muskelceller. Dette øger membranpermeabiliteten for klorid-ioner, hvilket fører til </w:t>
      </w:r>
      <w:proofErr w:type="spellStart"/>
      <w:r w:rsidRPr="00AB11D5">
        <w:rPr>
          <w:sz w:val="24"/>
          <w:szCs w:val="24"/>
        </w:rPr>
        <w:t>hyperpolarisering</w:t>
      </w:r>
      <w:proofErr w:type="spellEnd"/>
      <w:r w:rsidRPr="00AB11D5">
        <w:rPr>
          <w:sz w:val="24"/>
          <w:szCs w:val="24"/>
        </w:rPr>
        <w:t xml:space="preserve"> af nerve- eller muskelcellerne. Dette resulterer i paralyse og død hos parasitter. Stoffer i denne gruppe kan også interagere med andre </w:t>
      </w:r>
      <w:proofErr w:type="spellStart"/>
      <w:r w:rsidRPr="00AB11D5">
        <w:rPr>
          <w:sz w:val="24"/>
          <w:szCs w:val="24"/>
        </w:rPr>
        <w:t>ligand-gatede</w:t>
      </w:r>
      <w:proofErr w:type="spellEnd"/>
      <w:r w:rsidRPr="00AB11D5">
        <w:rPr>
          <w:sz w:val="24"/>
          <w:szCs w:val="24"/>
        </w:rPr>
        <w:t xml:space="preserve"> kloridkanaler, såsom neurotransmitteren gamma-</w:t>
      </w:r>
      <w:proofErr w:type="spellStart"/>
      <w:r w:rsidRPr="00AB11D5">
        <w:rPr>
          <w:sz w:val="24"/>
          <w:szCs w:val="24"/>
        </w:rPr>
        <w:t>aminobutyrat</w:t>
      </w:r>
      <w:proofErr w:type="spellEnd"/>
      <w:r w:rsidRPr="00AB11D5">
        <w:rPr>
          <w:sz w:val="24"/>
          <w:szCs w:val="24"/>
        </w:rPr>
        <w:t xml:space="preserve"> (GABA). Sikkerheden ved stoffer i denne gruppe skyldes, at pattedyr ikke har glutamat-</w:t>
      </w:r>
      <w:proofErr w:type="spellStart"/>
      <w:r w:rsidRPr="00AB11D5">
        <w:rPr>
          <w:sz w:val="24"/>
          <w:szCs w:val="24"/>
        </w:rPr>
        <w:t>gatede</w:t>
      </w:r>
      <w:proofErr w:type="spellEnd"/>
      <w:r w:rsidRPr="00AB11D5">
        <w:rPr>
          <w:sz w:val="24"/>
          <w:szCs w:val="24"/>
        </w:rPr>
        <w:t xml:space="preserve"> kloridkanaler. </w:t>
      </w:r>
    </w:p>
    <w:p w14:paraId="2A0C4415" w14:textId="77777777" w:rsidR="009F78B2" w:rsidRPr="00AB11D5" w:rsidRDefault="009F78B2" w:rsidP="00CA671A">
      <w:pPr>
        <w:ind w:left="851"/>
        <w:rPr>
          <w:sz w:val="24"/>
          <w:szCs w:val="24"/>
        </w:rPr>
      </w:pPr>
      <w:proofErr w:type="spellStart"/>
      <w:r w:rsidRPr="00AB11D5">
        <w:rPr>
          <w:sz w:val="24"/>
          <w:szCs w:val="24"/>
        </w:rPr>
        <w:t>Praziquantel</w:t>
      </w:r>
      <w:proofErr w:type="spellEnd"/>
      <w:r w:rsidRPr="00AB11D5">
        <w:rPr>
          <w:sz w:val="24"/>
          <w:szCs w:val="24"/>
        </w:rPr>
        <w:t xml:space="preserve"> er et derivat af </w:t>
      </w:r>
      <w:proofErr w:type="spellStart"/>
      <w:r w:rsidRPr="00AB11D5">
        <w:rPr>
          <w:sz w:val="24"/>
          <w:szCs w:val="24"/>
        </w:rPr>
        <w:t>pyrazinoquinolin</w:t>
      </w:r>
      <w:proofErr w:type="spellEnd"/>
      <w:r w:rsidRPr="00AB11D5">
        <w:rPr>
          <w:sz w:val="24"/>
          <w:szCs w:val="24"/>
        </w:rPr>
        <w:t xml:space="preserve">, der virker mod mange arter af bændelorm og ikter. Det virker primært ved at forstyrre bændelormens bevægelighed og </w:t>
      </w:r>
      <w:proofErr w:type="spellStart"/>
      <w:r w:rsidRPr="00AB11D5">
        <w:rPr>
          <w:sz w:val="24"/>
          <w:szCs w:val="24"/>
        </w:rPr>
        <w:t>sugefunktion</w:t>
      </w:r>
      <w:proofErr w:type="spellEnd"/>
      <w:r w:rsidRPr="00AB11D5">
        <w:rPr>
          <w:sz w:val="24"/>
          <w:szCs w:val="24"/>
        </w:rPr>
        <w:t xml:space="preserve">. Dets virkning forringer den </w:t>
      </w:r>
      <w:proofErr w:type="spellStart"/>
      <w:r w:rsidRPr="00AB11D5">
        <w:rPr>
          <w:sz w:val="24"/>
          <w:szCs w:val="24"/>
        </w:rPr>
        <w:t>neuromuskulære</w:t>
      </w:r>
      <w:proofErr w:type="spellEnd"/>
      <w:r w:rsidRPr="00AB11D5">
        <w:rPr>
          <w:sz w:val="24"/>
          <w:szCs w:val="24"/>
        </w:rPr>
        <w:t xml:space="preserve"> koordination, men påvirker også gennemtrængeligheden af parasitoverfladen, hvilket fører til for store calcium- og glukosetab. Dette forårsager spastisk lammelse af parasittens muskler.</w:t>
      </w:r>
    </w:p>
    <w:p w14:paraId="339CB591" w14:textId="77777777" w:rsidR="009F78B2" w:rsidRPr="00AB11D5" w:rsidRDefault="009F78B2" w:rsidP="00CA671A">
      <w:pPr>
        <w:ind w:left="851"/>
        <w:rPr>
          <w:sz w:val="24"/>
          <w:szCs w:val="24"/>
        </w:rPr>
      </w:pPr>
      <w:r w:rsidRPr="00AB11D5">
        <w:rPr>
          <w:sz w:val="24"/>
          <w:szCs w:val="24"/>
        </w:rPr>
        <w:t xml:space="preserve">En af de formodede resistensmekanismer for </w:t>
      </w:r>
      <w:proofErr w:type="spellStart"/>
      <w:r w:rsidRPr="00AB11D5">
        <w:rPr>
          <w:sz w:val="24"/>
          <w:szCs w:val="24"/>
        </w:rPr>
        <w:t>ivermectin</w:t>
      </w:r>
      <w:proofErr w:type="spellEnd"/>
      <w:r w:rsidRPr="00AB11D5">
        <w:rPr>
          <w:sz w:val="24"/>
          <w:szCs w:val="24"/>
        </w:rPr>
        <w:t xml:space="preserve"> er dets metabolisme via p-</w:t>
      </w:r>
      <w:proofErr w:type="spellStart"/>
      <w:r w:rsidRPr="00AB11D5">
        <w:rPr>
          <w:sz w:val="24"/>
          <w:szCs w:val="24"/>
        </w:rPr>
        <w:t>glykoproteiner</w:t>
      </w:r>
      <w:proofErr w:type="spellEnd"/>
      <w:r w:rsidRPr="00AB11D5">
        <w:rPr>
          <w:sz w:val="24"/>
          <w:szCs w:val="24"/>
        </w:rPr>
        <w:t xml:space="preserve"> og celleudvaskning via ABC-transportører. </w:t>
      </w:r>
      <w:proofErr w:type="spellStart"/>
      <w:r w:rsidRPr="00AB11D5">
        <w:rPr>
          <w:sz w:val="24"/>
          <w:szCs w:val="24"/>
        </w:rPr>
        <w:t>Ivermectin</w:t>
      </w:r>
      <w:proofErr w:type="spellEnd"/>
      <w:r w:rsidRPr="00AB11D5">
        <w:rPr>
          <w:sz w:val="24"/>
          <w:szCs w:val="24"/>
        </w:rPr>
        <w:t xml:space="preserve">-resistente parasitter er kendt for at udvise delvis, men ikke fuldstændig krydsresistens over for </w:t>
      </w:r>
      <w:proofErr w:type="spellStart"/>
      <w:r w:rsidRPr="00AB11D5">
        <w:rPr>
          <w:sz w:val="24"/>
          <w:szCs w:val="24"/>
        </w:rPr>
        <w:t>moxidectin</w:t>
      </w:r>
      <w:proofErr w:type="spellEnd"/>
      <w:r w:rsidRPr="00AB11D5">
        <w:rPr>
          <w:sz w:val="24"/>
          <w:szCs w:val="24"/>
        </w:rPr>
        <w:t xml:space="preserve">. </w:t>
      </w:r>
    </w:p>
    <w:p w14:paraId="5ED19719" w14:textId="77777777" w:rsidR="008203A8" w:rsidRPr="00AB11D5" w:rsidRDefault="008203A8" w:rsidP="008203A8">
      <w:pPr>
        <w:tabs>
          <w:tab w:val="left" w:pos="851"/>
        </w:tabs>
        <w:ind w:left="851"/>
        <w:rPr>
          <w:sz w:val="24"/>
          <w:szCs w:val="24"/>
        </w:rPr>
      </w:pPr>
    </w:p>
    <w:p w14:paraId="299E763F" w14:textId="77777777" w:rsidR="008203A8" w:rsidRPr="00AB11D5" w:rsidRDefault="008203A8" w:rsidP="008203A8">
      <w:pPr>
        <w:tabs>
          <w:tab w:val="left" w:pos="851"/>
        </w:tabs>
        <w:ind w:left="851" w:hanging="851"/>
        <w:rPr>
          <w:b/>
          <w:sz w:val="24"/>
          <w:szCs w:val="24"/>
        </w:rPr>
      </w:pPr>
      <w:r w:rsidRPr="00AB11D5">
        <w:rPr>
          <w:b/>
          <w:sz w:val="24"/>
          <w:szCs w:val="24"/>
        </w:rPr>
        <w:t>4.3</w:t>
      </w:r>
      <w:r w:rsidRPr="00AB11D5">
        <w:rPr>
          <w:b/>
          <w:sz w:val="24"/>
          <w:szCs w:val="24"/>
        </w:rPr>
        <w:tab/>
      </w:r>
      <w:proofErr w:type="spellStart"/>
      <w:r w:rsidRPr="00AB11D5">
        <w:rPr>
          <w:b/>
          <w:sz w:val="24"/>
          <w:szCs w:val="24"/>
        </w:rPr>
        <w:t>Farmakokinetiske</w:t>
      </w:r>
      <w:proofErr w:type="spellEnd"/>
      <w:r w:rsidRPr="00AB11D5">
        <w:rPr>
          <w:b/>
          <w:sz w:val="24"/>
          <w:szCs w:val="24"/>
        </w:rPr>
        <w:t xml:space="preserve"> oplysninger</w:t>
      </w:r>
    </w:p>
    <w:p w14:paraId="191C4811" w14:textId="5C2AAC5E" w:rsidR="00CA671A" w:rsidRPr="00AB11D5" w:rsidRDefault="00CA671A" w:rsidP="00CA671A">
      <w:pPr>
        <w:ind w:left="851"/>
        <w:rPr>
          <w:sz w:val="24"/>
          <w:szCs w:val="24"/>
          <w:lang w:eastAsia="da-DK"/>
        </w:rPr>
      </w:pPr>
      <w:r w:rsidRPr="00AB11D5">
        <w:rPr>
          <w:sz w:val="24"/>
          <w:szCs w:val="24"/>
        </w:rPr>
        <w:t xml:space="preserve">Efter indgivelse af den anbefalede dosis til heste nås den maksimale plasmakoncentration af </w:t>
      </w:r>
      <w:proofErr w:type="spellStart"/>
      <w:r w:rsidRPr="00AB11D5">
        <w:rPr>
          <w:sz w:val="24"/>
          <w:szCs w:val="24"/>
        </w:rPr>
        <w:t>ivermectin</w:t>
      </w:r>
      <w:proofErr w:type="spellEnd"/>
      <w:r w:rsidRPr="00AB11D5">
        <w:rPr>
          <w:sz w:val="24"/>
          <w:szCs w:val="24"/>
        </w:rPr>
        <w:t xml:space="preserve"> i løbet af 24 timer.</w:t>
      </w:r>
      <w:r w:rsidRPr="00AB11D5">
        <w:rPr>
          <w:b/>
          <w:sz w:val="24"/>
          <w:szCs w:val="24"/>
        </w:rPr>
        <w:t xml:space="preserve"> </w:t>
      </w:r>
      <w:proofErr w:type="spellStart"/>
      <w:r w:rsidRPr="00AB11D5">
        <w:rPr>
          <w:sz w:val="24"/>
          <w:szCs w:val="24"/>
        </w:rPr>
        <w:t>Ivermectin</w:t>
      </w:r>
      <w:proofErr w:type="spellEnd"/>
      <w:r w:rsidRPr="00AB11D5">
        <w:rPr>
          <w:sz w:val="24"/>
          <w:szCs w:val="24"/>
        </w:rPr>
        <w:t>-koncentrationerne var stadig større end 2</w:t>
      </w:r>
      <w:r w:rsidR="00FB692E">
        <w:rPr>
          <w:sz w:val="24"/>
          <w:szCs w:val="24"/>
        </w:rPr>
        <w:t> </w:t>
      </w:r>
      <w:proofErr w:type="spellStart"/>
      <w:r w:rsidRPr="00AB11D5">
        <w:rPr>
          <w:sz w:val="24"/>
          <w:szCs w:val="24"/>
        </w:rPr>
        <w:t>ng</w:t>
      </w:r>
      <w:proofErr w:type="spellEnd"/>
      <w:r w:rsidRPr="00AB11D5">
        <w:rPr>
          <w:sz w:val="24"/>
          <w:szCs w:val="24"/>
        </w:rPr>
        <w:t xml:space="preserve">/ml 14 dage efter administrationen. Halveringstiden for </w:t>
      </w:r>
      <w:proofErr w:type="spellStart"/>
      <w:r w:rsidRPr="00AB11D5">
        <w:rPr>
          <w:sz w:val="24"/>
          <w:szCs w:val="24"/>
        </w:rPr>
        <w:t>ivermectin</w:t>
      </w:r>
      <w:proofErr w:type="spellEnd"/>
      <w:r w:rsidRPr="00AB11D5">
        <w:rPr>
          <w:sz w:val="24"/>
          <w:szCs w:val="24"/>
        </w:rPr>
        <w:t xml:space="preserve"> var 90 timer. Den maksimale plasmakoncentration af </w:t>
      </w:r>
      <w:proofErr w:type="spellStart"/>
      <w:r w:rsidRPr="00AB11D5">
        <w:rPr>
          <w:sz w:val="24"/>
          <w:szCs w:val="24"/>
        </w:rPr>
        <w:t>praziquantel</w:t>
      </w:r>
      <w:proofErr w:type="spellEnd"/>
      <w:r w:rsidRPr="00AB11D5">
        <w:rPr>
          <w:sz w:val="24"/>
          <w:szCs w:val="24"/>
        </w:rPr>
        <w:t xml:space="preserve"> blev nået inden for 1 time. </w:t>
      </w:r>
      <w:proofErr w:type="spellStart"/>
      <w:r w:rsidRPr="00AB11D5">
        <w:rPr>
          <w:sz w:val="24"/>
          <w:szCs w:val="24"/>
        </w:rPr>
        <w:t>Praziquantel</w:t>
      </w:r>
      <w:proofErr w:type="spellEnd"/>
      <w:r w:rsidRPr="00AB11D5">
        <w:rPr>
          <w:sz w:val="24"/>
          <w:szCs w:val="24"/>
        </w:rPr>
        <w:t xml:space="preserve"> blev hurtigt elimineret og blev ikke påvist 8 timer efter behandlingen. Halveringstiden for </w:t>
      </w:r>
      <w:proofErr w:type="spellStart"/>
      <w:r w:rsidRPr="00AB11D5">
        <w:rPr>
          <w:sz w:val="24"/>
          <w:szCs w:val="24"/>
        </w:rPr>
        <w:t>praziquantel</w:t>
      </w:r>
      <w:proofErr w:type="spellEnd"/>
      <w:r w:rsidRPr="00AB11D5">
        <w:rPr>
          <w:sz w:val="24"/>
          <w:szCs w:val="24"/>
        </w:rPr>
        <w:t xml:space="preserve"> er 40 minutter. </w:t>
      </w:r>
    </w:p>
    <w:p w14:paraId="6D057DC1" w14:textId="77777777" w:rsidR="00CA671A" w:rsidRPr="00AB11D5" w:rsidRDefault="00CA671A" w:rsidP="00CA671A">
      <w:pPr>
        <w:ind w:left="851"/>
        <w:rPr>
          <w:sz w:val="24"/>
          <w:szCs w:val="24"/>
        </w:rPr>
      </w:pPr>
    </w:p>
    <w:p w14:paraId="06B63D31" w14:textId="77777777" w:rsidR="00CA671A" w:rsidRPr="00AB11D5" w:rsidRDefault="00CA671A" w:rsidP="00CA671A">
      <w:pPr>
        <w:ind w:left="851"/>
        <w:rPr>
          <w:b/>
          <w:sz w:val="24"/>
          <w:szCs w:val="24"/>
        </w:rPr>
      </w:pPr>
      <w:r w:rsidRPr="00AB11D5">
        <w:rPr>
          <w:b/>
          <w:sz w:val="24"/>
          <w:szCs w:val="24"/>
        </w:rPr>
        <w:t>Miljøoplysninger</w:t>
      </w:r>
    </w:p>
    <w:p w14:paraId="18563FD1" w14:textId="77777777" w:rsidR="00CA671A" w:rsidRPr="00AB11D5" w:rsidRDefault="00CA671A" w:rsidP="00CA671A">
      <w:pPr>
        <w:ind w:left="851"/>
        <w:rPr>
          <w:sz w:val="24"/>
          <w:szCs w:val="24"/>
          <w:lang w:val="bg-BG"/>
        </w:rPr>
      </w:pPr>
      <w:proofErr w:type="spellStart"/>
      <w:r w:rsidRPr="00AB11D5">
        <w:rPr>
          <w:sz w:val="24"/>
          <w:szCs w:val="24"/>
        </w:rPr>
        <w:t>Ivermectin</w:t>
      </w:r>
      <w:proofErr w:type="spellEnd"/>
      <w:r w:rsidRPr="00AB11D5">
        <w:rPr>
          <w:sz w:val="24"/>
          <w:szCs w:val="24"/>
        </w:rPr>
        <w:t xml:space="preserve"> er meget giftigt for organismer, der lever i vand, og for gødningsfauna. Ligesom andre makrocykliske lactoner har </w:t>
      </w:r>
      <w:proofErr w:type="spellStart"/>
      <w:r w:rsidRPr="00AB11D5">
        <w:rPr>
          <w:sz w:val="24"/>
          <w:szCs w:val="24"/>
        </w:rPr>
        <w:t>ivermectin</w:t>
      </w:r>
      <w:proofErr w:type="spellEnd"/>
      <w:r w:rsidRPr="00AB11D5">
        <w:rPr>
          <w:sz w:val="24"/>
          <w:szCs w:val="24"/>
        </w:rPr>
        <w:t xml:space="preserve"> potentiale til at påvirke ikke-målorganismer negativt. Efter behandling kan udskillelsen af potentielt toksiske niveauer af </w:t>
      </w:r>
      <w:proofErr w:type="spellStart"/>
      <w:r w:rsidRPr="00AB11D5">
        <w:rPr>
          <w:sz w:val="24"/>
          <w:szCs w:val="24"/>
        </w:rPr>
        <w:t>ivermectin</w:t>
      </w:r>
      <w:proofErr w:type="spellEnd"/>
      <w:r w:rsidRPr="00AB11D5">
        <w:rPr>
          <w:sz w:val="24"/>
          <w:szCs w:val="24"/>
        </w:rPr>
        <w:t xml:space="preserve"> finde sted over en periode på flere uger. F</w:t>
      </w:r>
      <w:bookmarkStart w:id="1" w:name="_Hlk140214348"/>
      <w:r w:rsidRPr="00AB11D5">
        <w:rPr>
          <w:sz w:val="24"/>
          <w:szCs w:val="24"/>
        </w:rPr>
        <w:t xml:space="preserve">æces med indhold af </w:t>
      </w:r>
      <w:proofErr w:type="spellStart"/>
      <w:r w:rsidRPr="00AB11D5">
        <w:rPr>
          <w:sz w:val="24"/>
          <w:szCs w:val="24"/>
        </w:rPr>
        <w:t>ivermectin</w:t>
      </w:r>
      <w:proofErr w:type="spellEnd"/>
      <w:r w:rsidRPr="00AB11D5">
        <w:rPr>
          <w:sz w:val="24"/>
          <w:szCs w:val="24"/>
        </w:rPr>
        <w:t xml:space="preserve">, der udskilles af græssende dyr efter behandling med </w:t>
      </w:r>
      <w:proofErr w:type="spellStart"/>
      <w:r w:rsidRPr="00AB11D5">
        <w:rPr>
          <w:sz w:val="24"/>
          <w:szCs w:val="24"/>
        </w:rPr>
        <w:t>ivermectin</w:t>
      </w:r>
      <w:proofErr w:type="spellEnd"/>
      <w:r w:rsidRPr="00AB11D5">
        <w:rPr>
          <w:sz w:val="24"/>
          <w:szCs w:val="24"/>
        </w:rPr>
        <w:t>, kan reducere mængden af organismer, der lever af fæces, hvilket kan påvirke nedbrydningen af fæces.</w:t>
      </w:r>
      <w:bookmarkEnd w:id="1"/>
    </w:p>
    <w:p w14:paraId="19E4A8D8" w14:textId="5C31B486" w:rsidR="008203A8" w:rsidRPr="00AB11D5" w:rsidRDefault="008203A8" w:rsidP="00CA671A">
      <w:pPr>
        <w:ind w:left="851"/>
        <w:rPr>
          <w:sz w:val="24"/>
          <w:szCs w:val="24"/>
          <w:lang w:val="bg-BG"/>
        </w:rPr>
      </w:pPr>
    </w:p>
    <w:p w14:paraId="79E75404" w14:textId="77777777" w:rsidR="00B933C6" w:rsidRPr="00AB11D5" w:rsidRDefault="00B933C6" w:rsidP="008203A8">
      <w:pPr>
        <w:tabs>
          <w:tab w:val="left" w:pos="851"/>
        </w:tabs>
        <w:ind w:left="851"/>
        <w:rPr>
          <w:sz w:val="24"/>
          <w:szCs w:val="24"/>
        </w:rPr>
      </w:pPr>
    </w:p>
    <w:p w14:paraId="742E2E79" w14:textId="77777777" w:rsidR="008203A8" w:rsidRPr="00AB11D5" w:rsidRDefault="008203A8" w:rsidP="008203A8">
      <w:pPr>
        <w:ind w:left="851" w:hanging="851"/>
        <w:rPr>
          <w:b/>
          <w:sz w:val="24"/>
          <w:szCs w:val="24"/>
        </w:rPr>
      </w:pPr>
      <w:r w:rsidRPr="00AB11D5">
        <w:rPr>
          <w:b/>
          <w:sz w:val="24"/>
          <w:szCs w:val="24"/>
        </w:rPr>
        <w:t>5.</w:t>
      </w:r>
      <w:r w:rsidRPr="00AB11D5">
        <w:rPr>
          <w:b/>
          <w:sz w:val="24"/>
          <w:szCs w:val="24"/>
        </w:rPr>
        <w:tab/>
        <w:t>FARMACEUTISKE OPLYSNINGER</w:t>
      </w:r>
    </w:p>
    <w:p w14:paraId="2AB9C727" w14:textId="77777777" w:rsidR="008203A8" w:rsidRPr="00AB11D5" w:rsidRDefault="008203A8" w:rsidP="008203A8">
      <w:pPr>
        <w:tabs>
          <w:tab w:val="left" w:pos="851"/>
        </w:tabs>
        <w:ind w:left="851"/>
        <w:rPr>
          <w:sz w:val="24"/>
          <w:szCs w:val="24"/>
        </w:rPr>
      </w:pPr>
    </w:p>
    <w:p w14:paraId="3419EBED" w14:textId="77777777" w:rsidR="008203A8" w:rsidRPr="00AB11D5" w:rsidRDefault="008203A8" w:rsidP="008203A8">
      <w:pPr>
        <w:ind w:left="851" w:hanging="851"/>
        <w:rPr>
          <w:b/>
          <w:sz w:val="24"/>
          <w:szCs w:val="24"/>
        </w:rPr>
      </w:pPr>
      <w:r w:rsidRPr="00AB11D5">
        <w:rPr>
          <w:b/>
          <w:sz w:val="24"/>
          <w:szCs w:val="24"/>
        </w:rPr>
        <w:t>5.1</w:t>
      </w:r>
      <w:r w:rsidRPr="00AB11D5">
        <w:rPr>
          <w:b/>
          <w:sz w:val="24"/>
          <w:szCs w:val="24"/>
        </w:rPr>
        <w:tab/>
        <w:t>Væsentlige uforligeligheder</w:t>
      </w:r>
    </w:p>
    <w:p w14:paraId="5E166AF7" w14:textId="77777777" w:rsidR="00CA671A" w:rsidRPr="00AB11D5" w:rsidRDefault="00CA671A" w:rsidP="00CA671A">
      <w:pPr>
        <w:ind w:left="851"/>
        <w:rPr>
          <w:sz w:val="24"/>
          <w:szCs w:val="24"/>
          <w:lang w:eastAsia="da-DK"/>
        </w:rPr>
      </w:pPr>
      <w:r w:rsidRPr="00AB11D5">
        <w:rPr>
          <w:sz w:val="24"/>
          <w:szCs w:val="24"/>
        </w:rPr>
        <w:t>Ingen kendte.</w:t>
      </w:r>
    </w:p>
    <w:p w14:paraId="05CE5E60" w14:textId="77777777" w:rsidR="008203A8" w:rsidRPr="00AB11D5" w:rsidRDefault="008203A8" w:rsidP="008203A8">
      <w:pPr>
        <w:tabs>
          <w:tab w:val="left" w:pos="851"/>
        </w:tabs>
        <w:ind w:left="851"/>
        <w:rPr>
          <w:sz w:val="24"/>
          <w:szCs w:val="24"/>
        </w:rPr>
      </w:pPr>
    </w:p>
    <w:p w14:paraId="59074E68" w14:textId="77777777" w:rsidR="008203A8" w:rsidRPr="00AB11D5" w:rsidRDefault="008203A8" w:rsidP="008203A8">
      <w:pPr>
        <w:ind w:left="851" w:hanging="851"/>
        <w:rPr>
          <w:b/>
          <w:sz w:val="24"/>
          <w:szCs w:val="24"/>
        </w:rPr>
      </w:pPr>
      <w:r w:rsidRPr="00AB11D5">
        <w:rPr>
          <w:b/>
          <w:sz w:val="24"/>
          <w:szCs w:val="24"/>
        </w:rPr>
        <w:t>5.2</w:t>
      </w:r>
      <w:r w:rsidRPr="00AB11D5">
        <w:rPr>
          <w:b/>
          <w:sz w:val="24"/>
          <w:szCs w:val="24"/>
        </w:rPr>
        <w:tab/>
        <w:t>Opbevaringstid</w:t>
      </w:r>
    </w:p>
    <w:p w14:paraId="2F7F4B8F" w14:textId="77777777" w:rsidR="00CA671A" w:rsidRPr="00AB11D5" w:rsidRDefault="00CA671A" w:rsidP="00CA671A">
      <w:pPr>
        <w:ind w:left="851"/>
        <w:rPr>
          <w:sz w:val="24"/>
          <w:szCs w:val="24"/>
          <w:lang w:eastAsia="da-DK"/>
        </w:rPr>
      </w:pPr>
      <w:r w:rsidRPr="00AB11D5">
        <w:rPr>
          <w:sz w:val="24"/>
          <w:szCs w:val="24"/>
        </w:rPr>
        <w:t>Opbevaringstid for veterinærlægemidlet i salgspakning: 18 måneder</w:t>
      </w:r>
    </w:p>
    <w:p w14:paraId="41828A63" w14:textId="77777777" w:rsidR="00CA671A" w:rsidRPr="00AB11D5" w:rsidRDefault="00CA671A" w:rsidP="00CA671A">
      <w:pPr>
        <w:ind w:left="851"/>
        <w:rPr>
          <w:sz w:val="24"/>
          <w:szCs w:val="24"/>
        </w:rPr>
      </w:pPr>
      <w:r w:rsidRPr="00AB11D5">
        <w:rPr>
          <w:sz w:val="24"/>
          <w:szCs w:val="24"/>
        </w:rPr>
        <w:t>Opbevaringstid efter åbning af den indre emballage: 6 måneder.</w:t>
      </w:r>
    </w:p>
    <w:p w14:paraId="52BD5E3A" w14:textId="77777777" w:rsidR="00CA671A" w:rsidRPr="00FB692E" w:rsidRDefault="00CA671A" w:rsidP="00CA671A">
      <w:pPr>
        <w:ind w:left="851"/>
        <w:rPr>
          <w:sz w:val="24"/>
          <w:szCs w:val="24"/>
        </w:rPr>
      </w:pPr>
    </w:p>
    <w:p w14:paraId="4B7D3A39" w14:textId="4803BED9" w:rsidR="008203A8" w:rsidRPr="00AB11D5" w:rsidRDefault="008203A8" w:rsidP="008203A8">
      <w:pPr>
        <w:ind w:left="851" w:hanging="851"/>
        <w:rPr>
          <w:b/>
          <w:sz w:val="24"/>
          <w:szCs w:val="24"/>
        </w:rPr>
      </w:pPr>
      <w:r w:rsidRPr="00AB11D5">
        <w:rPr>
          <w:b/>
          <w:sz w:val="24"/>
          <w:szCs w:val="24"/>
        </w:rPr>
        <w:t>5.3</w:t>
      </w:r>
      <w:r w:rsidRPr="00AB11D5">
        <w:rPr>
          <w:b/>
          <w:sz w:val="24"/>
          <w:szCs w:val="24"/>
        </w:rPr>
        <w:tab/>
        <w:t>Særlige forholdsregler vedrørende opbevaring</w:t>
      </w:r>
    </w:p>
    <w:p w14:paraId="1CEBEBC7" w14:textId="77777777" w:rsidR="00CA671A" w:rsidRPr="00AB11D5" w:rsidRDefault="00CA671A" w:rsidP="00CA671A">
      <w:pPr>
        <w:ind w:left="851"/>
        <w:rPr>
          <w:sz w:val="24"/>
          <w:szCs w:val="24"/>
          <w:lang w:eastAsia="da-DK"/>
        </w:rPr>
      </w:pPr>
      <w:r w:rsidRPr="00AB11D5">
        <w:rPr>
          <w:sz w:val="24"/>
          <w:szCs w:val="24"/>
        </w:rPr>
        <w:t xml:space="preserve">Opbevares under 25 </w:t>
      </w:r>
      <w:r w:rsidRPr="00AB11D5">
        <w:rPr>
          <w:rFonts w:eastAsia="Symbol"/>
          <w:sz w:val="24"/>
          <w:szCs w:val="24"/>
        </w:rPr>
        <w:t>°</w:t>
      </w:r>
      <w:r w:rsidRPr="00AB11D5">
        <w:rPr>
          <w:sz w:val="24"/>
          <w:szCs w:val="24"/>
        </w:rPr>
        <w:t xml:space="preserve">C. </w:t>
      </w:r>
    </w:p>
    <w:p w14:paraId="21C0F2DB" w14:textId="77777777" w:rsidR="00CA671A" w:rsidRPr="00AB11D5" w:rsidRDefault="00CA671A" w:rsidP="00CA671A">
      <w:pPr>
        <w:ind w:left="851"/>
        <w:rPr>
          <w:sz w:val="24"/>
          <w:szCs w:val="24"/>
        </w:rPr>
      </w:pPr>
      <w:r w:rsidRPr="00AB11D5">
        <w:rPr>
          <w:sz w:val="24"/>
          <w:szCs w:val="24"/>
        </w:rPr>
        <w:t>Opbevar i en godt lukket sprøjte. Sæt beskyttelseshætten på plads efter brug.</w:t>
      </w:r>
    </w:p>
    <w:p w14:paraId="023192EE" w14:textId="6834860E" w:rsidR="00CA671A" w:rsidRPr="00AB11D5" w:rsidRDefault="00CA671A" w:rsidP="00CA671A">
      <w:pPr>
        <w:ind w:left="851"/>
        <w:rPr>
          <w:sz w:val="24"/>
          <w:szCs w:val="24"/>
        </w:rPr>
      </w:pPr>
      <w:r w:rsidRPr="00AB11D5">
        <w:rPr>
          <w:sz w:val="24"/>
          <w:szCs w:val="24"/>
        </w:rPr>
        <w:t>Må ikke opbevares i køleskab eller nedfryses.</w:t>
      </w:r>
    </w:p>
    <w:p w14:paraId="20D1E8C8" w14:textId="6E73B429" w:rsidR="001230B3" w:rsidRDefault="001230B3">
      <w:pPr>
        <w:rPr>
          <w:sz w:val="24"/>
          <w:szCs w:val="24"/>
        </w:rPr>
      </w:pPr>
      <w:r>
        <w:rPr>
          <w:sz w:val="24"/>
          <w:szCs w:val="24"/>
        </w:rPr>
        <w:br w:type="page"/>
      </w:r>
    </w:p>
    <w:p w14:paraId="67D368CD" w14:textId="77777777" w:rsidR="008203A8" w:rsidRPr="00AB11D5" w:rsidRDefault="008203A8" w:rsidP="00CA671A">
      <w:pPr>
        <w:ind w:left="851"/>
        <w:rPr>
          <w:sz w:val="24"/>
          <w:szCs w:val="24"/>
        </w:rPr>
      </w:pPr>
    </w:p>
    <w:p w14:paraId="2FDBF243" w14:textId="77777777" w:rsidR="008203A8" w:rsidRPr="00AB11D5" w:rsidRDefault="008203A8" w:rsidP="008203A8">
      <w:pPr>
        <w:ind w:left="851" w:hanging="851"/>
        <w:rPr>
          <w:b/>
          <w:sz w:val="24"/>
          <w:szCs w:val="24"/>
        </w:rPr>
      </w:pPr>
      <w:r w:rsidRPr="00AB11D5">
        <w:rPr>
          <w:b/>
          <w:sz w:val="24"/>
          <w:szCs w:val="24"/>
        </w:rPr>
        <w:t>5.4</w:t>
      </w:r>
      <w:r w:rsidRPr="00AB11D5">
        <w:rPr>
          <w:b/>
          <w:sz w:val="24"/>
          <w:szCs w:val="24"/>
        </w:rPr>
        <w:tab/>
        <w:t>Den indre emballages art og indhold</w:t>
      </w:r>
    </w:p>
    <w:p w14:paraId="688749DC" w14:textId="1D18DF89" w:rsidR="00CA671A" w:rsidRPr="00AB11D5" w:rsidRDefault="00CA671A" w:rsidP="00CA671A">
      <w:pPr>
        <w:ind w:left="851"/>
        <w:rPr>
          <w:sz w:val="24"/>
          <w:szCs w:val="24"/>
          <w:lang w:eastAsia="da-DK"/>
        </w:rPr>
      </w:pPr>
      <w:r w:rsidRPr="00AB11D5">
        <w:rPr>
          <w:sz w:val="24"/>
          <w:szCs w:val="24"/>
        </w:rPr>
        <w:t xml:space="preserve">Flerdosis 7 ml sprøjte fremstillet af hvid højdensitets PE med HDPE-stempel med trykt skala, </w:t>
      </w:r>
      <w:proofErr w:type="gramStart"/>
      <w:r w:rsidRPr="00AB11D5">
        <w:rPr>
          <w:sz w:val="24"/>
          <w:szCs w:val="24"/>
        </w:rPr>
        <w:t>PP dispensering</w:t>
      </w:r>
      <w:proofErr w:type="gramEnd"/>
      <w:r w:rsidRPr="00AB11D5">
        <w:rPr>
          <w:sz w:val="24"/>
          <w:szCs w:val="24"/>
        </w:rPr>
        <w:t xml:space="preserve"> og HDPE-hætte. Sprøjten indeholder 7,49 g pasta og er udstyret med en justerbar dispenser. </w:t>
      </w:r>
    </w:p>
    <w:p w14:paraId="2929758F" w14:textId="77777777" w:rsidR="00CA671A" w:rsidRPr="00AB11D5" w:rsidRDefault="00CA671A" w:rsidP="00CA671A">
      <w:pPr>
        <w:ind w:left="851"/>
        <w:rPr>
          <w:sz w:val="24"/>
          <w:szCs w:val="24"/>
        </w:rPr>
      </w:pPr>
      <w:r w:rsidRPr="00AB11D5">
        <w:rPr>
          <w:sz w:val="24"/>
          <w:szCs w:val="24"/>
        </w:rPr>
        <w:t>Pakningsstørrelse:</w:t>
      </w:r>
    </w:p>
    <w:p w14:paraId="368FB35C" w14:textId="77777777" w:rsidR="00CA671A" w:rsidRPr="00AB11D5" w:rsidRDefault="00CA671A" w:rsidP="00CA671A">
      <w:pPr>
        <w:ind w:left="851"/>
        <w:rPr>
          <w:sz w:val="24"/>
          <w:szCs w:val="24"/>
        </w:rPr>
      </w:pPr>
      <w:r w:rsidRPr="00AB11D5">
        <w:rPr>
          <w:sz w:val="24"/>
          <w:szCs w:val="24"/>
        </w:rPr>
        <w:t>Æske med 1 eller 10 sprøjter.</w:t>
      </w:r>
    </w:p>
    <w:p w14:paraId="41E0A40B" w14:textId="77777777" w:rsidR="00CA671A" w:rsidRPr="00AB11D5" w:rsidRDefault="00CA671A" w:rsidP="00CA671A">
      <w:pPr>
        <w:ind w:left="851"/>
        <w:rPr>
          <w:sz w:val="24"/>
          <w:szCs w:val="24"/>
        </w:rPr>
      </w:pPr>
      <w:r w:rsidRPr="00AB11D5">
        <w:rPr>
          <w:sz w:val="24"/>
          <w:szCs w:val="24"/>
        </w:rPr>
        <w:t xml:space="preserve">Ikke alle pakningsstørrelser er nødvendigvis markedsført. </w:t>
      </w:r>
    </w:p>
    <w:p w14:paraId="5741FE4D" w14:textId="77777777" w:rsidR="008203A8" w:rsidRPr="00AB11D5" w:rsidRDefault="008203A8" w:rsidP="008203A8">
      <w:pPr>
        <w:tabs>
          <w:tab w:val="left" w:pos="851"/>
        </w:tabs>
        <w:ind w:left="851"/>
        <w:rPr>
          <w:sz w:val="24"/>
          <w:szCs w:val="24"/>
        </w:rPr>
      </w:pPr>
    </w:p>
    <w:p w14:paraId="19C5BB33" w14:textId="77777777" w:rsidR="008203A8" w:rsidRPr="00AB11D5" w:rsidRDefault="008203A8" w:rsidP="008203A8">
      <w:pPr>
        <w:tabs>
          <w:tab w:val="left" w:pos="851"/>
        </w:tabs>
        <w:ind w:left="851" w:hanging="851"/>
        <w:rPr>
          <w:sz w:val="24"/>
          <w:szCs w:val="24"/>
        </w:rPr>
      </w:pPr>
      <w:r w:rsidRPr="00AB11D5">
        <w:rPr>
          <w:b/>
          <w:sz w:val="24"/>
          <w:szCs w:val="24"/>
        </w:rPr>
        <w:t>5.5</w:t>
      </w:r>
      <w:r w:rsidRPr="00AB11D5">
        <w:rPr>
          <w:b/>
          <w:sz w:val="24"/>
          <w:szCs w:val="24"/>
        </w:rPr>
        <w:tab/>
        <w:t>Særlige forholdsregler vedrørende bortskaffelse af ubrugte veterinærlægemidler eller affaldsmaterialer fra brugen heraf</w:t>
      </w:r>
    </w:p>
    <w:p w14:paraId="4EEB1BDB" w14:textId="77777777" w:rsidR="00CA671A" w:rsidRPr="00AB11D5" w:rsidRDefault="00CA671A" w:rsidP="00CA671A">
      <w:pPr>
        <w:ind w:left="851"/>
        <w:rPr>
          <w:sz w:val="24"/>
          <w:szCs w:val="24"/>
          <w:lang w:eastAsia="da-DK"/>
        </w:rPr>
      </w:pPr>
      <w:r w:rsidRPr="00AB11D5">
        <w:rPr>
          <w:sz w:val="24"/>
          <w:szCs w:val="24"/>
        </w:rPr>
        <w:t>Lægemidler må ikke bortskaffes sammen med spildevand eller husholdningsaffald.</w:t>
      </w:r>
    </w:p>
    <w:p w14:paraId="2C988138" w14:textId="77777777" w:rsidR="00CA671A" w:rsidRPr="00AB11D5" w:rsidRDefault="00CA671A" w:rsidP="00CA671A">
      <w:pPr>
        <w:ind w:left="851"/>
        <w:rPr>
          <w:sz w:val="24"/>
          <w:szCs w:val="24"/>
        </w:rPr>
      </w:pPr>
      <w:r w:rsidRPr="00AB11D5">
        <w:rPr>
          <w:sz w:val="24"/>
          <w:szCs w:val="24"/>
        </w:rPr>
        <w:t>Dette veterinærlægemiddel må ikke udledes i vandløb, da aktive stoffer kan være farlige for fisk og andre vandorganismer.</w:t>
      </w:r>
    </w:p>
    <w:p w14:paraId="71A200F5" w14:textId="77777777" w:rsidR="00CA671A" w:rsidRPr="00AB11D5" w:rsidRDefault="00CA671A" w:rsidP="00CA671A">
      <w:pPr>
        <w:ind w:left="851"/>
        <w:rPr>
          <w:sz w:val="24"/>
          <w:szCs w:val="24"/>
          <w:lang w:val="bg-BG"/>
        </w:rPr>
      </w:pPr>
      <w:r w:rsidRPr="00AB11D5">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7458238B" w14:textId="77777777" w:rsidR="008203A8" w:rsidRPr="00AB11D5" w:rsidRDefault="008203A8" w:rsidP="008203A8">
      <w:pPr>
        <w:tabs>
          <w:tab w:val="left" w:pos="851"/>
        </w:tabs>
        <w:ind w:left="851"/>
        <w:rPr>
          <w:sz w:val="24"/>
          <w:szCs w:val="24"/>
        </w:rPr>
      </w:pPr>
    </w:p>
    <w:p w14:paraId="55C9CF1E" w14:textId="77777777" w:rsidR="008203A8" w:rsidRPr="00AB11D5" w:rsidRDefault="008203A8" w:rsidP="008203A8">
      <w:pPr>
        <w:tabs>
          <w:tab w:val="left" w:pos="851"/>
        </w:tabs>
        <w:ind w:left="851" w:hanging="851"/>
        <w:rPr>
          <w:b/>
          <w:sz w:val="24"/>
          <w:szCs w:val="24"/>
        </w:rPr>
      </w:pPr>
      <w:r w:rsidRPr="00AB11D5">
        <w:rPr>
          <w:b/>
          <w:sz w:val="24"/>
          <w:szCs w:val="24"/>
        </w:rPr>
        <w:t>6.</w:t>
      </w:r>
      <w:r w:rsidRPr="00AB11D5">
        <w:rPr>
          <w:b/>
          <w:sz w:val="24"/>
          <w:szCs w:val="24"/>
        </w:rPr>
        <w:tab/>
        <w:t>NAVN PÅ INDEHAVEREN AF MARKEDSFØRINGSTILLADELSEN</w:t>
      </w:r>
    </w:p>
    <w:p w14:paraId="2903B3A4" w14:textId="77777777" w:rsidR="00895F04" w:rsidRDefault="00CA671A" w:rsidP="002B1739">
      <w:pPr>
        <w:ind w:left="851"/>
        <w:rPr>
          <w:sz w:val="24"/>
          <w:szCs w:val="24"/>
        </w:rPr>
      </w:pPr>
      <w:proofErr w:type="spellStart"/>
      <w:r w:rsidRPr="00AB11D5">
        <w:rPr>
          <w:sz w:val="24"/>
          <w:szCs w:val="24"/>
        </w:rPr>
        <w:t>Bioveta</w:t>
      </w:r>
      <w:proofErr w:type="spellEnd"/>
      <w:r w:rsidRPr="00AB11D5">
        <w:rPr>
          <w:sz w:val="24"/>
          <w:szCs w:val="24"/>
        </w:rPr>
        <w:t xml:space="preserve"> </w:t>
      </w:r>
      <w:proofErr w:type="spellStart"/>
      <w:r w:rsidRPr="00AB11D5">
        <w:rPr>
          <w:sz w:val="24"/>
          <w:szCs w:val="24"/>
        </w:rPr>
        <w:t>a.s</w:t>
      </w:r>
      <w:proofErr w:type="spellEnd"/>
      <w:r w:rsidRPr="00AB11D5">
        <w:rPr>
          <w:sz w:val="24"/>
          <w:szCs w:val="24"/>
        </w:rPr>
        <w:t>.</w:t>
      </w:r>
    </w:p>
    <w:p w14:paraId="4DFAA143" w14:textId="0BA08B11" w:rsidR="008203A8" w:rsidRPr="00AB11D5" w:rsidRDefault="00CA671A" w:rsidP="002B1739">
      <w:pPr>
        <w:ind w:left="851"/>
        <w:rPr>
          <w:sz w:val="24"/>
          <w:szCs w:val="24"/>
        </w:rPr>
      </w:pPr>
      <w:proofErr w:type="spellStart"/>
      <w:r w:rsidRPr="00AB11D5">
        <w:rPr>
          <w:sz w:val="24"/>
          <w:szCs w:val="24"/>
        </w:rPr>
        <w:t>Komenskeho</w:t>
      </w:r>
      <w:proofErr w:type="spellEnd"/>
      <w:r w:rsidRPr="00AB11D5">
        <w:rPr>
          <w:sz w:val="24"/>
          <w:szCs w:val="24"/>
        </w:rPr>
        <w:t xml:space="preserve"> 212/12</w:t>
      </w:r>
    </w:p>
    <w:p w14:paraId="78BAF244" w14:textId="1612D0B0" w:rsidR="00CA671A" w:rsidRPr="00AB11D5" w:rsidRDefault="00CA671A" w:rsidP="002B1739">
      <w:pPr>
        <w:ind w:left="851"/>
        <w:rPr>
          <w:sz w:val="24"/>
          <w:szCs w:val="24"/>
        </w:rPr>
      </w:pPr>
      <w:r w:rsidRPr="00AB11D5">
        <w:rPr>
          <w:sz w:val="24"/>
          <w:szCs w:val="24"/>
        </w:rPr>
        <w:t>683 23 Ivanovice Na Hane</w:t>
      </w:r>
    </w:p>
    <w:p w14:paraId="6ADCBF22" w14:textId="21690A4F" w:rsidR="00CA671A" w:rsidRPr="00AB11D5" w:rsidRDefault="00CA671A" w:rsidP="002B1739">
      <w:pPr>
        <w:ind w:left="851"/>
        <w:rPr>
          <w:sz w:val="24"/>
          <w:szCs w:val="24"/>
        </w:rPr>
      </w:pPr>
      <w:r w:rsidRPr="00AB11D5">
        <w:rPr>
          <w:sz w:val="24"/>
          <w:szCs w:val="24"/>
        </w:rPr>
        <w:t>Tjekkiet</w:t>
      </w:r>
    </w:p>
    <w:p w14:paraId="277E74AA" w14:textId="77777777" w:rsidR="00CA671A" w:rsidRPr="00AB11D5" w:rsidRDefault="00CA671A" w:rsidP="002B1739">
      <w:pPr>
        <w:ind w:left="851"/>
        <w:rPr>
          <w:sz w:val="24"/>
          <w:szCs w:val="24"/>
        </w:rPr>
      </w:pPr>
    </w:p>
    <w:p w14:paraId="23096B85" w14:textId="77777777" w:rsidR="008203A8" w:rsidRPr="00AB11D5" w:rsidRDefault="008203A8" w:rsidP="002B1739">
      <w:pPr>
        <w:ind w:left="851"/>
        <w:rPr>
          <w:b/>
          <w:sz w:val="24"/>
          <w:szCs w:val="24"/>
        </w:rPr>
      </w:pPr>
      <w:r w:rsidRPr="00AB11D5">
        <w:rPr>
          <w:b/>
          <w:sz w:val="24"/>
          <w:szCs w:val="24"/>
        </w:rPr>
        <w:t>Repræsentant</w:t>
      </w:r>
    </w:p>
    <w:p w14:paraId="1E37E4E8" w14:textId="4631FE28" w:rsidR="008203A8" w:rsidRPr="00DB3CEB" w:rsidRDefault="00CA671A" w:rsidP="008203A8">
      <w:pPr>
        <w:tabs>
          <w:tab w:val="left" w:pos="851"/>
        </w:tabs>
        <w:ind w:left="851"/>
        <w:rPr>
          <w:sz w:val="24"/>
          <w:szCs w:val="24"/>
          <w:lang w:val="en-US"/>
        </w:rPr>
      </w:pPr>
      <w:proofErr w:type="spellStart"/>
      <w:r w:rsidRPr="00DB3CEB">
        <w:rPr>
          <w:sz w:val="24"/>
          <w:szCs w:val="24"/>
          <w:lang w:val="en-US"/>
        </w:rPr>
        <w:t>Audevard</w:t>
      </w:r>
      <w:proofErr w:type="spellEnd"/>
    </w:p>
    <w:p w14:paraId="06F026EA" w14:textId="3D953B53" w:rsidR="00CA671A" w:rsidRPr="00DB3CEB" w:rsidRDefault="00CA671A" w:rsidP="008203A8">
      <w:pPr>
        <w:tabs>
          <w:tab w:val="left" w:pos="851"/>
        </w:tabs>
        <w:ind w:left="851"/>
        <w:rPr>
          <w:sz w:val="24"/>
          <w:szCs w:val="24"/>
          <w:lang w:val="en-US"/>
        </w:rPr>
      </w:pPr>
      <w:r w:rsidRPr="00DB3CEB">
        <w:rPr>
          <w:sz w:val="24"/>
          <w:szCs w:val="24"/>
          <w:lang w:val="en-US"/>
        </w:rPr>
        <w:t>37 To 39 Rue De Neuilly</w:t>
      </w:r>
    </w:p>
    <w:p w14:paraId="2111A24A" w14:textId="6AA06F6C" w:rsidR="00CA671A" w:rsidRPr="00DB3CEB" w:rsidRDefault="00CA671A" w:rsidP="008203A8">
      <w:pPr>
        <w:tabs>
          <w:tab w:val="left" w:pos="851"/>
        </w:tabs>
        <w:ind w:left="851"/>
        <w:rPr>
          <w:sz w:val="24"/>
          <w:szCs w:val="24"/>
          <w:lang w:val="en-US"/>
        </w:rPr>
      </w:pPr>
      <w:r w:rsidRPr="00DB3CEB">
        <w:rPr>
          <w:sz w:val="24"/>
          <w:szCs w:val="24"/>
          <w:lang w:val="en-US"/>
        </w:rPr>
        <w:t>92110 Clichy</w:t>
      </w:r>
    </w:p>
    <w:p w14:paraId="27DF74A7" w14:textId="62CEF7C7" w:rsidR="00CA671A" w:rsidRPr="00AB11D5" w:rsidRDefault="00CA671A" w:rsidP="008203A8">
      <w:pPr>
        <w:tabs>
          <w:tab w:val="left" w:pos="851"/>
        </w:tabs>
        <w:ind w:left="851"/>
        <w:rPr>
          <w:sz w:val="24"/>
          <w:szCs w:val="24"/>
        </w:rPr>
      </w:pPr>
      <w:r w:rsidRPr="00AB11D5">
        <w:rPr>
          <w:sz w:val="24"/>
          <w:szCs w:val="24"/>
        </w:rPr>
        <w:t>Frankrig</w:t>
      </w:r>
    </w:p>
    <w:p w14:paraId="390471EC" w14:textId="77777777" w:rsidR="00CA671A" w:rsidRPr="00AB11D5" w:rsidRDefault="00CA671A" w:rsidP="008203A8">
      <w:pPr>
        <w:tabs>
          <w:tab w:val="left" w:pos="851"/>
        </w:tabs>
        <w:ind w:left="851"/>
        <w:rPr>
          <w:sz w:val="24"/>
          <w:szCs w:val="24"/>
        </w:rPr>
      </w:pPr>
    </w:p>
    <w:p w14:paraId="61554D7B" w14:textId="77777777" w:rsidR="008203A8" w:rsidRPr="00AB11D5" w:rsidRDefault="008203A8" w:rsidP="008203A8">
      <w:pPr>
        <w:ind w:left="851" w:hanging="851"/>
        <w:rPr>
          <w:b/>
          <w:sz w:val="24"/>
          <w:szCs w:val="24"/>
        </w:rPr>
      </w:pPr>
      <w:r w:rsidRPr="00AB11D5">
        <w:rPr>
          <w:b/>
          <w:sz w:val="24"/>
          <w:szCs w:val="24"/>
        </w:rPr>
        <w:t>7.</w:t>
      </w:r>
      <w:r w:rsidRPr="00AB11D5">
        <w:rPr>
          <w:b/>
          <w:sz w:val="24"/>
          <w:szCs w:val="24"/>
        </w:rPr>
        <w:tab/>
        <w:t>MARKEDSFØRINGSTILLADELSESNUMMER (-NUMRE)</w:t>
      </w:r>
    </w:p>
    <w:p w14:paraId="72CCC5AD" w14:textId="66B6F9B0" w:rsidR="008203A8" w:rsidRPr="00AB11D5" w:rsidRDefault="00CA671A" w:rsidP="008203A8">
      <w:pPr>
        <w:tabs>
          <w:tab w:val="left" w:pos="851"/>
        </w:tabs>
        <w:ind w:left="851"/>
        <w:rPr>
          <w:sz w:val="24"/>
          <w:szCs w:val="24"/>
        </w:rPr>
      </w:pPr>
      <w:r w:rsidRPr="00AB11D5">
        <w:rPr>
          <w:sz w:val="24"/>
          <w:szCs w:val="24"/>
        </w:rPr>
        <w:t>67614</w:t>
      </w:r>
    </w:p>
    <w:p w14:paraId="1495B393" w14:textId="77777777" w:rsidR="00CA671A" w:rsidRPr="00AB11D5" w:rsidRDefault="00CA671A" w:rsidP="008203A8">
      <w:pPr>
        <w:tabs>
          <w:tab w:val="left" w:pos="851"/>
        </w:tabs>
        <w:ind w:left="851"/>
        <w:rPr>
          <w:sz w:val="24"/>
          <w:szCs w:val="24"/>
        </w:rPr>
      </w:pPr>
    </w:p>
    <w:p w14:paraId="34C87B0E" w14:textId="77777777" w:rsidR="008203A8" w:rsidRPr="00AB11D5" w:rsidRDefault="008203A8" w:rsidP="008203A8">
      <w:pPr>
        <w:tabs>
          <w:tab w:val="left" w:pos="851"/>
        </w:tabs>
        <w:ind w:left="851" w:hanging="851"/>
        <w:rPr>
          <w:b/>
          <w:sz w:val="24"/>
          <w:szCs w:val="24"/>
        </w:rPr>
      </w:pPr>
      <w:r w:rsidRPr="00AB11D5">
        <w:rPr>
          <w:b/>
          <w:sz w:val="24"/>
          <w:szCs w:val="24"/>
        </w:rPr>
        <w:t>8.</w:t>
      </w:r>
      <w:r w:rsidRPr="00AB11D5">
        <w:rPr>
          <w:b/>
          <w:sz w:val="24"/>
          <w:szCs w:val="24"/>
        </w:rPr>
        <w:tab/>
        <w:t>DATO FOR FØRSTE TILLADELSE</w:t>
      </w:r>
    </w:p>
    <w:p w14:paraId="5E047253" w14:textId="23E54AAA" w:rsidR="008203A8" w:rsidRPr="00AB11D5" w:rsidRDefault="00DD756A" w:rsidP="008203A8">
      <w:pPr>
        <w:tabs>
          <w:tab w:val="left" w:pos="851"/>
        </w:tabs>
        <w:ind w:left="851"/>
        <w:rPr>
          <w:sz w:val="24"/>
          <w:szCs w:val="24"/>
        </w:rPr>
      </w:pPr>
      <w:r>
        <w:rPr>
          <w:sz w:val="24"/>
          <w:szCs w:val="24"/>
        </w:rPr>
        <w:t>3</w:t>
      </w:r>
      <w:r w:rsidR="000B1E95">
        <w:rPr>
          <w:sz w:val="24"/>
          <w:szCs w:val="24"/>
        </w:rPr>
        <w:t>. maj 2024</w:t>
      </w:r>
    </w:p>
    <w:p w14:paraId="7418D5CA" w14:textId="77777777" w:rsidR="00CA671A" w:rsidRPr="00AB11D5" w:rsidRDefault="00CA671A" w:rsidP="008203A8">
      <w:pPr>
        <w:tabs>
          <w:tab w:val="left" w:pos="851"/>
        </w:tabs>
        <w:ind w:left="851"/>
        <w:rPr>
          <w:sz w:val="24"/>
          <w:szCs w:val="24"/>
        </w:rPr>
      </w:pPr>
    </w:p>
    <w:p w14:paraId="6BA2BBA2" w14:textId="77777777" w:rsidR="008203A8" w:rsidRPr="00AB11D5" w:rsidRDefault="008203A8" w:rsidP="008203A8">
      <w:pPr>
        <w:tabs>
          <w:tab w:val="left" w:pos="851"/>
        </w:tabs>
        <w:ind w:left="851" w:hanging="851"/>
        <w:rPr>
          <w:b/>
          <w:sz w:val="24"/>
          <w:szCs w:val="24"/>
        </w:rPr>
      </w:pPr>
      <w:r w:rsidRPr="00AB11D5">
        <w:rPr>
          <w:b/>
          <w:sz w:val="24"/>
          <w:szCs w:val="24"/>
        </w:rPr>
        <w:t>9.</w:t>
      </w:r>
      <w:r w:rsidRPr="00AB11D5">
        <w:rPr>
          <w:b/>
          <w:sz w:val="24"/>
          <w:szCs w:val="24"/>
        </w:rPr>
        <w:tab/>
        <w:t>DATO FOR SENESTE ÆNDRING AF PRODUKTRESUMÉET</w:t>
      </w:r>
    </w:p>
    <w:p w14:paraId="5D051BC1" w14:textId="7971C44E" w:rsidR="008203A8" w:rsidRDefault="00DD756A" w:rsidP="008203A8">
      <w:pPr>
        <w:tabs>
          <w:tab w:val="left" w:pos="851"/>
        </w:tabs>
        <w:ind w:left="851"/>
        <w:rPr>
          <w:sz w:val="24"/>
          <w:szCs w:val="24"/>
        </w:rPr>
      </w:pPr>
      <w:r>
        <w:rPr>
          <w:sz w:val="24"/>
          <w:szCs w:val="24"/>
        </w:rPr>
        <w:t xml:space="preserve">24. </w:t>
      </w:r>
      <w:r w:rsidR="003A2144">
        <w:rPr>
          <w:sz w:val="24"/>
          <w:szCs w:val="24"/>
        </w:rPr>
        <w:t>juni</w:t>
      </w:r>
      <w:bookmarkStart w:id="2" w:name="_GoBack"/>
      <w:bookmarkEnd w:id="2"/>
      <w:r>
        <w:rPr>
          <w:sz w:val="24"/>
          <w:szCs w:val="24"/>
        </w:rPr>
        <w:t xml:space="preserve"> 2024</w:t>
      </w:r>
    </w:p>
    <w:p w14:paraId="28069627" w14:textId="77777777" w:rsidR="008203A8" w:rsidRPr="00AB11D5" w:rsidRDefault="008203A8" w:rsidP="008203A8">
      <w:pPr>
        <w:tabs>
          <w:tab w:val="left" w:pos="851"/>
        </w:tabs>
        <w:ind w:left="851"/>
        <w:rPr>
          <w:sz w:val="24"/>
          <w:szCs w:val="24"/>
        </w:rPr>
      </w:pPr>
    </w:p>
    <w:p w14:paraId="1FBB243F" w14:textId="77777777" w:rsidR="008203A8" w:rsidRPr="00AB11D5" w:rsidRDefault="008203A8" w:rsidP="008203A8">
      <w:pPr>
        <w:tabs>
          <w:tab w:val="left" w:pos="851"/>
        </w:tabs>
        <w:ind w:left="851" w:hanging="851"/>
        <w:rPr>
          <w:b/>
          <w:sz w:val="24"/>
          <w:szCs w:val="24"/>
        </w:rPr>
      </w:pPr>
      <w:r w:rsidRPr="00AB11D5">
        <w:rPr>
          <w:b/>
          <w:sz w:val="24"/>
          <w:szCs w:val="24"/>
        </w:rPr>
        <w:t>10.</w:t>
      </w:r>
      <w:r w:rsidRPr="00AB11D5">
        <w:rPr>
          <w:b/>
          <w:sz w:val="24"/>
          <w:szCs w:val="24"/>
        </w:rPr>
        <w:tab/>
        <w:t>KLASSIFICERING AF VETERINÆRLÆGEMIDLER</w:t>
      </w:r>
    </w:p>
    <w:p w14:paraId="09ED1F28" w14:textId="77777777" w:rsidR="00364EBB" w:rsidRPr="00AB11D5" w:rsidRDefault="00364EBB" w:rsidP="002B1739">
      <w:pPr>
        <w:ind w:left="851"/>
        <w:rPr>
          <w:sz w:val="24"/>
          <w:szCs w:val="24"/>
        </w:rPr>
      </w:pPr>
      <w:r w:rsidRPr="00AB11D5">
        <w:rPr>
          <w:sz w:val="24"/>
          <w:szCs w:val="24"/>
        </w:rPr>
        <w:t>BP</w:t>
      </w:r>
    </w:p>
    <w:p w14:paraId="68D0FE98" w14:textId="7FA28E3B" w:rsidR="00364EBB" w:rsidRPr="00AB11D5" w:rsidRDefault="00364EBB" w:rsidP="002B1739">
      <w:pPr>
        <w:ind w:left="851"/>
        <w:rPr>
          <w:sz w:val="24"/>
          <w:szCs w:val="24"/>
        </w:rPr>
      </w:pPr>
      <w:r w:rsidRPr="00AB11D5">
        <w:rPr>
          <w:sz w:val="24"/>
          <w:szCs w:val="24"/>
        </w:rPr>
        <w:t>Der findes detaljerede oplysninger om dette veterinærlægemiddel i EU-lægemiddel</w:t>
      </w:r>
      <w:r w:rsidR="0005201C">
        <w:rPr>
          <w:sz w:val="24"/>
          <w:szCs w:val="24"/>
        </w:rPr>
        <w:softHyphen/>
      </w:r>
      <w:r w:rsidRPr="00AB11D5">
        <w:rPr>
          <w:sz w:val="24"/>
          <w:szCs w:val="24"/>
        </w:rPr>
        <w:t>databasen.</w:t>
      </w:r>
    </w:p>
    <w:sectPr w:rsidR="00364EBB" w:rsidRPr="00AB11D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ABB4E" w14:textId="77777777" w:rsidR="00512642" w:rsidRDefault="00512642">
      <w:r>
        <w:separator/>
      </w:r>
    </w:p>
  </w:endnote>
  <w:endnote w:type="continuationSeparator" w:id="0">
    <w:p w14:paraId="25CCB5F2" w14:textId="77777777" w:rsidR="00512642" w:rsidRDefault="0051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7BE8D" w14:textId="77777777" w:rsidR="004A62CC" w:rsidRDefault="004A62CC">
    <w:pPr>
      <w:pStyle w:val="Sidefod"/>
      <w:pBdr>
        <w:bottom w:val="single" w:sz="6" w:space="1" w:color="auto"/>
      </w:pBdr>
      <w:tabs>
        <w:tab w:val="clear" w:pos="4819"/>
        <w:tab w:val="left" w:pos="8647"/>
      </w:tabs>
      <w:rPr>
        <w:i/>
        <w:snapToGrid w:val="0"/>
        <w:sz w:val="18"/>
      </w:rPr>
    </w:pPr>
  </w:p>
  <w:p w14:paraId="30F5F12E" w14:textId="77777777" w:rsidR="004A62CC" w:rsidRDefault="004A62CC">
    <w:pPr>
      <w:pStyle w:val="Sidefod"/>
      <w:tabs>
        <w:tab w:val="clear" w:pos="4819"/>
        <w:tab w:val="left" w:pos="8647"/>
      </w:tabs>
      <w:rPr>
        <w:i/>
        <w:snapToGrid w:val="0"/>
        <w:sz w:val="18"/>
      </w:rPr>
    </w:pPr>
  </w:p>
  <w:p w14:paraId="66322FE6" w14:textId="546DE96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F78B2">
      <w:rPr>
        <w:i/>
        <w:noProof/>
        <w:snapToGrid w:val="0"/>
        <w:sz w:val="18"/>
      </w:rPr>
      <w:t>Nexpraz Duo, oral pasta 18,7+140,3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48A7" w14:textId="77777777" w:rsidR="004A62CC" w:rsidRDefault="004A62CC">
    <w:pPr>
      <w:pStyle w:val="Sidefod"/>
      <w:pBdr>
        <w:bottom w:val="single" w:sz="6" w:space="1" w:color="auto"/>
      </w:pBdr>
      <w:tabs>
        <w:tab w:val="clear" w:pos="4819"/>
        <w:tab w:val="left" w:pos="8647"/>
      </w:tabs>
      <w:rPr>
        <w:i/>
        <w:snapToGrid w:val="0"/>
        <w:sz w:val="18"/>
      </w:rPr>
    </w:pPr>
  </w:p>
  <w:p w14:paraId="34D70210" w14:textId="77777777" w:rsidR="004A62CC" w:rsidRDefault="004A62CC">
    <w:pPr>
      <w:pStyle w:val="Sidefod"/>
      <w:tabs>
        <w:tab w:val="clear" w:pos="4819"/>
        <w:tab w:val="left" w:pos="8647"/>
      </w:tabs>
      <w:rPr>
        <w:i/>
        <w:snapToGrid w:val="0"/>
        <w:sz w:val="18"/>
      </w:rPr>
    </w:pPr>
  </w:p>
  <w:p w14:paraId="37770005" w14:textId="4AE61A5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F78B2">
      <w:rPr>
        <w:i/>
        <w:noProof/>
        <w:snapToGrid w:val="0"/>
        <w:sz w:val="18"/>
      </w:rPr>
      <w:t>Nexpraz Duo, oral pasta 18,7+140,3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03493" w14:textId="77777777" w:rsidR="00512642" w:rsidRDefault="00512642">
      <w:r>
        <w:separator/>
      </w:r>
    </w:p>
  </w:footnote>
  <w:footnote w:type="continuationSeparator" w:id="0">
    <w:p w14:paraId="6E49085A" w14:textId="77777777" w:rsidR="00512642" w:rsidRDefault="0051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5777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55ED"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360"/>
        </w:tabs>
        <w:ind w:left="113" w:hanging="113"/>
      </w:pPr>
      <w:rPr>
        <w:rFonts w:ascii="Symbol" w:hAnsi="Symbol" w:cs="Symbol" w:hint="default"/>
      </w:rPr>
    </w:lvl>
  </w:abstractNum>
  <w:abstractNum w:abstractNumId="1" w15:restartNumberingAfterBreak="0">
    <w:nsid w:val="06366796"/>
    <w:multiLevelType w:val="hybridMultilevel"/>
    <w:tmpl w:val="6FFC8EEE"/>
    <w:lvl w:ilvl="0" w:tplc="00000004">
      <w:start w:val="1"/>
      <w:numFmt w:val="bullet"/>
      <w:lvlText w:val=""/>
      <w:lvlJc w:val="left"/>
      <w:pPr>
        <w:ind w:left="1571" w:hanging="360"/>
      </w:pPr>
      <w:rPr>
        <w:rFonts w:ascii="Symbol" w:hAnsi="Symbol" w:cs="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A2E1EE6"/>
    <w:multiLevelType w:val="hybridMultilevel"/>
    <w:tmpl w:val="62FE109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68C47E7"/>
    <w:multiLevelType w:val="hybridMultilevel"/>
    <w:tmpl w:val="9DB849A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42"/>
    <w:rsid w:val="000032BA"/>
    <w:rsid w:val="000241E8"/>
    <w:rsid w:val="00033728"/>
    <w:rsid w:val="0003527F"/>
    <w:rsid w:val="0004390D"/>
    <w:rsid w:val="0005201C"/>
    <w:rsid w:val="0005355A"/>
    <w:rsid w:val="00065C7D"/>
    <w:rsid w:val="00092AFF"/>
    <w:rsid w:val="000B102C"/>
    <w:rsid w:val="000B1E95"/>
    <w:rsid w:val="000C6CD4"/>
    <w:rsid w:val="001230B3"/>
    <w:rsid w:val="00131D7A"/>
    <w:rsid w:val="001577E4"/>
    <w:rsid w:val="001623D2"/>
    <w:rsid w:val="00162A88"/>
    <w:rsid w:val="00173F52"/>
    <w:rsid w:val="0018534D"/>
    <w:rsid w:val="001858CA"/>
    <w:rsid w:val="001869DB"/>
    <w:rsid w:val="001903E6"/>
    <w:rsid w:val="001C4AEF"/>
    <w:rsid w:val="001D3CC5"/>
    <w:rsid w:val="00202A14"/>
    <w:rsid w:val="00207C0E"/>
    <w:rsid w:val="0025723B"/>
    <w:rsid w:val="002B1739"/>
    <w:rsid w:val="002C3E74"/>
    <w:rsid w:val="002E304C"/>
    <w:rsid w:val="002E7439"/>
    <w:rsid w:val="002F3591"/>
    <w:rsid w:val="00322BDE"/>
    <w:rsid w:val="00340679"/>
    <w:rsid w:val="003453EC"/>
    <w:rsid w:val="00364EBB"/>
    <w:rsid w:val="00371CA6"/>
    <w:rsid w:val="003A2144"/>
    <w:rsid w:val="003E4B6F"/>
    <w:rsid w:val="00401F5E"/>
    <w:rsid w:val="00406EE7"/>
    <w:rsid w:val="00407013"/>
    <w:rsid w:val="00412537"/>
    <w:rsid w:val="00415D7C"/>
    <w:rsid w:val="00417225"/>
    <w:rsid w:val="00451FEF"/>
    <w:rsid w:val="00482FEF"/>
    <w:rsid w:val="004A62CC"/>
    <w:rsid w:val="004C733C"/>
    <w:rsid w:val="00512642"/>
    <w:rsid w:val="00514C36"/>
    <w:rsid w:val="00565A74"/>
    <w:rsid w:val="005A7989"/>
    <w:rsid w:val="005B0036"/>
    <w:rsid w:val="005D1DAA"/>
    <w:rsid w:val="005E336B"/>
    <w:rsid w:val="005F5831"/>
    <w:rsid w:val="00601E64"/>
    <w:rsid w:val="0061389F"/>
    <w:rsid w:val="00614110"/>
    <w:rsid w:val="00626FA9"/>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36C7D"/>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95F04"/>
    <w:rsid w:val="008E4866"/>
    <w:rsid w:val="009202AE"/>
    <w:rsid w:val="00942FB8"/>
    <w:rsid w:val="00960F5F"/>
    <w:rsid w:val="00967486"/>
    <w:rsid w:val="009954DA"/>
    <w:rsid w:val="009D66C6"/>
    <w:rsid w:val="009D7B12"/>
    <w:rsid w:val="009E300C"/>
    <w:rsid w:val="009E5184"/>
    <w:rsid w:val="009F1F5E"/>
    <w:rsid w:val="009F78B2"/>
    <w:rsid w:val="00A31E52"/>
    <w:rsid w:val="00A74A8A"/>
    <w:rsid w:val="00A85606"/>
    <w:rsid w:val="00A86C63"/>
    <w:rsid w:val="00A957A6"/>
    <w:rsid w:val="00A96525"/>
    <w:rsid w:val="00AA0D25"/>
    <w:rsid w:val="00AB11D5"/>
    <w:rsid w:val="00AC012D"/>
    <w:rsid w:val="00AC17C4"/>
    <w:rsid w:val="00AD4D77"/>
    <w:rsid w:val="00AE29E5"/>
    <w:rsid w:val="00AE5757"/>
    <w:rsid w:val="00B23A4D"/>
    <w:rsid w:val="00B25E35"/>
    <w:rsid w:val="00B25EB8"/>
    <w:rsid w:val="00B764E3"/>
    <w:rsid w:val="00B85456"/>
    <w:rsid w:val="00B87267"/>
    <w:rsid w:val="00B933C6"/>
    <w:rsid w:val="00B93A25"/>
    <w:rsid w:val="00BC634B"/>
    <w:rsid w:val="00BF2AE0"/>
    <w:rsid w:val="00C41394"/>
    <w:rsid w:val="00C4291E"/>
    <w:rsid w:val="00C479BF"/>
    <w:rsid w:val="00C66C59"/>
    <w:rsid w:val="00C838AB"/>
    <w:rsid w:val="00C83AA2"/>
    <w:rsid w:val="00C9636D"/>
    <w:rsid w:val="00CA671A"/>
    <w:rsid w:val="00CE3A44"/>
    <w:rsid w:val="00CE3F86"/>
    <w:rsid w:val="00CF54C6"/>
    <w:rsid w:val="00CF75B4"/>
    <w:rsid w:val="00CF7BBF"/>
    <w:rsid w:val="00D10EE1"/>
    <w:rsid w:val="00D14DBC"/>
    <w:rsid w:val="00D87A3A"/>
    <w:rsid w:val="00D87E2B"/>
    <w:rsid w:val="00D910BA"/>
    <w:rsid w:val="00D96D04"/>
    <w:rsid w:val="00DB3CEB"/>
    <w:rsid w:val="00DC286E"/>
    <w:rsid w:val="00DD6D71"/>
    <w:rsid w:val="00DD756A"/>
    <w:rsid w:val="00DF32BE"/>
    <w:rsid w:val="00E14F0A"/>
    <w:rsid w:val="00E226D4"/>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B692E"/>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59325"/>
  <w15:chartTrackingRefBased/>
  <w15:docId w15:val="{DBB0C1D7-E192-404A-ADA8-D575DEBE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364EBB"/>
    <w:pPr>
      <w:tabs>
        <w:tab w:val="left" w:pos="567"/>
      </w:tabs>
      <w:spacing w:line="260" w:lineRule="exact"/>
      <w:ind w:left="720"/>
      <w:contextualSpacing/>
    </w:pPr>
    <w:rPr>
      <w:sz w:val="22"/>
    </w:rPr>
  </w:style>
  <w:style w:type="paragraph" w:styleId="Ingenafstand">
    <w:name w:val="No Spacing"/>
    <w:uiPriority w:val="1"/>
    <w:qFormat/>
    <w:rsid w:val="00364EBB"/>
    <w:pPr>
      <w:tabs>
        <w:tab w:val="left" w:pos="567"/>
      </w:tabs>
    </w:pPr>
    <w:rPr>
      <w:sz w:val="22"/>
      <w:lang w:eastAsia="en-US"/>
    </w:rPr>
  </w:style>
  <w:style w:type="paragraph" w:customStyle="1" w:styleId="Style1">
    <w:name w:val="Style1"/>
    <w:basedOn w:val="Normal"/>
    <w:qFormat/>
    <w:rsid w:val="00364EBB"/>
    <w:pPr>
      <w:tabs>
        <w:tab w:val="left" w:pos="0"/>
      </w:tabs>
      <w:ind w:left="567" w:hanging="567"/>
    </w:pPr>
    <w:rPr>
      <w:b/>
      <w:sz w:val="22"/>
      <w:szCs w:val="22"/>
    </w:rPr>
  </w:style>
  <w:style w:type="paragraph" w:customStyle="1" w:styleId="Style5">
    <w:name w:val="Style5"/>
    <w:basedOn w:val="Normal"/>
    <w:qFormat/>
    <w:rsid w:val="00364EBB"/>
    <w:pPr>
      <w:numPr>
        <w:ilvl w:val="12"/>
      </w:numPr>
    </w:pPr>
    <w:rPr>
      <w:sz w:val="22"/>
      <w:szCs w:val="22"/>
    </w:rPr>
  </w:style>
  <w:style w:type="paragraph" w:styleId="Slutnotetekst">
    <w:name w:val="endnote text"/>
    <w:basedOn w:val="Normal"/>
    <w:link w:val="SlutnotetekstTegn"/>
    <w:semiHidden/>
    <w:unhideWhenUsed/>
    <w:rsid w:val="009F78B2"/>
    <w:pPr>
      <w:suppressAutoHyphens/>
      <w:ind w:left="567" w:hanging="567"/>
    </w:pPr>
    <w:rPr>
      <w:sz w:val="22"/>
      <w:lang w:val="cs-CZ" w:eastAsia="da-DK"/>
    </w:rPr>
  </w:style>
  <w:style w:type="character" w:customStyle="1" w:styleId="SlutnotetekstTegn">
    <w:name w:val="Slutnotetekst Tegn"/>
    <w:basedOn w:val="Standardskrifttypeiafsnit"/>
    <w:link w:val="Slutnotetekst"/>
    <w:semiHidden/>
    <w:rsid w:val="009F78B2"/>
    <w:rPr>
      <w:sz w:val="22"/>
      <w:lang w:val="cs-CZ"/>
    </w:rPr>
  </w:style>
  <w:style w:type="paragraph" w:styleId="Brdtekstindrykning">
    <w:name w:val="Body Text Indent"/>
    <w:basedOn w:val="Normal"/>
    <w:link w:val="BrdtekstindrykningTegn"/>
    <w:semiHidden/>
    <w:unhideWhenUsed/>
    <w:rsid w:val="009F78B2"/>
    <w:pPr>
      <w:suppressAutoHyphens/>
      <w:spacing w:after="120"/>
      <w:ind w:left="283" w:hanging="567"/>
    </w:pPr>
    <w:rPr>
      <w:sz w:val="22"/>
      <w:lang w:val="cs-CZ" w:eastAsia="da-DK"/>
    </w:rPr>
  </w:style>
  <w:style w:type="character" w:customStyle="1" w:styleId="BrdtekstindrykningTegn">
    <w:name w:val="Brødtekstindrykning Tegn"/>
    <w:basedOn w:val="Standardskrifttypeiafsnit"/>
    <w:link w:val="Brdtekstindrykning"/>
    <w:semiHidden/>
    <w:rsid w:val="009F78B2"/>
    <w:rPr>
      <w:sz w:val="22"/>
      <w:lang w:val="cs-CZ"/>
    </w:rPr>
  </w:style>
  <w:style w:type="paragraph" w:customStyle="1" w:styleId="CommentText">
    <w:name w:val="Comment Text"/>
    <w:basedOn w:val="Normal"/>
    <w:rsid w:val="009F78B2"/>
    <w:pPr>
      <w:suppressAutoHyphens/>
      <w:ind w:left="567" w:hanging="567"/>
    </w:pPr>
    <w:rPr>
      <w:sz w:val="20"/>
      <w:lang w:val="bg-BG" w:eastAsia="da-DK"/>
    </w:rPr>
  </w:style>
  <w:style w:type="paragraph" w:styleId="Brdtekst">
    <w:name w:val="Body Text"/>
    <w:basedOn w:val="Normal"/>
    <w:link w:val="BrdtekstTegn"/>
    <w:uiPriority w:val="99"/>
    <w:semiHidden/>
    <w:unhideWhenUsed/>
    <w:rsid w:val="009F78B2"/>
    <w:pPr>
      <w:spacing w:after="120"/>
    </w:pPr>
  </w:style>
  <w:style w:type="character" w:customStyle="1" w:styleId="BrdtekstTegn">
    <w:name w:val="Brødtekst Tegn"/>
    <w:basedOn w:val="Standardskrifttypeiafsnit"/>
    <w:link w:val="Brdtekst"/>
    <w:uiPriority w:val="99"/>
    <w:semiHidden/>
    <w:rsid w:val="009F78B2"/>
    <w:rPr>
      <w:sz w:val="23"/>
      <w:lang w:eastAsia="en-US"/>
    </w:rPr>
  </w:style>
  <w:style w:type="paragraph" w:customStyle="1" w:styleId="Brdtekst31">
    <w:name w:val="Brødtekst 31"/>
    <w:basedOn w:val="Normal"/>
    <w:rsid w:val="009F78B2"/>
    <w:pPr>
      <w:suppressAutoHyphens/>
      <w:ind w:left="567" w:right="113" w:hanging="567"/>
      <w:jc w:val="both"/>
    </w:pPr>
    <w:rPr>
      <w:b/>
      <w:sz w:val="22"/>
      <w:lang w:val="cs-CZ" w:eastAsia="da-DK"/>
    </w:rPr>
  </w:style>
  <w:style w:type="paragraph" w:customStyle="1" w:styleId="Brdtekstindrykning31">
    <w:name w:val="Brødtekstindrykning 31"/>
    <w:basedOn w:val="Normal"/>
    <w:rsid w:val="009F78B2"/>
    <w:pPr>
      <w:suppressAutoHyphens/>
      <w:ind w:left="567" w:hanging="567"/>
    </w:pPr>
    <w:rPr>
      <w:sz w:val="22"/>
      <w:lang w:val="cs-CZ"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5561">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0789341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02332410">
      <w:bodyDiv w:val="1"/>
      <w:marLeft w:val="0"/>
      <w:marRight w:val="0"/>
      <w:marTop w:val="0"/>
      <w:marBottom w:val="0"/>
      <w:divBdr>
        <w:top w:val="none" w:sz="0" w:space="0" w:color="auto"/>
        <w:left w:val="none" w:sz="0" w:space="0" w:color="auto"/>
        <w:bottom w:val="none" w:sz="0" w:space="0" w:color="auto"/>
        <w:right w:val="none" w:sz="0" w:space="0" w:color="auto"/>
      </w:divBdr>
    </w:div>
    <w:div w:id="253787871">
      <w:bodyDiv w:val="1"/>
      <w:marLeft w:val="0"/>
      <w:marRight w:val="0"/>
      <w:marTop w:val="0"/>
      <w:marBottom w:val="0"/>
      <w:divBdr>
        <w:top w:val="none" w:sz="0" w:space="0" w:color="auto"/>
        <w:left w:val="none" w:sz="0" w:space="0" w:color="auto"/>
        <w:bottom w:val="none" w:sz="0" w:space="0" w:color="auto"/>
        <w:right w:val="none" w:sz="0" w:space="0" w:color="auto"/>
      </w:divBdr>
    </w:div>
    <w:div w:id="269513810">
      <w:bodyDiv w:val="1"/>
      <w:marLeft w:val="0"/>
      <w:marRight w:val="0"/>
      <w:marTop w:val="0"/>
      <w:marBottom w:val="0"/>
      <w:divBdr>
        <w:top w:val="none" w:sz="0" w:space="0" w:color="auto"/>
        <w:left w:val="none" w:sz="0" w:space="0" w:color="auto"/>
        <w:bottom w:val="none" w:sz="0" w:space="0" w:color="auto"/>
        <w:right w:val="none" w:sz="0" w:space="0" w:color="auto"/>
      </w:divBdr>
    </w:div>
    <w:div w:id="348457898">
      <w:bodyDiv w:val="1"/>
      <w:marLeft w:val="0"/>
      <w:marRight w:val="0"/>
      <w:marTop w:val="0"/>
      <w:marBottom w:val="0"/>
      <w:divBdr>
        <w:top w:val="none" w:sz="0" w:space="0" w:color="auto"/>
        <w:left w:val="none" w:sz="0" w:space="0" w:color="auto"/>
        <w:bottom w:val="none" w:sz="0" w:space="0" w:color="auto"/>
        <w:right w:val="none" w:sz="0" w:space="0" w:color="auto"/>
      </w:divBdr>
    </w:div>
    <w:div w:id="361828215">
      <w:bodyDiv w:val="1"/>
      <w:marLeft w:val="0"/>
      <w:marRight w:val="0"/>
      <w:marTop w:val="0"/>
      <w:marBottom w:val="0"/>
      <w:divBdr>
        <w:top w:val="none" w:sz="0" w:space="0" w:color="auto"/>
        <w:left w:val="none" w:sz="0" w:space="0" w:color="auto"/>
        <w:bottom w:val="none" w:sz="0" w:space="0" w:color="auto"/>
        <w:right w:val="none" w:sz="0" w:space="0" w:color="auto"/>
      </w:divBdr>
    </w:div>
    <w:div w:id="395712024">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7448197">
      <w:bodyDiv w:val="1"/>
      <w:marLeft w:val="0"/>
      <w:marRight w:val="0"/>
      <w:marTop w:val="0"/>
      <w:marBottom w:val="0"/>
      <w:divBdr>
        <w:top w:val="none" w:sz="0" w:space="0" w:color="auto"/>
        <w:left w:val="none" w:sz="0" w:space="0" w:color="auto"/>
        <w:bottom w:val="none" w:sz="0" w:space="0" w:color="auto"/>
        <w:right w:val="none" w:sz="0" w:space="0" w:color="auto"/>
      </w:divBdr>
    </w:div>
    <w:div w:id="509107195">
      <w:bodyDiv w:val="1"/>
      <w:marLeft w:val="0"/>
      <w:marRight w:val="0"/>
      <w:marTop w:val="0"/>
      <w:marBottom w:val="0"/>
      <w:divBdr>
        <w:top w:val="none" w:sz="0" w:space="0" w:color="auto"/>
        <w:left w:val="none" w:sz="0" w:space="0" w:color="auto"/>
        <w:bottom w:val="none" w:sz="0" w:space="0" w:color="auto"/>
        <w:right w:val="none" w:sz="0" w:space="0" w:color="auto"/>
      </w:divBdr>
    </w:div>
    <w:div w:id="513226186">
      <w:bodyDiv w:val="1"/>
      <w:marLeft w:val="0"/>
      <w:marRight w:val="0"/>
      <w:marTop w:val="0"/>
      <w:marBottom w:val="0"/>
      <w:divBdr>
        <w:top w:val="none" w:sz="0" w:space="0" w:color="auto"/>
        <w:left w:val="none" w:sz="0" w:space="0" w:color="auto"/>
        <w:bottom w:val="none" w:sz="0" w:space="0" w:color="auto"/>
        <w:right w:val="none" w:sz="0" w:space="0" w:color="auto"/>
      </w:divBdr>
    </w:div>
    <w:div w:id="514736031">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40353133">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85406335">
      <w:bodyDiv w:val="1"/>
      <w:marLeft w:val="0"/>
      <w:marRight w:val="0"/>
      <w:marTop w:val="0"/>
      <w:marBottom w:val="0"/>
      <w:divBdr>
        <w:top w:val="none" w:sz="0" w:space="0" w:color="auto"/>
        <w:left w:val="none" w:sz="0" w:space="0" w:color="auto"/>
        <w:bottom w:val="none" w:sz="0" w:space="0" w:color="auto"/>
        <w:right w:val="none" w:sz="0" w:space="0" w:color="auto"/>
      </w:divBdr>
    </w:div>
    <w:div w:id="758403964">
      <w:bodyDiv w:val="1"/>
      <w:marLeft w:val="0"/>
      <w:marRight w:val="0"/>
      <w:marTop w:val="0"/>
      <w:marBottom w:val="0"/>
      <w:divBdr>
        <w:top w:val="none" w:sz="0" w:space="0" w:color="auto"/>
        <w:left w:val="none" w:sz="0" w:space="0" w:color="auto"/>
        <w:bottom w:val="none" w:sz="0" w:space="0" w:color="auto"/>
        <w:right w:val="none" w:sz="0" w:space="0" w:color="auto"/>
      </w:divBdr>
    </w:div>
    <w:div w:id="79799355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56121117">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00216433">
      <w:bodyDiv w:val="1"/>
      <w:marLeft w:val="0"/>
      <w:marRight w:val="0"/>
      <w:marTop w:val="0"/>
      <w:marBottom w:val="0"/>
      <w:divBdr>
        <w:top w:val="none" w:sz="0" w:space="0" w:color="auto"/>
        <w:left w:val="none" w:sz="0" w:space="0" w:color="auto"/>
        <w:bottom w:val="none" w:sz="0" w:space="0" w:color="auto"/>
        <w:right w:val="none" w:sz="0" w:space="0" w:color="auto"/>
      </w:divBdr>
    </w:div>
    <w:div w:id="905071449">
      <w:bodyDiv w:val="1"/>
      <w:marLeft w:val="0"/>
      <w:marRight w:val="0"/>
      <w:marTop w:val="0"/>
      <w:marBottom w:val="0"/>
      <w:divBdr>
        <w:top w:val="none" w:sz="0" w:space="0" w:color="auto"/>
        <w:left w:val="none" w:sz="0" w:space="0" w:color="auto"/>
        <w:bottom w:val="none" w:sz="0" w:space="0" w:color="auto"/>
        <w:right w:val="none" w:sz="0" w:space="0" w:color="auto"/>
      </w:divBdr>
    </w:div>
    <w:div w:id="940070424">
      <w:bodyDiv w:val="1"/>
      <w:marLeft w:val="0"/>
      <w:marRight w:val="0"/>
      <w:marTop w:val="0"/>
      <w:marBottom w:val="0"/>
      <w:divBdr>
        <w:top w:val="none" w:sz="0" w:space="0" w:color="auto"/>
        <w:left w:val="none" w:sz="0" w:space="0" w:color="auto"/>
        <w:bottom w:val="none" w:sz="0" w:space="0" w:color="auto"/>
        <w:right w:val="none" w:sz="0" w:space="0" w:color="auto"/>
      </w:divBdr>
    </w:div>
    <w:div w:id="942492494">
      <w:bodyDiv w:val="1"/>
      <w:marLeft w:val="0"/>
      <w:marRight w:val="0"/>
      <w:marTop w:val="0"/>
      <w:marBottom w:val="0"/>
      <w:divBdr>
        <w:top w:val="none" w:sz="0" w:space="0" w:color="auto"/>
        <w:left w:val="none" w:sz="0" w:space="0" w:color="auto"/>
        <w:bottom w:val="none" w:sz="0" w:space="0" w:color="auto"/>
        <w:right w:val="none" w:sz="0" w:space="0" w:color="auto"/>
      </w:divBdr>
    </w:div>
    <w:div w:id="968628857">
      <w:bodyDiv w:val="1"/>
      <w:marLeft w:val="0"/>
      <w:marRight w:val="0"/>
      <w:marTop w:val="0"/>
      <w:marBottom w:val="0"/>
      <w:divBdr>
        <w:top w:val="none" w:sz="0" w:space="0" w:color="auto"/>
        <w:left w:val="none" w:sz="0" w:space="0" w:color="auto"/>
        <w:bottom w:val="none" w:sz="0" w:space="0" w:color="auto"/>
        <w:right w:val="none" w:sz="0" w:space="0" w:color="auto"/>
      </w:divBdr>
    </w:div>
    <w:div w:id="989673822">
      <w:bodyDiv w:val="1"/>
      <w:marLeft w:val="0"/>
      <w:marRight w:val="0"/>
      <w:marTop w:val="0"/>
      <w:marBottom w:val="0"/>
      <w:divBdr>
        <w:top w:val="none" w:sz="0" w:space="0" w:color="auto"/>
        <w:left w:val="none" w:sz="0" w:space="0" w:color="auto"/>
        <w:bottom w:val="none" w:sz="0" w:space="0" w:color="auto"/>
        <w:right w:val="none" w:sz="0" w:space="0" w:color="auto"/>
      </w:divBdr>
    </w:div>
    <w:div w:id="998848163">
      <w:bodyDiv w:val="1"/>
      <w:marLeft w:val="0"/>
      <w:marRight w:val="0"/>
      <w:marTop w:val="0"/>
      <w:marBottom w:val="0"/>
      <w:divBdr>
        <w:top w:val="none" w:sz="0" w:space="0" w:color="auto"/>
        <w:left w:val="none" w:sz="0" w:space="0" w:color="auto"/>
        <w:bottom w:val="none" w:sz="0" w:space="0" w:color="auto"/>
        <w:right w:val="none" w:sz="0" w:space="0" w:color="auto"/>
      </w:divBdr>
    </w:div>
    <w:div w:id="1031538985">
      <w:bodyDiv w:val="1"/>
      <w:marLeft w:val="0"/>
      <w:marRight w:val="0"/>
      <w:marTop w:val="0"/>
      <w:marBottom w:val="0"/>
      <w:divBdr>
        <w:top w:val="none" w:sz="0" w:space="0" w:color="auto"/>
        <w:left w:val="none" w:sz="0" w:space="0" w:color="auto"/>
        <w:bottom w:val="none" w:sz="0" w:space="0" w:color="auto"/>
        <w:right w:val="none" w:sz="0" w:space="0" w:color="auto"/>
      </w:divBdr>
    </w:div>
    <w:div w:id="1091123141">
      <w:bodyDiv w:val="1"/>
      <w:marLeft w:val="0"/>
      <w:marRight w:val="0"/>
      <w:marTop w:val="0"/>
      <w:marBottom w:val="0"/>
      <w:divBdr>
        <w:top w:val="none" w:sz="0" w:space="0" w:color="auto"/>
        <w:left w:val="none" w:sz="0" w:space="0" w:color="auto"/>
        <w:bottom w:val="none" w:sz="0" w:space="0" w:color="auto"/>
        <w:right w:val="none" w:sz="0" w:space="0" w:color="auto"/>
      </w:divBdr>
    </w:div>
    <w:div w:id="113564041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3321747">
      <w:bodyDiv w:val="1"/>
      <w:marLeft w:val="0"/>
      <w:marRight w:val="0"/>
      <w:marTop w:val="0"/>
      <w:marBottom w:val="0"/>
      <w:divBdr>
        <w:top w:val="none" w:sz="0" w:space="0" w:color="auto"/>
        <w:left w:val="none" w:sz="0" w:space="0" w:color="auto"/>
        <w:bottom w:val="none" w:sz="0" w:space="0" w:color="auto"/>
        <w:right w:val="none" w:sz="0" w:space="0" w:color="auto"/>
      </w:divBdr>
    </w:div>
    <w:div w:id="1188913401">
      <w:bodyDiv w:val="1"/>
      <w:marLeft w:val="0"/>
      <w:marRight w:val="0"/>
      <w:marTop w:val="0"/>
      <w:marBottom w:val="0"/>
      <w:divBdr>
        <w:top w:val="none" w:sz="0" w:space="0" w:color="auto"/>
        <w:left w:val="none" w:sz="0" w:space="0" w:color="auto"/>
        <w:bottom w:val="none" w:sz="0" w:space="0" w:color="auto"/>
        <w:right w:val="none" w:sz="0" w:space="0" w:color="auto"/>
      </w:divBdr>
    </w:div>
    <w:div w:id="1302616388">
      <w:bodyDiv w:val="1"/>
      <w:marLeft w:val="0"/>
      <w:marRight w:val="0"/>
      <w:marTop w:val="0"/>
      <w:marBottom w:val="0"/>
      <w:divBdr>
        <w:top w:val="none" w:sz="0" w:space="0" w:color="auto"/>
        <w:left w:val="none" w:sz="0" w:space="0" w:color="auto"/>
        <w:bottom w:val="none" w:sz="0" w:space="0" w:color="auto"/>
        <w:right w:val="none" w:sz="0" w:space="0" w:color="auto"/>
      </w:divBdr>
    </w:div>
    <w:div w:id="1348170630">
      <w:bodyDiv w:val="1"/>
      <w:marLeft w:val="0"/>
      <w:marRight w:val="0"/>
      <w:marTop w:val="0"/>
      <w:marBottom w:val="0"/>
      <w:divBdr>
        <w:top w:val="none" w:sz="0" w:space="0" w:color="auto"/>
        <w:left w:val="none" w:sz="0" w:space="0" w:color="auto"/>
        <w:bottom w:val="none" w:sz="0" w:space="0" w:color="auto"/>
        <w:right w:val="none" w:sz="0" w:space="0" w:color="auto"/>
      </w:divBdr>
    </w:div>
    <w:div w:id="138578821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45424062">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7286764">
      <w:bodyDiv w:val="1"/>
      <w:marLeft w:val="0"/>
      <w:marRight w:val="0"/>
      <w:marTop w:val="0"/>
      <w:marBottom w:val="0"/>
      <w:divBdr>
        <w:top w:val="none" w:sz="0" w:space="0" w:color="auto"/>
        <w:left w:val="none" w:sz="0" w:space="0" w:color="auto"/>
        <w:bottom w:val="none" w:sz="0" w:space="0" w:color="auto"/>
        <w:right w:val="none" w:sz="0" w:space="0" w:color="auto"/>
      </w:divBdr>
    </w:div>
    <w:div w:id="1569462433">
      <w:bodyDiv w:val="1"/>
      <w:marLeft w:val="0"/>
      <w:marRight w:val="0"/>
      <w:marTop w:val="0"/>
      <w:marBottom w:val="0"/>
      <w:divBdr>
        <w:top w:val="none" w:sz="0" w:space="0" w:color="auto"/>
        <w:left w:val="none" w:sz="0" w:space="0" w:color="auto"/>
        <w:bottom w:val="none" w:sz="0" w:space="0" w:color="auto"/>
        <w:right w:val="none" w:sz="0" w:space="0" w:color="auto"/>
      </w:divBdr>
    </w:div>
    <w:div w:id="1590894139">
      <w:bodyDiv w:val="1"/>
      <w:marLeft w:val="0"/>
      <w:marRight w:val="0"/>
      <w:marTop w:val="0"/>
      <w:marBottom w:val="0"/>
      <w:divBdr>
        <w:top w:val="none" w:sz="0" w:space="0" w:color="auto"/>
        <w:left w:val="none" w:sz="0" w:space="0" w:color="auto"/>
        <w:bottom w:val="none" w:sz="0" w:space="0" w:color="auto"/>
        <w:right w:val="none" w:sz="0" w:space="0" w:color="auto"/>
      </w:divBdr>
    </w:div>
    <w:div w:id="1608928577">
      <w:bodyDiv w:val="1"/>
      <w:marLeft w:val="0"/>
      <w:marRight w:val="0"/>
      <w:marTop w:val="0"/>
      <w:marBottom w:val="0"/>
      <w:divBdr>
        <w:top w:val="none" w:sz="0" w:space="0" w:color="auto"/>
        <w:left w:val="none" w:sz="0" w:space="0" w:color="auto"/>
        <w:bottom w:val="none" w:sz="0" w:space="0" w:color="auto"/>
        <w:right w:val="none" w:sz="0" w:space="0" w:color="auto"/>
      </w:divBdr>
    </w:div>
    <w:div w:id="1736784137">
      <w:bodyDiv w:val="1"/>
      <w:marLeft w:val="0"/>
      <w:marRight w:val="0"/>
      <w:marTop w:val="0"/>
      <w:marBottom w:val="0"/>
      <w:divBdr>
        <w:top w:val="none" w:sz="0" w:space="0" w:color="auto"/>
        <w:left w:val="none" w:sz="0" w:space="0" w:color="auto"/>
        <w:bottom w:val="none" w:sz="0" w:space="0" w:color="auto"/>
        <w:right w:val="none" w:sz="0" w:space="0" w:color="auto"/>
      </w:divBdr>
    </w:div>
    <w:div w:id="1760716672">
      <w:bodyDiv w:val="1"/>
      <w:marLeft w:val="0"/>
      <w:marRight w:val="0"/>
      <w:marTop w:val="0"/>
      <w:marBottom w:val="0"/>
      <w:divBdr>
        <w:top w:val="none" w:sz="0" w:space="0" w:color="auto"/>
        <w:left w:val="none" w:sz="0" w:space="0" w:color="auto"/>
        <w:bottom w:val="none" w:sz="0" w:space="0" w:color="auto"/>
        <w:right w:val="none" w:sz="0" w:space="0" w:color="auto"/>
      </w:divBdr>
    </w:div>
    <w:div w:id="1792744399">
      <w:bodyDiv w:val="1"/>
      <w:marLeft w:val="0"/>
      <w:marRight w:val="0"/>
      <w:marTop w:val="0"/>
      <w:marBottom w:val="0"/>
      <w:divBdr>
        <w:top w:val="none" w:sz="0" w:space="0" w:color="auto"/>
        <w:left w:val="none" w:sz="0" w:space="0" w:color="auto"/>
        <w:bottom w:val="none" w:sz="0" w:space="0" w:color="auto"/>
        <w:right w:val="none" w:sz="0" w:space="0" w:color="auto"/>
      </w:divBdr>
    </w:div>
    <w:div w:id="1826160678">
      <w:bodyDiv w:val="1"/>
      <w:marLeft w:val="0"/>
      <w:marRight w:val="0"/>
      <w:marTop w:val="0"/>
      <w:marBottom w:val="0"/>
      <w:divBdr>
        <w:top w:val="none" w:sz="0" w:space="0" w:color="auto"/>
        <w:left w:val="none" w:sz="0" w:space="0" w:color="auto"/>
        <w:bottom w:val="none" w:sz="0" w:space="0" w:color="auto"/>
        <w:right w:val="none" w:sz="0" w:space="0" w:color="auto"/>
      </w:divBdr>
    </w:div>
    <w:div w:id="1925413296">
      <w:bodyDiv w:val="1"/>
      <w:marLeft w:val="0"/>
      <w:marRight w:val="0"/>
      <w:marTop w:val="0"/>
      <w:marBottom w:val="0"/>
      <w:divBdr>
        <w:top w:val="none" w:sz="0" w:space="0" w:color="auto"/>
        <w:left w:val="none" w:sz="0" w:space="0" w:color="auto"/>
        <w:bottom w:val="none" w:sz="0" w:space="0" w:color="auto"/>
        <w:right w:val="none" w:sz="0" w:space="0" w:color="auto"/>
      </w:divBdr>
    </w:div>
    <w:div w:id="1950116216">
      <w:bodyDiv w:val="1"/>
      <w:marLeft w:val="0"/>
      <w:marRight w:val="0"/>
      <w:marTop w:val="0"/>
      <w:marBottom w:val="0"/>
      <w:divBdr>
        <w:top w:val="none" w:sz="0" w:space="0" w:color="auto"/>
        <w:left w:val="none" w:sz="0" w:space="0" w:color="auto"/>
        <w:bottom w:val="none" w:sz="0" w:space="0" w:color="auto"/>
        <w:right w:val="none" w:sz="0" w:space="0" w:color="auto"/>
      </w:divBdr>
    </w:div>
    <w:div w:id="1986079121">
      <w:bodyDiv w:val="1"/>
      <w:marLeft w:val="0"/>
      <w:marRight w:val="0"/>
      <w:marTop w:val="0"/>
      <w:marBottom w:val="0"/>
      <w:divBdr>
        <w:top w:val="none" w:sz="0" w:space="0" w:color="auto"/>
        <w:left w:val="none" w:sz="0" w:space="0" w:color="auto"/>
        <w:bottom w:val="none" w:sz="0" w:space="0" w:color="auto"/>
        <w:right w:val="none" w:sz="0" w:space="0" w:color="auto"/>
      </w:divBdr>
    </w:div>
    <w:div w:id="1989480707">
      <w:bodyDiv w:val="1"/>
      <w:marLeft w:val="0"/>
      <w:marRight w:val="0"/>
      <w:marTop w:val="0"/>
      <w:marBottom w:val="0"/>
      <w:divBdr>
        <w:top w:val="none" w:sz="0" w:space="0" w:color="auto"/>
        <w:left w:val="none" w:sz="0" w:space="0" w:color="auto"/>
        <w:bottom w:val="none" w:sz="0" w:space="0" w:color="auto"/>
        <w:right w:val="none" w:sz="0" w:space="0" w:color="auto"/>
      </w:divBdr>
    </w:div>
    <w:div w:id="2015306050">
      <w:bodyDiv w:val="1"/>
      <w:marLeft w:val="0"/>
      <w:marRight w:val="0"/>
      <w:marTop w:val="0"/>
      <w:marBottom w:val="0"/>
      <w:divBdr>
        <w:top w:val="none" w:sz="0" w:space="0" w:color="auto"/>
        <w:left w:val="none" w:sz="0" w:space="0" w:color="auto"/>
        <w:bottom w:val="none" w:sz="0" w:space="0" w:color="auto"/>
        <w:right w:val="none" w:sz="0" w:space="0" w:color="auto"/>
      </w:divBdr>
    </w:div>
    <w:div w:id="21463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3</TotalTime>
  <Pages>7</Pages>
  <Words>1957</Words>
  <Characters>12478</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2022034504, rettelse pkt. 3.9 fra oral indgivelse</dc:description>
  <cp:lastModifiedBy>Gitte Jørgensen</cp:lastModifiedBy>
  <cp:revision>8</cp:revision>
  <cp:lastPrinted>2022-05-18T14:03:00Z</cp:lastPrinted>
  <dcterms:created xsi:type="dcterms:W3CDTF">2024-06-24T11:48:00Z</dcterms:created>
  <dcterms:modified xsi:type="dcterms:W3CDTF">2024-06-24T11:51:00Z</dcterms:modified>
</cp:coreProperties>
</file>