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E4" w:rsidRDefault="0054005D" w:rsidP="00FA66E4">
      <w:pPr>
        <w:tabs>
          <w:tab w:val="left" w:pos="6804"/>
        </w:tabs>
        <w:rPr>
          <w:b/>
        </w:rPr>
      </w:pPr>
      <w:bookmarkStart w:id="0" w:name="_GoBack"/>
      <w:bookmarkEnd w:id="0"/>
      <w:r>
        <w:rPr>
          <w:b/>
          <w:noProof/>
          <w:lang w:eastAsia="da-DK"/>
        </w:rPr>
        <w:drawing>
          <wp:inline distT="0" distB="0" distL="0" distR="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55CE3" w:rsidRDefault="00F55CE3" w:rsidP="00FA66E4">
      <w:pPr>
        <w:tabs>
          <w:tab w:val="left" w:pos="6804"/>
        </w:tabs>
        <w:rPr>
          <w:b/>
        </w:rPr>
      </w:pPr>
    </w:p>
    <w:p w:rsidR="00FA66E4" w:rsidRPr="0054005D" w:rsidRDefault="009B3295" w:rsidP="00FA66E4">
      <w:pPr>
        <w:tabs>
          <w:tab w:val="left" w:pos="6804"/>
        </w:tabs>
        <w:jc w:val="right"/>
        <w:rPr>
          <w:b/>
          <w:sz w:val="24"/>
          <w:szCs w:val="24"/>
        </w:rPr>
      </w:pPr>
      <w:r w:rsidRPr="0054005D">
        <w:rPr>
          <w:b/>
          <w:sz w:val="24"/>
          <w:szCs w:val="24"/>
        </w:rPr>
        <w:t>1</w:t>
      </w:r>
      <w:r w:rsidR="0054005D" w:rsidRPr="0054005D">
        <w:rPr>
          <w:b/>
          <w:sz w:val="24"/>
          <w:szCs w:val="24"/>
        </w:rPr>
        <w:t>4</w:t>
      </w:r>
      <w:r w:rsidRPr="0054005D">
        <w:rPr>
          <w:b/>
          <w:sz w:val="24"/>
          <w:szCs w:val="24"/>
        </w:rPr>
        <w:t xml:space="preserve">. </w:t>
      </w:r>
      <w:r w:rsidR="0054005D" w:rsidRPr="0054005D">
        <w:rPr>
          <w:b/>
          <w:sz w:val="24"/>
          <w:szCs w:val="24"/>
        </w:rPr>
        <w:t>oktober</w:t>
      </w:r>
      <w:r w:rsidRPr="0054005D">
        <w:rPr>
          <w:b/>
          <w:sz w:val="24"/>
          <w:szCs w:val="24"/>
        </w:rPr>
        <w:t xml:space="preserve"> 201</w:t>
      </w:r>
      <w:r w:rsidR="0054005D" w:rsidRPr="0054005D">
        <w:rPr>
          <w:b/>
          <w:sz w:val="24"/>
          <w:szCs w:val="24"/>
        </w:rPr>
        <w:t>9</w:t>
      </w:r>
    </w:p>
    <w:p w:rsidR="00FA66E4" w:rsidRDefault="00FA66E4" w:rsidP="00FA66E4">
      <w:pPr>
        <w:tabs>
          <w:tab w:val="left" w:pos="8222"/>
        </w:tabs>
        <w:rPr>
          <w:sz w:val="24"/>
          <w:szCs w:val="24"/>
        </w:rPr>
      </w:pPr>
    </w:p>
    <w:p w:rsidR="00561DC3" w:rsidRDefault="00561DC3" w:rsidP="00FA66E4">
      <w:pPr>
        <w:tabs>
          <w:tab w:val="left" w:pos="8222"/>
        </w:tabs>
        <w:rPr>
          <w:sz w:val="24"/>
          <w:szCs w:val="24"/>
        </w:rPr>
      </w:pPr>
    </w:p>
    <w:p w:rsidR="00FA66E4" w:rsidRDefault="00FA66E4" w:rsidP="00FA66E4">
      <w:pPr>
        <w:tabs>
          <w:tab w:val="left" w:pos="8222"/>
        </w:tabs>
        <w:rPr>
          <w:sz w:val="24"/>
          <w:szCs w:val="24"/>
        </w:rPr>
      </w:pPr>
    </w:p>
    <w:p w:rsidR="00FA66E4" w:rsidRDefault="00FA66E4" w:rsidP="00FA66E4">
      <w:pPr>
        <w:tabs>
          <w:tab w:val="left" w:pos="8222"/>
        </w:tabs>
        <w:jc w:val="center"/>
        <w:rPr>
          <w:b/>
          <w:sz w:val="24"/>
          <w:szCs w:val="24"/>
        </w:rPr>
      </w:pPr>
      <w:r>
        <w:rPr>
          <w:b/>
          <w:sz w:val="24"/>
          <w:szCs w:val="24"/>
        </w:rPr>
        <w:t>PRODUKTRESUMÉ</w:t>
      </w:r>
    </w:p>
    <w:p w:rsidR="00FA66E4" w:rsidRDefault="00FA66E4" w:rsidP="00FA66E4">
      <w:pPr>
        <w:tabs>
          <w:tab w:val="left" w:pos="8222"/>
        </w:tabs>
        <w:jc w:val="center"/>
        <w:rPr>
          <w:b/>
          <w:sz w:val="24"/>
          <w:szCs w:val="24"/>
        </w:rPr>
      </w:pPr>
    </w:p>
    <w:p w:rsidR="00FA66E4" w:rsidRDefault="00FA66E4" w:rsidP="00FA66E4">
      <w:pPr>
        <w:tabs>
          <w:tab w:val="left" w:pos="8222"/>
        </w:tabs>
        <w:jc w:val="center"/>
        <w:rPr>
          <w:b/>
          <w:sz w:val="24"/>
          <w:szCs w:val="24"/>
        </w:rPr>
      </w:pPr>
      <w:r>
        <w:rPr>
          <w:b/>
          <w:sz w:val="24"/>
          <w:szCs w:val="24"/>
        </w:rPr>
        <w:t>for</w:t>
      </w:r>
    </w:p>
    <w:p w:rsidR="00FA66E4" w:rsidRDefault="00FA66E4" w:rsidP="00FA66E4">
      <w:pPr>
        <w:tabs>
          <w:tab w:val="left" w:pos="8222"/>
        </w:tabs>
        <w:jc w:val="center"/>
        <w:rPr>
          <w:b/>
          <w:sz w:val="24"/>
          <w:szCs w:val="24"/>
        </w:rPr>
      </w:pPr>
    </w:p>
    <w:p w:rsidR="00FA66E4" w:rsidRDefault="00F55CE3" w:rsidP="00FA66E4">
      <w:pPr>
        <w:tabs>
          <w:tab w:val="left" w:pos="8222"/>
        </w:tabs>
        <w:jc w:val="center"/>
        <w:rPr>
          <w:b/>
          <w:sz w:val="24"/>
          <w:szCs w:val="24"/>
        </w:rPr>
      </w:pPr>
      <w:proofErr w:type="spellStart"/>
      <w:r>
        <w:rPr>
          <w:b/>
          <w:sz w:val="24"/>
          <w:szCs w:val="24"/>
        </w:rPr>
        <w:t>Norfol</w:t>
      </w:r>
      <w:proofErr w:type="spellEnd"/>
      <w:r w:rsidR="007E6227">
        <w:rPr>
          <w:b/>
          <w:sz w:val="24"/>
          <w:szCs w:val="24"/>
        </w:rPr>
        <w:t xml:space="preserve">, </w:t>
      </w:r>
      <w:r w:rsidR="00561DC3">
        <w:rPr>
          <w:b/>
          <w:sz w:val="24"/>
          <w:szCs w:val="24"/>
        </w:rPr>
        <w:t>injektions</w:t>
      </w:r>
      <w:r w:rsidR="007E6227">
        <w:rPr>
          <w:b/>
          <w:sz w:val="24"/>
          <w:szCs w:val="24"/>
        </w:rPr>
        <w:t>væske, emulsion</w:t>
      </w:r>
    </w:p>
    <w:p w:rsidR="00FA66E4" w:rsidRDefault="00FA66E4" w:rsidP="00FA66E4">
      <w:pPr>
        <w:tabs>
          <w:tab w:val="left" w:pos="8222"/>
        </w:tabs>
        <w:jc w:val="both"/>
        <w:rPr>
          <w:sz w:val="24"/>
          <w:szCs w:val="24"/>
        </w:rPr>
      </w:pP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0.</w:t>
      </w:r>
      <w:r w:rsidRPr="00D4328E">
        <w:rPr>
          <w:b/>
          <w:sz w:val="24"/>
          <w:szCs w:val="24"/>
        </w:rPr>
        <w:tab/>
        <w:t>D.SP.NR</w:t>
      </w:r>
    </w:p>
    <w:p w:rsidR="00FA66E4" w:rsidRPr="00D4328E" w:rsidRDefault="007E6227" w:rsidP="00D4328E">
      <w:pPr>
        <w:ind w:left="851"/>
        <w:jc w:val="both"/>
        <w:rPr>
          <w:sz w:val="24"/>
          <w:szCs w:val="24"/>
        </w:rPr>
      </w:pPr>
      <w:r w:rsidRPr="00D4328E">
        <w:rPr>
          <w:sz w:val="24"/>
          <w:szCs w:val="24"/>
        </w:rPr>
        <w:t>28310</w:t>
      </w: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1.</w:t>
      </w:r>
      <w:r w:rsidRPr="00D4328E">
        <w:rPr>
          <w:b/>
          <w:sz w:val="24"/>
          <w:szCs w:val="24"/>
        </w:rPr>
        <w:tab/>
        <w:t>VETERINÆRLÆGEMIDLETS NAVN</w:t>
      </w:r>
    </w:p>
    <w:p w:rsidR="00FA66E4" w:rsidRPr="00D4328E" w:rsidRDefault="00F55CE3" w:rsidP="00D4328E">
      <w:pPr>
        <w:ind w:left="851"/>
        <w:jc w:val="both"/>
        <w:rPr>
          <w:sz w:val="24"/>
          <w:szCs w:val="24"/>
        </w:rPr>
      </w:pPr>
      <w:proofErr w:type="spellStart"/>
      <w:r>
        <w:rPr>
          <w:sz w:val="24"/>
          <w:szCs w:val="24"/>
        </w:rPr>
        <w:t>Norfol</w:t>
      </w:r>
      <w:proofErr w:type="spellEnd"/>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2.</w:t>
      </w:r>
      <w:r w:rsidRPr="00D4328E">
        <w:rPr>
          <w:b/>
          <w:sz w:val="24"/>
          <w:szCs w:val="24"/>
        </w:rPr>
        <w:tab/>
        <w:t>KVALITATIV OG KVANTITATIV SAMMENSÆTNING</w:t>
      </w:r>
    </w:p>
    <w:p w:rsidR="00561DC3" w:rsidRDefault="007E6227" w:rsidP="00D4328E">
      <w:pPr>
        <w:ind w:left="851" w:hanging="851"/>
        <w:rPr>
          <w:b/>
          <w:sz w:val="24"/>
          <w:szCs w:val="24"/>
        </w:rPr>
      </w:pPr>
      <w:r w:rsidRPr="00D4328E">
        <w:rPr>
          <w:b/>
          <w:sz w:val="24"/>
          <w:szCs w:val="24"/>
        </w:rPr>
        <w:tab/>
      </w:r>
    </w:p>
    <w:p w:rsidR="007E6227" w:rsidRPr="00D4328E" w:rsidRDefault="00561DC3" w:rsidP="00D4328E">
      <w:pPr>
        <w:ind w:left="851" w:hanging="851"/>
        <w:rPr>
          <w:b/>
          <w:sz w:val="24"/>
          <w:szCs w:val="24"/>
          <w:u w:val="single"/>
        </w:rPr>
      </w:pPr>
      <w:r>
        <w:rPr>
          <w:b/>
          <w:sz w:val="24"/>
          <w:szCs w:val="24"/>
        </w:rPr>
        <w:tab/>
      </w:r>
      <w:proofErr w:type="spellStart"/>
      <w:r w:rsidR="007E6227" w:rsidRPr="00D4328E">
        <w:rPr>
          <w:sz w:val="24"/>
          <w:szCs w:val="24"/>
          <w:u w:val="single"/>
        </w:rPr>
        <w:t>Èn</w:t>
      </w:r>
      <w:proofErr w:type="spellEnd"/>
      <w:r w:rsidR="007E6227" w:rsidRPr="00D4328E">
        <w:rPr>
          <w:sz w:val="24"/>
          <w:szCs w:val="24"/>
          <w:u w:val="single"/>
        </w:rPr>
        <w:t xml:space="preserve"> ml indeholder:</w:t>
      </w:r>
    </w:p>
    <w:p w:rsidR="007E6227" w:rsidRPr="00D4328E" w:rsidRDefault="007E6227" w:rsidP="00D4328E">
      <w:pPr>
        <w:ind w:left="851" w:hanging="851"/>
        <w:rPr>
          <w:sz w:val="24"/>
          <w:szCs w:val="24"/>
        </w:rPr>
      </w:pPr>
      <w:r w:rsidRPr="00D4328E">
        <w:rPr>
          <w:b/>
          <w:sz w:val="24"/>
          <w:szCs w:val="24"/>
        </w:rPr>
        <w:tab/>
      </w:r>
      <w:proofErr w:type="spellStart"/>
      <w:r w:rsidRPr="00D4328E">
        <w:rPr>
          <w:sz w:val="24"/>
          <w:szCs w:val="24"/>
        </w:rPr>
        <w:t>Propofol</w:t>
      </w:r>
      <w:proofErr w:type="spellEnd"/>
      <w:r w:rsidRPr="00D4328E">
        <w:rPr>
          <w:sz w:val="24"/>
          <w:szCs w:val="24"/>
        </w:rPr>
        <w:tab/>
        <w:t>10 mg/ml</w:t>
      </w:r>
    </w:p>
    <w:p w:rsidR="007E6227" w:rsidRPr="00D4328E" w:rsidRDefault="007E6227" w:rsidP="00D4328E">
      <w:pPr>
        <w:ind w:left="851" w:hanging="851"/>
        <w:rPr>
          <w:sz w:val="24"/>
          <w:szCs w:val="24"/>
        </w:rPr>
      </w:pPr>
    </w:p>
    <w:p w:rsidR="007E6227" w:rsidRPr="00D4328E" w:rsidRDefault="007E6227" w:rsidP="00D4328E">
      <w:pPr>
        <w:ind w:left="851" w:hanging="851"/>
        <w:rPr>
          <w:sz w:val="24"/>
          <w:szCs w:val="24"/>
        </w:rPr>
      </w:pPr>
      <w:r w:rsidRPr="00D4328E">
        <w:rPr>
          <w:sz w:val="24"/>
          <w:szCs w:val="24"/>
        </w:rPr>
        <w:tab/>
        <w:t>Alle hjælpestoffer er anført under pkt. 6.1</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3.</w:t>
      </w:r>
      <w:r w:rsidRPr="00D4328E">
        <w:rPr>
          <w:b/>
          <w:sz w:val="24"/>
          <w:szCs w:val="24"/>
        </w:rPr>
        <w:tab/>
        <w:t>LÆGEMIDDELFORM</w:t>
      </w:r>
    </w:p>
    <w:p w:rsidR="007E6227" w:rsidRPr="00D4328E" w:rsidRDefault="007E6227" w:rsidP="00D4328E">
      <w:pPr>
        <w:ind w:left="851" w:hanging="851"/>
        <w:rPr>
          <w:sz w:val="24"/>
          <w:szCs w:val="24"/>
        </w:rPr>
      </w:pPr>
      <w:r w:rsidRPr="00D4328E">
        <w:rPr>
          <w:sz w:val="24"/>
          <w:szCs w:val="24"/>
        </w:rPr>
        <w:tab/>
        <w:t>Injektionsvæske, emulsion</w:t>
      </w:r>
      <w:r w:rsidR="00561DC3">
        <w:rPr>
          <w:sz w:val="24"/>
          <w:szCs w:val="24"/>
        </w:rPr>
        <w:t>.</w:t>
      </w:r>
    </w:p>
    <w:p w:rsidR="007E6227" w:rsidRPr="00D4328E" w:rsidRDefault="007E6227" w:rsidP="00D4328E">
      <w:pPr>
        <w:ind w:left="851" w:hanging="851"/>
        <w:rPr>
          <w:sz w:val="24"/>
          <w:szCs w:val="24"/>
        </w:rPr>
      </w:pPr>
    </w:p>
    <w:p w:rsidR="007E6227" w:rsidRPr="00D4328E" w:rsidRDefault="007E6227" w:rsidP="00D4328E">
      <w:pPr>
        <w:ind w:left="851" w:hanging="851"/>
        <w:rPr>
          <w:sz w:val="24"/>
          <w:szCs w:val="24"/>
        </w:rPr>
      </w:pPr>
      <w:r w:rsidRPr="00D4328E">
        <w:rPr>
          <w:sz w:val="24"/>
          <w:szCs w:val="24"/>
        </w:rPr>
        <w:tab/>
        <w:t>En hvid homogen emulsion uden tegn på faseseparation eller fremmedpartikler</w:t>
      </w:r>
      <w:r w:rsidR="00561DC3">
        <w:rPr>
          <w:sz w:val="24"/>
          <w:szCs w:val="24"/>
        </w:rPr>
        <w:t>.</w:t>
      </w:r>
    </w:p>
    <w:p w:rsidR="00FA66E4" w:rsidRPr="00D4328E" w:rsidRDefault="00FA66E4" w:rsidP="00D4328E">
      <w:pPr>
        <w:ind w:left="851" w:hanging="851"/>
        <w:rPr>
          <w:sz w:val="24"/>
          <w:szCs w:val="24"/>
        </w:rPr>
      </w:pP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4.</w:t>
      </w:r>
      <w:r w:rsidRPr="00D4328E">
        <w:rPr>
          <w:b/>
          <w:sz w:val="24"/>
          <w:szCs w:val="24"/>
        </w:rPr>
        <w:tab/>
        <w:t>KLINISKE OPLYSNINGER</w:t>
      </w: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u w:val="single"/>
        </w:rPr>
      </w:pPr>
      <w:r w:rsidRPr="00D4328E">
        <w:rPr>
          <w:b/>
          <w:sz w:val="24"/>
          <w:szCs w:val="24"/>
        </w:rPr>
        <w:t>4.1</w:t>
      </w:r>
      <w:r w:rsidRPr="00D4328E">
        <w:rPr>
          <w:b/>
          <w:sz w:val="24"/>
          <w:szCs w:val="24"/>
        </w:rPr>
        <w:tab/>
        <w:t>Dyrearter</w:t>
      </w:r>
    </w:p>
    <w:p w:rsidR="007E6227" w:rsidRPr="00D4328E" w:rsidRDefault="00D4328E" w:rsidP="00D4328E">
      <w:pPr>
        <w:ind w:left="851" w:hanging="851"/>
        <w:jc w:val="both"/>
        <w:rPr>
          <w:sz w:val="24"/>
          <w:szCs w:val="24"/>
        </w:rPr>
      </w:pPr>
      <w:r>
        <w:rPr>
          <w:sz w:val="24"/>
          <w:szCs w:val="24"/>
        </w:rPr>
        <w:tab/>
        <w:t xml:space="preserve">Katte og </w:t>
      </w:r>
      <w:r w:rsidR="00561DC3">
        <w:rPr>
          <w:sz w:val="24"/>
          <w:szCs w:val="24"/>
        </w:rPr>
        <w:t>h</w:t>
      </w:r>
      <w:r>
        <w:rPr>
          <w:sz w:val="24"/>
          <w:szCs w:val="24"/>
        </w:rPr>
        <w:t>unde.</w:t>
      </w:r>
    </w:p>
    <w:p w:rsidR="00FA66E4" w:rsidRPr="00D4328E" w:rsidRDefault="00FA66E4" w:rsidP="00D4328E">
      <w:pPr>
        <w:ind w:left="851" w:hanging="851"/>
        <w:jc w:val="both"/>
        <w:rPr>
          <w:sz w:val="24"/>
          <w:szCs w:val="24"/>
        </w:rPr>
      </w:pPr>
    </w:p>
    <w:p w:rsidR="00FA66E4" w:rsidRPr="00D4328E" w:rsidRDefault="00FA66E4" w:rsidP="00D4328E">
      <w:pPr>
        <w:pStyle w:val="Sidehoved"/>
        <w:tabs>
          <w:tab w:val="clear" w:pos="4819"/>
          <w:tab w:val="clear" w:pos="9638"/>
        </w:tabs>
        <w:ind w:left="851" w:hanging="851"/>
        <w:rPr>
          <w:b/>
          <w:szCs w:val="24"/>
        </w:rPr>
      </w:pPr>
      <w:r w:rsidRPr="00D4328E">
        <w:rPr>
          <w:b/>
          <w:szCs w:val="24"/>
        </w:rPr>
        <w:t>4.2</w:t>
      </w:r>
      <w:r w:rsidRPr="00D4328E">
        <w:rPr>
          <w:b/>
          <w:szCs w:val="24"/>
        </w:rPr>
        <w:tab/>
        <w:t>Terapeutiske indikationer</w:t>
      </w:r>
    </w:p>
    <w:p w:rsidR="007E6227" w:rsidRPr="00D4328E" w:rsidRDefault="00F55CE3" w:rsidP="00D4328E">
      <w:pPr>
        <w:pStyle w:val="Sidehoved"/>
        <w:tabs>
          <w:tab w:val="clear" w:pos="4819"/>
          <w:tab w:val="clear" w:pos="9638"/>
        </w:tabs>
        <w:ind w:left="851"/>
        <w:rPr>
          <w:szCs w:val="24"/>
        </w:rPr>
      </w:pPr>
      <w:proofErr w:type="spellStart"/>
      <w:r>
        <w:rPr>
          <w:szCs w:val="24"/>
        </w:rPr>
        <w:t>Norfol</w:t>
      </w:r>
      <w:proofErr w:type="spellEnd"/>
      <w:r w:rsidR="004E25CC">
        <w:rPr>
          <w:szCs w:val="24"/>
        </w:rPr>
        <w:t xml:space="preserve"> er et</w:t>
      </w:r>
      <w:r w:rsidR="007E6227" w:rsidRPr="00D4328E">
        <w:rPr>
          <w:szCs w:val="24"/>
        </w:rPr>
        <w:t xml:space="preserve"> intravenøst, kort</w:t>
      </w:r>
      <w:r w:rsidR="00E8027C">
        <w:rPr>
          <w:szCs w:val="24"/>
        </w:rPr>
        <w:t>tids</w:t>
      </w:r>
      <w:r w:rsidR="004E25CC">
        <w:rPr>
          <w:szCs w:val="24"/>
        </w:rPr>
        <w:t>virkende</w:t>
      </w:r>
      <w:r w:rsidR="007E6227" w:rsidRPr="00D4328E">
        <w:rPr>
          <w:szCs w:val="24"/>
        </w:rPr>
        <w:t xml:space="preserve"> og universelt </w:t>
      </w:r>
      <w:proofErr w:type="spellStart"/>
      <w:r w:rsidR="007E6227" w:rsidRPr="00D4328E">
        <w:rPr>
          <w:szCs w:val="24"/>
        </w:rPr>
        <w:t>anæstetikum</w:t>
      </w:r>
      <w:proofErr w:type="spellEnd"/>
      <w:r w:rsidR="007E6227" w:rsidRPr="00D4328E">
        <w:rPr>
          <w:szCs w:val="24"/>
        </w:rPr>
        <w:t xml:space="preserve"> til procedurer af kort varighed, som varer op til 5 minutter.</w:t>
      </w:r>
    </w:p>
    <w:p w:rsidR="007E6227" w:rsidRPr="00D4328E" w:rsidRDefault="007E6227" w:rsidP="00D4328E">
      <w:pPr>
        <w:pStyle w:val="Sidehoved"/>
        <w:tabs>
          <w:tab w:val="clear" w:pos="4819"/>
          <w:tab w:val="clear" w:pos="9638"/>
        </w:tabs>
        <w:ind w:left="851" w:hanging="851"/>
        <w:rPr>
          <w:szCs w:val="24"/>
        </w:rPr>
      </w:pPr>
    </w:p>
    <w:p w:rsidR="007E6227" w:rsidRPr="00D4328E" w:rsidRDefault="007E6227" w:rsidP="00D4328E">
      <w:pPr>
        <w:pStyle w:val="Sidehoved"/>
        <w:tabs>
          <w:tab w:val="clear" w:pos="4819"/>
          <w:tab w:val="clear" w:pos="9638"/>
        </w:tabs>
        <w:ind w:left="851"/>
        <w:rPr>
          <w:szCs w:val="24"/>
        </w:rPr>
      </w:pPr>
      <w:r w:rsidRPr="00D4328E">
        <w:rPr>
          <w:szCs w:val="24"/>
        </w:rPr>
        <w:t xml:space="preserve">Til induktion og vedligeholdelse af universel anæstesi </w:t>
      </w:r>
      <w:r w:rsidR="004E25CC">
        <w:rPr>
          <w:szCs w:val="24"/>
        </w:rPr>
        <w:t>ved indgivelse af trinvise doser til effekt.</w:t>
      </w:r>
    </w:p>
    <w:p w:rsidR="007E6227" w:rsidRPr="00D4328E" w:rsidRDefault="007E6227" w:rsidP="00D4328E">
      <w:pPr>
        <w:pStyle w:val="Sidehoved"/>
        <w:tabs>
          <w:tab w:val="clear" w:pos="4819"/>
          <w:tab w:val="clear" w:pos="9638"/>
        </w:tabs>
        <w:ind w:left="851" w:hanging="851"/>
        <w:rPr>
          <w:szCs w:val="24"/>
        </w:rPr>
      </w:pPr>
    </w:p>
    <w:p w:rsidR="007E6227" w:rsidRPr="00D4328E" w:rsidRDefault="007E6227" w:rsidP="00D4328E">
      <w:pPr>
        <w:pStyle w:val="Sidehoved"/>
        <w:tabs>
          <w:tab w:val="clear" w:pos="4819"/>
          <w:tab w:val="clear" w:pos="9638"/>
        </w:tabs>
        <w:ind w:left="851"/>
        <w:rPr>
          <w:szCs w:val="24"/>
        </w:rPr>
      </w:pPr>
      <w:r w:rsidRPr="00D4328E">
        <w:rPr>
          <w:szCs w:val="24"/>
        </w:rPr>
        <w:t xml:space="preserve">Til induktion af universel anæstesi, hvor vedligehold foranstaltes af </w:t>
      </w:r>
      <w:proofErr w:type="spellStart"/>
      <w:r w:rsidRPr="00D4328E">
        <w:rPr>
          <w:szCs w:val="24"/>
        </w:rPr>
        <w:t>inhalationsanæstetika</w:t>
      </w:r>
      <w:proofErr w:type="spellEnd"/>
      <w:r w:rsidRPr="00D4328E">
        <w:rPr>
          <w:szCs w:val="24"/>
        </w:rPr>
        <w:t>.</w:t>
      </w:r>
    </w:p>
    <w:p w:rsidR="00F55CE3" w:rsidRPr="00D4328E" w:rsidRDefault="00F55CE3" w:rsidP="00D4328E">
      <w:pPr>
        <w:pStyle w:val="Sidehoved"/>
        <w:tabs>
          <w:tab w:val="clear" w:pos="4819"/>
          <w:tab w:val="clear" w:pos="9638"/>
        </w:tabs>
        <w:ind w:left="851" w:hanging="851"/>
        <w:jc w:val="both"/>
        <w:rPr>
          <w:szCs w:val="24"/>
        </w:rPr>
      </w:pPr>
    </w:p>
    <w:p w:rsidR="00FA66E4" w:rsidRPr="00D4328E" w:rsidRDefault="00FA66E4" w:rsidP="00D4328E">
      <w:pPr>
        <w:pStyle w:val="Sidehoved"/>
        <w:tabs>
          <w:tab w:val="clear" w:pos="4819"/>
          <w:tab w:val="clear" w:pos="9638"/>
        </w:tabs>
        <w:ind w:left="851" w:hanging="851"/>
        <w:rPr>
          <w:b/>
          <w:szCs w:val="24"/>
        </w:rPr>
      </w:pPr>
      <w:r w:rsidRPr="00D4328E">
        <w:rPr>
          <w:b/>
          <w:szCs w:val="24"/>
        </w:rPr>
        <w:t>4.3</w:t>
      </w:r>
      <w:r w:rsidRPr="00D4328E">
        <w:rPr>
          <w:b/>
          <w:szCs w:val="24"/>
        </w:rPr>
        <w:tab/>
        <w:t>Kontraindikationer</w:t>
      </w:r>
    </w:p>
    <w:p w:rsidR="007E6227" w:rsidRPr="00D4328E" w:rsidRDefault="007E6227" w:rsidP="00D4328E">
      <w:pPr>
        <w:pStyle w:val="Sidehoved"/>
        <w:tabs>
          <w:tab w:val="clear" w:pos="4819"/>
          <w:tab w:val="clear" w:pos="9638"/>
        </w:tabs>
        <w:ind w:left="851"/>
        <w:rPr>
          <w:szCs w:val="24"/>
        </w:rPr>
      </w:pPr>
      <w:r w:rsidRPr="00D4328E">
        <w:rPr>
          <w:szCs w:val="24"/>
        </w:rPr>
        <w:t>Bør ikke anvendes i tilfælde af overfølsomhed over for det aktive stof eller over for et eller flere af hjælpestofferne.</w:t>
      </w:r>
    </w:p>
    <w:p w:rsidR="00FA66E4" w:rsidRPr="00D4328E" w:rsidRDefault="00FA66E4" w:rsidP="00D4328E">
      <w:pPr>
        <w:pStyle w:val="Sidehoved"/>
        <w:tabs>
          <w:tab w:val="clear" w:pos="4819"/>
          <w:tab w:val="clear" w:pos="9638"/>
        </w:tabs>
        <w:ind w:left="851" w:hanging="851"/>
        <w:jc w:val="both"/>
        <w:rPr>
          <w:szCs w:val="24"/>
        </w:rPr>
      </w:pPr>
    </w:p>
    <w:p w:rsidR="00FA66E4" w:rsidRPr="00D4328E" w:rsidRDefault="00FA66E4" w:rsidP="00D4328E">
      <w:pPr>
        <w:ind w:left="851" w:hanging="851"/>
        <w:rPr>
          <w:b/>
          <w:sz w:val="24"/>
          <w:szCs w:val="24"/>
        </w:rPr>
      </w:pPr>
      <w:r w:rsidRPr="00D4328E">
        <w:rPr>
          <w:b/>
          <w:sz w:val="24"/>
          <w:szCs w:val="24"/>
        </w:rPr>
        <w:t>4.4</w:t>
      </w:r>
      <w:r w:rsidRPr="00D4328E">
        <w:rPr>
          <w:b/>
          <w:sz w:val="24"/>
          <w:szCs w:val="24"/>
        </w:rPr>
        <w:tab/>
        <w:t>Særlige advarsler</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 xml:space="preserve">Dette </w:t>
      </w:r>
      <w:r w:rsidR="004E25CC">
        <w:rPr>
          <w:sz w:val="24"/>
          <w:szCs w:val="24"/>
        </w:rPr>
        <w:t>præparat</w:t>
      </w:r>
      <w:r w:rsidR="007E6227" w:rsidRPr="00D4328E">
        <w:rPr>
          <w:sz w:val="24"/>
          <w:szCs w:val="24"/>
        </w:rPr>
        <w:t xml:space="preserve"> er en stabil emulsion; ved faseseparation bortskaffes hætteglasset.</w:t>
      </w:r>
    </w:p>
    <w:p w:rsidR="007E6227" w:rsidRPr="00D4328E" w:rsidRDefault="007E6227" w:rsidP="00D4328E">
      <w:pPr>
        <w:ind w:left="851"/>
        <w:rPr>
          <w:sz w:val="24"/>
          <w:szCs w:val="24"/>
        </w:rPr>
      </w:pPr>
      <w:r w:rsidRPr="00D4328E">
        <w:rPr>
          <w:sz w:val="24"/>
          <w:szCs w:val="24"/>
        </w:rPr>
        <w:t xml:space="preserve">Hvis </w:t>
      </w:r>
      <w:r w:rsidR="004E25CC">
        <w:rPr>
          <w:sz w:val="24"/>
          <w:szCs w:val="24"/>
        </w:rPr>
        <w:t>præparat</w:t>
      </w:r>
      <w:r w:rsidRPr="00D4328E">
        <w:rPr>
          <w:sz w:val="24"/>
          <w:szCs w:val="24"/>
        </w:rPr>
        <w:t>et injiceres meget langsomt, kan utilstrækkelig anæstesidækning forekomme.</w:t>
      </w:r>
    </w:p>
    <w:p w:rsidR="00FA66E4" w:rsidRPr="00D4328E" w:rsidRDefault="00FA66E4" w:rsidP="00D4328E">
      <w:pPr>
        <w:pStyle w:val="Sidehoved"/>
        <w:tabs>
          <w:tab w:val="clear" w:pos="4819"/>
          <w:tab w:val="clear" w:pos="9638"/>
        </w:tabs>
        <w:ind w:left="851" w:hanging="851"/>
        <w:jc w:val="both"/>
        <w:rPr>
          <w:szCs w:val="24"/>
        </w:rPr>
      </w:pPr>
    </w:p>
    <w:p w:rsidR="00FA66E4" w:rsidRPr="00D4328E" w:rsidRDefault="00FA66E4" w:rsidP="00D4328E">
      <w:pPr>
        <w:ind w:left="851" w:hanging="851"/>
        <w:rPr>
          <w:b/>
          <w:sz w:val="24"/>
          <w:szCs w:val="24"/>
        </w:rPr>
      </w:pPr>
      <w:r w:rsidRPr="00D4328E">
        <w:rPr>
          <w:b/>
          <w:sz w:val="24"/>
          <w:szCs w:val="24"/>
        </w:rPr>
        <w:t>4.5</w:t>
      </w:r>
      <w:r w:rsidRPr="00D4328E">
        <w:rPr>
          <w:b/>
          <w:sz w:val="24"/>
          <w:szCs w:val="24"/>
        </w:rPr>
        <w:tab/>
        <w:t>Særlige forsigtighedsregler vedrørende brugen</w:t>
      </w:r>
    </w:p>
    <w:p w:rsidR="00FA66E4" w:rsidRPr="00D4328E" w:rsidRDefault="00FA66E4" w:rsidP="00D4328E">
      <w:pPr>
        <w:ind w:left="851" w:hanging="851"/>
        <w:rPr>
          <w:b/>
          <w:sz w:val="24"/>
          <w:szCs w:val="24"/>
        </w:rPr>
      </w:pPr>
      <w:r w:rsidRPr="00D4328E">
        <w:rPr>
          <w:b/>
          <w:sz w:val="24"/>
          <w:szCs w:val="24"/>
        </w:rPr>
        <w:tab/>
      </w:r>
    </w:p>
    <w:p w:rsidR="00FA66E4" w:rsidRPr="00D4328E" w:rsidRDefault="00FA66E4" w:rsidP="00D4328E">
      <w:pPr>
        <w:ind w:left="851" w:hanging="851"/>
        <w:rPr>
          <w:b/>
          <w:sz w:val="24"/>
          <w:szCs w:val="24"/>
        </w:rPr>
      </w:pPr>
      <w:r w:rsidRPr="00D4328E">
        <w:rPr>
          <w:b/>
          <w:sz w:val="24"/>
          <w:szCs w:val="24"/>
        </w:rPr>
        <w:tab/>
        <w:t>Særlige forsigtighedsregler for dyret</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 xml:space="preserve">Under induktion af anæstesi kan der forekomme let </w:t>
      </w:r>
      <w:proofErr w:type="spellStart"/>
      <w:r w:rsidR="007E6227" w:rsidRPr="00D4328E">
        <w:rPr>
          <w:sz w:val="24"/>
          <w:szCs w:val="24"/>
        </w:rPr>
        <w:t>hypotension</w:t>
      </w:r>
      <w:proofErr w:type="spellEnd"/>
      <w:r w:rsidR="007E6227" w:rsidRPr="00D4328E">
        <w:rPr>
          <w:sz w:val="24"/>
          <w:szCs w:val="24"/>
        </w:rPr>
        <w:t xml:space="preserve"> og forbigående apnø, svarende til effekterne af andre intravenøse </w:t>
      </w:r>
      <w:proofErr w:type="spellStart"/>
      <w:r w:rsidR="007E6227" w:rsidRPr="00D4328E">
        <w:rPr>
          <w:sz w:val="24"/>
          <w:szCs w:val="24"/>
        </w:rPr>
        <w:t>anæstetika</w:t>
      </w:r>
      <w:proofErr w:type="spellEnd"/>
      <w:r w:rsidR="007E6227" w:rsidRPr="00D4328E">
        <w:rPr>
          <w:sz w:val="24"/>
          <w:szCs w:val="24"/>
        </w:rPr>
        <w:t xml:space="preserve">. </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Når </w:t>
      </w:r>
      <w:r w:rsidR="004E25CC">
        <w:rPr>
          <w:sz w:val="24"/>
          <w:szCs w:val="24"/>
        </w:rPr>
        <w:t>præparat</w:t>
      </w:r>
      <w:r w:rsidRPr="00D4328E">
        <w:rPr>
          <w:sz w:val="24"/>
          <w:szCs w:val="24"/>
        </w:rPr>
        <w:t>et anvendes, skal udstyr til vedligeholdelse af frie luftveje og til foretagelse af kunstig ventilation og iltberigelse stå til rådighed.</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Som med andre intravenøse </w:t>
      </w:r>
      <w:proofErr w:type="spellStart"/>
      <w:r w:rsidRPr="00D4328E">
        <w:rPr>
          <w:sz w:val="24"/>
          <w:szCs w:val="24"/>
        </w:rPr>
        <w:t>anæstetika</w:t>
      </w:r>
      <w:proofErr w:type="spellEnd"/>
      <w:r w:rsidRPr="00D4328E">
        <w:rPr>
          <w:sz w:val="24"/>
          <w:szCs w:val="24"/>
        </w:rPr>
        <w:t xml:space="preserve"> bør der udvises forsigtighed ved anvendelse til hunde og katte med hjerte- respirations-, nyre- eller leverproblemer eller </w:t>
      </w:r>
      <w:proofErr w:type="spellStart"/>
      <w:r w:rsidRPr="00D4328E">
        <w:rPr>
          <w:sz w:val="24"/>
          <w:szCs w:val="24"/>
        </w:rPr>
        <w:t>hypovolæmiske</w:t>
      </w:r>
      <w:proofErr w:type="spellEnd"/>
      <w:r w:rsidRPr="00D4328E">
        <w:rPr>
          <w:sz w:val="24"/>
          <w:szCs w:val="24"/>
        </w:rPr>
        <w:t xml:space="preserve"> eller svækkede dyr.</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sz w:val="24"/>
          <w:szCs w:val="24"/>
        </w:rPr>
        <w:tab/>
      </w:r>
      <w:r w:rsidRPr="00D4328E">
        <w:rPr>
          <w:b/>
          <w:sz w:val="24"/>
          <w:szCs w:val="24"/>
        </w:rPr>
        <w:t>Særlige forsigtighedsregler for personer, der administrerer lægemidlet</w:t>
      </w:r>
    </w:p>
    <w:p w:rsidR="007E6227" w:rsidRPr="00D4328E" w:rsidRDefault="00FA66E4" w:rsidP="00D4328E">
      <w:pPr>
        <w:ind w:left="851" w:hanging="851"/>
        <w:rPr>
          <w:sz w:val="24"/>
          <w:szCs w:val="24"/>
        </w:rPr>
      </w:pPr>
      <w:r w:rsidRPr="00D4328E">
        <w:rPr>
          <w:sz w:val="24"/>
          <w:szCs w:val="24"/>
        </w:rPr>
        <w:tab/>
      </w:r>
      <w:r w:rsidR="004E25CC">
        <w:rPr>
          <w:sz w:val="24"/>
          <w:szCs w:val="24"/>
        </w:rPr>
        <w:t>Præparat</w:t>
      </w:r>
      <w:r w:rsidR="007E6227" w:rsidRPr="00D4328E">
        <w:rPr>
          <w:sz w:val="24"/>
          <w:szCs w:val="24"/>
        </w:rPr>
        <w:t xml:space="preserve">et er et potent lægemiddel, og der skal udvises forsigtighed for at undgå selv-injektion ved et uheld. Anvend fortrinsvis en beskyttet kanyle indtil injektionsøjeblikket. </w:t>
      </w:r>
    </w:p>
    <w:p w:rsidR="007E6227" w:rsidRPr="00D4328E" w:rsidRDefault="004E25CC" w:rsidP="00D4328E">
      <w:pPr>
        <w:ind w:left="851"/>
        <w:rPr>
          <w:sz w:val="24"/>
          <w:szCs w:val="24"/>
        </w:rPr>
      </w:pPr>
      <w:r>
        <w:rPr>
          <w:sz w:val="24"/>
          <w:szCs w:val="24"/>
        </w:rPr>
        <w:t>S</w:t>
      </w:r>
      <w:r w:rsidR="007E6227" w:rsidRPr="00D4328E">
        <w:rPr>
          <w:sz w:val="24"/>
          <w:szCs w:val="24"/>
        </w:rPr>
        <w:t>prøjt på huden eller i øjnene, afvaskes der med det samme.</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I tilfælde af selvindgivelse ved hændeligt uheld, skal der straks søges lægehjælp, og etiketten bør vises til lægen.</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b/>
          <w:sz w:val="24"/>
          <w:szCs w:val="24"/>
        </w:rPr>
        <w:t>Til lægen:</w:t>
      </w:r>
      <w:r w:rsidRPr="00D4328E">
        <w:rPr>
          <w:sz w:val="24"/>
          <w:szCs w:val="24"/>
        </w:rPr>
        <w:t xml:space="preserve"> Efterlad ikke patienten uden opsyn. Oprethold frie luftveje og giv symptomatisk og understøttende behandling.</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sz w:val="24"/>
          <w:szCs w:val="24"/>
        </w:rPr>
        <w:tab/>
      </w:r>
      <w:r w:rsidRPr="00D4328E">
        <w:rPr>
          <w:b/>
          <w:sz w:val="24"/>
          <w:szCs w:val="24"/>
        </w:rPr>
        <w:t>Andre forsigtighedsregler</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Ingen</w:t>
      </w:r>
      <w:r w:rsidR="00FD424F">
        <w:rPr>
          <w:sz w:val="24"/>
          <w:szCs w:val="24"/>
        </w:rPr>
        <w:t>.</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4.6</w:t>
      </w:r>
      <w:r w:rsidRPr="00D4328E">
        <w:rPr>
          <w:b/>
          <w:sz w:val="24"/>
          <w:szCs w:val="24"/>
        </w:rPr>
        <w:tab/>
        <w:t>Bivirkninger</w:t>
      </w:r>
    </w:p>
    <w:p w:rsidR="004B16A6" w:rsidRPr="004B16A6" w:rsidRDefault="004B16A6" w:rsidP="004B16A6">
      <w:pPr>
        <w:ind w:left="851"/>
        <w:rPr>
          <w:sz w:val="24"/>
          <w:szCs w:val="24"/>
        </w:rPr>
      </w:pPr>
      <w:r w:rsidRPr="004B16A6">
        <w:rPr>
          <w:sz w:val="24"/>
          <w:szCs w:val="24"/>
        </w:rPr>
        <w:t xml:space="preserve">Bivirkninger under induktion, vedligeholdelse og opvågning (herunder overfølsomhedsreaktioner) er ikke almindelige. </w:t>
      </w:r>
    </w:p>
    <w:p w:rsidR="004B16A6" w:rsidRPr="004B16A6" w:rsidRDefault="004B16A6" w:rsidP="004B16A6">
      <w:pPr>
        <w:ind w:left="851"/>
        <w:rPr>
          <w:sz w:val="24"/>
          <w:szCs w:val="24"/>
        </w:rPr>
      </w:pPr>
      <w:r w:rsidRPr="004B16A6">
        <w:rPr>
          <w:sz w:val="24"/>
          <w:szCs w:val="24"/>
        </w:rPr>
        <w:t xml:space="preserve">Minimale tegn på </w:t>
      </w:r>
      <w:proofErr w:type="spellStart"/>
      <w:r w:rsidRPr="004B16A6">
        <w:rPr>
          <w:sz w:val="24"/>
          <w:szCs w:val="24"/>
        </w:rPr>
        <w:t>excitation</w:t>
      </w:r>
      <w:proofErr w:type="spellEnd"/>
      <w:r w:rsidRPr="004B16A6">
        <w:rPr>
          <w:sz w:val="24"/>
          <w:szCs w:val="24"/>
        </w:rPr>
        <w:t xml:space="preserve"> hos en lille andel af dyrene er observeret.</w:t>
      </w:r>
    </w:p>
    <w:p w:rsidR="007E6227" w:rsidRPr="00D4328E" w:rsidRDefault="004B16A6" w:rsidP="004B16A6">
      <w:pPr>
        <w:ind w:left="851"/>
        <w:rPr>
          <w:sz w:val="24"/>
          <w:szCs w:val="24"/>
        </w:rPr>
      </w:pPr>
      <w:r w:rsidRPr="004B16A6">
        <w:rPr>
          <w:sz w:val="24"/>
          <w:szCs w:val="24"/>
        </w:rPr>
        <w:t xml:space="preserve">Under opvågningsfasen er der hos en lille andel af dyrene iagttaget opkastning og tegn på </w:t>
      </w:r>
      <w:proofErr w:type="spellStart"/>
      <w:r w:rsidRPr="004B16A6">
        <w:rPr>
          <w:sz w:val="24"/>
          <w:szCs w:val="24"/>
        </w:rPr>
        <w:t>excitation</w:t>
      </w:r>
      <w:proofErr w:type="spellEnd"/>
      <w:r w:rsidRPr="004B16A6">
        <w:rPr>
          <w:sz w:val="24"/>
          <w:szCs w:val="24"/>
        </w:rPr>
        <w:t>.</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I kliniske forsøg med katte og hunde er der </w:t>
      </w:r>
      <w:r w:rsidR="003C29CA">
        <w:rPr>
          <w:sz w:val="24"/>
          <w:szCs w:val="24"/>
        </w:rPr>
        <w:t xml:space="preserve">ofte </w:t>
      </w:r>
      <w:r w:rsidRPr="00D4328E">
        <w:rPr>
          <w:sz w:val="24"/>
          <w:szCs w:val="24"/>
        </w:rPr>
        <w:t xml:space="preserve">observeret forbigående apnø under induktion. Hos katte er slikken af pote/ansigt under opvågning observeret hos en lille </w:t>
      </w:r>
      <w:r w:rsidR="003C29CA">
        <w:rPr>
          <w:sz w:val="24"/>
          <w:szCs w:val="24"/>
        </w:rPr>
        <w:t>an</w:t>
      </w:r>
      <w:r w:rsidRPr="00D4328E">
        <w:rPr>
          <w:sz w:val="24"/>
          <w:szCs w:val="24"/>
        </w:rPr>
        <w:t>del af dyrene.</w:t>
      </w:r>
    </w:p>
    <w:p w:rsidR="007E6227" w:rsidRPr="00D4328E" w:rsidRDefault="007E6227" w:rsidP="00D4328E">
      <w:pPr>
        <w:ind w:left="851" w:hanging="851"/>
        <w:rPr>
          <w:b/>
          <w:sz w:val="24"/>
          <w:szCs w:val="24"/>
        </w:rPr>
      </w:pPr>
    </w:p>
    <w:p w:rsidR="007E6227" w:rsidRPr="00D4328E" w:rsidRDefault="007E6227" w:rsidP="00D4328E">
      <w:pPr>
        <w:ind w:left="851"/>
        <w:rPr>
          <w:sz w:val="24"/>
          <w:szCs w:val="24"/>
        </w:rPr>
      </w:pPr>
      <w:r w:rsidRPr="00D4328E">
        <w:rPr>
          <w:sz w:val="24"/>
          <w:szCs w:val="24"/>
        </w:rPr>
        <w:t>Hvis hunden halser inden induktion, kan dette fortsætte gennem hele den efterfølgende anæstesi- og opvågningsfase.</w:t>
      </w:r>
    </w:p>
    <w:p w:rsidR="007E6227" w:rsidRPr="00D4328E" w:rsidRDefault="007E6227" w:rsidP="00D4328E">
      <w:pPr>
        <w:ind w:left="851" w:hanging="851"/>
        <w:rPr>
          <w:b/>
          <w:sz w:val="24"/>
          <w:szCs w:val="24"/>
        </w:rPr>
      </w:pPr>
    </w:p>
    <w:p w:rsidR="007E6227" w:rsidRPr="00D4328E" w:rsidRDefault="007E6227" w:rsidP="00D4328E">
      <w:pPr>
        <w:ind w:left="851"/>
        <w:rPr>
          <w:sz w:val="24"/>
          <w:szCs w:val="24"/>
        </w:rPr>
      </w:pPr>
      <w:r w:rsidRPr="00D4328E">
        <w:rPr>
          <w:sz w:val="24"/>
          <w:szCs w:val="24"/>
        </w:rPr>
        <w:t xml:space="preserve">Utilsigtet </w:t>
      </w:r>
      <w:proofErr w:type="spellStart"/>
      <w:r w:rsidRPr="00D4328E">
        <w:rPr>
          <w:sz w:val="24"/>
          <w:szCs w:val="24"/>
        </w:rPr>
        <w:t>perivaskulær</w:t>
      </w:r>
      <w:proofErr w:type="spellEnd"/>
      <w:r w:rsidRPr="00D4328E">
        <w:rPr>
          <w:sz w:val="24"/>
          <w:szCs w:val="24"/>
        </w:rPr>
        <w:t xml:space="preserve"> administration medfører </w:t>
      </w:r>
      <w:r w:rsidR="003C29CA">
        <w:rPr>
          <w:sz w:val="24"/>
          <w:szCs w:val="24"/>
        </w:rPr>
        <w:t xml:space="preserve">i </w:t>
      </w:r>
      <w:r w:rsidRPr="00D4328E">
        <w:rPr>
          <w:sz w:val="24"/>
          <w:szCs w:val="24"/>
        </w:rPr>
        <w:t>sjæld</w:t>
      </w:r>
      <w:r w:rsidR="003C29CA">
        <w:rPr>
          <w:sz w:val="24"/>
          <w:szCs w:val="24"/>
        </w:rPr>
        <w:t>ne tilfælde</w:t>
      </w:r>
      <w:r w:rsidRPr="00D4328E">
        <w:rPr>
          <w:sz w:val="24"/>
          <w:szCs w:val="24"/>
        </w:rPr>
        <w:t xml:space="preserve"> lokale vævsreaktioner.</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Gentagen anæstesi med </w:t>
      </w:r>
      <w:proofErr w:type="spellStart"/>
      <w:r w:rsidRPr="00D4328E">
        <w:rPr>
          <w:sz w:val="24"/>
          <w:szCs w:val="24"/>
        </w:rPr>
        <w:t>propofol</w:t>
      </w:r>
      <w:proofErr w:type="spellEnd"/>
      <w:r w:rsidRPr="00D4328E">
        <w:rPr>
          <w:sz w:val="24"/>
          <w:szCs w:val="24"/>
        </w:rPr>
        <w:t xml:space="preserve"> kan hos katte føre til </w:t>
      </w:r>
      <w:proofErr w:type="spellStart"/>
      <w:r w:rsidRPr="00D4328E">
        <w:rPr>
          <w:sz w:val="24"/>
          <w:szCs w:val="24"/>
        </w:rPr>
        <w:t>oxidativ</w:t>
      </w:r>
      <w:proofErr w:type="spellEnd"/>
      <w:r w:rsidRPr="00D4328E">
        <w:rPr>
          <w:sz w:val="24"/>
          <w:szCs w:val="24"/>
        </w:rPr>
        <w:t xml:space="preserve"> skade og dannelse af Heinz-legemer.</w:t>
      </w:r>
    </w:p>
    <w:p w:rsidR="007E6227" w:rsidRPr="00D4328E" w:rsidRDefault="003C29CA" w:rsidP="00D4328E">
      <w:pPr>
        <w:ind w:left="851"/>
        <w:rPr>
          <w:b/>
          <w:sz w:val="24"/>
          <w:szCs w:val="24"/>
        </w:rPr>
      </w:pPr>
      <w:r>
        <w:rPr>
          <w:sz w:val="24"/>
          <w:szCs w:val="24"/>
        </w:rPr>
        <w:lastRenderedPageBreak/>
        <w:t>Opvågning</w:t>
      </w:r>
      <w:r w:rsidR="007E6227" w:rsidRPr="00D4328E">
        <w:rPr>
          <w:sz w:val="24"/>
          <w:szCs w:val="24"/>
        </w:rPr>
        <w:t xml:space="preserve"> kan også blive forlænget. Hvis gentagen anæstesi begrænses til intervaller på over 48 timer, vil sandsynligheden formindskes.</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4.7</w:t>
      </w:r>
      <w:r w:rsidRPr="00D4328E">
        <w:rPr>
          <w:b/>
          <w:sz w:val="24"/>
          <w:szCs w:val="24"/>
        </w:rPr>
        <w:tab/>
        <w:t>Drægtighed, diegivning eller æglægning</w:t>
      </w:r>
    </w:p>
    <w:p w:rsidR="007E6227" w:rsidRPr="00D4328E" w:rsidRDefault="007E6227" w:rsidP="00D4328E">
      <w:pPr>
        <w:ind w:left="851"/>
        <w:rPr>
          <w:sz w:val="24"/>
          <w:szCs w:val="24"/>
        </w:rPr>
      </w:pPr>
      <w:r w:rsidRPr="00D4328E">
        <w:rPr>
          <w:sz w:val="24"/>
          <w:szCs w:val="24"/>
        </w:rPr>
        <w:t xml:space="preserve">Lægemidlets sikkerhed for fostre/nyfødte og under </w:t>
      </w:r>
      <w:r w:rsidR="003C29CA">
        <w:rPr>
          <w:sz w:val="24"/>
          <w:szCs w:val="24"/>
        </w:rPr>
        <w:t>diegivning</w:t>
      </w:r>
      <w:r w:rsidRPr="00D4328E">
        <w:rPr>
          <w:sz w:val="24"/>
          <w:szCs w:val="24"/>
        </w:rPr>
        <w:t xml:space="preserve"> er ikke fastlagt</w:t>
      </w:r>
      <w:r w:rsidR="003C29CA">
        <w:rPr>
          <w:sz w:val="24"/>
          <w:szCs w:val="24"/>
        </w:rPr>
        <w:t>. D</w:t>
      </w:r>
      <w:r w:rsidRPr="00D4328E">
        <w:rPr>
          <w:sz w:val="24"/>
          <w:szCs w:val="24"/>
        </w:rPr>
        <w:t>er er rapporteret om gode erfaringer ved anvendelse af dette pr</w:t>
      </w:r>
      <w:r w:rsidR="003C29CA">
        <w:rPr>
          <w:sz w:val="24"/>
          <w:szCs w:val="24"/>
        </w:rPr>
        <w:t>æparat</w:t>
      </w:r>
      <w:r w:rsidRPr="00D4328E">
        <w:rPr>
          <w:sz w:val="24"/>
          <w:szCs w:val="24"/>
        </w:rPr>
        <w:t xml:space="preserve"> til </w:t>
      </w:r>
      <w:r w:rsidR="003C29CA">
        <w:rPr>
          <w:sz w:val="24"/>
          <w:szCs w:val="24"/>
        </w:rPr>
        <w:t xml:space="preserve">induktion hos tæver forud for udførelsen af </w:t>
      </w:r>
      <w:r w:rsidRPr="00D4328E">
        <w:rPr>
          <w:sz w:val="24"/>
          <w:szCs w:val="24"/>
        </w:rPr>
        <w:t xml:space="preserve">kejsersnit. Må kun anvendes i overensstemmelse med den ansvarlige dyrlæges vurdering af </w:t>
      </w:r>
      <w:proofErr w:type="spellStart"/>
      <w:r w:rsidRPr="00D4328E">
        <w:rPr>
          <w:sz w:val="24"/>
          <w:szCs w:val="24"/>
        </w:rPr>
        <w:t>risk</w:t>
      </w:r>
      <w:proofErr w:type="spellEnd"/>
      <w:r w:rsidRPr="00D4328E">
        <w:rPr>
          <w:sz w:val="24"/>
          <w:szCs w:val="24"/>
        </w:rPr>
        <w:t>-</w:t>
      </w:r>
      <w:proofErr w:type="spellStart"/>
      <w:r w:rsidRPr="00D4328E">
        <w:rPr>
          <w:sz w:val="24"/>
          <w:szCs w:val="24"/>
        </w:rPr>
        <w:t>benefit</w:t>
      </w:r>
      <w:proofErr w:type="spellEnd"/>
      <w:r w:rsidRPr="00D4328E">
        <w:rPr>
          <w:sz w:val="24"/>
          <w:szCs w:val="24"/>
        </w:rPr>
        <w:t>-forholdet.</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4.8</w:t>
      </w:r>
      <w:r w:rsidRPr="00D4328E">
        <w:rPr>
          <w:b/>
          <w:sz w:val="24"/>
          <w:szCs w:val="24"/>
        </w:rPr>
        <w:tab/>
        <w:t>Interaktion med andre lægemidler og andre former for interaktion</w:t>
      </w:r>
    </w:p>
    <w:p w:rsidR="007E6227" w:rsidRPr="00D4328E" w:rsidRDefault="00FA66E4" w:rsidP="00D4328E">
      <w:pPr>
        <w:ind w:left="851" w:hanging="851"/>
        <w:rPr>
          <w:sz w:val="24"/>
          <w:szCs w:val="24"/>
        </w:rPr>
      </w:pPr>
      <w:r w:rsidRPr="00D4328E">
        <w:rPr>
          <w:sz w:val="24"/>
          <w:szCs w:val="24"/>
        </w:rPr>
        <w:tab/>
      </w:r>
      <w:proofErr w:type="spellStart"/>
      <w:r w:rsidR="007E6227" w:rsidRPr="00D4328E">
        <w:rPr>
          <w:sz w:val="24"/>
          <w:szCs w:val="24"/>
        </w:rPr>
        <w:t>Propofol</w:t>
      </w:r>
      <w:proofErr w:type="spellEnd"/>
      <w:r w:rsidR="007E6227" w:rsidRPr="00D4328E">
        <w:rPr>
          <w:sz w:val="24"/>
          <w:szCs w:val="24"/>
        </w:rPr>
        <w:t xml:space="preserve"> er blevet anvendt sammen med almindeligt anvendte midler til præmedicinering som f.eks. atropin, </w:t>
      </w:r>
      <w:proofErr w:type="spellStart"/>
      <w:r w:rsidR="007E6227" w:rsidRPr="00D4328E">
        <w:rPr>
          <w:sz w:val="24"/>
          <w:szCs w:val="24"/>
        </w:rPr>
        <w:t>acepromazin</w:t>
      </w:r>
      <w:proofErr w:type="spellEnd"/>
      <w:r w:rsidR="007E6227" w:rsidRPr="00D4328E">
        <w:rPr>
          <w:sz w:val="24"/>
          <w:szCs w:val="24"/>
        </w:rPr>
        <w:t xml:space="preserve">, </w:t>
      </w:r>
      <w:proofErr w:type="spellStart"/>
      <w:r w:rsidR="007E6227" w:rsidRPr="00D4328E">
        <w:rPr>
          <w:sz w:val="24"/>
          <w:szCs w:val="24"/>
        </w:rPr>
        <w:t>diazepam</w:t>
      </w:r>
      <w:proofErr w:type="spellEnd"/>
      <w:r w:rsidR="007E6227" w:rsidRPr="00D4328E">
        <w:rPr>
          <w:sz w:val="24"/>
          <w:szCs w:val="24"/>
        </w:rPr>
        <w:t xml:space="preserve"> og </w:t>
      </w:r>
      <w:proofErr w:type="spellStart"/>
      <w:r w:rsidR="007E6227" w:rsidRPr="00D4328E">
        <w:rPr>
          <w:sz w:val="24"/>
          <w:szCs w:val="24"/>
        </w:rPr>
        <w:t>i</w:t>
      </w:r>
      <w:r w:rsidR="00D4328E">
        <w:rPr>
          <w:sz w:val="24"/>
          <w:szCs w:val="24"/>
        </w:rPr>
        <w:t>nhalationsanæstetika</w:t>
      </w:r>
      <w:proofErr w:type="spellEnd"/>
      <w:r w:rsidR="00D4328E">
        <w:rPr>
          <w:sz w:val="24"/>
          <w:szCs w:val="24"/>
        </w:rPr>
        <w:t xml:space="preserve"> som f.eks.</w:t>
      </w:r>
      <w:r w:rsidR="007E6227" w:rsidRPr="00D4328E">
        <w:rPr>
          <w:sz w:val="24"/>
          <w:szCs w:val="24"/>
        </w:rPr>
        <w:t xml:space="preserve"> </w:t>
      </w:r>
      <w:proofErr w:type="spellStart"/>
      <w:r w:rsidR="007E6227" w:rsidRPr="00D4328E">
        <w:rPr>
          <w:sz w:val="24"/>
          <w:szCs w:val="24"/>
        </w:rPr>
        <w:t>halot</w:t>
      </w:r>
      <w:r w:rsidR="003C29CA">
        <w:rPr>
          <w:sz w:val="24"/>
          <w:szCs w:val="24"/>
        </w:rPr>
        <w:t>h</w:t>
      </w:r>
      <w:r w:rsidR="007E6227" w:rsidRPr="00D4328E">
        <w:rPr>
          <w:sz w:val="24"/>
          <w:szCs w:val="24"/>
        </w:rPr>
        <w:t>an</w:t>
      </w:r>
      <w:proofErr w:type="spellEnd"/>
      <w:r w:rsidR="007E6227" w:rsidRPr="00D4328E">
        <w:rPr>
          <w:sz w:val="24"/>
          <w:szCs w:val="24"/>
        </w:rPr>
        <w:t xml:space="preserve">, </w:t>
      </w:r>
      <w:r w:rsidR="003C29CA">
        <w:rPr>
          <w:sz w:val="24"/>
          <w:szCs w:val="24"/>
        </w:rPr>
        <w:t>nitrogenoxid</w:t>
      </w:r>
      <w:r w:rsidR="007E6227" w:rsidRPr="00D4328E">
        <w:rPr>
          <w:sz w:val="24"/>
          <w:szCs w:val="24"/>
        </w:rPr>
        <w:t xml:space="preserve">, </w:t>
      </w:r>
      <w:proofErr w:type="spellStart"/>
      <w:r w:rsidR="007E6227" w:rsidRPr="00D4328E">
        <w:rPr>
          <w:sz w:val="24"/>
          <w:szCs w:val="24"/>
        </w:rPr>
        <w:t>enfluran</w:t>
      </w:r>
      <w:proofErr w:type="spellEnd"/>
      <w:r w:rsidR="007E6227" w:rsidRPr="00D4328E">
        <w:rPr>
          <w:sz w:val="24"/>
          <w:szCs w:val="24"/>
        </w:rPr>
        <w:t xml:space="preserve">, og </w:t>
      </w:r>
      <w:proofErr w:type="spellStart"/>
      <w:r w:rsidR="007E6227" w:rsidRPr="00D4328E">
        <w:rPr>
          <w:sz w:val="24"/>
          <w:szCs w:val="24"/>
        </w:rPr>
        <w:t>analgetika</w:t>
      </w:r>
      <w:proofErr w:type="spellEnd"/>
      <w:r w:rsidR="007E6227" w:rsidRPr="00D4328E">
        <w:rPr>
          <w:sz w:val="24"/>
          <w:szCs w:val="24"/>
        </w:rPr>
        <w:t xml:space="preserve"> som f.eks. </w:t>
      </w:r>
      <w:proofErr w:type="spellStart"/>
      <w:r w:rsidR="007E6227" w:rsidRPr="00D4328E">
        <w:rPr>
          <w:sz w:val="24"/>
          <w:szCs w:val="24"/>
        </w:rPr>
        <w:t>buprenorphin</w:t>
      </w:r>
      <w:proofErr w:type="spellEnd"/>
      <w:r w:rsidR="007E6227" w:rsidRPr="00D4328E">
        <w:rPr>
          <w:sz w:val="24"/>
          <w:szCs w:val="24"/>
        </w:rPr>
        <w:t>. Der er ikke set nogen farmakologisk uforligelighed.</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Det er sandsynligt, at samtidig anvendelse af </w:t>
      </w:r>
      <w:proofErr w:type="spellStart"/>
      <w:r w:rsidRPr="00D4328E">
        <w:rPr>
          <w:sz w:val="24"/>
          <w:szCs w:val="24"/>
        </w:rPr>
        <w:t>sederende</w:t>
      </w:r>
      <w:proofErr w:type="spellEnd"/>
      <w:r w:rsidRPr="00D4328E">
        <w:rPr>
          <w:sz w:val="24"/>
          <w:szCs w:val="24"/>
        </w:rPr>
        <w:t xml:space="preserve"> eller </w:t>
      </w:r>
      <w:proofErr w:type="spellStart"/>
      <w:r w:rsidRPr="00D4328E">
        <w:rPr>
          <w:sz w:val="24"/>
          <w:szCs w:val="24"/>
        </w:rPr>
        <w:t>analgetiske</w:t>
      </w:r>
      <w:proofErr w:type="spellEnd"/>
      <w:r w:rsidRPr="00D4328E">
        <w:rPr>
          <w:sz w:val="24"/>
          <w:szCs w:val="24"/>
        </w:rPr>
        <w:t xml:space="preserve"> lægemidler reducerer den </w:t>
      </w:r>
      <w:r w:rsidR="00D4328E">
        <w:rPr>
          <w:sz w:val="24"/>
          <w:szCs w:val="24"/>
        </w:rPr>
        <w:t xml:space="preserve">dosis af </w:t>
      </w:r>
      <w:proofErr w:type="spellStart"/>
      <w:r w:rsidR="00D4328E">
        <w:rPr>
          <w:sz w:val="24"/>
          <w:szCs w:val="24"/>
        </w:rPr>
        <w:t>propofol</w:t>
      </w:r>
      <w:proofErr w:type="spellEnd"/>
      <w:r w:rsidRPr="00D4328E">
        <w:rPr>
          <w:sz w:val="24"/>
          <w:szCs w:val="24"/>
        </w:rPr>
        <w:t>, der er nødvendig for at frembringe og vedligeholde anæstesi.</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4.9</w:t>
      </w:r>
      <w:r w:rsidRPr="00D4328E">
        <w:rPr>
          <w:b/>
          <w:sz w:val="24"/>
          <w:szCs w:val="24"/>
        </w:rPr>
        <w:tab/>
        <w:t>Dosering og indgivelsesmåde</w:t>
      </w:r>
    </w:p>
    <w:p w:rsidR="007E6227" w:rsidRPr="00D4328E" w:rsidRDefault="00FA66E4" w:rsidP="00D4328E">
      <w:pPr>
        <w:ind w:left="851" w:hanging="851"/>
        <w:rPr>
          <w:sz w:val="24"/>
          <w:szCs w:val="24"/>
        </w:rPr>
      </w:pPr>
      <w:r w:rsidRPr="00D4328E">
        <w:rPr>
          <w:sz w:val="24"/>
          <w:szCs w:val="24"/>
        </w:rPr>
        <w:tab/>
      </w:r>
      <w:r w:rsidR="003C29CA">
        <w:rPr>
          <w:sz w:val="24"/>
          <w:szCs w:val="24"/>
        </w:rPr>
        <w:t>T</w:t>
      </w:r>
      <w:r w:rsidR="007E6227" w:rsidRPr="00D4328E">
        <w:rPr>
          <w:sz w:val="24"/>
          <w:szCs w:val="24"/>
        </w:rPr>
        <w:t xml:space="preserve">il intravenøs </w:t>
      </w:r>
      <w:r w:rsidR="003C29CA">
        <w:rPr>
          <w:sz w:val="24"/>
          <w:szCs w:val="24"/>
        </w:rPr>
        <w:t>anvendelse</w:t>
      </w:r>
      <w:r w:rsidR="007E6227" w:rsidRPr="00D4328E">
        <w:rPr>
          <w:sz w:val="24"/>
          <w:szCs w:val="24"/>
        </w:rPr>
        <w:t xml:space="preserve"> hos hunde og katte. </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 xml:space="preserve">Inden brug skal præparatet inspiceres visuelt for </w:t>
      </w:r>
      <w:r w:rsidR="003C29CA">
        <w:rPr>
          <w:sz w:val="24"/>
          <w:szCs w:val="24"/>
        </w:rPr>
        <w:t>dråber (fase</w:t>
      </w:r>
      <w:r w:rsidR="00E8027C">
        <w:rPr>
          <w:sz w:val="24"/>
          <w:szCs w:val="24"/>
        </w:rPr>
        <w:t>a</w:t>
      </w:r>
      <w:r w:rsidR="003C29CA">
        <w:rPr>
          <w:sz w:val="24"/>
          <w:szCs w:val="24"/>
        </w:rPr>
        <w:t>dskillelse) eller fremmedpartikler</w:t>
      </w:r>
      <w:r w:rsidRPr="00D4328E">
        <w:rPr>
          <w:sz w:val="24"/>
          <w:szCs w:val="24"/>
        </w:rPr>
        <w:t xml:space="preserve"> og bortskaffes hvis disse er til</w:t>
      </w:r>
      <w:r w:rsidR="003C29CA">
        <w:rPr>
          <w:sz w:val="24"/>
          <w:szCs w:val="24"/>
        </w:rPr>
        <w:t xml:space="preserve"> </w:t>
      </w:r>
      <w:r w:rsidRPr="00D4328E">
        <w:rPr>
          <w:sz w:val="24"/>
          <w:szCs w:val="24"/>
        </w:rPr>
        <w:t>stede.</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Hætteglasset omrystes forsigtigt, men omhyggeligt før åbning.</w:t>
      </w:r>
    </w:p>
    <w:p w:rsidR="007E6227" w:rsidRPr="00D4328E" w:rsidRDefault="007E6227" w:rsidP="00D4328E">
      <w:pPr>
        <w:ind w:left="851" w:hanging="851"/>
        <w:rPr>
          <w:sz w:val="24"/>
          <w:szCs w:val="24"/>
        </w:rPr>
      </w:pPr>
    </w:p>
    <w:p w:rsidR="007E6227" w:rsidRPr="00D4328E" w:rsidRDefault="00D4328E" w:rsidP="00D4328E">
      <w:pPr>
        <w:ind w:left="851"/>
        <w:rPr>
          <w:b/>
          <w:sz w:val="24"/>
          <w:szCs w:val="24"/>
        </w:rPr>
      </w:pPr>
      <w:r>
        <w:rPr>
          <w:b/>
          <w:sz w:val="24"/>
          <w:szCs w:val="24"/>
        </w:rPr>
        <w:t>Induktion</w:t>
      </w:r>
      <w:r w:rsidR="007E6227" w:rsidRPr="00D4328E">
        <w:rPr>
          <w:b/>
          <w:sz w:val="24"/>
          <w:szCs w:val="24"/>
        </w:rPr>
        <w:t>:</w:t>
      </w:r>
    </w:p>
    <w:p w:rsidR="007E6227" w:rsidRPr="00D4328E" w:rsidRDefault="007E6227" w:rsidP="00D4328E">
      <w:pPr>
        <w:ind w:left="851"/>
        <w:rPr>
          <w:sz w:val="24"/>
          <w:szCs w:val="24"/>
        </w:rPr>
      </w:pPr>
      <w:r w:rsidRPr="00D4328E">
        <w:rPr>
          <w:sz w:val="24"/>
          <w:szCs w:val="24"/>
        </w:rPr>
        <w:t xml:space="preserve">Induktionsdosen beregnes i forhold til legemsvægten og kan indgives til effekt i løbet af en periode på 10-40 sekunder. Alternativt kan hele den beregnede dosis indgives som en enkelt </w:t>
      </w:r>
      <w:proofErr w:type="spellStart"/>
      <w:r w:rsidRPr="00D4328E">
        <w:rPr>
          <w:sz w:val="24"/>
          <w:szCs w:val="24"/>
        </w:rPr>
        <w:t>bolus</w:t>
      </w:r>
      <w:proofErr w:type="spellEnd"/>
      <w:r w:rsidRPr="00D4328E">
        <w:rPr>
          <w:sz w:val="24"/>
          <w:szCs w:val="24"/>
        </w:rPr>
        <w:t xml:space="preserve"> over et kort</w:t>
      </w:r>
      <w:r w:rsidR="00BD3EB9">
        <w:rPr>
          <w:sz w:val="24"/>
          <w:szCs w:val="24"/>
        </w:rPr>
        <w:t>ere</w:t>
      </w:r>
      <w:r w:rsidRPr="00D4328E">
        <w:rPr>
          <w:sz w:val="24"/>
          <w:szCs w:val="24"/>
        </w:rPr>
        <w:t xml:space="preserve"> tidsinterval. Induktionsdosen reduceres ved brug af </w:t>
      </w:r>
      <w:proofErr w:type="spellStart"/>
      <w:r w:rsidRPr="00D4328E">
        <w:rPr>
          <w:sz w:val="24"/>
          <w:szCs w:val="24"/>
        </w:rPr>
        <w:t>præmedikation</w:t>
      </w:r>
      <w:proofErr w:type="spellEnd"/>
      <w:r w:rsidRPr="00D4328E">
        <w:rPr>
          <w:sz w:val="24"/>
          <w:szCs w:val="24"/>
        </w:rPr>
        <w:t>.</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Doseringerne i skemaet herunder er kun til vejledning. Den faktiske dosis skal baseres på respons.</w:t>
      </w:r>
    </w:p>
    <w:p w:rsidR="007E6227" w:rsidRPr="00D4328E" w:rsidRDefault="007E6227" w:rsidP="00D4328E">
      <w:pPr>
        <w:ind w:left="851"/>
        <w:rPr>
          <w:sz w:val="24"/>
          <w:szCs w:val="24"/>
        </w:rPr>
      </w:pPr>
      <w:r w:rsidRPr="00D4328E">
        <w:rPr>
          <w:sz w:val="24"/>
          <w:szCs w:val="24"/>
        </w:rPr>
        <w:t xml:space="preserve">Den gennemsnitlige induktionsdosis </w:t>
      </w:r>
      <w:r w:rsidR="00BD3EB9">
        <w:rPr>
          <w:sz w:val="24"/>
          <w:szCs w:val="24"/>
        </w:rPr>
        <w:t>til</w:t>
      </w:r>
      <w:r w:rsidRPr="00D4328E">
        <w:rPr>
          <w:sz w:val="24"/>
          <w:szCs w:val="24"/>
        </w:rPr>
        <w:t xml:space="preserve"> hunde og katte, enten ikke-præmedicinerede eller præmedicinerede med et beroligende middel som f.eks. non alpha-2-agonisten </w:t>
      </w:r>
      <w:proofErr w:type="spellStart"/>
      <w:r w:rsidRPr="00D4328E">
        <w:rPr>
          <w:sz w:val="24"/>
          <w:szCs w:val="24"/>
        </w:rPr>
        <w:t>acepromazin</w:t>
      </w:r>
      <w:proofErr w:type="spellEnd"/>
      <w:r w:rsidRPr="00D4328E">
        <w:rPr>
          <w:sz w:val="24"/>
          <w:szCs w:val="24"/>
        </w:rPr>
        <w:t xml:space="preserve">, findes i tabellen nedenfor. </w:t>
      </w:r>
    </w:p>
    <w:p w:rsidR="007E6227" w:rsidRPr="00D4328E" w:rsidRDefault="007E6227" w:rsidP="00D4328E">
      <w:pPr>
        <w:ind w:left="851" w:hanging="851"/>
        <w:rPr>
          <w:sz w:val="24"/>
          <w:szCs w:val="24"/>
        </w:rPr>
      </w:pPr>
    </w:p>
    <w:tbl>
      <w:tblPr>
        <w:tblW w:w="446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2908"/>
        <w:gridCol w:w="3049"/>
      </w:tblGrid>
      <w:tr w:rsidR="007E6227" w:rsidRPr="00D4328E" w:rsidTr="00D4328E">
        <w:tc>
          <w:tcPr>
            <w:tcW w:w="1532" w:type="pct"/>
            <w:tcBorders>
              <w:top w:val="single" w:sz="4" w:space="0" w:color="auto"/>
              <w:left w:val="single" w:sz="4" w:space="0" w:color="auto"/>
              <w:bottom w:val="single" w:sz="4" w:space="0" w:color="auto"/>
              <w:right w:val="single" w:sz="4" w:space="0" w:color="auto"/>
            </w:tcBorders>
          </w:tcPr>
          <w:p w:rsidR="007E6227" w:rsidRPr="00D4328E" w:rsidRDefault="007E6227" w:rsidP="00BD3EB9">
            <w:pPr>
              <w:jc w:val="center"/>
              <w:rPr>
                <w:sz w:val="24"/>
                <w:szCs w:val="24"/>
              </w:rPr>
            </w:pPr>
          </w:p>
        </w:tc>
        <w:tc>
          <w:tcPr>
            <w:tcW w:w="1693" w:type="pct"/>
            <w:tcBorders>
              <w:top w:val="single" w:sz="4" w:space="0" w:color="auto"/>
              <w:left w:val="single" w:sz="4" w:space="0" w:color="auto"/>
              <w:bottom w:val="single" w:sz="4" w:space="0" w:color="auto"/>
              <w:right w:val="single" w:sz="4" w:space="0" w:color="auto"/>
            </w:tcBorders>
            <w:hideMark/>
          </w:tcPr>
          <w:p w:rsidR="007E6227" w:rsidRPr="00D4328E" w:rsidRDefault="007E6227" w:rsidP="00BD3EB9">
            <w:pPr>
              <w:jc w:val="center"/>
              <w:rPr>
                <w:i/>
                <w:iCs/>
                <w:sz w:val="24"/>
                <w:szCs w:val="24"/>
                <w:lang w:val="en-US"/>
              </w:rPr>
            </w:pPr>
            <w:proofErr w:type="spellStart"/>
            <w:r w:rsidRPr="00D4328E">
              <w:rPr>
                <w:i/>
                <w:iCs/>
                <w:sz w:val="24"/>
                <w:szCs w:val="24"/>
                <w:lang w:val="en-US"/>
              </w:rPr>
              <w:t>Dosis</w:t>
            </w:r>
            <w:proofErr w:type="spellEnd"/>
            <w:r w:rsidRPr="00D4328E">
              <w:rPr>
                <w:i/>
                <w:iCs/>
                <w:sz w:val="24"/>
                <w:szCs w:val="24"/>
                <w:lang w:val="en-US"/>
              </w:rPr>
              <w:t xml:space="preserve"> (mg/kg </w:t>
            </w:r>
            <w:proofErr w:type="spellStart"/>
            <w:r w:rsidRPr="00D4328E">
              <w:rPr>
                <w:i/>
                <w:iCs/>
                <w:sz w:val="24"/>
                <w:szCs w:val="24"/>
                <w:lang w:val="en-US"/>
              </w:rPr>
              <w:t>legemsvægt</w:t>
            </w:r>
            <w:proofErr w:type="spellEnd"/>
            <w:r w:rsidRPr="00D4328E">
              <w:rPr>
                <w:i/>
                <w:iCs/>
                <w:sz w:val="24"/>
                <w:szCs w:val="24"/>
                <w:lang w:val="en-US"/>
              </w:rPr>
              <w:t>)</w:t>
            </w:r>
          </w:p>
        </w:tc>
        <w:tc>
          <w:tcPr>
            <w:tcW w:w="1775" w:type="pct"/>
            <w:tcBorders>
              <w:top w:val="single" w:sz="4" w:space="0" w:color="auto"/>
              <w:left w:val="single" w:sz="4" w:space="0" w:color="auto"/>
              <w:bottom w:val="single" w:sz="4" w:space="0" w:color="auto"/>
              <w:right w:val="single" w:sz="4" w:space="0" w:color="auto"/>
            </w:tcBorders>
            <w:hideMark/>
          </w:tcPr>
          <w:p w:rsidR="00BD3EB9" w:rsidRDefault="007E6227" w:rsidP="00BD3EB9">
            <w:pPr>
              <w:jc w:val="center"/>
              <w:rPr>
                <w:i/>
                <w:iCs/>
                <w:sz w:val="24"/>
                <w:szCs w:val="24"/>
              </w:rPr>
            </w:pPr>
            <w:r w:rsidRPr="00D4328E">
              <w:rPr>
                <w:i/>
                <w:iCs/>
                <w:sz w:val="24"/>
                <w:szCs w:val="24"/>
              </w:rPr>
              <w:t>Dosis volumen</w:t>
            </w:r>
            <w:r w:rsidR="00D4328E">
              <w:rPr>
                <w:i/>
                <w:iCs/>
                <w:sz w:val="24"/>
                <w:szCs w:val="24"/>
              </w:rPr>
              <w:t xml:space="preserve"> </w:t>
            </w:r>
          </w:p>
          <w:p w:rsidR="007E6227" w:rsidRPr="00D4328E" w:rsidRDefault="007E6227" w:rsidP="00BD3EB9">
            <w:pPr>
              <w:jc w:val="center"/>
              <w:rPr>
                <w:i/>
                <w:iCs/>
                <w:sz w:val="24"/>
                <w:szCs w:val="24"/>
              </w:rPr>
            </w:pPr>
            <w:r w:rsidRPr="00D4328E">
              <w:rPr>
                <w:i/>
                <w:iCs/>
                <w:sz w:val="24"/>
                <w:szCs w:val="24"/>
              </w:rPr>
              <w:t>(ml/kg legemsvægt)</w:t>
            </w:r>
          </w:p>
        </w:tc>
      </w:tr>
      <w:tr w:rsidR="007E6227" w:rsidRPr="00D4328E" w:rsidTr="00D4328E">
        <w:tc>
          <w:tcPr>
            <w:tcW w:w="1532" w:type="pct"/>
            <w:tcBorders>
              <w:top w:val="single" w:sz="4" w:space="0" w:color="auto"/>
              <w:left w:val="single" w:sz="4" w:space="0" w:color="auto"/>
              <w:bottom w:val="nil"/>
              <w:right w:val="single" w:sz="4" w:space="0" w:color="auto"/>
            </w:tcBorders>
            <w:hideMark/>
          </w:tcPr>
          <w:p w:rsidR="007E6227" w:rsidRPr="00D4328E" w:rsidRDefault="007E6227" w:rsidP="00D4328E">
            <w:pPr>
              <w:rPr>
                <w:b/>
                <w:sz w:val="24"/>
                <w:szCs w:val="24"/>
                <w:lang w:val="en-US"/>
              </w:rPr>
            </w:pPr>
            <w:proofErr w:type="spellStart"/>
            <w:r w:rsidRPr="004B16A6">
              <w:rPr>
                <w:b/>
                <w:sz w:val="24"/>
                <w:szCs w:val="24"/>
                <w:u w:val="single"/>
                <w:lang w:val="en-US"/>
              </w:rPr>
              <w:t>Hund</w:t>
            </w:r>
            <w:proofErr w:type="spellEnd"/>
          </w:p>
        </w:tc>
        <w:tc>
          <w:tcPr>
            <w:tcW w:w="1693" w:type="pct"/>
            <w:tcBorders>
              <w:top w:val="single" w:sz="4" w:space="0" w:color="auto"/>
              <w:left w:val="single" w:sz="4" w:space="0" w:color="auto"/>
              <w:bottom w:val="nil"/>
              <w:right w:val="single" w:sz="4" w:space="0" w:color="auto"/>
            </w:tcBorders>
          </w:tcPr>
          <w:p w:rsidR="007E6227" w:rsidRPr="00D4328E" w:rsidRDefault="007E6227" w:rsidP="00BD3EB9">
            <w:pPr>
              <w:jc w:val="center"/>
              <w:rPr>
                <w:sz w:val="24"/>
                <w:szCs w:val="24"/>
              </w:rPr>
            </w:pPr>
          </w:p>
        </w:tc>
        <w:tc>
          <w:tcPr>
            <w:tcW w:w="1775" w:type="pct"/>
            <w:tcBorders>
              <w:top w:val="single" w:sz="4" w:space="0" w:color="auto"/>
              <w:left w:val="single" w:sz="4" w:space="0" w:color="auto"/>
              <w:bottom w:val="nil"/>
              <w:right w:val="single" w:sz="4" w:space="0" w:color="auto"/>
            </w:tcBorders>
          </w:tcPr>
          <w:p w:rsidR="007E6227" w:rsidRPr="00D4328E" w:rsidRDefault="007E6227" w:rsidP="00BD3EB9">
            <w:pPr>
              <w:jc w:val="center"/>
              <w:rPr>
                <w:sz w:val="24"/>
                <w:szCs w:val="24"/>
              </w:rPr>
            </w:pPr>
          </w:p>
        </w:tc>
      </w:tr>
      <w:tr w:rsidR="007E6227" w:rsidRPr="00D4328E" w:rsidTr="00D4328E">
        <w:tc>
          <w:tcPr>
            <w:tcW w:w="1532" w:type="pct"/>
            <w:tcBorders>
              <w:top w:val="nil"/>
              <w:left w:val="single" w:sz="4" w:space="0" w:color="auto"/>
              <w:bottom w:val="nil"/>
              <w:right w:val="single" w:sz="4" w:space="0" w:color="auto"/>
            </w:tcBorders>
            <w:hideMark/>
          </w:tcPr>
          <w:p w:rsidR="007E6227" w:rsidRPr="00D4328E" w:rsidRDefault="007E6227" w:rsidP="00D4328E">
            <w:pPr>
              <w:rPr>
                <w:sz w:val="24"/>
                <w:szCs w:val="24"/>
              </w:rPr>
            </w:pPr>
            <w:r w:rsidRPr="00D4328E">
              <w:rPr>
                <w:sz w:val="24"/>
                <w:szCs w:val="24"/>
              </w:rPr>
              <w:t>Ikke-præmedicinerede</w:t>
            </w:r>
          </w:p>
        </w:tc>
        <w:tc>
          <w:tcPr>
            <w:tcW w:w="1693" w:type="pct"/>
            <w:tcBorders>
              <w:top w:val="nil"/>
              <w:left w:val="single" w:sz="4" w:space="0" w:color="auto"/>
              <w:bottom w:val="nil"/>
              <w:right w:val="single" w:sz="4" w:space="0" w:color="auto"/>
            </w:tcBorders>
            <w:hideMark/>
          </w:tcPr>
          <w:p w:rsidR="007E6227" w:rsidRPr="00D4328E" w:rsidRDefault="007E6227" w:rsidP="00BD3EB9">
            <w:pPr>
              <w:jc w:val="center"/>
              <w:rPr>
                <w:sz w:val="24"/>
                <w:szCs w:val="24"/>
              </w:rPr>
            </w:pPr>
            <w:r w:rsidRPr="00D4328E">
              <w:rPr>
                <w:sz w:val="24"/>
                <w:szCs w:val="24"/>
              </w:rPr>
              <w:t>6.5</w:t>
            </w:r>
          </w:p>
        </w:tc>
        <w:tc>
          <w:tcPr>
            <w:tcW w:w="1775" w:type="pct"/>
            <w:tcBorders>
              <w:top w:val="nil"/>
              <w:left w:val="single" w:sz="4" w:space="0" w:color="auto"/>
              <w:bottom w:val="nil"/>
              <w:right w:val="single" w:sz="4" w:space="0" w:color="auto"/>
            </w:tcBorders>
            <w:hideMark/>
          </w:tcPr>
          <w:p w:rsidR="007E6227" w:rsidRPr="00D4328E" w:rsidRDefault="007E6227" w:rsidP="00BD3EB9">
            <w:pPr>
              <w:jc w:val="center"/>
              <w:rPr>
                <w:sz w:val="24"/>
                <w:szCs w:val="24"/>
              </w:rPr>
            </w:pPr>
            <w:r w:rsidRPr="00D4328E">
              <w:rPr>
                <w:sz w:val="24"/>
                <w:szCs w:val="24"/>
              </w:rPr>
              <w:t>6.5 ml/10 kg</w:t>
            </w:r>
          </w:p>
        </w:tc>
      </w:tr>
      <w:tr w:rsidR="007E6227" w:rsidRPr="00D4328E" w:rsidTr="00D4328E">
        <w:tc>
          <w:tcPr>
            <w:tcW w:w="1532" w:type="pct"/>
            <w:tcBorders>
              <w:top w:val="nil"/>
              <w:left w:val="single" w:sz="4" w:space="0" w:color="auto"/>
              <w:bottom w:val="single" w:sz="4" w:space="0" w:color="auto"/>
              <w:right w:val="single" w:sz="4" w:space="0" w:color="auto"/>
            </w:tcBorders>
            <w:hideMark/>
          </w:tcPr>
          <w:p w:rsidR="007E6227" w:rsidRPr="00D4328E" w:rsidRDefault="007E6227" w:rsidP="00D4328E">
            <w:pPr>
              <w:rPr>
                <w:sz w:val="24"/>
                <w:szCs w:val="24"/>
              </w:rPr>
            </w:pPr>
            <w:r w:rsidRPr="00D4328E">
              <w:rPr>
                <w:sz w:val="24"/>
                <w:szCs w:val="24"/>
              </w:rPr>
              <w:t>Præmedicinerede</w:t>
            </w:r>
          </w:p>
        </w:tc>
        <w:tc>
          <w:tcPr>
            <w:tcW w:w="1693" w:type="pct"/>
            <w:tcBorders>
              <w:top w:val="nil"/>
              <w:left w:val="single" w:sz="4" w:space="0" w:color="auto"/>
              <w:bottom w:val="single" w:sz="4" w:space="0" w:color="auto"/>
              <w:right w:val="single" w:sz="4" w:space="0" w:color="auto"/>
            </w:tcBorders>
            <w:hideMark/>
          </w:tcPr>
          <w:p w:rsidR="007E6227" w:rsidRPr="00D4328E" w:rsidRDefault="007E6227" w:rsidP="00BD3EB9">
            <w:pPr>
              <w:jc w:val="center"/>
              <w:rPr>
                <w:sz w:val="24"/>
                <w:szCs w:val="24"/>
              </w:rPr>
            </w:pPr>
            <w:r w:rsidRPr="00D4328E">
              <w:rPr>
                <w:sz w:val="24"/>
                <w:szCs w:val="24"/>
              </w:rPr>
              <w:t>4.0</w:t>
            </w:r>
          </w:p>
        </w:tc>
        <w:tc>
          <w:tcPr>
            <w:tcW w:w="1775" w:type="pct"/>
            <w:tcBorders>
              <w:top w:val="nil"/>
              <w:left w:val="single" w:sz="4" w:space="0" w:color="auto"/>
              <w:bottom w:val="single" w:sz="4" w:space="0" w:color="auto"/>
              <w:right w:val="single" w:sz="4" w:space="0" w:color="auto"/>
            </w:tcBorders>
            <w:hideMark/>
          </w:tcPr>
          <w:p w:rsidR="007E6227" w:rsidRPr="00D4328E" w:rsidRDefault="007E6227" w:rsidP="00BD3EB9">
            <w:pPr>
              <w:jc w:val="center"/>
              <w:rPr>
                <w:sz w:val="24"/>
                <w:szCs w:val="24"/>
              </w:rPr>
            </w:pPr>
            <w:r w:rsidRPr="00D4328E">
              <w:rPr>
                <w:sz w:val="24"/>
                <w:szCs w:val="24"/>
              </w:rPr>
              <w:t>4.0 ml/10 kg</w:t>
            </w:r>
          </w:p>
        </w:tc>
      </w:tr>
      <w:tr w:rsidR="007E6227" w:rsidRPr="00D4328E" w:rsidTr="00D4328E">
        <w:tc>
          <w:tcPr>
            <w:tcW w:w="1532" w:type="pct"/>
            <w:tcBorders>
              <w:top w:val="single" w:sz="4" w:space="0" w:color="auto"/>
              <w:left w:val="single" w:sz="4" w:space="0" w:color="auto"/>
              <w:bottom w:val="nil"/>
              <w:right w:val="single" w:sz="4" w:space="0" w:color="auto"/>
            </w:tcBorders>
            <w:hideMark/>
          </w:tcPr>
          <w:p w:rsidR="007E6227" w:rsidRPr="00D4328E" w:rsidRDefault="007E6227" w:rsidP="00D4328E">
            <w:pPr>
              <w:rPr>
                <w:b/>
                <w:bCs/>
                <w:sz w:val="24"/>
                <w:szCs w:val="24"/>
                <w:u w:val="single"/>
              </w:rPr>
            </w:pPr>
            <w:r w:rsidRPr="004B16A6">
              <w:rPr>
                <w:b/>
                <w:bCs/>
                <w:sz w:val="24"/>
                <w:szCs w:val="24"/>
                <w:u w:val="single"/>
              </w:rPr>
              <w:t>Kat</w:t>
            </w:r>
          </w:p>
        </w:tc>
        <w:tc>
          <w:tcPr>
            <w:tcW w:w="1693" w:type="pct"/>
            <w:tcBorders>
              <w:top w:val="single" w:sz="4" w:space="0" w:color="auto"/>
              <w:left w:val="single" w:sz="4" w:space="0" w:color="auto"/>
              <w:bottom w:val="nil"/>
              <w:right w:val="single" w:sz="4" w:space="0" w:color="auto"/>
            </w:tcBorders>
          </w:tcPr>
          <w:p w:rsidR="007E6227" w:rsidRPr="00D4328E" w:rsidRDefault="007E6227" w:rsidP="00BD3EB9">
            <w:pPr>
              <w:jc w:val="center"/>
              <w:rPr>
                <w:sz w:val="24"/>
                <w:szCs w:val="24"/>
              </w:rPr>
            </w:pPr>
          </w:p>
        </w:tc>
        <w:tc>
          <w:tcPr>
            <w:tcW w:w="1775" w:type="pct"/>
            <w:tcBorders>
              <w:top w:val="single" w:sz="4" w:space="0" w:color="auto"/>
              <w:left w:val="single" w:sz="4" w:space="0" w:color="auto"/>
              <w:bottom w:val="nil"/>
              <w:right w:val="single" w:sz="4" w:space="0" w:color="auto"/>
            </w:tcBorders>
          </w:tcPr>
          <w:p w:rsidR="007E6227" w:rsidRPr="00D4328E" w:rsidRDefault="007E6227" w:rsidP="00BD3EB9">
            <w:pPr>
              <w:jc w:val="center"/>
              <w:rPr>
                <w:sz w:val="24"/>
                <w:szCs w:val="24"/>
              </w:rPr>
            </w:pPr>
          </w:p>
        </w:tc>
      </w:tr>
      <w:tr w:rsidR="007E6227" w:rsidRPr="00D4328E" w:rsidTr="00D4328E">
        <w:tc>
          <w:tcPr>
            <w:tcW w:w="1532" w:type="pct"/>
            <w:tcBorders>
              <w:top w:val="nil"/>
              <w:left w:val="single" w:sz="4" w:space="0" w:color="auto"/>
              <w:bottom w:val="nil"/>
              <w:right w:val="single" w:sz="4" w:space="0" w:color="auto"/>
            </w:tcBorders>
            <w:hideMark/>
          </w:tcPr>
          <w:p w:rsidR="007E6227" w:rsidRPr="00D4328E" w:rsidRDefault="007E6227" w:rsidP="00D4328E">
            <w:pPr>
              <w:rPr>
                <w:sz w:val="24"/>
                <w:szCs w:val="24"/>
              </w:rPr>
            </w:pPr>
            <w:r w:rsidRPr="00D4328E">
              <w:rPr>
                <w:sz w:val="24"/>
                <w:szCs w:val="24"/>
              </w:rPr>
              <w:t>Ikke-præmedicinerede</w:t>
            </w:r>
          </w:p>
        </w:tc>
        <w:tc>
          <w:tcPr>
            <w:tcW w:w="1693" w:type="pct"/>
            <w:tcBorders>
              <w:top w:val="nil"/>
              <w:left w:val="single" w:sz="4" w:space="0" w:color="auto"/>
              <w:bottom w:val="nil"/>
              <w:right w:val="single" w:sz="4" w:space="0" w:color="auto"/>
            </w:tcBorders>
            <w:hideMark/>
          </w:tcPr>
          <w:p w:rsidR="007E6227" w:rsidRPr="00D4328E" w:rsidRDefault="007E6227" w:rsidP="00BD3EB9">
            <w:pPr>
              <w:jc w:val="center"/>
              <w:rPr>
                <w:sz w:val="24"/>
                <w:szCs w:val="24"/>
              </w:rPr>
            </w:pPr>
            <w:r w:rsidRPr="00D4328E">
              <w:rPr>
                <w:sz w:val="24"/>
                <w:szCs w:val="24"/>
              </w:rPr>
              <w:t>8.0</w:t>
            </w:r>
          </w:p>
        </w:tc>
        <w:tc>
          <w:tcPr>
            <w:tcW w:w="1775" w:type="pct"/>
            <w:tcBorders>
              <w:top w:val="nil"/>
              <w:left w:val="single" w:sz="4" w:space="0" w:color="auto"/>
              <w:bottom w:val="nil"/>
              <w:right w:val="single" w:sz="4" w:space="0" w:color="auto"/>
            </w:tcBorders>
            <w:hideMark/>
          </w:tcPr>
          <w:p w:rsidR="007E6227" w:rsidRPr="00D4328E" w:rsidRDefault="007E6227" w:rsidP="00BD3EB9">
            <w:pPr>
              <w:jc w:val="center"/>
              <w:rPr>
                <w:sz w:val="24"/>
                <w:szCs w:val="24"/>
              </w:rPr>
            </w:pPr>
            <w:r w:rsidRPr="00D4328E">
              <w:rPr>
                <w:sz w:val="24"/>
                <w:szCs w:val="24"/>
              </w:rPr>
              <w:t>2.0 ml/2.5 kg</w:t>
            </w:r>
          </w:p>
        </w:tc>
      </w:tr>
      <w:tr w:rsidR="007E6227" w:rsidRPr="00D4328E" w:rsidTr="00D4328E">
        <w:tc>
          <w:tcPr>
            <w:tcW w:w="1532" w:type="pct"/>
            <w:tcBorders>
              <w:top w:val="nil"/>
              <w:left w:val="single" w:sz="4" w:space="0" w:color="auto"/>
              <w:bottom w:val="single" w:sz="4" w:space="0" w:color="auto"/>
              <w:right w:val="single" w:sz="4" w:space="0" w:color="auto"/>
            </w:tcBorders>
            <w:hideMark/>
          </w:tcPr>
          <w:p w:rsidR="007E6227" w:rsidRPr="00D4328E" w:rsidRDefault="007E6227" w:rsidP="00D4328E">
            <w:pPr>
              <w:rPr>
                <w:sz w:val="24"/>
                <w:szCs w:val="24"/>
              </w:rPr>
            </w:pPr>
            <w:r w:rsidRPr="00D4328E">
              <w:rPr>
                <w:sz w:val="24"/>
                <w:szCs w:val="24"/>
              </w:rPr>
              <w:t>Præmedicinerede</w:t>
            </w:r>
          </w:p>
        </w:tc>
        <w:tc>
          <w:tcPr>
            <w:tcW w:w="1693" w:type="pct"/>
            <w:tcBorders>
              <w:top w:val="nil"/>
              <w:left w:val="single" w:sz="4" w:space="0" w:color="auto"/>
              <w:bottom w:val="single" w:sz="4" w:space="0" w:color="auto"/>
              <w:right w:val="single" w:sz="4" w:space="0" w:color="auto"/>
            </w:tcBorders>
            <w:hideMark/>
          </w:tcPr>
          <w:p w:rsidR="007E6227" w:rsidRPr="00D4328E" w:rsidRDefault="007E6227" w:rsidP="00BD3EB9">
            <w:pPr>
              <w:jc w:val="center"/>
              <w:rPr>
                <w:sz w:val="24"/>
                <w:szCs w:val="24"/>
              </w:rPr>
            </w:pPr>
            <w:r w:rsidRPr="00D4328E">
              <w:rPr>
                <w:sz w:val="24"/>
                <w:szCs w:val="24"/>
              </w:rPr>
              <w:t>6.0</w:t>
            </w:r>
          </w:p>
        </w:tc>
        <w:tc>
          <w:tcPr>
            <w:tcW w:w="1775" w:type="pct"/>
            <w:tcBorders>
              <w:top w:val="nil"/>
              <w:left w:val="single" w:sz="4" w:space="0" w:color="auto"/>
              <w:bottom w:val="single" w:sz="4" w:space="0" w:color="auto"/>
              <w:right w:val="single" w:sz="4" w:space="0" w:color="auto"/>
            </w:tcBorders>
            <w:hideMark/>
          </w:tcPr>
          <w:p w:rsidR="007E6227" w:rsidRPr="00D4328E" w:rsidRDefault="007E6227" w:rsidP="00BD3EB9">
            <w:pPr>
              <w:jc w:val="center"/>
              <w:rPr>
                <w:sz w:val="24"/>
                <w:szCs w:val="24"/>
              </w:rPr>
            </w:pPr>
            <w:r w:rsidRPr="00D4328E">
              <w:rPr>
                <w:sz w:val="24"/>
                <w:szCs w:val="24"/>
              </w:rPr>
              <w:t>1.5 ml/2.5 kg</w:t>
            </w:r>
          </w:p>
        </w:tc>
      </w:tr>
    </w:tbl>
    <w:p w:rsidR="00F55CE3" w:rsidRPr="00D4328E" w:rsidRDefault="00F55CE3" w:rsidP="00D4328E">
      <w:pPr>
        <w:ind w:left="851" w:hanging="851"/>
        <w:rPr>
          <w:sz w:val="24"/>
          <w:szCs w:val="24"/>
        </w:rPr>
      </w:pPr>
    </w:p>
    <w:p w:rsidR="007E6227" w:rsidRPr="00D4328E" w:rsidRDefault="007E6227" w:rsidP="00D4328E">
      <w:pPr>
        <w:ind w:left="851"/>
        <w:rPr>
          <w:sz w:val="24"/>
          <w:szCs w:val="24"/>
          <w:u w:val="single"/>
        </w:rPr>
      </w:pPr>
      <w:r w:rsidRPr="00D4328E">
        <w:rPr>
          <w:sz w:val="24"/>
          <w:szCs w:val="24"/>
          <w:u w:val="single"/>
        </w:rPr>
        <w:t>Vedligeholdelse</w:t>
      </w:r>
    </w:p>
    <w:p w:rsidR="004B16A6" w:rsidRPr="004B16A6" w:rsidRDefault="004B16A6" w:rsidP="004B16A6">
      <w:pPr>
        <w:ind w:left="851"/>
        <w:rPr>
          <w:sz w:val="24"/>
          <w:szCs w:val="24"/>
        </w:rPr>
      </w:pPr>
      <w:r w:rsidRPr="004B16A6">
        <w:rPr>
          <w:sz w:val="24"/>
          <w:szCs w:val="24"/>
        </w:rPr>
        <w:t xml:space="preserve">Når anæstesi vedligeholdes ved trinvise injektioner vil dosis variere fra dyr til dyr. </w:t>
      </w:r>
    </w:p>
    <w:p w:rsidR="004B16A6" w:rsidRPr="004B16A6" w:rsidRDefault="004B16A6" w:rsidP="004B16A6">
      <w:pPr>
        <w:ind w:left="851"/>
        <w:rPr>
          <w:sz w:val="24"/>
          <w:szCs w:val="24"/>
        </w:rPr>
      </w:pPr>
      <w:r w:rsidRPr="004B16A6">
        <w:rPr>
          <w:sz w:val="24"/>
          <w:szCs w:val="24"/>
        </w:rPr>
        <w:t>Indgiv trinvise doser indtil der opnås effekt.</w:t>
      </w:r>
    </w:p>
    <w:p w:rsidR="004B16A6" w:rsidRPr="004B16A6" w:rsidRDefault="004B16A6" w:rsidP="004B16A6">
      <w:pPr>
        <w:ind w:left="851"/>
        <w:rPr>
          <w:sz w:val="24"/>
          <w:szCs w:val="24"/>
        </w:rPr>
      </w:pPr>
      <w:r w:rsidRPr="004B16A6">
        <w:rPr>
          <w:sz w:val="24"/>
          <w:szCs w:val="24"/>
        </w:rPr>
        <w:lastRenderedPageBreak/>
        <w:t>Doser på omkring 1 ml pr 4,0-8,0 kg legemsvægt vedligeholder anæstesi i op til 5 minutter.</w:t>
      </w:r>
    </w:p>
    <w:p w:rsidR="007E6227" w:rsidRPr="00D4328E" w:rsidRDefault="007E6227" w:rsidP="00D4328E">
      <w:pPr>
        <w:ind w:left="851"/>
        <w:rPr>
          <w:sz w:val="24"/>
          <w:szCs w:val="24"/>
        </w:rPr>
      </w:pPr>
    </w:p>
    <w:p w:rsidR="007E6227" w:rsidRPr="00D4328E" w:rsidRDefault="007E6227" w:rsidP="00D4328E">
      <w:pPr>
        <w:ind w:left="851" w:hanging="851"/>
        <w:rPr>
          <w:sz w:val="24"/>
          <w:szCs w:val="24"/>
        </w:rPr>
      </w:pPr>
    </w:p>
    <w:p w:rsidR="007E6227" w:rsidRPr="00D4328E" w:rsidRDefault="007E6227" w:rsidP="00D4328E">
      <w:pPr>
        <w:ind w:left="851"/>
        <w:rPr>
          <w:sz w:val="24"/>
          <w:szCs w:val="24"/>
          <w:u w:val="single"/>
        </w:rPr>
      </w:pPr>
      <w:r w:rsidRPr="00D4328E">
        <w:rPr>
          <w:sz w:val="24"/>
          <w:szCs w:val="24"/>
          <w:u w:val="single"/>
        </w:rPr>
        <w:t>Vedligeholdelse med inhalationsmidler</w:t>
      </w:r>
    </w:p>
    <w:p w:rsidR="007E6227" w:rsidRPr="00D4328E" w:rsidRDefault="007E6227" w:rsidP="00D4328E">
      <w:pPr>
        <w:ind w:left="851"/>
        <w:rPr>
          <w:sz w:val="24"/>
          <w:szCs w:val="24"/>
        </w:rPr>
      </w:pPr>
      <w:r w:rsidRPr="00D4328E">
        <w:rPr>
          <w:sz w:val="24"/>
          <w:szCs w:val="24"/>
        </w:rPr>
        <w:t xml:space="preserve">Når </w:t>
      </w:r>
      <w:proofErr w:type="spellStart"/>
      <w:r w:rsidRPr="00D4328E">
        <w:rPr>
          <w:sz w:val="24"/>
          <w:szCs w:val="24"/>
        </w:rPr>
        <w:t>inhalations</w:t>
      </w:r>
      <w:r w:rsidR="00BD3EB9">
        <w:rPr>
          <w:sz w:val="24"/>
          <w:szCs w:val="24"/>
        </w:rPr>
        <w:t>anæstetika</w:t>
      </w:r>
      <w:proofErr w:type="spellEnd"/>
      <w:r w:rsidRPr="00D4328E">
        <w:rPr>
          <w:sz w:val="24"/>
          <w:szCs w:val="24"/>
        </w:rPr>
        <w:t xml:space="preserve"> anvendes til vedligeholdelse af universel anæstesi, viser erfaringen, at det kan være nødvendigt at anvende en højere indledende koncentration af inhalationsmidlet end den, der almindeligvis er påkrævet efter induktion med barbiturater, som f.eks. </w:t>
      </w:r>
      <w:proofErr w:type="spellStart"/>
      <w:r w:rsidRPr="00D4328E">
        <w:rPr>
          <w:sz w:val="24"/>
          <w:szCs w:val="24"/>
        </w:rPr>
        <w:t>thiopental</w:t>
      </w:r>
      <w:proofErr w:type="spellEnd"/>
      <w:r w:rsidR="00BD3EB9">
        <w:rPr>
          <w:sz w:val="24"/>
          <w:szCs w:val="24"/>
        </w:rPr>
        <w:t>.</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Vedvarende og langvarig eksponering (over 30 minutter) kan medføre langsommere opvågning, især hos katte.</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4.10</w:t>
      </w:r>
      <w:r w:rsidRPr="00D4328E">
        <w:rPr>
          <w:b/>
          <w:sz w:val="24"/>
          <w:szCs w:val="24"/>
        </w:rPr>
        <w:tab/>
        <w:t>Overdosering</w:t>
      </w:r>
    </w:p>
    <w:p w:rsidR="007E6227" w:rsidRPr="00D4328E" w:rsidRDefault="007E6227" w:rsidP="00D4328E">
      <w:pPr>
        <w:ind w:left="851"/>
        <w:rPr>
          <w:sz w:val="24"/>
          <w:szCs w:val="24"/>
        </w:rPr>
      </w:pPr>
      <w:r w:rsidRPr="00D4328E">
        <w:rPr>
          <w:sz w:val="24"/>
          <w:szCs w:val="24"/>
        </w:rPr>
        <w:t xml:space="preserve">Overdosering ved hændeligt uheld vil sandsynligvis medføre </w:t>
      </w:r>
      <w:proofErr w:type="spellStart"/>
      <w:r w:rsidRPr="00D4328E">
        <w:rPr>
          <w:sz w:val="24"/>
          <w:szCs w:val="24"/>
        </w:rPr>
        <w:t>kardio</w:t>
      </w:r>
      <w:proofErr w:type="spellEnd"/>
      <w:r w:rsidRPr="00D4328E">
        <w:rPr>
          <w:sz w:val="24"/>
          <w:szCs w:val="24"/>
        </w:rPr>
        <w:t xml:space="preserve">-respiratorisk depression. Respiratorisk depression bør behandles med kunstig ventilation med ilt. </w:t>
      </w:r>
    </w:p>
    <w:p w:rsidR="007E6227" w:rsidRPr="00D4328E" w:rsidRDefault="007E6227" w:rsidP="00D4328E">
      <w:pPr>
        <w:ind w:left="851"/>
        <w:rPr>
          <w:sz w:val="24"/>
          <w:szCs w:val="24"/>
        </w:rPr>
      </w:pPr>
      <w:proofErr w:type="spellStart"/>
      <w:r w:rsidRPr="00D4328E">
        <w:rPr>
          <w:sz w:val="24"/>
          <w:szCs w:val="24"/>
        </w:rPr>
        <w:t>Kardiovaskulær</w:t>
      </w:r>
      <w:proofErr w:type="spellEnd"/>
      <w:r w:rsidRPr="00D4328E">
        <w:rPr>
          <w:sz w:val="24"/>
          <w:szCs w:val="24"/>
        </w:rPr>
        <w:t xml:space="preserve"> depression skal behandles med </w:t>
      </w:r>
      <w:r w:rsidR="00BD3EB9">
        <w:rPr>
          <w:sz w:val="24"/>
          <w:szCs w:val="24"/>
        </w:rPr>
        <w:t xml:space="preserve">plasma </w:t>
      </w:r>
      <w:proofErr w:type="spellStart"/>
      <w:r w:rsidR="00BD3EB9">
        <w:rPr>
          <w:sz w:val="24"/>
          <w:szCs w:val="24"/>
        </w:rPr>
        <w:t>expandere</w:t>
      </w:r>
      <w:proofErr w:type="spellEnd"/>
      <w:r w:rsidRPr="00D4328E">
        <w:rPr>
          <w:sz w:val="24"/>
          <w:szCs w:val="24"/>
        </w:rPr>
        <w:t xml:space="preserve"> og blodtryksøgende præparater.</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4.11</w:t>
      </w:r>
      <w:r w:rsidRPr="00D4328E">
        <w:rPr>
          <w:b/>
          <w:sz w:val="24"/>
          <w:szCs w:val="24"/>
        </w:rPr>
        <w:tab/>
        <w:t>Tilbageholdelsestid</w:t>
      </w:r>
    </w:p>
    <w:p w:rsidR="00FA66E4" w:rsidRPr="00D4328E" w:rsidRDefault="00FA66E4" w:rsidP="00D4328E">
      <w:pPr>
        <w:ind w:left="851" w:hanging="851"/>
        <w:rPr>
          <w:sz w:val="24"/>
          <w:szCs w:val="24"/>
        </w:rPr>
      </w:pPr>
      <w:r w:rsidRPr="00D4328E">
        <w:rPr>
          <w:sz w:val="24"/>
          <w:szCs w:val="24"/>
        </w:rPr>
        <w:tab/>
      </w:r>
      <w:r w:rsidR="007E6227" w:rsidRPr="00D4328E">
        <w:rPr>
          <w:sz w:val="24"/>
          <w:szCs w:val="24"/>
        </w:rPr>
        <w:t>Ikke relevant.</w:t>
      </w:r>
    </w:p>
    <w:p w:rsidR="00FA66E4" w:rsidRPr="00D4328E" w:rsidRDefault="00FA66E4" w:rsidP="00D4328E">
      <w:pPr>
        <w:pStyle w:val="Sidehoved"/>
        <w:tabs>
          <w:tab w:val="clear" w:pos="4819"/>
          <w:tab w:val="clear" w:pos="9638"/>
        </w:tabs>
        <w:ind w:left="851" w:hanging="851"/>
        <w:jc w:val="both"/>
        <w:rPr>
          <w:szCs w:val="24"/>
        </w:rPr>
      </w:pP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5.</w:t>
      </w:r>
      <w:r w:rsidRPr="00D4328E">
        <w:rPr>
          <w:b/>
          <w:sz w:val="24"/>
          <w:szCs w:val="24"/>
        </w:rPr>
        <w:tab/>
        <w:t>FARMAKOLOGISKE EGENSKABER</w:t>
      </w:r>
    </w:p>
    <w:p w:rsidR="007E6227" w:rsidRPr="00D4328E" w:rsidRDefault="007E6227" w:rsidP="00D4328E">
      <w:pPr>
        <w:ind w:left="851"/>
        <w:jc w:val="both"/>
        <w:rPr>
          <w:sz w:val="24"/>
          <w:szCs w:val="24"/>
        </w:rPr>
      </w:pPr>
      <w:proofErr w:type="spellStart"/>
      <w:r w:rsidRPr="00D4328E">
        <w:rPr>
          <w:sz w:val="24"/>
          <w:szCs w:val="24"/>
        </w:rPr>
        <w:t>Farmakoterapeutisk</w:t>
      </w:r>
      <w:proofErr w:type="spellEnd"/>
      <w:r w:rsidRPr="00D4328E">
        <w:rPr>
          <w:sz w:val="24"/>
          <w:szCs w:val="24"/>
        </w:rPr>
        <w:t xml:space="preserve"> klassifikation: Andre </w:t>
      </w:r>
      <w:r w:rsidR="00BD3EB9">
        <w:rPr>
          <w:sz w:val="24"/>
          <w:szCs w:val="24"/>
        </w:rPr>
        <w:t>generelle</w:t>
      </w:r>
      <w:r w:rsidRPr="00D4328E">
        <w:rPr>
          <w:sz w:val="24"/>
          <w:szCs w:val="24"/>
        </w:rPr>
        <w:t xml:space="preserve"> </w:t>
      </w:r>
      <w:proofErr w:type="spellStart"/>
      <w:r w:rsidRPr="00D4328E">
        <w:rPr>
          <w:sz w:val="24"/>
          <w:szCs w:val="24"/>
        </w:rPr>
        <w:t>anæstetika</w:t>
      </w:r>
      <w:proofErr w:type="spellEnd"/>
      <w:r w:rsidRPr="00D4328E">
        <w:rPr>
          <w:sz w:val="24"/>
          <w:szCs w:val="24"/>
        </w:rPr>
        <w:t xml:space="preserve">: </w:t>
      </w:r>
      <w:proofErr w:type="spellStart"/>
      <w:r w:rsidRPr="00D4328E">
        <w:rPr>
          <w:sz w:val="24"/>
          <w:szCs w:val="24"/>
        </w:rPr>
        <w:t>Propofol</w:t>
      </w:r>
      <w:proofErr w:type="spellEnd"/>
    </w:p>
    <w:p w:rsidR="007E6227" w:rsidRPr="00D4328E" w:rsidRDefault="007E6227" w:rsidP="00D4328E">
      <w:pPr>
        <w:ind w:left="851"/>
        <w:jc w:val="both"/>
        <w:rPr>
          <w:sz w:val="24"/>
          <w:szCs w:val="24"/>
        </w:rPr>
      </w:pPr>
      <w:proofErr w:type="spellStart"/>
      <w:r w:rsidRPr="00D4328E">
        <w:rPr>
          <w:sz w:val="24"/>
          <w:szCs w:val="24"/>
        </w:rPr>
        <w:t>ATCvet</w:t>
      </w:r>
      <w:proofErr w:type="spellEnd"/>
      <w:r w:rsidRPr="00D4328E">
        <w:rPr>
          <w:sz w:val="24"/>
          <w:szCs w:val="24"/>
        </w:rPr>
        <w:t xml:space="preserve"> kode: QN 01 AX 10</w:t>
      </w: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5.1</w:t>
      </w:r>
      <w:r w:rsidRPr="00D4328E">
        <w:rPr>
          <w:b/>
          <w:sz w:val="24"/>
          <w:szCs w:val="24"/>
        </w:rPr>
        <w:tab/>
      </w:r>
      <w:proofErr w:type="spellStart"/>
      <w:r w:rsidRPr="00D4328E">
        <w:rPr>
          <w:b/>
          <w:sz w:val="24"/>
          <w:szCs w:val="24"/>
        </w:rPr>
        <w:t>Farmakodynamiske</w:t>
      </w:r>
      <w:proofErr w:type="spellEnd"/>
      <w:r w:rsidRPr="00D4328E">
        <w:rPr>
          <w:b/>
          <w:sz w:val="24"/>
          <w:szCs w:val="24"/>
        </w:rPr>
        <w:t xml:space="preserve"> egenskaber</w:t>
      </w:r>
    </w:p>
    <w:p w:rsidR="004B16A6" w:rsidRPr="004B16A6" w:rsidRDefault="004B16A6" w:rsidP="004B16A6">
      <w:pPr>
        <w:ind w:left="851"/>
        <w:rPr>
          <w:sz w:val="24"/>
          <w:szCs w:val="24"/>
        </w:rPr>
      </w:pPr>
      <w:proofErr w:type="spellStart"/>
      <w:r w:rsidRPr="004B16A6">
        <w:rPr>
          <w:sz w:val="24"/>
          <w:szCs w:val="24"/>
        </w:rPr>
        <w:t>Propofol</w:t>
      </w:r>
      <w:proofErr w:type="spellEnd"/>
      <w:r w:rsidRPr="004B16A6">
        <w:rPr>
          <w:sz w:val="24"/>
          <w:szCs w:val="24"/>
        </w:rPr>
        <w:t xml:space="preserve"> (2,6-diisopropylphenol, </w:t>
      </w:r>
      <w:proofErr w:type="spellStart"/>
      <w:r w:rsidRPr="004B16A6">
        <w:rPr>
          <w:sz w:val="24"/>
          <w:szCs w:val="24"/>
        </w:rPr>
        <w:t>Diprivan</w:t>
      </w:r>
      <w:proofErr w:type="spellEnd"/>
      <w:r w:rsidRPr="004B16A6">
        <w:rPr>
          <w:sz w:val="24"/>
          <w:szCs w:val="24"/>
        </w:rPr>
        <w:t xml:space="preserve">; ICI 35868) er en non-barbiturat substitueret </w:t>
      </w:r>
      <w:proofErr w:type="spellStart"/>
      <w:r w:rsidRPr="004B16A6">
        <w:rPr>
          <w:sz w:val="24"/>
          <w:szCs w:val="24"/>
        </w:rPr>
        <w:t>isopropyl</w:t>
      </w:r>
      <w:proofErr w:type="spellEnd"/>
      <w:r w:rsidRPr="004B16A6">
        <w:rPr>
          <w:sz w:val="24"/>
          <w:szCs w:val="24"/>
        </w:rPr>
        <w:t xml:space="preserve"> </w:t>
      </w:r>
      <w:proofErr w:type="spellStart"/>
      <w:r w:rsidRPr="004B16A6">
        <w:rPr>
          <w:sz w:val="24"/>
          <w:szCs w:val="24"/>
        </w:rPr>
        <w:t>phenol</w:t>
      </w:r>
      <w:proofErr w:type="spellEnd"/>
      <w:r w:rsidRPr="004B16A6">
        <w:rPr>
          <w:sz w:val="24"/>
          <w:szCs w:val="24"/>
        </w:rPr>
        <w:t xml:space="preserve"> der anvendes til induktion og vedligeholdelse af anæstesi.</w:t>
      </w:r>
    </w:p>
    <w:p w:rsidR="007E6227" w:rsidRPr="00D4328E" w:rsidRDefault="004B16A6" w:rsidP="004B16A6">
      <w:pPr>
        <w:ind w:left="851"/>
        <w:rPr>
          <w:sz w:val="24"/>
          <w:szCs w:val="24"/>
        </w:rPr>
      </w:pPr>
      <w:proofErr w:type="spellStart"/>
      <w:r w:rsidRPr="004B16A6">
        <w:rPr>
          <w:sz w:val="24"/>
          <w:szCs w:val="24"/>
        </w:rPr>
        <w:t>Propofol</w:t>
      </w:r>
      <w:proofErr w:type="spellEnd"/>
      <w:r w:rsidRPr="004B16A6">
        <w:rPr>
          <w:sz w:val="24"/>
          <w:szCs w:val="24"/>
        </w:rPr>
        <w:t xml:space="preserve"> er et korttidsvirkende, generelt intravenøst </w:t>
      </w:r>
      <w:proofErr w:type="spellStart"/>
      <w:r w:rsidRPr="004B16A6">
        <w:rPr>
          <w:sz w:val="24"/>
          <w:szCs w:val="24"/>
        </w:rPr>
        <w:t>anæstetikum</w:t>
      </w:r>
      <w:proofErr w:type="spellEnd"/>
      <w:r w:rsidRPr="004B16A6">
        <w:rPr>
          <w:sz w:val="24"/>
          <w:szCs w:val="24"/>
        </w:rPr>
        <w:t xml:space="preserve"> beregnet til procedurer af kort varighed, som varer op til cirka 5 minutter. Opvågning er typisk hurtig.</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5.2</w:t>
      </w:r>
      <w:r w:rsidRPr="00D4328E">
        <w:rPr>
          <w:b/>
          <w:sz w:val="24"/>
          <w:szCs w:val="24"/>
        </w:rPr>
        <w:tab/>
      </w:r>
      <w:proofErr w:type="spellStart"/>
      <w:r w:rsidRPr="00D4328E">
        <w:rPr>
          <w:b/>
          <w:sz w:val="24"/>
          <w:szCs w:val="24"/>
        </w:rPr>
        <w:t>Farmakokinetiske</w:t>
      </w:r>
      <w:proofErr w:type="spellEnd"/>
      <w:r w:rsidRPr="00D4328E">
        <w:rPr>
          <w:b/>
          <w:sz w:val="24"/>
          <w:szCs w:val="24"/>
        </w:rPr>
        <w:t xml:space="preserve"> egenskaber</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 xml:space="preserve">Efter en enkelt </w:t>
      </w:r>
      <w:proofErr w:type="spellStart"/>
      <w:r w:rsidR="007E6227" w:rsidRPr="00D4328E">
        <w:rPr>
          <w:sz w:val="24"/>
          <w:szCs w:val="24"/>
        </w:rPr>
        <w:t>bolus</w:t>
      </w:r>
      <w:proofErr w:type="spellEnd"/>
      <w:r w:rsidR="007E6227" w:rsidRPr="00D4328E">
        <w:rPr>
          <w:sz w:val="24"/>
          <w:szCs w:val="24"/>
        </w:rPr>
        <w:t xml:space="preserve"> dosis, karakteriseres blodprofilen ved en hurtig distributionsfase og en hurtig eliminationsfase. Der er ikke observeret nogen akkumulation </w:t>
      </w:r>
      <w:r w:rsidR="00A96400">
        <w:rPr>
          <w:sz w:val="24"/>
          <w:szCs w:val="24"/>
        </w:rPr>
        <w:t>i blodet</w:t>
      </w:r>
      <w:r w:rsidR="007E6227" w:rsidRPr="00D4328E">
        <w:rPr>
          <w:sz w:val="24"/>
          <w:szCs w:val="24"/>
        </w:rPr>
        <w:t xml:space="preserve">, efter flere daglige doseringer. </w:t>
      </w:r>
      <w:proofErr w:type="spellStart"/>
      <w:r w:rsidR="007E6227" w:rsidRPr="00D4328E">
        <w:rPr>
          <w:sz w:val="24"/>
          <w:szCs w:val="24"/>
        </w:rPr>
        <w:t>Propofol</w:t>
      </w:r>
      <w:proofErr w:type="spellEnd"/>
      <w:r w:rsidR="007E6227" w:rsidRPr="00D4328E">
        <w:rPr>
          <w:sz w:val="24"/>
          <w:szCs w:val="24"/>
        </w:rPr>
        <w:t xml:space="preserve"> </w:t>
      </w:r>
      <w:proofErr w:type="spellStart"/>
      <w:r w:rsidR="007E6227" w:rsidRPr="00D4328E">
        <w:rPr>
          <w:sz w:val="24"/>
          <w:szCs w:val="24"/>
        </w:rPr>
        <w:t>metaboliseres</w:t>
      </w:r>
      <w:proofErr w:type="spellEnd"/>
      <w:r w:rsidR="007E6227" w:rsidRPr="00D4328E">
        <w:rPr>
          <w:sz w:val="24"/>
          <w:szCs w:val="24"/>
        </w:rPr>
        <w:t xml:space="preserve"> i leveren. </w:t>
      </w:r>
      <w:proofErr w:type="spellStart"/>
      <w:r w:rsidR="007E6227" w:rsidRPr="00D4328E">
        <w:rPr>
          <w:sz w:val="24"/>
          <w:szCs w:val="24"/>
        </w:rPr>
        <w:t>Metabolitterne</w:t>
      </w:r>
      <w:proofErr w:type="spellEnd"/>
      <w:r w:rsidR="007E6227" w:rsidRPr="00D4328E">
        <w:rPr>
          <w:sz w:val="24"/>
          <w:szCs w:val="24"/>
        </w:rPr>
        <w:t xml:space="preserve"> udskilles primært i urinen.</w:t>
      </w:r>
    </w:p>
    <w:p w:rsidR="007E6227" w:rsidRPr="00D4328E" w:rsidRDefault="007E6227" w:rsidP="00D4328E">
      <w:pPr>
        <w:ind w:left="851" w:hanging="851"/>
        <w:rPr>
          <w:b/>
          <w:sz w:val="24"/>
          <w:szCs w:val="24"/>
        </w:rPr>
      </w:pPr>
    </w:p>
    <w:p w:rsidR="00FA66E4" w:rsidRDefault="004B16A6" w:rsidP="00D4328E">
      <w:pPr>
        <w:ind w:left="851" w:hanging="851"/>
        <w:rPr>
          <w:sz w:val="24"/>
          <w:szCs w:val="24"/>
        </w:rPr>
      </w:pPr>
      <w:r>
        <w:rPr>
          <w:sz w:val="24"/>
          <w:szCs w:val="24"/>
        </w:rPr>
        <w:tab/>
      </w:r>
      <w:r w:rsidRPr="004B16A6">
        <w:rPr>
          <w:sz w:val="24"/>
          <w:szCs w:val="24"/>
        </w:rPr>
        <w:t xml:space="preserve">Efter intravenøs administration til hunde med en dosis på 6,5 mg </w:t>
      </w:r>
      <w:proofErr w:type="spellStart"/>
      <w:r w:rsidRPr="004B16A6">
        <w:rPr>
          <w:sz w:val="24"/>
          <w:szCs w:val="24"/>
        </w:rPr>
        <w:t>propofol</w:t>
      </w:r>
      <w:proofErr w:type="spellEnd"/>
      <w:r w:rsidRPr="004B16A6">
        <w:rPr>
          <w:sz w:val="24"/>
          <w:szCs w:val="24"/>
        </w:rPr>
        <w:t xml:space="preserve"> per kg legemsvægt givet en gang, blev følgende observeret: </w:t>
      </w:r>
      <w:proofErr w:type="spellStart"/>
      <w:r w:rsidRPr="004B16A6">
        <w:rPr>
          <w:sz w:val="24"/>
          <w:szCs w:val="24"/>
        </w:rPr>
        <w:t>Cmax</w:t>
      </w:r>
      <w:proofErr w:type="spellEnd"/>
      <w:r w:rsidRPr="004B16A6">
        <w:rPr>
          <w:sz w:val="24"/>
          <w:szCs w:val="24"/>
        </w:rPr>
        <w:t xml:space="preserve">: 6,20 </w:t>
      </w:r>
      <w:r w:rsidRPr="004B16A6">
        <w:rPr>
          <w:sz w:val="24"/>
          <w:szCs w:val="24"/>
          <w:u w:val="single"/>
        </w:rPr>
        <w:t>+</w:t>
      </w:r>
      <w:r w:rsidRPr="004B16A6">
        <w:rPr>
          <w:sz w:val="24"/>
          <w:szCs w:val="24"/>
        </w:rPr>
        <w:t xml:space="preserve"> 0,602 </w:t>
      </w:r>
      <w:r w:rsidRPr="004B16A6">
        <w:rPr>
          <w:sz w:val="24"/>
          <w:szCs w:val="24"/>
        </w:rPr>
        <w:sym w:font="Symbol" w:char="006D"/>
      </w:r>
      <w:r w:rsidRPr="004B16A6">
        <w:rPr>
          <w:sz w:val="24"/>
          <w:szCs w:val="24"/>
        </w:rPr>
        <w:t>g/ml, distributionsvolumen: 0,938</w:t>
      </w:r>
      <w:r w:rsidRPr="004B16A6">
        <w:rPr>
          <w:sz w:val="24"/>
          <w:szCs w:val="24"/>
          <w:u w:val="single"/>
        </w:rPr>
        <w:t>+</w:t>
      </w:r>
      <w:r w:rsidRPr="004B16A6">
        <w:rPr>
          <w:sz w:val="24"/>
          <w:szCs w:val="24"/>
        </w:rPr>
        <w:t xml:space="preserve"> 0,0896 L/kg, T½(</w:t>
      </w:r>
      <w:proofErr w:type="spellStart"/>
      <w:r w:rsidRPr="004B16A6">
        <w:rPr>
          <w:sz w:val="24"/>
          <w:szCs w:val="24"/>
        </w:rPr>
        <w:t>alpha</w:t>
      </w:r>
      <w:proofErr w:type="spellEnd"/>
      <w:r w:rsidRPr="004B16A6">
        <w:rPr>
          <w:sz w:val="24"/>
          <w:szCs w:val="24"/>
        </w:rPr>
        <w:t>): 1,61</w:t>
      </w:r>
      <w:r w:rsidRPr="004B16A6">
        <w:rPr>
          <w:sz w:val="24"/>
          <w:szCs w:val="24"/>
          <w:u w:val="single"/>
        </w:rPr>
        <w:t>+</w:t>
      </w:r>
      <w:r w:rsidRPr="004B16A6">
        <w:rPr>
          <w:sz w:val="24"/>
          <w:szCs w:val="24"/>
        </w:rPr>
        <w:t xml:space="preserve"> 0,239 minutter og T½(beta): 29,5 </w:t>
      </w:r>
      <w:r w:rsidRPr="004B16A6">
        <w:rPr>
          <w:sz w:val="24"/>
          <w:szCs w:val="24"/>
          <w:u w:val="single"/>
        </w:rPr>
        <w:t>+</w:t>
      </w:r>
      <w:r w:rsidRPr="004B16A6">
        <w:rPr>
          <w:sz w:val="24"/>
          <w:szCs w:val="24"/>
        </w:rPr>
        <w:t xml:space="preserve"> 7,06 minutter.</w:t>
      </w:r>
    </w:p>
    <w:p w:rsidR="004B16A6" w:rsidRPr="00D4328E" w:rsidRDefault="004B16A6"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5.3</w:t>
      </w:r>
      <w:r w:rsidRPr="00D4328E">
        <w:rPr>
          <w:b/>
          <w:sz w:val="24"/>
          <w:szCs w:val="24"/>
        </w:rPr>
        <w:tab/>
        <w:t>Miljømæssige forhold</w:t>
      </w:r>
    </w:p>
    <w:p w:rsidR="00FA66E4" w:rsidRPr="00D4328E" w:rsidRDefault="00FA66E4" w:rsidP="00D4328E">
      <w:pPr>
        <w:ind w:left="851" w:hanging="851"/>
        <w:rPr>
          <w:sz w:val="24"/>
          <w:szCs w:val="24"/>
        </w:rPr>
      </w:pPr>
      <w:r w:rsidRPr="00D4328E">
        <w:rPr>
          <w:sz w:val="24"/>
          <w:szCs w:val="24"/>
        </w:rPr>
        <w:tab/>
      </w:r>
      <w:r w:rsidR="007E6227" w:rsidRPr="00D4328E">
        <w:rPr>
          <w:sz w:val="24"/>
          <w:szCs w:val="24"/>
        </w:rPr>
        <w:t>-</w:t>
      </w:r>
    </w:p>
    <w:p w:rsidR="00F55CE3" w:rsidRPr="00D4328E" w:rsidRDefault="00F55CE3" w:rsidP="00D4328E">
      <w:pPr>
        <w:ind w:left="851" w:hanging="851"/>
        <w:rPr>
          <w:sz w:val="24"/>
          <w:szCs w:val="24"/>
        </w:rPr>
      </w:pPr>
    </w:p>
    <w:p w:rsidR="00FA66E4" w:rsidRPr="00D4328E" w:rsidRDefault="00FA66E4" w:rsidP="00D4328E">
      <w:pPr>
        <w:ind w:left="851" w:hanging="851"/>
        <w:jc w:val="both"/>
        <w:rPr>
          <w:sz w:val="24"/>
          <w:szCs w:val="24"/>
        </w:rPr>
      </w:pPr>
    </w:p>
    <w:p w:rsidR="00FA66E4" w:rsidRPr="00D4328E" w:rsidRDefault="00FA66E4" w:rsidP="00D4328E">
      <w:pPr>
        <w:ind w:left="851" w:hanging="851"/>
        <w:rPr>
          <w:b/>
          <w:sz w:val="24"/>
          <w:szCs w:val="24"/>
        </w:rPr>
      </w:pPr>
      <w:r w:rsidRPr="00D4328E">
        <w:rPr>
          <w:b/>
          <w:sz w:val="24"/>
          <w:szCs w:val="24"/>
        </w:rPr>
        <w:t>6.</w:t>
      </w:r>
      <w:r w:rsidRPr="00D4328E">
        <w:rPr>
          <w:b/>
          <w:sz w:val="24"/>
          <w:szCs w:val="24"/>
        </w:rPr>
        <w:tab/>
        <w:t>FARMACEUTISKE OPLYSNINGER</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6.1</w:t>
      </w:r>
      <w:r w:rsidRPr="00D4328E">
        <w:rPr>
          <w:b/>
          <w:sz w:val="24"/>
          <w:szCs w:val="24"/>
        </w:rPr>
        <w:tab/>
        <w:t>Hjælpestoffer</w:t>
      </w:r>
    </w:p>
    <w:p w:rsidR="007E6227" w:rsidRPr="00D4328E" w:rsidRDefault="00FA66E4" w:rsidP="00D4328E">
      <w:pPr>
        <w:ind w:left="851" w:hanging="851"/>
        <w:rPr>
          <w:bCs/>
          <w:sz w:val="24"/>
          <w:szCs w:val="24"/>
        </w:rPr>
      </w:pPr>
      <w:r w:rsidRPr="00D4328E">
        <w:rPr>
          <w:sz w:val="24"/>
          <w:szCs w:val="24"/>
        </w:rPr>
        <w:tab/>
      </w:r>
      <w:proofErr w:type="spellStart"/>
      <w:r w:rsidR="007E6227" w:rsidRPr="00D4328E">
        <w:rPr>
          <w:bCs/>
          <w:sz w:val="24"/>
          <w:szCs w:val="24"/>
        </w:rPr>
        <w:t>Lecithin</w:t>
      </w:r>
      <w:proofErr w:type="spellEnd"/>
      <w:r w:rsidR="007E6227" w:rsidRPr="00D4328E">
        <w:rPr>
          <w:bCs/>
          <w:sz w:val="24"/>
          <w:szCs w:val="24"/>
        </w:rPr>
        <w:t xml:space="preserve"> (æg)</w:t>
      </w:r>
    </w:p>
    <w:p w:rsidR="007E6227" w:rsidRPr="00D4328E" w:rsidRDefault="007E6227" w:rsidP="00D4328E">
      <w:pPr>
        <w:ind w:left="851"/>
        <w:rPr>
          <w:bCs/>
          <w:sz w:val="24"/>
          <w:szCs w:val="24"/>
        </w:rPr>
      </w:pPr>
      <w:r w:rsidRPr="00D4328E">
        <w:rPr>
          <w:bCs/>
          <w:sz w:val="24"/>
          <w:szCs w:val="24"/>
        </w:rPr>
        <w:t xml:space="preserve">Glycerol </w:t>
      </w:r>
    </w:p>
    <w:p w:rsidR="007E6227" w:rsidRPr="00D4328E" w:rsidRDefault="007E6227" w:rsidP="00D4328E">
      <w:pPr>
        <w:ind w:left="851"/>
        <w:rPr>
          <w:bCs/>
          <w:sz w:val="24"/>
          <w:szCs w:val="24"/>
        </w:rPr>
      </w:pPr>
      <w:r w:rsidRPr="00D4328E">
        <w:rPr>
          <w:bCs/>
          <w:sz w:val="24"/>
          <w:szCs w:val="24"/>
        </w:rPr>
        <w:t>Sojaolie, r</w:t>
      </w:r>
      <w:r w:rsidR="00A96400">
        <w:rPr>
          <w:bCs/>
          <w:sz w:val="24"/>
          <w:szCs w:val="24"/>
        </w:rPr>
        <w:t>enset</w:t>
      </w:r>
    </w:p>
    <w:p w:rsidR="007E6227" w:rsidRPr="00D4328E" w:rsidRDefault="007E6227" w:rsidP="00D4328E">
      <w:pPr>
        <w:ind w:left="851"/>
        <w:rPr>
          <w:bCs/>
          <w:sz w:val="24"/>
          <w:szCs w:val="24"/>
        </w:rPr>
      </w:pPr>
      <w:r w:rsidRPr="00D4328E">
        <w:rPr>
          <w:bCs/>
          <w:sz w:val="24"/>
          <w:szCs w:val="24"/>
        </w:rPr>
        <w:t xml:space="preserve">Natriumhydroxid </w:t>
      </w:r>
    </w:p>
    <w:p w:rsidR="007E6227" w:rsidRPr="00D4328E" w:rsidRDefault="007E6227" w:rsidP="00D4328E">
      <w:pPr>
        <w:ind w:left="851"/>
        <w:rPr>
          <w:bCs/>
          <w:sz w:val="24"/>
          <w:szCs w:val="24"/>
        </w:rPr>
      </w:pPr>
      <w:r w:rsidRPr="00D4328E">
        <w:rPr>
          <w:bCs/>
          <w:sz w:val="24"/>
          <w:szCs w:val="24"/>
        </w:rPr>
        <w:t>Vand til injektion</w:t>
      </w:r>
      <w:r w:rsidR="00A96400">
        <w:rPr>
          <w:bCs/>
          <w:sz w:val="24"/>
          <w:szCs w:val="24"/>
        </w:rPr>
        <w:t>svæsker</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6.2</w:t>
      </w:r>
      <w:r w:rsidRPr="00D4328E">
        <w:rPr>
          <w:b/>
          <w:sz w:val="24"/>
          <w:szCs w:val="24"/>
        </w:rPr>
        <w:tab/>
        <w:t>Uforligeligheder</w:t>
      </w:r>
    </w:p>
    <w:p w:rsidR="007E6227" w:rsidRDefault="00FA66E4" w:rsidP="00D4328E">
      <w:pPr>
        <w:ind w:left="851" w:hanging="851"/>
        <w:rPr>
          <w:sz w:val="24"/>
          <w:szCs w:val="24"/>
        </w:rPr>
      </w:pPr>
      <w:r w:rsidRPr="00D4328E">
        <w:rPr>
          <w:sz w:val="24"/>
          <w:szCs w:val="24"/>
        </w:rPr>
        <w:tab/>
      </w:r>
      <w:r w:rsidR="007E6227" w:rsidRPr="00D4328E">
        <w:rPr>
          <w:sz w:val="24"/>
          <w:szCs w:val="24"/>
        </w:rPr>
        <w:t>Dette lægemiddel bør ikke blandes med andre præparater.</w:t>
      </w:r>
    </w:p>
    <w:p w:rsidR="007F0F2E" w:rsidRPr="00D4328E" w:rsidRDefault="007F0F2E" w:rsidP="007F0F2E">
      <w:pPr>
        <w:ind w:left="851"/>
        <w:rPr>
          <w:sz w:val="24"/>
          <w:szCs w:val="24"/>
        </w:rPr>
      </w:pPr>
      <w:r>
        <w:rPr>
          <w:sz w:val="24"/>
          <w:szCs w:val="24"/>
        </w:rPr>
        <w:t>Emulsionen bør ikke blandes med andre stoffer eller infusionsvæsker før administration.</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6.3</w:t>
      </w:r>
      <w:r w:rsidRPr="00D4328E">
        <w:rPr>
          <w:b/>
          <w:sz w:val="24"/>
          <w:szCs w:val="24"/>
        </w:rPr>
        <w:tab/>
        <w:t>Opbevaringstid</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I salgspakning: 2 år</w:t>
      </w:r>
      <w:r w:rsidR="00FD424F">
        <w:rPr>
          <w:sz w:val="24"/>
          <w:szCs w:val="24"/>
        </w:rPr>
        <w:t>.</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Udtaget lægemiddel anvendes omgående. Res</w:t>
      </w:r>
      <w:r w:rsidR="00D4328E">
        <w:rPr>
          <w:sz w:val="24"/>
          <w:szCs w:val="24"/>
        </w:rPr>
        <w:t xml:space="preserve">terende lægemiddel </w:t>
      </w:r>
      <w:r w:rsidR="007F0F2E">
        <w:rPr>
          <w:sz w:val="24"/>
          <w:szCs w:val="24"/>
        </w:rPr>
        <w:t xml:space="preserve">i hætteglasset </w:t>
      </w:r>
      <w:r w:rsidR="00D4328E">
        <w:rPr>
          <w:sz w:val="24"/>
          <w:szCs w:val="24"/>
        </w:rPr>
        <w:t>bortskaffes.</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6.4</w:t>
      </w:r>
      <w:r w:rsidRPr="00D4328E">
        <w:rPr>
          <w:b/>
          <w:sz w:val="24"/>
          <w:szCs w:val="24"/>
        </w:rPr>
        <w:tab/>
        <w:t>Særlige opbevaringsforhold</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Må ikke opbevares over 25 °C.</w:t>
      </w:r>
    </w:p>
    <w:p w:rsidR="007E6227" w:rsidRPr="00D4328E" w:rsidRDefault="007E6227" w:rsidP="00D4328E">
      <w:pPr>
        <w:ind w:left="851"/>
        <w:rPr>
          <w:sz w:val="24"/>
          <w:szCs w:val="24"/>
        </w:rPr>
      </w:pPr>
      <w:r w:rsidRPr="00D4328E">
        <w:rPr>
          <w:sz w:val="24"/>
          <w:szCs w:val="24"/>
        </w:rPr>
        <w:t>Må ikke nedfryses.</w:t>
      </w:r>
    </w:p>
    <w:p w:rsidR="007E6227" w:rsidRPr="00D4328E" w:rsidRDefault="007E6227" w:rsidP="00D4328E">
      <w:pPr>
        <w:ind w:left="851"/>
        <w:rPr>
          <w:sz w:val="24"/>
          <w:szCs w:val="24"/>
        </w:rPr>
      </w:pPr>
      <w:r w:rsidRPr="00D4328E">
        <w:rPr>
          <w:sz w:val="24"/>
          <w:szCs w:val="24"/>
        </w:rPr>
        <w:t>Hætteglasset opbevares i den ydre karton for at beskytte mod lys.</w:t>
      </w:r>
    </w:p>
    <w:p w:rsidR="007E6227" w:rsidRDefault="007E6227" w:rsidP="00D4328E">
      <w:pPr>
        <w:ind w:left="851"/>
        <w:rPr>
          <w:sz w:val="24"/>
          <w:szCs w:val="24"/>
        </w:rPr>
      </w:pPr>
      <w:r w:rsidRPr="00D4328E">
        <w:rPr>
          <w:sz w:val="24"/>
          <w:szCs w:val="24"/>
        </w:rPr>
        <w:t>Hætteglas opbevares opretstående.</w:t>
      </w:r>
    </w:p>
    <w:p w:rsidR="004B16A6" w:rsidRPr="004B16A6" w:rsidRDefault="004B16A6" w:rsidP="004B16A6">
      <w:pPr>
        <w:ind w:left="851"/>
        <w:rPr>
          <w:sz w:val="24"/>
          <w:szCs w:val="24"/>
        </w:rPr>
      </w:pPr>
      <w:r w:rsidRPr="004B16A6">
        <w:rPr>
          <w:sz w:val="24"/>
          <w:szCs w:val="24"/>
        </w:rPr>
        <w:t>Undgå kontaminering.</w:t>
      </w:r>
    </w:p>
    <w:p w:rsidR="004B16A6" w:rsidRPr="00D4328E" w:rsidRDefault="004B16A6" w:rsidP="00D4328E">
      <w:pPr>
        <w:ind w:left="851"/>
        <w:rPr>
          <w:sz w:val="24"/>
          <w:szCs w:val="24"/>
        </w:rPr>
      </w:pPr>
    </w:p>
    <w:p w:rsidR="00FA66E4" w:rsidRPr="00D4328E" w:rsidRDefault="00FA66E4" w:rsidP="00D4328E">
      <w:pPr>
        <w:ind w:left="851" w:hanging="851"/>
        <w:rPr>
          <w:b/>
          <w:sz w:val="24"/>
          <w:szCs w:val="24"/>
        </w:rPr>
      </w:pPr>
      <w:r w:rsidRPr="00D4328E">
        <w:rPr>
          <w:b/>
          <w:sz w:val="24"/>
          <w:szCs w:val="24"/>
        </w:rPr>
        <w:t>6.5</w:t>
      </w:r>
      <w:r w:rsidRPr="00D4328E">
        <w:rPr>
          <w:b/>
          <w:sz w:val="24"/>
          <w:szCs w:val="24"/>
        </w:rPr>
        <w:tab/>
        <w:t>Emballage</w:t>
      </w:r>
    </w:p>
    <w:p w:rsidR="00301F61" w:rsidRPr="00D4328E" w:rsidRDefault="00FA66E4" w:rsidP="00301F61">
      <w:pPr>
        <w:ind w:left="851" w:hanging="851"/>
        <w:rPr>
          <w:sz w:val="24"/>
          <w:szCs w:val="24"/>
        </w:rPr>
      </w:pPr>
      <w:r w:rsidRPr="00D4328E">
        <w:rPr>
          <w:sz w:val="24"/>
          <w:szCs w:val="24"/>
        </w:rPr>
        <w:tab/>
      </w:r>
      <w:r w:rsidR="007E6227" w:rsidRPr="00D4328E">
        <w:rPr>
          <w:sz w:val="24"/>
          <w:szCs w:val="24"/>
        </w:rPr>
        <w:t xml:space="preserve">20 ml og 50 ml hætteglas (Type I klart glas) med </w:t>
      </w:r>
      <w:proofErr w:type="spellStart"/>
      <w:r w:rsidR="007E6227" w:rsidRPr="00D4328E">
        <w:rPr>
          <w:sz w:val="24"/>
          <w:szCs w:val="24"/>
        </w:rPr>
        <w:t>bromobutyl</w:t>
      </w:r>
      <w:proofErr w:type="spellEnd"/>
      <w:r w:rsidR="007E6227" w:rsidRPr="00D4328E">
        <w:rPr>
          <w:sz w:val="24"/>
          <w:szCs w:val="24"/>
        </w:rPr>
        <w:t xml:space="preserve"> gummiprop </w:t>
      </w:r>
      <w:r w:rsidR="007F0F2E">
        <w:rPr>
          <w:sz w:val="24"/>
          <w:szCs w:val="24"/>
        </w:rPr>
        <w:t xml:space="preserve">og </w:t>
      </w:r>
      <w:r w:rsidR="007E6227" w:rsidRPr="00D4328E">
        <w:rPr>
          <w:sz w:val="24"/>
          <w:szCs w:val="24"/>
        </w:rPr>
        <w:t>aluminiumsforseglinger.</w:t>
      </w:r>
      <w:r w:rsidR="00301F61">
        <w:rPr>
          <w:sz w:val="24"/>
          <w:szCs w:val="24"/>
        </w:rPr>
        <w:br/>
        <w:t>Fås i kartoner på 1 x 20 ml, 1 x 50 ml, 5 x 20 ml og 5 x 50 ml.</w:t>
      </w:r>
    </w:p>
    <w:p w:rsidR="007E6227" w:rsidRPr="00D4328E" w:rsidRDefault="007E6227" w:rsidP="00D4328E">
      <w:pPr>
        <w:ind w:left="851" w:hanging="851"/>
        <w:rPr>
          <w:sz w:val="24"/>
          <w:szCs w:val="24"/>
        </w:rPr>
      </w:pPr>
    </w:p>
    <w:p w:rsidR="007E6227" w:rsidRPr="00D4328E" w:rsidRDefault="007E6227" w:rsidP="00D4328E">
      <w:pPr>
        <w:ind w:left="851"/>
        <w:rPr>
          <w:sz w:val="24"/>
          <w:szCs w:val="24"/>
        </w:rPr>
      </w:pPr>
      <w:r w:rsidRPr="00D4328E">
        <w:rPr>
          <w:sz w:val="24"/>
          <w:szCs w:val="24"/>
        </w:rPr>
        <w:t>Ikke alle pakningsstørrelser er nødvendigvis markedsført</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6.6</w:t>
      </w:r>
      <w:r w:rsidRPr="00D4328E">
        <w:rPr>
          <w:b/>
          <w:sz w:val="24"/>
          <w:szCs w:val="24"/>
        </w:rPr>
        <w:tab/>
        <w:t>Særlige forholdsregler ved bortskaffelse af rester af lægemidlet eller affald</w:t>
      </w:r>
    </w:p>
    <w:p w:rsidR="007E6227" w:rsidRPr="00D4328E" w:rsidRDefault="00FA66E4" w:rsidP="00D4328E">
      <w:pPr>
        <w:ind w:left="851" w:hanging="851"/>
        <w:rPr>
          <w:sz w:val="24"/>
          <w:szCs w:val="24"/>
        </w:rPr>
      </w:pPr>
      <w:r w:rsidRPr="00D4328E">
        <w:rPr>
          <w:sz w:val="24"/>
          <w:szCs w:val="24"/>
        </w:rPr>
        <w:tab/>
      </w:r>
      <w:r w:rsidR="007E6227" w:rsidRPr="00D4328E">
        <w:rPr>
          <w:sz w:val="24"/>
          <w:szCs w:val="24"/>
        </w:rPr>
        <w:t xml:space="preserve">Ikke anvendte veterinære lægemidler, samt affald heraf bør destrueres i henhold til lokale </w:t>
      </w:r>
      <w:proofErr w:type="spellStart"/>
      <w:r w:rsidR="007E6227" w:rsidRPr="00D4328E">
        <w:rPr>
          <w:sz w:val="24"/>
          <w:szCs w:val="24"/>
        </w:rPr>
        <w:t>retningslinier</w:t>
      </w:r>
      <w:proofErr w:type="spellEnd"/>
      <w:r w:rsidR="007E6227" w:rsidRPr="00D4328E">
        <w:rPr>
          <w:sz w:val="24"/>
          <w:szCs w:val="24"/>
        </w:rPr>
        <w:t>.</w:t>
      </w:r>
    </w:p>
    <w:p w:rsidR="00FA66E4" w:rsidRPr="00D4328E" w:rsidRDefault="00FA66E4" w:rsidP="00D4328E">
      <w:pPr>
        <w:ind w:left="851" w:hanging="851"/>
        <w:rPr>
          <w:b/>
          <w:sz w:val="24"/>
          <w:szCs w:val="24"/>
        </w:rPr>
      </w:pPr>
    </w:p>
    <w:p w:rsidR="00FA66E4" w:rsidRPr="00D4328E" w:rsidRDefault="00FA66E4" w:rsidP="00D4328E">
      <w:pPr>
        <w:ind w:left="851" w:hanging="851"/>
        <w:rPr>
          <w:b/>
          <w:sz w:val="24"/>
          <w:szCs w:val="24"/>
        </w:rPr>
      </w:pPr>
      <w:r w:rsidRPr="00D4328E">
        <w:rPr>
          <w:b/>
          <w:sz w:val="24"/>
          <w:szCs w:val="24"/>
        </w:rPr>
        <w:t>7.</w:t>
      </w:r>
      <w:r w:rsidRPr="00D4328E">
        <w:rPr>
          <w:b/>
          <w:sz w:val="24"/>
          <w:szCs w:val="24"/>
        </w:rPr>
        <w:tab/>
        <w:t>INDEHAVER AF MARKEDSFØRINGSTILLADELSEN</w:t>
      </w:r>
    </w:p>
    <w:p w:rsidR="0054005D" w:rsidRPr="00D52275" w:rsidRDefault="0054005D" w:rsidP="0054005D">
      <w:pPr>
        <w:tabs>
          <w:tab w:val="left" w:pos="851"/>
          <w:tab w:val="left" w:pos="8222"/>
        </w:tabs>
        <w:spacing w:line="240" w:lineRule="atLeast"/>
        <w:ind w:left="851"/>
        <w:rPr>
          <w:sz w:val="24"/>
          <w:szCs w:val="24"/>
          <w:lang w:val="en-US"/>
        </w:rPr>
      </w:pPr>
      <w:proofErr w:type="spellStart"/>
      <w:r w:rsidRPr="00D52275">
        <w:rPr>
          <w:sz w:val="24"/>
          <w:szCs w:val="24"/>
          <w:lang w:val="en-US"/>
        </w:rPr>
        <w:t>Norbrook</w:t>
      </w:r>
      <w:proofErr w:type="spellEnd"/>
      <w:r w:rsidRPr="00D52275">
        <w:rPr>
          <w:sz w:val="24"/>
          <w:szCs w:val="24"/>
          <w:lang w:val="en-US"/>
        </w:rPr>
        <w:t xml:space="preserve"> Laboratories (Ireland) Limited</w:t>
      </w:r>
      <w:r w:rsidRPr="00D52275">
        <w:rPr>
          <w:sz w:val="24"/>
          <w:szCs w:val="24"/>
          <w:lang w:val="en-US"/>
        </w:rPr>
        <w:br/>
      </w:r>
      <w:proofErr w:type="spellStart"/>
      <w:r w:rsidRPr="00D52275">
        <w:rPr>
          <w:sz w:val="24"/>
          <w:szCs w:val="24"/>
          <w:lang w:val="en-US"/>
        </w:rPr>
        <w:t>Rossmore</w:t>
      </w:r>
      <w:proofErr w:type="spellEnd"/>
      <w:r w:rsidRPr="00D52275">
        <w:rPr>
          <w:sz w:val="24"/>
          <w:szCs w:val="24"/>
          <w:lang w:val="en-US"/>
        </w:rPr>
        <w:t xml:space="preserve"> Industrial Estate</w:t>
      </w:r>
      <w:r w:rsidRPr="00D52275">
        <w:rPr>
          <w:sz w:val="24"/>
          <w:szCs w:val="24"/>
          <w:lang w:val="en-US"/>
        </w:rPr>
        <w:br/>
        <w:t>Monaghan</w:t>
      </w:r>
      <w:r w:rsidRPr="00D52275">
        <w:rPr>
          <w:sz w:val="24"/>
          <w:szCs w:val="24"/>
          <w:lang w:val="en-US"/>
        </w:rPr>
        <w:br/>
      </w:r>
      <w:proofErr w:type="spellStart"/>
      <w:r w:rsidRPr="00D52275">
        <w:rPr>
          <w:sz w:val="24"/>
          <w:szCs w:val="24"/>
          <w:lang w:val="en-US"/>
        </w:rPr>
        <w:t>Irland</w:t>
      </w:r>
      <w:proofErr w:type="spellEnd"/>
    </w:p>
    <w:p w:rsidR="007E6227" w:rsidRPr="00D4328E" w:rsidRDefault="007E6227" w:rsidP="0054005D">
      <w:pPr>
        <w:rPr>
          <w:sz w:val="24"/>
          <w:szCs w:val="24"/>
          <w:u w:val="single"/>
          <w:lang w:val="en-US"/>
        </w:rPr>
      </w:pPr>
    </w:p>
    <w:p w:rsidR="007E6227" w:rsidRPr="0054005D" w:rsidRDefault="007F0F2E" w:rsidP="00D4328E">
      <w:pPr>
        <w:ind w:left="851"/>
        <w:rPr>
          <w:b/>
          <w:sz w:val="24"/>
          <w:szCs w:val="24"/>
          <w:lang w:val="en-US"/>
        </w:rPr>
      </w:pPr>
      <w:proofErr w:type="spellStart"/>
      <w:r w:rsidRPr="0054005D">
        <w:rPr>
          <w:b/>
          <w:sz w:val="24"/>
          <w:szCs w:val="24"/>
          <w:lang w:val="en-US"/>
        </w:rPr>
        <w:t>Repræsentant</w:t>
      </w:r>
      <w:proofErr w:type="spellEnd"/>
    </w:p>
    <w:p w:rsidR="007E6227" w:rsidRPr="00D4328E" w:rsidRDefault="007E6227" w:rsidP="00D4328E">
      <w:pPr>
        <w:ind w:left="851"/>
        <w:rPr>
          <w:sz w:val="24"/>
          <w:szCs w:val="24"/>
          <w:lang w:val="en-US"/>
        </w:rPr>
      </w:pPr>
      <w:proofErr w:type="spellStart"/>
      <w:r w:rsidRPr="00D4328E">
        <w:rPr>
          <w:sz w:val="24"/>
          <w:szCs w:val="24"/>
          <w:lang w:val="en-US"/>
        </w:rPr>
        <w:t>ScanVet</w:t>
      </w:r>
      <w:proofErr w:type="spellEnd"/>
      <w:r w:rsidRPr="00D4328E">
        <w:rPr>
          <w:sz w:val="24"/>
          <w:szCs w:val="24"/>
          <w:lang w:val="en-US"/>
        </w:rPr>
        <w:t xml:space="preserve"> Animal Health A/S</w:t>
      </w:r>
    </w:p>
    <w:p w:rsidR="007E6227" w:rsidRPr="00D4328E" w:rsidRDefault="007E6227" w:rsidP="00D4328E">
      <w:pPr>
        <w:ind w:left="851"/>
        <w:rPr>
          <w:sz w:val="24"/>
          <w:szCs w:val="24"/>
        </w:rPr>
      </w:pPr>
      <w:r w:rsidRPr="00D4328E">
        <w:rPr>
          <w:sz w:val="24"/>
          <w:szCs w:val="24"/>
        </w:rPr>
        <w:t>Kongevejen 66</w:t>
      </w:r>
    </w:p>
    <w:p w:rsidR="007E6227" w:rsidRPr="00D4328E" w:rsidRDefault="007E6227" w:rsidP="00D4328E">
      <w:pPr>
        <w:ind w:left="851"/>
        <w:rPr>
          <w:sz w:val="24"/>
          <w:szCs w:val="24"/>
        </w:rPr>
      </w:pPr>
      <w:r w:rsidRPr="00D4328E">
        <w:rPr>
          <w:sz w:val="24"/>
          <w:szCs w:val="24"/>
        </w:rPr>
        <w:t>3480 Fredensborg</w:t>
      </w:r>
    </w:p>
    <w:p w:rsidR="00F55CE3" w:rsidRPr="00D4328E" w:rsidRDefault="00F55CE3"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8.</w:t>
      </w:r>
      <w:r w:rsidRPr="00D4328E">
        <w:rPr>
          <w:b/>
          <w:sz w:val="24"/>
          <w:szCs w:val="24"/>
        </w:rPr>
        <w:tab/>
        <w:t>MARKEDSFØRINGSTILLADELSESNUMMER (NUMRE)</w:t>
      </w:r>
    </w:p>
    <w:p w:rsidR="00FA66E4" w:rsidRPr="00D4328E" w:rsidRDefault="00FA66E4" w:rsidP="00D4328E">
      <w:pPr>
        <w:ind w:left="851" w:hanging="851"/>
        <w:rPr>
          <w:sz w:val="24"/>
          <w:szCs w:val="24"/>
        </w:rPr>
      </w:pPr>
      <w:r w:rsidRPr="00D4328E">
        <w:rPr>
          <w:sz w:val="24"/>
          <w:szCs w:val="24"/>
        </w:rPr>
        <w:tab/>
      </w:r>
      <w:r w:rsidR="007E6227" w:rsidRPr="00D4328E">
        <w:rPr>
          <w:sz w:val="24"/>
          <w:szCs w:val="24"/>
        </w:rPr>
        <w:t>50542</w:t>
      </w:r>
    </w:p>
    <w:p w:rsidR="004B16A6" w:rsidRDefault="004B16A6">
      <w:pPr>
        <w:rPr>
          <w:sz w:val="24"/>
          <w:szCs w:val="24"/>
        </w:rPr>
      </w:pPr>
      <w:r>
        <w:rPr>
          <w:sz w:val="24"/>
          <w:szCs w:val="24"/>
        </w:rPr>
        <w:br w:type="page"/>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9.</w:t>
      </w:r>
      <w:r w:rsidRPr="00D4328E">
        <w:rPr>
          <w:b/>
          <w:sz w:val="24"/>
          <w:szCs w:val="24"/>
        </w:rPr>
        <w:tab/>
        <w:t>DATO FOR FØRSTE MARKEDSFØRINGSTILLADELSE</w:t>
      </w:r>
    </w:p>
    <w:p w:rsidR="00FA66E4" w:rsidRPr="00D4328E" w:rsidRDefault="00FA66E4" w:rsidP="00D4328E">
      <w:pPr>
        <w:ind w:left="851" w:hanging="851"/>
        <w:rPr>
          <w:sz w:val="24"/>
          <w:szCs w:val="24"/>
        </w:rPr>
      </w:pPr>
      <w:r w:rsidRPr="00D4328E">
        <w:rPr>
          <w:sz w:val="24"/>
          <w:szCs w:val="24"/>
        </w:rPr>
        <w:tab/>
      </w:r>
      <w:r w:rsidR="007E6227" w:rsidRPr="00D4328E">
        <w:rPr>
          <w:sz w:val="24"/>
          <w:szCs w:val="24"/>
        </w:rPr>
        <w:t>24. september 2012</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10.</w:t>
      </w:r>
      <w:r w:rsidRPr="00D4328E">
        <w:rPr>
          <w:b/>
          <w:sz w:val="24"/>
          <w:szCs w:val="24"/>
        </w:rPr>
        <w:tab/>
        <w:t>DATO FOR ÆNDRING AF TEKSTEN</w:t>
      </w:r>
    </w:p>
    <w:p w:rsidR="00FA66E4" w:rsidRPr="00D4328E" w:rsidRDefault="00FA66E4" w:rsidP="00D4328E">
      <w:pPr>
        <w:ind w:left="851" w:hanging="851"/>
        <w:rPr>
          <w:sz w:val="24"/>
          <w:szCs w:val="24"/>
        </w:rPr>
      </w:pPr>
      <w:r w:rsidRPr="00D4328E">
        <w:rPr>
          <w:sz w:val="24"/>
          <w:szCs w:val="24"/>
        </w:rPr>
        <w:tab/>
      </w:r>
      <w:r w:rsidR="0054005D">
        <w:rPr>
          <w:sz w:val="24"/>
          <w:szCs w:val="24"/>
        </w:rPr>
        <w:t>14. oktober 2019</w:t>
      </w:r>
    </w:p>
    <w:p w:rsidR="00FA66E4" w:rsidRPr="00D4328E" w:rsidRDefault="00FA66E4" w:rsidP="00D4328E">
      <w:pPr>
        <w:ind w:left="851" w:hanging="851"/>
        <w:rPr>
          <w:sz w:val="24"/>
          <w:szCs w:val="24"/>
        </w:rPr>
      </w:pPr>
    </w:p>
    <w:p w:rsidR="00FA66E4" w:rsidRPr="00D4328E" w:rsidRDefault="00FA66E4" w:rsidP="00D4328E">
      <w:pPr>
        <w:ind w:left="851" w:hanging="851"/>
        <w:rPr>
          <w:b/>
          <w:sz w:val="24"/>
          <w:szCs w:val="24"/>
        </w:rPr>
      </w:pPr>
      <w:r w:rsidRPr="00D4328E">
        <w:rPr>
          <w:b/>
          <w:sz w:val="24"/>
          <w:szCs w:val="24"/>
        </w:rPr>
        <w:t>11.</w:t>
      </w:r>
      <w:r w:rsidRPr="00D4328E">
        <w:rPr>
          <w:b/>
          <w:sz w:val="24"/>
          <w:szCs w:val="24"/>
        </w:rPr>
        <w:tab/>
        <w:t>UDLEVERINGSBESTEMMELSE</w:t>
      </w:r>
    </w:p>
    <w:p w:rsidR="0003527F" w:rsidRPr="00D4328E" w:rsidRDefault="00FA66E4" w:rsidP="00F05985">
      <w:pPr>
        <w:pStyle w:val="Sidehoved"/>
        <w:tabs>
          <w:tab w:val="clear" w:pos="4819"/>
          <w:tab w:val="clear" w:pos="9638"/>
        </w:tabs>
        <w:ind w:left="851" w:hanging="851"/>
        <w:rPr>
          <w:szCs w:val="24"/>
        </w:rPr>
      </w:pPr>
      <w:r w:rsidRPr="00D4328E">
        <w:rPr>
          <w:szCs w:val="24"/>
        </w:rPr>
        <w:tab/>
      </w:r>
      <w:r w:rsidR="002827E3" w:rsidRPr="00D4328E">
        <w:rPr>
          <w:szCs w:val="24"/>
        </w:rPr>
        <w:t>B</w:t>
      </w:r>
    </w:p>
    <w:sectPr w:rsidR="0003527F" w:rsidRPr="00D4328E" w:rsidSect="00407013">
      <w:headerReference w:type="default" r:id="rId8"/>
      <w:footerReference w:type="default" r:id="rId9"/>
      <w:headerReference w:type="first" r:id="rId10"/>
      <w:footerReference w:type="first" r:id="rId11"/>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00" w:rsidRDefault="00A96400">
      <w:r>
        <w:separator/>
      </w:r>
    </w:p>
  </w:endnote>
  <w:endnote w:type="continuationSeparator" w:id="0">
    <w:p w:rsidR="00A96400" w:rsidRDefault="00A9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0" w:rsidRDefault="00A96400">
    <w:pPr>
      <w:pStyle w:val="Sidefod"/>
      <w:pBdr>
        <w:bottom w:val="single" w:sz="6" w:space="1" w:color="auto"/>
      </w:pBdr>
      <w:tabs>
        <w:tab w:val="clear" w:pos="4819"/>
        <w:tab w:val="left" w:pos="8647"/>
      </w:tabs>
      <w:rPr>
        <w:i/>
        <w:snapToGrid w:val="0"/>
        <w:sz w:val="18"/>
      </w:rPr>
    </w:pPr>
  </w:p>
  <w:p w:rsidR="00A96400" w:rsidRDefault="00A96400">
    <w:pPr>
      <w:pStyle w:val="Sidefod"/>
      <w:tabs>
        <w:tab w:val="clear" w:pos="4819"/>
        <w:tab w:val="left" w:pos="8647"/>
      </w:tabs>
      <w:rPr>
        <w:i/>
        <w:snapToGrid w:val="0"/>
        <w:sz w:val="18"/>
      </w:rPr>
    </w:pPr>
  </w:p>
  <w:p w:rsidR="00A96400" w:rsidRDefault="0083306D">
    <w:pPr>
      <w:pStyle w:val="Sidefod"/>
      <w:tabs>
        <w:tab w:val="clear" w:pos="4819"/>
        <w:tab w:val="left" w:pos="8647"/>
      </w:tabs>
      <w:rPr>
        <w:i/>
        <w:sz w:val="18"/>
      </w:rPr>
    </w:pPr>
    <w:r>
      <w:rPr>
        <w:i/>
        <w:snapToGrid w:val="0"/>
        <w:sz w:val="18"/>
      </w:rPr>
      <w:fldChar w:fldCharType="begin"/>
    </w:r>
    <w:r w:rsidR="00A96400">
      <w:rPr>
        <w:i/>
        <w:snapToGrid w:val="0"/>
        <w:sz w:val="18"/>
      </w:rPr>
      <w:instrText xml:space="preserve"> FILENAME </w:instrText>
    </w:r>
    <w:r>
      <w:rPr>
        <w:i/>
        <w:snapToGrid w:val="0"/>
        <w:sz w:val="18"/>
      </w:rPr>
      <w:fldChar w:fldCharType="separate"/>
    </w:r>
    <w:r w:rsidR="003E547E">
      <w:rPr>
        <w:i/>
        <w:noProof/>
        <w:snapToGrid w:val="0"/>
        <w:sz w:val="18"/>
      </w:rPr>
      <w:t>Norfol, injektionsvæske, emulsion 10 mg-ml</w:t>
    </w:r>
    <w:r>
      <w:rPr>
        <w:i/>
        <w:snapToGrid w:val="0"/>
        <w:sz w:val="18"/>
      </w:rPr>
      <w:fldChar w:fldCharType="end"/>
    </w:r>
    <w:r w:rsidR="00A96400">
      <w:rPr>
        <w:i/>
        <w:snapToGrid w:val="0"/>
        <w:sz w:val="18"/>
      </w:rPr>
      <w:tab/>
      <w:t xml:space="preserve">Side </w:t>
    </w:r>
    <w:r>
      <w:rPr>
        <w:i/>
        <w:snapToGrid w:val="0"/>
        <w:sz w:val="18"/>
      </w:rPr>
      <w:fldChar w:fldCharType="begin"/>
    </w:r>
    <w:r w:rsidR="00A96400">
      <w:rPr>
        <w:i/>
        <w:snapToGrid w:val="0"/>
        <w:sz w:val="18"/>
      </w:rPr>
      <w:instrText xml:space="preserve"> PAGE </w:instrText>
    </w:r>
    <w:r>
      <w:rPr>
        <w:i/>
        <w:snapToGrid w:val="0"/>
        <w:sz w:val="18"/>
      </w:rPr>
      <w:fldChar w:fldCharType="separate"/>
    </w:r>
    <w:r w:rsidR="0054005D">
      <w:rPr>
        <w:i/>
        <w:noProof/>
        <w:snapToGrid w:val="0"/>
        <w:sz w:val="18"/>
      </w:rPr>
      <w:t>6</w:t>
    </w:r>
    <w:r>
      <w:rPr>
        <w:i/>
        <w:snapToGrid w:val="0"/>
        <w:sz w:val="18"/>
      </w:rPr>
      <w:fldChar w:fldCharType="end"/>
    </w:r>
    <w:r w:rsidR="00A96400">
      <w:rPr>
        <w:i/>
        <w:snapToGrid w:val="0"/>
        <w:sz w:val="18"/>
      </w:rPr>
      <w:t xml:space="preserve"> af </w:t>
    </w:r>
    <w:r>
      <w:rPr>
        <w:i/>
        <w:snapToGrid w:val="0"/>
        <w:sz w:val="18"/>
      </w:rPr>
      <w:fldChar w:fldCharType="begin"/>
    </w:r>
    <w:r w:rsidR="00A96400">
      <w:rPr>
        <w:i/>
        <w:snapToGrid w:val="0"/>
        <w:sz w:val="18"/>
      </w:rPr>
      <w:instrText xml:space="preserve"> NUMPAGES </w:instrText>
    </w:r>
    <w:r>
      <w:rPr>
        <w:i/>
        <w:snapToGrid w:val="0"/>
        <w:sz w:val="18"/>
      </w:rPr>
      <w:fldChar w:fldCharType="separate"/>
    </w:r>
    <w:r w:rsidR="0054005D">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0" w:rsidRDefault="00A96400">
    <w:pPr>
      <w:pStyle w:val="Sidefod"/>
      <w:pBdr>
        <w:bottom w:val="single" w:sz="6" w:space="1" w:color="auto"/>
      </w:pBdr>
      <w:tabs>
        <w:tab w:val="clear" w:pos="4819"/>
        <w:tab w:val="left" w:pos="8647"/>
      </w:tabs>
      <w:rPr>
        <w:i/>
        <w:snapToGrid w:val="0"/>
        <w:sz w:val="18"/>
      </w:rPr>
    </w:pPr>
  </w:p>
  <w:p w:rsidR="00A96400" w:rsidRDefault="00A96400">
    <w:pPr>
      <w:pStyle w:val="Sidefod"/>
      <w:tabs>
        <w:tab w:val="clear" w:pos="4819"/>
        <w:tab w:val="left" w:pos="8647"/>
      </w:tabs>
      <w:rPr>
        <w:i/>
        <w:snapToGrid w:val="0"/>
        <w:sz w:val="18"/>
      </w:rPr>
    </w:pPr>
  </w:p>
  <w:p w:rsidR="00A96400" w:rsidRDefault="0083306D">
    <w:pPr>
      <w:pStyle w:val="Sidefod"/>
      <w:tabs>
        <w:tab w:val="clear" w:pos="4819"/>
        <w:tab w:val="left" w:pos="8647"/>
      </w:tabs>
      <w:rPr>
        <w:i/>
        <w:sz w:val="18"/>
      </w:rPr>
    </w:pPr>
    <w:r>
      <w:rPr>
        <w:i/>
        <w:snapToGrid w:val="0"/>
        <w:sz w:val="18"/>
      </w:rPr>
      <w:fldChar w:fldCharType="begin"/>
    </w:r>
    <w:r w:rsidR="00A96400">
      <w:rPr>
        <w:i/>
        <w:snapToGrid w:val="0"/>
        <w:sz w:val="18"/>
      </w:rPr>
      <w:instrText xml:space="preserve"> FILENAME </w:instrText>
    </w:r>
    <w:r>
      <w:rPr>
        <w:i/>
        <w:snapToGrid w:val="0"/>
        <w:sz w:val="18"/>
      </w:rPr>
      <w:fldChar w:fldCharType="separate"/>
    </w:r>
    <w:r w:rsidR="003E547E">
      <w:rPr>
        <w:i/>
        <w:noProof/>
        <w:snapToGrid w:val="0"/>
        <w:sz w:val="18"/>
      </w:rPr>
      <w:t>Norfol, injektionsvæske, emulsion 10 mg-ml</w:t>
    </w:r>
    <w:r>
      <w:rPr>
        <w:i/>
        <w:snapToGrid w:val="0"/>
        <w:sz w:val="18"/>
      </w:rPr>
      <w:fldChar w:fldCharType="end"/>
    </w:r>
    <w:r w:rsidR="00A96400">
      <w:rPr>
        <w:i/>
        <w:snapToGrid w:val="0"/>
        <w:sz w:val="18"/>
      </w:rPr>
      <w:tab/>
      <w:t xml:space="preserve">Side </w:t>
    </w:r>
    <w:r>
      <w:rPr>
        <w:i/>
        <w:snapToGrid w:val="0"/>
        <w:sz w:val="18"/>
      </w:rPr>
      <w:fldChar w:fldCharType="begin"/>
    </w:r>
    <w:r w:rsidR="00A96400">
      <w:rPr>
        <w:i/>
        <w:snapToGrid w:val="0"/>
        <w:sz w:val="18"/>
      </w:rPr>
      <w:instrText xml:space="preserve"> PAGE </w:instrText>
    </w:r>
    <w:r>
      <w:rPr>
        <w:i/>
        <w:snapToGrid w:val="0"/>
        <w:sz w:val="18"/>
      </w:rPr>
      <w:fldChar w:fldCharType="separate"/>
    </w:r>
    <w:r w:rsidR="0054005D">
      <w:rPr>
        <w:i/>
        <w:noProof/>
        <w:snapToGrid w:val="0"/>
        <w:sz w:val="18"/>
      </w:rPr>
      <w:t>1</w:t>
    </w:r>
    <w:r>
      <w:rPr>
        <w:i/>
        <w:snapToGrid w:val="0"/>
        <w:sz w:val="18"/>
      </w:rPr>
      <w:fldChar w:fldCharType="end"/>
    </w:r>
    <w:r w:rsidR="00A96400">
      <w:rPr>
        <w:i/>
        <w:snapToGrid w:val="0"/>
        <w:sz w:val="18"/>
      </w:rPr>
      <w:t xml:space="preserve"> af </w:t>
    </w:r>
    <w:r>
      <w:rPr>
        <w:i/>
        <w:snapToGrid w:val="0"/>
        <w:sz w:val="18"/>
      </w:rPr>
      <w:fldChar w:fldCharType="begin"/>
    </w:r>
    <w:r w:rsidR="00A96400">
      <w:rPr>
        <w:i/>
        <w:snapToGrid w:val="0"/>
        <w:sz w:val="18"/>
      </w:rPr>
      <w:instrText xml:space="preserve"> NUMPAGES </w:instrText>
    </w:r>
    <w:r>
      <w:rPr>
        <w:i/>
        <w:snapToGrid w:val="0"/>
        <w:sz w:val="18"/>
      </w:rPr>
      <w:fldChar w:fldCharType="separate"/>
    </w:r>
    <w:r w:rsidR="0054005D">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00" w:rsidRDefault="00A96400">
      <w:r>
        <w:separator/>
      </w:r>
    </w:p>
  </w:footnote>
  <w:footnote w:type="continuationSeparator" w:id="0">
    <w:p w:rsidR="00A96400" w:rsidRDefault="00A9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0" w:rsidRDefault="00A96400">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00" w:rsidRDefault="00A96400">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227"/>
    <w:rsid w:val="000100C2"/>
    <w:rsid w:val="0003527F"/>
    <w:rsid w:val="00056D4E"/>
    <w:rsid w:val="00065C99"/>
    <w:rsid w:val="000C6CD4"/>
    <w:rsid w:val="001577E4"/>
    <w:rsid w:val="001858CA"/>
    <w:rsid w:val="001C4AEF"/>
    <w:rsid w:val="001D3CC5"/>
    <w:rsid w:val="002827E3"/>
    <w:rsid w:val="002D6BEA"/>
    <w:rsid w:val="00301F61"/>
    <w:rsid w:val="00307AD7"/>
    <w:rsid w:val="00322BDE"/>
    <w:rsid w:val="00332BA9"/>
    <w:rsid w:val="003813CB"/>
    <w:rsid w:val="003C29CA"/>
    <w:rsid w:val="003E547E"/>
    <w:rsid w:val="00407013"/>
    <w:rsid w:val="004A62CC"/>
    <w:rsid w:val="004B16A6"/>
    <w:rsid w:val="004B6770"/>
    <w:rsid w:val="004E25CC"/>
    <w:rsid w:val="0054005D"/>
    <w:rsid w:val="00561DC3"/>
    <w:rsid w:val="005A21DB"/>
    <w:rsid w:val="00662012"/>
    <w:rsid w:val="00666B01"/>
    <w:rsid w:val="006B1539"/>
    <w:rsid w:val="00731B92"/>
    <w:rsid w:val="00791BAB"/>
    <w:rsid w:val="007E058C"/>
    <w:rsid w:val="007E2A00"/>
    <w:rsid w:val="007E6227"/>
    <w:rsid w:val="007F0F2E"/>
    <w:rsid w:val="00813555"/>
    <w:rsid w:val="00820065"/>
    <w:rsid w:val="0083306D"/>
    <w:rsid w:val="009202AE"/>
    <w:rsid w:val="009B3295"/>
    <w:rsid w:val="009D66C6"/>
    <w:rsid w:val="00A77E40"/>
    <w:rsid w:val="00A96400"/>
    <w:rsid w:val="00A96525"/>
    <w:rsid w:val="00AA31C7"/>
    <w:rsid w:val="00AE29E5"/>
    <w:rsid w:val="00AE5757"/>
    <w:rsid w:val="00B12070"/>
    <w:rsid w:val="00B42082"/>
    <w:rsid w:val="00B93DAE"/>
    <w:rsid w:val="00BC54B3"/>
    <w:rsid w:val="00BC634B"/>
    <w:rsid w:val="00BD3EB9"/>
    <w:rsid w:val="00BF2AE0"/>
    <w:rsid w:val="00C06434"/>
    <w:rsid w:val="00CC526A"/>
    <w:rsid w:val="00D33C4D"/>
    <w:rsid w:val="00D4328E"/>
    <w:rsid w:val="00DD3E37"/>
    <w:rsid w:val="00DD6D71"/>
    <w:rsid w:val="00DF32BE"/>
    <w:rsid w:val="00E13F5C"/>
    <w:rsid w:val="00E14F0A"/>
    <w:rsid w:val="00E8027C"/>
    <w:rsid w:val="00EE5253"/>
    <w:rsid w:val="00F05985"/>
    <w:rsid w:val="00F53C07"/>
    <w:rsid w:val="00F55CE3"/>
    <w:rsid w:val="00FA66E4"/>
    <w:rsid w:val="00FD424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1398ED-F5A7-44AD-90A0-0210A872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99">
      <w:bodyDiv w:val="1"/>
      <w:marLeft w:val="0"/>
      <w:marRight w:val="0"/>
      <w:marTop w:val="0"/>
      <w:marBottom w:val="0"/>
      <w:divBdr>
        <w:top w:val="none" w:sz="0" w:space="0" w:color="auto"/>
        <w:left w:val="none" w:sz="0" w:space="0" w:color="auto"/>
        <w:bottom w:val="none" w:sz="0" w:space="0" w:color="auto"/>
        <w:right w:val="none" w:sz="0" w:space="0" w:color="auto"/>
      </w:divBdr>
    </w:div>
    <w:div w:id="8788853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7396108">
      <w:bodyDiv w:val="1"/>
      <w:marLeft w:val="0"/>
      <w:marRight w:val="0"/>
      <w:marTop w:val="0"/>
      <w:marBottom w:val="0"/>
      <w:divBdr>
        <w:top w:val="none" w:sz="0" w:space="0" w:color="auto"/>
        <w:left w:val="none" w:sz="0" w:space="0" w:color="auto"/>
        <w:bottom w:val="none" w:sz="0" w:space="0" w:color="auto"/>
        <w:right w:val="none" w:sz="0" w:space="0" w:color="auto"/>
      </w:divBdr>
    </w:div>
    <w:div w:id="281348897">
      <w:bodyDiv w:val="1"/>
      <w:marLeft w:val="0"/>
      <w:marRight w:val="0"/>
      <w:marTop w:val="0"/>
      <w:marBottom w:val="0"/>
      <w:divBdr>
        <w:top w:val="none" w:sz="0" w:space="0" w:color="auto"/>
        <w:left w:val="none" w:sz="0" w:space="0" w:color="auto"/>
        <w:bottom w:val="none" w:sz="0" w:space="0" w:color="auto"/>
        <w:right w:val="none" w:sz="0" w:space="0" w:color="auto"/>
      </w:divBdr>
    </w:div>
    <w:div w:id="344988466">
      <w:bodyDiv w:val="1"/>
      <w:marLeft w:val="0"/>
      <w:marRight w:val="0"/>
      <w:marTop w:val="0"/>
      <w:marBottom w:val="0"/>
      <w:divBdr>
        <w:top w:val="none" w:sz="0" w:space="0" w:color="auto"/>
        <w:left w:val="none" w:sz="0" w:space="0" w:color="auto"/>
        <w:bottom w:val="none" w:sz="0" w:space="0" w:color="auto"/>
        <w:right w:val="none" w:sz="0" w:space="0" w:color="auto"/>
      </w:divBdr>
    </w:div>
    <w:div w:id="346250965">
      <w:bodyDiv w:val="1"/>
      <w:marLeft w:val="0"/>
      <w:marRight w:val="0"/>
      <w:marTop w:val="0"/>
      <w:marBottom w:val="0"/>
      <w:divBdr>
        <w:top w:val="none" w:sz="0" w:space="0" w:color="auto"/>
        <w:left w:val="none" w:sz="0" w:space="0" w:color="auto"/>
        <w:bottom w:val="none" w:sz="0" w:space="0" w:color="auto"/>
        <w:right w:val="none" w:sz="0" w:space="0" w:color="auto"/>
      </w:divBdr>
    </w:div>
    <w:div w:id="433214765">
      <w:bodyDiv w:val="1"/>
      <w:marLeft w:val="0"/>
      <w:marRight w:val="0"/>
      <w:marTop w:val="0"/>
      <w:marBottom w:val="0"/>
      <w:divBdr>
        <w:top w:val="none" w:sz="0" w:space="0" w:color="auto"/>
        <w:left w:val="none" w:sz="0" w:space="0" w:color="auto"/>
        <w:bottom w:val="none" w:sz="0" w:space="0" w:color="auto"/>
        <w:right w:val="none" w:sz="0" w:space="0" w:color="auto"/>
      </w:divBdr>
    </w:div>
    <w:div w:id="443109851">
      <w:bodyDiv w:val="1"/>
      <w:marLeft w:val="0"/>
      <w:marRight w:val="0"/>
      <w:marTop w:val="0"/>
      <w:marBottom w:val="0"/>
      <w:divBdr>
        <w:top w:val="none" w:sz="0" w:space="0" w:color="auto"/>
        <w:left w:val="none" w:sz="0" w:space="0" w:color="auto"/>
        <w:bottom w:val="none" w:sz="0" w:space="0" w:color="auto"/>
        <w:right w:val="none" w:sz="0" w:space="0" w:color="auto"/>
      </w:divBdr>
    </w:div>
    <w:div w:id="501163468">
      <w:bodyDiv w:val="1"/>
      <w:marLeft w:val="0"/>
      <w:marRight w:val="0"/>
      <w:marTop w:val="0"/>
      <w:marBottom w:val="0"/>
      <w:divBdr>
        <w:top w:val="none" w:sz="0" w:space="0" w:color="auto"/>
        <w:left w:val="none" w:sz="0" w:space="0" w:color="auto"/>
        <w:bottom w:val="none" w:sz="0" w:space="0" w:color="auto"/>
        <w:right w:val="none" w:sz="0" w:space="0" w:color="auto"/>
      </w:divBdr>
    </w:div>
    <w:div w:id="518197950">
      <w:bodyDiv w:val="1"/>
      <w:marLeft w:val="0"/>
      <w:marRight w:val="0"/>
      <w:marTop w:val="0"/>
      <w:marBottom w:val="0"/>
      <w:divBdr>
        <w:top w:val="none" w:sz="0" w:space="0" w:color="auto"/>
        <w:left w:val="none" w:sz="0" w:space="0" w:color="auto"/>
        <w:bottom w:val="none" w:sz="0" w:space="0" w:color="auto"/>
        <w:right w:val="none" w:sz="0" w:space="0" w:color="auto"/>
      </w:divBdr>
    </w:div>
    <w:div w:id="527452785">
      <w:bodyDiv w:val="1"/>
      <w:marLeft w:val="0"/>
      <w:marRight w:val="0"/>
      <w:marTop w:val="0"/>
      <w:marBottom w:val="0"/>
      <w:divBdr>
        <w:top w:val="none" w:sz="0" w:space="0" w:color="auto"/>
        <w:left w:val="none" w:sz="0" w:space="0" w:color="auto"/>
        <w:bottom w:val="none" w:sz="0" w:space="0" w:color="auto"/>
        <w:right w:val="none" w:sz="0" w:space="0" w:color="auto"/>
      </w:divBdr>
    </w:div>
    <w:div w:id="563106177">
      <w:bodyDiv w:val="1"/>
      <w:marLeft w:val="0"/>
      <w:marRight w:val="0"/>
      <w:marTop w:val="0"/>
      <w:marBottom w:val="0"/>
      <w:divBdr>
        <w:top w:val="none" w:sz="0" w:space="0" w:color="auto"/>
        <w:left w:val="none" w:sz="0" w:space="0" w:color="auto"/>
        <w:bottom w:val="none" w:sz="0" w:space="0" w:color="auto"/>
        <w:right w:val="none" w:sz="0" w:space="0" w:color="auto"/>
      </w:divBdr>
    </w:div>
    <w:div w:id="659231628">
      <w:bodyDiv w:val="1"/>
      <w:marLeft w:val="0"/>
      <w:marRight w:val="0"/>
      <w:marTop w:val="0"/>
      <w:marBottom w:val="0"/>
      <w:divBdr>
        <w:top w:val="none" w:sz="0" w:space="0" w:color="auto"/>
        <w:left w:val="none" w:sz="0" w:space="0" w:color="auto"/>
        <w:bottom w:val="none" w:sz="0" w:space="0" w:color="auto"/>
        <w:right w:val="none" w:sz="0" w:space="0" w:color="auto"/>
      </w:divBdr>
    </w:div>
    <w:div w:id="724989195">
      <w:bodyDiv w:val="1"/>
      <w:marLeft w:val="0"/>
      <w:marRight w:val="0"/>
      <w:marTop w:val="0"/>
      <w:marBottom w:val="0"/>
      <w:divBdr>
        <w:top w:val="none" w:sz="0" w:space="0" w:color="auto"/>
        <w:left w:val="none" w:sz="0" w:space="0" w:color="auto"/>
        <w:bottom w:val="none" w:sz="0" w:space="0" w:color="auto"/>
        <w:right w:val="none" w:sz="0" w:space="0" w:color="auto"/>
      </w:divBdr>
    </w:div>
    <w:div w:id="798492411">
      <w:bodyDiv w:val="1"/>
      <w:marLeft w:val="0"/>
      <w:marRight w:val="0"/>
      <w:marTop w:val="0"/>
      <w:marBottom w:val="0"/>
      <w:divBdr>
        <w:top w:val="none" w:sz="0" w:space="0" w:color="auto"/>
        <w:left w:val="none" w:sz="0" w:space="0" w:color="auto"/>
        <w:bottom w:val="none" w:sz="0" w:space="0" w:color="auto"/>
        <w:right w:val="none" w:sz="0" w:space="0" w:color="auto"/>
      </w:divBdr>
    </w:div>
    <w:div w:id="831407585">
      <w:bodyDiv w:val="1"/>
      <w:marLeft w:val="0"/>
      <w:marRight w:val="0"/>
      <w:marTop w:val="0"/>
      <w:marBottom w:val="0"/>
      <w:divBdr>
        <w:top w:val="none" w:sz="0" w:space="0" w:color="auto"/>
        <w:left w:val="none" w:sz="0" w:space="0" w:color="auto"/>
        <w:bottom w:val="none" w:sz="0" w:space="0" w:color="auto"/>
        <w:right w:val="none" w:sz="0" w:space="0" w:color="auto"/>
      </w:divBdr>
    </w:div>
    <w:div w:id="855074925">
      <w:bodyDiv w:val="1"/>
      <w:marLeft w:val="0"/>
      <w:marRight w:val="0"/>
      <w:marTop w:val="0"/>
      <w:marBottom w:val="0"/>
      <w:divBdr>
        <w:top w:val="none" w:sz="0" w:space="0" w:color="auto"/>
        <w:left w:val="none" w:sz="0" w:space="0" w:color="auto"/>
        <w:bottom w:val="none" w:sz="0" w:space="0" w:color="auto"/>
        <w:right w:val="none" w:sz="0" w:space="0" w:color="auto"/>
      </w:divBdr>
    </w:div>
    <w:div w:id="922684893">
      <w:bodyDiv w:val="1"/>
      <w:marLeft w:val="0"/>
      <w:marRight w:val="0"/>
      <w:marTop w:val="0"/>
      <w:marBottom w:val="0"/>
      <w:divBdr>
        <w:top w:val="none" w:sz="0" w:space="0" w:color="auto"/>
        <w:left w:val="none" w:sz="0" w:space="0" w:color="auto"/>
        <w:bottom w:val="none" w:sz="0" w:space="0" w:color="auto"/>
        <w:right w:val="none" w:sz="0" w:space="0" w:color="auto"/>
      </w:divBdr>
    </w:div>
    <w:div w:id="1052197770">
      <w:bodyDiv w:val="1"/>
      <w:marLeft w:val="0"/>
      <w:marRight w:val="0"/>
      <w:marTop w:val="0"/>
      <w:marBottom w:val="0"/>
      <w:divBdr>
        <w:top w:val="none" w:sz="0" w:space="0" w:color="auto"/>
        <w:left w:val="none" w:sz="0" w:space="0" w:color="auto"/>
        <w:bottom w:val="none" w:sz="0" w:space="0" w:color="auto"/>
        <w:right w:val="none" w:sz="0" w:space="0" w:color="auto"/>
      </w:divBdr>
    </w:div>
    <w:div w:id="1066105748">
      <w:bodyDiv w:val="1"/>
      <w:marLeft w:val="0"/>
      <w:marRight w:val="0"/>
      <w:marTop w:val="0"/>
      <w:marBottom w:val="0"/>
      <w:divBdr>
        <w:top w:val="none" w:sz="0" w:space="0" w:color="auto"/>
        <w:left w:val="none" w:sz="0" w:space="0" w:color="auto"/>
        <w:bottom w:val="none" w:sz="0" w:space="0" w:color="auto"/>
        <w:right w:val="none" w:sz="0" w:space="0" w:color="auto"/>
      </w:divBdr>
    </w:div>
    <w:div w:id="1078208111">
      <w:bodyDiv w:val="1"/>
      <w:marLeft w:val="0"/>
      <w:marRight w:val="0"/>
      <w:marTop w:val="0"/>
      <w:marBottom w:val="0"/>
      <w:divBdr>
        <w:top w:val="none" w:sz="0" w:space="0" w:color="auto"/>
        <w:left w:val="none" w:sz="0" w:space="0" w:color="auto"/>
        <w:bottom w:val="none" w:sz="0" w:space="0" w:color="auto"/>
        <w:right w:val="none" w:sz="0" w:space="0" w:color="auto"/>
      </w:divBdr>
    </w:div>
    <w:div w:id="1082681908">
      <w:bodyDiv w:val="1"/>
      <w:marLeft w:val="0"/>
      <w:marRight w:val="0"/>
      <w:marTop w:val="0"/>
      <w:marBottom w:val="0"/>
      <w:divBdr>
        <w:top w:val="none" w:sz="0" w:space="0" w:color="auto"/>
        <w:left w:val="none" w:sz="0" w:space="0" w:color="auto"/>
        <w:bottom w:val="none" w:sz="0" w:space="0" w:color="auto"/>
        <w:right w:val="none" w:sz="0" w:space="0" w:color="auto"/>
      </w:divBdr>
    </w:div>
    <w:div w:id="1141264337">
      <w:bodyDiv w:val="1"/>
      <w:marLeft w:val="0"/>
      <w:marRight w:val="0"/>
      <w:marTop w:val="0"/>
      <w:marBottom w:val="0"/>
      <w:divBdr>
        <w:top w:val="none" w:sz="0" w:space="0" w:color="auto"/>
        <w:left w:val="none" w:sz="0" w:space="0" w:color="auto"/>
        <w:bottom w:val="none" w:sz="0" w:space="0" w:color="auto"/>
        <w:right w:val="none" w:sz="0" w:space="0" w:color="auto"/>
      </w:divBdr>
    </w:div>
    <w:div w:id="1178078730">
      <w:bodyDiv w:val="1"/>
      <w:marLeft w:val="0"/>
      <w:marRight w:val="0"/>
      <w:marTop w:val="0"/>
      <w:marBottom w:val="0"/>
      <w:divBdr>
        <w:top w:val="none" w:sz="0" w:space="0" w:color="auto"/>
        <w:left w:val="none" w:sz="0" w:space="0" w:color="auto"/>
        <w:bottom w:val="none" w:sz="0" w:space="0" w:color="auto"/>
        <w:right w:val="none" w:sz="0" w:space="0" w:color="auto"/>
      </w:divBdr>
    </w:div>
    <w:div w:id="1190527147">
      <w:bodyDiv w:val="1"/>
      <w:marLeft w:val="0"/>
      <w:marRight w:val="0"/>
      <w:marTop w:val="0"/>
      <w:marBottom w:val="0"/>
      <w:divBdr>
        <w:top w:val="none" w:sz="0" w:space="0" w:color="auto"/>
        <w:left w:val="none" w:sz="0" w:space="0" w:color="auto"/>
        <w:bottom w:val="none" w:sz="0" w:space="0" w:color="auto"/>
        <w:right w:val="none" w:sz="0" w:space="0" w:color="auto"/>
      </w:divBdr>
    </w:div>
    <w:div w:id="1196819042">
      <w:bodyDiv w:val="1"/>
      <w:marLeft w:val="0"/>
      <w:marRight w:val="0"/>
      <w:marTop w:val="0"/>
      <w:marBottom w:val="0"/>
      <w:divBdr>
        <w:top w:val="none" w:sz="0" w:space="0" w:color="auto"/>
        <w:left w:val="none" w:sz="0" w:space="0" w:color="auto"/>
        <w:bottom w:val="none" w:sz="0" w:space="0" w:color="auto"/>
        <w:right w:val="none" w:sz="0" w:space="0" w:color="auto"/>
      </w:divBdr>
    </w:div>
    <w:div w:id="1221554262">
      <w:bodyDiv w:val="1"/>
      <w:marLeft w:val="0"/>
      <w:marRight w:val="0"/>
      <w:marTop w:val="0"/>
      <w:marBottom w:val="0"/>
      <w:divBdr>
        <w:top w:val="none" w:sz="0" w:space="0" w:color="auto"/>
        <w:left w:val="none" w:sz="0" w:space="0" w:color="auto"/>
        <w:bottom w:val="none" w:sz="0" w:space="0" w:color="auto"/>
        <w:right w:val="none" w:sz="0" w:space="0" w:color="auto"/>
      </w:divBdr>
    </w:div>
    <w:div w:id="1243025940">
      <w:bodyDiv w:val="1"/>
      <w:marLeft w:val="0"/>
      <w:marRight w:val="0"/>
      <w:marTop w:val="0"/>
      <w:marBottom w:val="0"/>
      <w:divBdr>
        <w:top w:val="none" w:sz="0" w:space="0" w:color="auto"/>
        <w:left w:val="none" w:sz="0" w:space="0" w:color="auto"/>
        <w:bottom w:val="none" w:sz="0" w:space="0" w:color="auto"/>
        <w:right w:val="none" w:sz="0" w:space="0" w:color="auto"/>
      </w:divBdr>
    </w:div>
    <w:div w:id="1248617751">
      <w:bodyDiv w:val="1"/>
      <w:marLeft w:val="0"/>
      <w:marRight w:val="0"/>
      <w:marTop w:val="0"/>
      <w:marBottom w:val="0"/>
      <w:divBdr>
        <w:top w:val="none" w:sz="0" w:space="0" w:color="auto"/>
        <w:left w:val="none" w:sz="0" w:space="0" w:color="auto"/>
        <w:bottom w:val="none" w:sz="0" w:space="0" w:color="auto"/>
        <w:right w:val="none" w:sz="0" w:space="0" w:color="auto"/>
      </w:divBdr>
    </w:div>
    <w:div w:id="1270968169">
      <w:bodyDiv w:val="1"/>
      <w:marLeft w:val="0"/>
      <w:marRight w:val="0"/>
      <w:marTop w:val="0"/>
      <w:marBottom w:val="0"/>
      <w:divBdr>
        <w:top w:val="none" w:sz="0" w:space="0" w:color="auto"/>
        <w:left w:val="none" w:sz="0" w:space="0" w:color="auto"/>
        <w:bottom w:val="none" w:sz="0" w:space="0" w:color="auto"/>
        <w:right w:val="none" w:sz="0" w:space="0" w:color="auto"/>
      </w:divBdr>
    </w:div>
    <w:div w:id="1316760889">
      <w:bodyDiv w:val="1"/>
      <w:marLeft w:val="0"/>
      <w:marRight w:val="0"/>
      <w:marTop w:val="0"/>
      <w:marBottom w:val="0"/>
      <w:divBdr>
        <w:top w:val="none" w:sz="0" w:space="0" w:color="auto"/>
        <w:left w:val="none" w:sz="0" w:space="0" w:color="auto"/>
        <w:bottom w:val="none" w:sz="0" w:space="0" w:color="auto"/>
        <w:right w:val="none" w:sz="0" w:space="0" w:color="auto"/>
      </w:divBdr>
    </w:div>
    <w:div w:id="1330254391">
      <w:bodyDiv w:val="1"/>
      <w:marLeft w:val="0"/>
      <w:marRight w:val="0"/>
      <w:marTop w:val="0"/>
      <w:marBottom w:val="0"/>
      <w:divBdr>
        <w:top w:val="none" w:sz="0" w:space="0" w:color="auto"/>
        <w:left w:val="none" w:sz="0" w:space="0" w:color="auto"/>
        <w:bottom w:val="none" w:sz="0" w:space="0" w:color="auto"/>
        <w:right w:val="none" w:sz="0" w:space="0" w:color="auto"/>
      </w:divBdr>
    </w:div>
    <w:div w:id="1339230335">
      <w:bodyDiv w:val="1"/>
      <w:marLeft w:val="0"/>
      <w:marRight w:val="0"/>
      <w:marTop w:val="0"/>
      <w:marBottom w:val="0"/>
      <w:divBdr>
        <w:top w:val="none" w:sz="0" w:space="0" w:color="auto"/>
        <w:left w:val="none" w:sz="0" w:space="0" w:color="auto"/>
        <w:bottom w:val="none" w:sz="0" w:space="0" w:color="auto"/>
        <w:right w:val="none" w:sz="0" w:space="0" w:color="auto"/>
      </w:divBdr>
    </w:div>
    <w:div w:id="1368606550">
      <w:bodyDiv w:val="1"/>
      <w:marLeft w:val="0"/>
      <w:marRight w:val="0"/>
      <w:marTop w:val="0"/>
      <w:marBottom w:val="0"/>
      <w:divBdr>
        <w:top w:val="none" w:sz="0" w:space="0" w:color="auto"/>
        <w:left w:val="none" w:sz="0" w:space="0" w:color="auto"/>
        <w:bottom w:val="none" w:sz="0" w:space="0" w:color="auto"/>
        <w:right w:val="none" w:sz="0" w:space="0" w:color="auto"/>
      </w:divBdr>
    </w:div>
    <w:div w:id="1421869795">
      <w:bodyDiv w:val="1"/>
      <w:marLeft w:val="0"/>
      <w:marRight w:val="0"/>
      <w:marTop w:val="0"/>
      <w:marBottom w:val="0"/>
      <w:divBdr>
        <w:top w:val="none" w:sz="0" w:space="0" w:color="auto"/>
        <w:left w:val="none" w:sz="0" w:space="0" w:color="auto"/>
        <w:bottom w:val="none" w:sz="0" w:space="0" w:color="auto"/>
        <w:right w:val="none" w:sz="0" w:space="0" w:color="auto"/>
      </w:divBdr>
    </w:div>
    <w:div w:id="1441686526">
      <w:bodyDiv w:val="1"/>
      <w:marLeft w:val="0"/>
      <w:marRight w:val="0"/>
      <w:marTop w:val="0"/>
      <w:marBottom w:val="0"/>
      <w:divBdr>
        <w:top w:val="none" w:sz="0" w:space="0" w:color="auto"/>
        <w:left w:val="none" w:sz="0" w:space="0" w:color="auto"/>
        <w:bottom w:val="none" w:sz="0" w:space="0" w:color="auto"/>
        <w:right w:val="none" w:sz="0" w:space="0" w:color="auto"/>
      </w:divBdr>
    </w:div>
    <w:div w:id="1497039192">
      <w:bodyDiv w:val="1"/>
      <w:marLeft w:val="0"/>
      <w:marRight w:val="0"/>
      <w:marTop w:val="0"/>
      <w:marBottom w:val="0"/>
      <w:divBdr>
        <w:top w:val="none" w:sz="0" w:space="0" w:color="auto"/>
        <w:left w:val="none" w:sz="0" w:space="0" w:color="auto"/>
        <w:bottom w:val="none" w:sz="0" w:space="0" w:color="auto"/>
        <w:right w:val="none" w:sz="0" w:space="0" w:color="auto"/>
      </w:divBdr>
    </w:div>
    <w:div w:id="1505129028">
      <w:bodyDiv w:val="1"/>
      <w:marLeft w:val="0"/>
      <w:marRight w:val="0"/>
      <w:marTop w:val="0"/>
      <w:marBottom w:val="0"/>
      <w:divBdr>
        <w:top w:val="none" w:sz="0" w:space="0" w:color="auto"/>
        <w:left w:val="none" w:sz="0" w:space="0" w:color="auto"/>
        <w:bottom w:val="none" w:sz="0" w:space="0" w:color="auto"/>
        <w:right w:val="none" w:sz="0" w:space="0" w:color="auto"/>
      </w:divBdr>
    </w:div>
    <w:div w:id="1529299925">
      <w:bodyDiv w:val="1"/>
      <w:marLeft w:val="0"/>
      <w:marRight w:val="0"/>
      <w:marTop w:val="0"/>
      <w:marBottom w:val="0"/>
      <w:divBdr>
        <w:top w:val="none" w:sz="0" w:space="0" w:color="auto"/>
        <w:left w:val="none" w:sz="0" w:space="0" w:color="auto"/>
        <w:bottom w:val="none" w:sz="0" w:space="0" w:color="auto"/>
        <w:right w:val="none" w:sz="0" w:space="0" w:color="auto"/>
      </w:divBdr>
    </w:div>
    <w:div w:id="1567036607">
      <w:bodyDiv w:val="1"/>
      <w:marLeft w:val="0"/>
      <w:marRight w:val="0"/>
      <w:marTop w:val="0"/>
      <w:marBottom w:val="0"/>
      <w:divBdr>
        <w:top w:val="none" w:sz="0" w:space="0" w:color="auto"/>
        <w:left w:val="none" w:sz="0" w:space="0" w:color="auto"/>
        <w:bottom w:val="none" w:sz="0" w:space="0" w:color="auto"/>
        <w:right w:val="none" w:sz="0" w:space="0" w:color="auto"/>
      </w:divBdr>
    </w:div>
    <w:div w:id="1568150195">
      <w:bodyDiv w:val="1"/>
      <w:marLeft w:val="0"/>
      <w:marRight w:val="0"/>
      <w:marTop w:val="0"/>
      <w:marBottom w:val="0"/>
      <w:divBdr>
        <w:top w:val="none" w:sz="0" w:space="0" w:color="auto"/>
        <w:left w:val="none" w:sz="0" w:space="0" w:color="auto"/>
        <w:bottom w:val="none" w:sz="0" w:space="0" w:color="auto"/>
        <w:right w:val="none" w:sz="0" w:space="0" w:color="auto"/>
      </w:divBdr>
    </w:div>
    <w:div w:id="1631472247">
      <w:bodyDiv w:val="1"/>
      <w:marLeft w:val="0"/>
      <w:marRight w:val="0"/>
      <w:marTop w:val="0"/>
      <w:marBottom w:val="0"/>
      <w:divBdr>
        <w:top w:val="none" w:sz="0" w:space="0" w:color="auto"/>
        <w:left w:val="none" w:sz="0" w:space="0" w:color="auto"/>
        <w:bottom w:val="none" w:sz="0" w:space="0" w:color="auto"/>
        <w:right w:val="none" w:sz="0" w:space="0" w:color="auto"/>
      </w:divBdr>
    </w:div>
    <w:div w:id="1634480263">
      <w:bodyDiv w:val="1"/>
      <w:marLeft w:val="0"/>
      <w:marRight w:val="0"/>
      <w:marTop w:val="0"/>
      <w:marBottom w:val="0"/>
      <w:divBdr>
        <w:top w:val="none" w:sz="0" w:space="0" w:color="auto"/>
        <w:left w:val="none" w:sz="0" w:space="0" w:color="auto"/>
        <w:bottom w:val="none" w:sz="0" w:space="0" w:color="auto"/>
        <w:right w:val="none" w:sz="0" w:space="0" w:color="auto"/>
      </w:divBdr>
    </w:div>
    <w:div w:id="1639148812">
      <w:bodyDiv w:val="1"/>
      <w:marLeft w:val="0"/>
      <w:marRight w:val="0"/>
      <w:marTop w:val="0"/>
      <w:marBottom w:val="0"/>
      <w:divBdr>
        <w:top w:val="none" w:sz="0" w:space="0" w:color="auto"/>
        <w:left w:val="none" w:sz="0" w:space="0" w:color="auto"/>
        <w:bottom w:val="none" w:sz="0" w:space="0" w:color="auto"/>
        <w:right w:val="none" w:sz="0" w:space="0" w:color="auto"/>
      </w:divBdr>
    </w:div>
    <w:div w:id="1664619898">
      <w:bodyDiv w:val="1"/>
      <w:marLeft w:val="0"/>
      <w:marRight w:val="0"/>
      <w:marTop w:val="0"/>
      <w:marBottom w:val="0"/>
      <w:divBdr>
        <w:top w:val="none" w:sz="0" w:space="0" w:color="auto"/>
        <w:left w:val="none" w:sz="0" w:space="0" w:color="auto"/>
        <w:bottom w:val="none" w:sz="0" w:space="0" w:color="auto"/>
        <w:right w:val="none" w:sz="0" w:space="0" w:color="auto"/>
      </w:divBdr>
    </w:div>
    <w:div w:id="1721395992">
      <w:bodyDiv w:val="1"/>
      <w:marLeft w:val="0"/>
      <w:marRight w:val="0"/>
      <w:marTop w:val="0"/>
      <w:marBottom w:val="0"/>
      <w:divBdr>
        <w:top w:val="none" w:sz="0" w:space="0" w:color="auto"/>
        <w:left w:val="none" w:sz="0" w:space="0" w:color="auto"/>
        <w:bottom w:val="none" w:sz="0" w:space="0" w:color="auto"/>
        <w:right w:val="none" w:sz="0" w:space="0" w:color="auto"/>
      </w:divBdr>
    </w:div>
    <w:div w:id="1725326854">
      <w:bodyDiv w:val="1"/>
      <w:marLeft w:val="0"/>
      <w:marRight w:val="0"/>
      <w:marTop w:val="0"/>
      <w:marBottom w:val="0"/>
      <w:divBdr>
        <w:top w:val="none" w:sz="0" w:space="0" w:color="auto"/>
        <w:left w:val="none" w:sz="0" w:space="0" w:color="auto"/>
        <w:bottom w:val="none" w:sz="0" w:space="0" w:color="auto"/>
        <w:right w:val="none" w:sz="0" w:space="0" w:color="auto"/>
      </w:divBdr>
    </w:div>
    <w:div w:id="1727413567">
      <w:bodyDiv w:val="1"/>
      <w:marLeft w:val="0"/>
      <w:marRight w:val="0"/>
      <w:marTop w:val="0"/>
      <w:marBottom w:val="0"/>
      <w:divBdr>
        <w:top w:val="none" w:sz="0" w:space="0" w:color="auto"/>
        <w:left w:val="none" w:sz="0" w:space="0" w:color="auto"/>
        <w:bottom w:val="none" w:sz="0" w:space="0" w:color="auto"/>
        <w:right w:val="none" w:sz="0" w:space="0" w:color="auto"/>
      </w:divBdr>
    </w:div>
    <w:div w:id="1746417595">
      <w:bodyDiv w:val="1"/>
      <w:marLeft w:val="0"/>
      <w:marRight w:val="0"/>
      <w:marTop w:val="0"/>
      <w:marBottom w:val="0"/>
      <w:divBdr>
        <w:top w:val="none" w:sz="0" w:space="0" w:color="auto"/>
        <w:left w:val="none" w:sz="0" w:space="0" w:color="auto"/>
        <w:bottom w:val="none" w:sz="0" w:space="0" w:color="auto"/>
        <w:right w:val="none" w:sz="0" w:space="0" w:color="auto"/>
      </w:divBdr>
    </w:div>
    <w:div w:id="1759448715">
      <w:bodyDiv w:val="1"/>
      <w:marLeft w:val="0"/>
      <w:marRight w:val="0"/>
      <w:marTop w:val="0"/>
      <w:marBottom w:val="0"/>
      <w:divBdr>
        <w:top w:val="none" w:sz="0" w:space="0" w:color="auto"/>
        <w:left w:val="none" w:sz="0" w:space="0" w:color="auto"/>
        <w:bottom w:val="none" w:sz="0" w:space="0" w:color="auto"/>
        <w:right w:val="none" w:sz="0" w:space="0" w:color="auto"/>
      </w:divBdr>
    </w:div>
    <w:div w:id="1845709616">
      <w:bodyDiv w:val="1"/>
      <w:marLeft w:val="0"/>
      <w:marRight w:val="0"/>
      <w:marTop w:val="0"/>
      <w:marBottom w:val="0"/>
      <w:divBdr>
        <w:top w:val="none" w:sz="0" w:space="0" w:color="auto"/>
        <w:left w:val="none" w:sz="0" w:space="0" w:color="auto"/>
        <w:bottom w:val="none" w:sz="0" w:space="0" w:color="auto"/>
        <w:right w:val="none" w:sz="0" w:space="0" w:color="auto"/>
      </w:divBdr>
    </w:div>
    <w:div w:id="1874420780">
      <w:bodyDiv w:val="1"/>
      <w:marLeft w:val="0"/>
      <w:marRight w:val="0"/>
      <w:marTop w:val="0"/>
      <w:marBottom w:val="0"/>
      <w:divBdr>
        <w:top w:val="none" w:sz="0" w:space="0" w:color="auto"/>
        <w:left w:val="none" w:sz="0" w:space="0" w:color="auto"/>
        <w:bottom w:val="none" w:sz="0" w:space="0" w:color="auto"/>
        <w:right w:val="none" w:sz="0" w:space="0" w:color="auto"/>
      </w:divBdr>
    </w:div>
    <w:div w:id="1969892588">
      <w:bodyDiv w:val="1"/>
      <w:marLeft w:val="0"/>
      <w:marRight w:val="0"/>
      <w:marTop w:val="0"/>
      <w:marBottom w:val="0"/>
      <w:divBdr>
        <w:top w:val="none" w:sz="0" w:space="0" w:color="auto"/>
        <w:left w:val="none" w:sz="0" w:space="0" w:color="auto"/>
        <w:bottom w:val="none" w:sz="0" w:space="0" w:color="auto"/>
        <w:right w:val="none" w:sz="0" w:space="0" w:color="auto"/>
      </w:divBdr>
    </w:div>
    <w:div w:id="2043091455">
      <w:bodyDiv w:val="1"/>
      <w:marLeft w:val="0"/>
      <w:marRight w:val="0"/>
      <w:marTop w:val="0"/>
      <w:marBottom w:val="0"/>
      <w:divBdr>
        <w:top w:val="none" w:sz="0" w:space="0" w:color="auto"/>
        <w:left w:val="none" w:sz="0" w:space="0" w:color="auto"/>
        <w:bottom w:val="none" w:sz="0" w:space="0" w:color="auto"/>
        <w:right w:val="none" w:sz="0" w:space="0" w:color="auto"/>
      </w:divBdr>
    </w:div>
    <w:div w:id="2046638672">
      <w:bodyDiv w:val="1"/>
      <w:marLeft w:val="0"/>
      <w:marRight w:val="0"/>
      <w:marTop w:val="0"/>
      <w:marBottom w:val="0"/>
      <w:divBdr>
        <w:top w:val="none" w:sz="0" w:space="0" w:color="auto"/>
        <w:left w:val="none" w:sz="0" w:space="0" w:color="auto"/>
        <w:bottom w:val="none" w:sz="0" w:space="0" w:color="auto"/>
        <w:right w:val="none" w:sz="0" w:space="0" w:color="auto"/>
      </w:divBdr>
    </w:div>
    <w:div w:id="20769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1150</Words>
  <Characters>7661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 </dc:creator>
  <cp:keywords/>
  <dc:description>2018122935
Skift af MAH fra Norbrook Laboratories Ltd.</dc:description>
  <cp:lastModifiedBy>Marianne Ott Jensen</cp:lastModifiedBy>
  <cp:revision>3</cp:revision>
  <cp:lastPrinted>2013-11-11T12:20:00Z</cp:lastPrinted>
  <dcterms:created xsi:type="dcterms:W3CDTF">2019-10-09T09:37:00Z</dcterms:created>
  <dcterms:modified xsi:type="dcterms:W3CDTF">2019-10-09T09:38:00Z</dcterms:modified>
</cp:coreProperties>
</file>