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8A145" w14:textId="77777777" w:rsidR="008203A8" w:rsidRPr="008F49E1" w:rsidRDefault="008203A8" w:rsidP="008203A8">
      <w:pPr>
        <w:rPr>
          <w:sz w:val="24"/>
          <w:szCs w:val="24"/>
        </w:rPr>
      </w:pPr>
      <w:r w:rsidRPr="005B0036">
        <w:rPr>
          <w:noProof/>
          <w:sz w:val="24"/>
          <w:szCs w:val="24"/>
          <w:lang w:eastAsia="da-DK"/>
        </w:rPr>
        <w:drawing>
          <wp:inline distT="0" distB="0" distL="0" distR="0" wp14:anchorId="62165C89" wp14:editId="0EE8E703">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C0FA79D" w14:textId="77777777" w:rsidR="008203A8" w:rsidRDefault="008203A8" w:rsidP="008203A8">
      <w:pPr>
        <w:rPr>
          <w:sz w:val="24"/>
          <w:szCs w:val="24"/>
        </w:rPr>
      </w:pPr>
    </w:p>
    <w:p w14:paraId="1F9DF9D2" w14:textId="157E4AE1" w:rsidR="008203A8" w:rsidRPr="00406EE7" w:rsidRDefault="008203A8" w:rsidP="008203A8">
      <w:pPr>
        <w:tabs>
          <w:tab w:val="right" w:pos="9356"/>
        </w:tabs>
        <w:rPr>
          <w:b/>
          <w:sz w:val="24"/>
          <w:szCs w:val="24"/>
        </w:rPr>
      </w:pPr>
      <w:r>
        <w:rPr>
          <w:b/>
          <w:sz w:val="24"/>
          <w:szCs w:val="24"/>
        </w:rPr>
        <w:tab/>
      </w:r>
      <w:r w:rsidR="00800B84">
        <w:rPr>
          <w:b/>
          <w:sz w:val="24"/>
          <w:szCs w:val="24"/>
        </w:rPr>
        <w:t>9. februar 2026</w:t>
      </w:r>
    </w:p>
    <w:p w14:paraId="0A85A138" w14:textId="77777777" w:rsidR="008203A8" w:rsidRDefault="008203A8" w:rsidP="008203A8">
      <w:pPr>
        <w:rPr>
          <w:sz w:val="24"/>
          <w:szCs w:val="24"/>
        </w:rPr>
      </w:pPr>
    </w:p>
    <w:p w14:paraId="43869019" w14:textId="77777777" w:rsidR="008203A8" w:rsidRDefault="008203A8" w:rsidP="008203A8">
      <w:pPr>
        <w:jc w:val="center"/>
        <w:rPr>
          <w:b/>
          <w:sz w:val="24"/>
          <w:szCs w:val="24"/>
        </w:rPr>
      </w:pPr>
    </w:p>
    <w:p w14:paraId="1C52F61C" w14:textId="77777777" w:rsidR="008203A8" w:rsidRPr="00406EE7" w:rsidRDefault="008203A8" w:rsidP="008203A8">
      <w:pPr>
        <w:jc w:val="center"/>
        <w:rPr>
          <w:b/>
          <w:sz w:val="24"/>
          <w:szCs w:val="24"/>
        </w:rPr>
      </w:pPr>
      <w:r w:rsidRPr="00406EE7">
        <w:rPr>
          <w:b/>
          <w:sz w:val="24"/>
          <w:szCs w:val="24"/>
        </w:rPr>
        <w:t>PRODUKTRESUMÉ</w:t>
      </w:r>
    </w:p>
    <w:p w14:paraId="35B860A5" w14:textId="77777777" w:rsidR="008203A8" w:rsidRPr="00406EE7" w:rsidRDefault="008203A8" w:rsidP="008203A8">
      <w:pPr>
        <w:jc w:val="center"/>
        <w:rPr>
          <w:b/>
          <w:sz w:val="24"/>
          <w:szCs w:val="24"/>
        </w:rPr>
      </w:pPr>
    </w:p>
    <w:p w14:paraId="7D6076ED" w14:textId="77777777" w:rsidR="008203A8" w:rsidRPr="00406EE7" w:rsidRDefault="008203A8" w:rsidP="008203A8">
      <w:pPr>
        <w:jc w:val="center"/>
        <w:rPr>
          <w:b/>
          <w:sz w:val="24"/>
          <w:szCs w:val="24"/>
        </w:rPr>
      </w:pPr>
      <w:r w:rsidRPr="00406EE7">
        <w:rPr>
          <w:b/>
          <w:sz w:val="24"/>
          <w:szCs w:val="24"/>
        </w:rPr>
        <w:t>for</w:t>
      </w:r>
    </w:p>
    <w:p w14:paraId="78BF4BE5" w14:textId="77777777" w:rsidR="008203A8" w:rsidRPr="00406EE7" w:rsidRDefault="008203A8" w:rsidP="008203A8">
      <w:pPr>
        <w:jc w:val="center"/>
        <w:rPr>
          <w:b/>
          <w:sz w:val="24"/>
          <w:szCs w:val="24"/>
        </w:rPr>
      </w:pPr>
    </w:p>
    <w:p w14:paraId="5DCF7C50" w14:textId="77777777" w:rsidR="008203A8" w:rsidRPr="00565A74" w:rsidRDefault="00B32BB0" w:rsidP="008203A8">
      <w:pPr>
        <w:jc w:val="center"/>
        <w:rPr>
          <w:b/>
          <w:sz w:val="24"/>
          <w:szCs w:val="24"/>
        </w:rPr>
      </w:pPr>
      <w:bookmarkStart w:id="0" w:name="_Hlk220418379"/>
      <w:r>
        <w:rPr>
          <w:b/>
          <w:sz w:val="24"/>
          <w:szCs w:val="24"/>
        </w:rPr>
        <w:t>Pereprin</w:t>
      </w:r>
      <w:bookmarkEnd w:id="0"/>
      <w:r>
        <w:rPr>
          <w:b/>
          <w:sz w:val="24"/>
          <w:szCs w:val="24"/>
        </w:rPr>
        <w:t>, pour-on, opløsning</w:t>
      </w:r>
    </w:p>
    <w:p w14:paraId="7BE0E718" w14:textId="77777777" w:rsidR="008203A8" w:rsidRPr="00406EE7" w:rsidRDefault="008203A8" w:rsidP="008203A8">
      <w:pPr>
        <w:jc w:val="both"/>
        <w:rPr>
          <w:sz w:val="24"/>
          <w:szCs w:val="24"/>
        </w:rPr>
      </w:pPr>
    </w:p>
    <w:p w14:paraId="7E0E8258" w14:textId="77777777" w:rsidR="008203A8" w:rsidRDefault="008203A8" w:rsidP="008203A8">
      <w:pPr>
        <w:jc w:val="both"/>
        <w:rPr>
          <w:sz w:val="24"/>
          <w:szCs w:val="24"/>
        </w:rPr>
      </w:pPr>
    </w:p>
    <w:p w14:paraId="0DAB6946" w14:textId="77777777" w:rsidR="008203A8" w:rsidRPr="00406EE7" w:rsidRDefault="008203A8" w:rsidP="008203A8">
      <w:pPr>
        <w:jc w:val="both"/>
        <w:rPr>
          <w:sz w:val="24"/>
          <w:szCs w:val="24"/>
        </w:rPr>
      </w:pPr>
    </w:p>
    <w:p w14:paraId="03F26D49"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06574E9B" w14:textId="2651A816" w:rsidR="008203A8" w:rsidRPr="00A57286" w:rsidRDefault="00A57286" w:rsidP="008203A8">
      <w:pPr>
        <w:ind w:left="851"/>
        <w:rPr>
          <w:sz w:val="24"/>
          <w:szCs w:val="24"/>
        </w:rPr>
      </w:pPr>
      <w:r>
        <w:rPr>
          <w:sz w:val="24"/>
          <w:szCs w:val="24"/>
        </w:rPr>
        <w:t>34217</w:t>
      </w:r>
    </w:p>
    <w:p w14:paraId="5E6F55EA" w14:textId="77777777" w:rsidR="008203A8" w:rsidRPr="00406EE7" w:rsidRDefault="008203A8" w:rsidP="008203A8">
      <w:pPr>
        <w:ind w:left="851"/>
        <w:rPr>
          <w:sz w:val="24"/>
          <w:szCs w:val="24"/>
        </w:rPr>
      </w:pPr>
    </w:p>
    <w:p w14:paraId="703FE864"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46CEB925" w14:textId="77777777" w:rsidR="00A57286" w:rsidRPr="00A57286" w:rsidRDefault="00A57286" w:rsidP="00A57286">
      <w:pPr>
        <w:ind w:left="851"/>
        <w:rPr>
          <w:sz w:val="24"/>
          <w:szCs w:val="24"/>
        </w:rPr>
      </w:pPr>
      <w:r w:rsidRPr="00A57286">
        <w:rPr>
          <w:sz w:val="24"/>
          <w:szCs w:val="24"/>
        </w:rPr>
        <w:t xml:space="preserve">Pereprin </w:t>
      </w:r>
    </w:p>
    <w:p w14:paraId="03A18C6C" w14:textId="77777777" w:rsidR="00A57286" w:rsidRPr="00A57286" w:rsidRDefault="00A57286" w:rsidP="00A57286">
      <w:pPr>
        <w:ind w:left="851"/>
        <w:rPr>
          <w:sz w:val="24"/>
          <w:szCs w:val="24"/>
        </w:rPr>
      </w:pPr>
    </w:p>
    <w:p w14:paraId="6794C5C0" w14:textId="07DECD68" w:rsidR="00A57286" w:rsidRPr="00A57286" w:rsidRDefault="00A57286" w:rsidP="00A57286">
      <w:pPr>
        <w:ind w:left="851"/>
        <w:rPr>
          <w:sz w:val="24"/>
          <w:szCs w:val="24"/>
        </w:rPr>
      </w:pPr>
      <w:r w:rsidRPr="00A57286">
        <w:rPr>
          <w:sz w:val="24"/>
          <w:szCs w:val="24"/>
        </w:rPr>
        <w:t xml:space="preserve">Lægemiddelform: </w:t>
      </w:r>
      <w:r>
        <w:rPr>
          <w:sz w:val="24"/>
          <w:szCs w:val="24"/>
        </w:rPr>
        <w:t>P</w:t>
      </w:r>
      <w:r w:rsidRPr="00A57286">
        <w:rPr>
          <w:sz w:val="24"/>
          <w:szCs w:val="24"/>
        </w:rPr>
        <w:t>our-on, opløsning</w:t>
      </w:r>
    </w:p>
    <w:p w14:paraId="517351A2" w14:textId="77777777" w:rsidR="00A57286" w:rsidRPr="00A57286" w:rsidRDefault="00A57286" w:rsidP="00A57286">
      <w:pPr>
        <w:ind w:left="851"/>
        <w:rPr>
          <w:sz w:val="24"/>
          <w:szCs w:val="24"/>
        </w:rPr>
      </w:pPr>
      <w:r w:rsidRPr="00A57286">
        <w:rPr>
          <w:sz w:val="24"/>
          <w:szCs w:val="24"/>
        </w:rPr>
        <w:t xml:space="preserve">Styrke: 5 mg/ml </w:t>
      </w:r>
    </w:p>
    <w:p w14:paraId="0C1AEC89" w14:textId="77777777" w:rsidR="008203A8" w:rsidRPr="00406EE7" w:rsidRDefault="008203A8" w:rsidP="008203A8">
      <w:pPr>
        <w:ind w:left="851"/>
        <w:rPr>
          <w:sz w:val="24"/>
          <w:szCs w:val="24"/>
        </w:rPr>
      </w:pPr>
    </w:p>
    <w:p w14:paraId="7FF0F299"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71582C96" w14:textId="77777777" w:rsidR="00A57286" w:rsidRPr="00A57286" w:rsidRDefault="00A57286" w:rsidP="00A57286">
      <w:pPr>
        <w:ind w:left="851"/>
        <w:rPr>
          <w:bCs/>
          <w:sz w:val="24"/>
          <w:szCs w:val="24"/>
        </w:rPr>
      </w:pPr>
      <w:r w:rsidRPr="00A57286">
        <w:rPr>
          <w:bCs/>
          <w:sz w:val="24"/>
          <w:szCs w:val="24"/>
        </w:rPr>
        <w:t>En ml indeholder:</w:t>
      </w:r>
    </w:p>
    <w:p w14:paraId="5EB368D5" w14:textId="77777777" w:rsidR="00A57286" w:rsidRPr="00A57286" w:rsidRDefault="00A57286" w:rsidP="00A57286">
      <w:pPr>
        <w:ind w:left="851"/>
        <w:rPr>
          <w:b/>
          <w:sz w:val="24"/>
          <w:szCs w:val="24"/>
        </w:rPr>
      </w:pPr>
    </w:p>
    <w:p w14:paraId="23C9946A" w14:textId="77777777" w:rsidR="00A57286" w:rsidRPr="00A57286" w:rsidRDefault="00A57286" w:rsidP="00A57286">
      <w:pPr>
        <w:ind w:left="851"/>
        <w:rPr>
          <w:b/>
          <w:sz w:val="24"/>
          <w:szCs w:val="24"/>
        </w:rPr>
      </w:pPr>
      <w:r w:rsidRPr="00A57286">
        <w:rPr>
          <w:b/>
          <w:bCs/>
          <w:sz w:val="24"/>
          <w:szCs w:val="24"/>
        </w:rPr>
        <w:t>Aktivt stof:</w:t>
      </w:r>
    </w:p>
    <w:p w14:paraId="074F629B" w14:textId="38778736" w:rsidR="00A57286" w:rsidRPr="00A57286" w:rsidRDefault="00A57286" w:rsidP="00A57286">
      <w:pPr>
        <w:ind w:left="851"/>
        <w:rPr>
          <w:bCs/>
          <w:sz w:val="24"/>
          <w:szCs w:val="24"/>
        </w:rPr>
      </w:pPr>
      <w:r w:rsidRPr="00A57286">
        <w:rPr>
          <w:bCs/>
          <w:sz w:val="24"/>
          <w:szCs w:val="24"/>
        </w:rPr>
        <w:t>Eprinomectin</w:t>
      </w:r>
      <w:r>
        <w:rPr>
          <w:bCs/>
          <w:sz w:val="24"/>
          <w:szCs w:val="24"/>
        </w:rPr>
        <w:t xml:space="preserve"> </w:t>
      </w:r>
      <w:r w:rsidRPr="00A57286">
        <w:rPr>
          <w:bCs/>
          <w:sz w:val="24"/>
          <w:szCs w:val="24"/>
        </w:rPr>
        <w:t>5 mg</w:t>
      </w:r>
    </w:p>
    <w:p w14:paraId="0B867B5A" w14:textId="77777777" w:rsidR="00A57286" w:rsidRPr="00A57286" w:rsidRDefault="00A57286" w:rsidP="00A57286">
      <w:pPr>
        <w:ind w:left="851"/>
        <w:rPr>
          <w:sz w:val="24"/>
          <w:szCs w:val="24"/>
        </w:rPr>
      </w:pPr>
    </w:p>
    <w:p w14:paraId="4136D129" w14:textId="77777777" w:rsidR="00A57286" w:rsidRPr="00A57286" w:rsidRDefault="00A57286" w:rsidP="00A57286">
      <w:pPr>
        <w:ind w:left="851"/>
        <w:rPr>
          <w:sz w:val="24"/>
          <w:szCs w:val="24"/>
        </w:rPr>
      </w:pPr>
      <w:r w:rsidRPr="00A57286">
        <w:rPr>
          <w:b/>
          <w:bCs/>
          <w:sz w:val="24"/>
          <w:szCs w:val="24"/>
        </w:rPr>
        <w:t>Hjælpestoffer:</w:t>
      </w:r>
    </w:p>
    <w:p w14:paraId="6F02E4D6" w14:textId="77777777" w:rsidR="00A57286" w:rsidRPr="00A57286" w:rsidRDefault="00A57286" w:rsidP="00A57286">
      <w:pPr>
        <w:ind w:left="851"/>
        <w:rPr>
          <w:sz w:val="24"/>
          <w:szCs w:val="24"/>
        </w:rPr>
      </w:pPr>
    </w:p>
    <w:tbl>
      <w:tblPr>
        <w:tblW w:w="906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2"/>
        <w:gridCol w:w="4159"/>
      </w:tblGrid>
      <w:tr w:rsidR="00A57286" w:rsidRPr="00A57286" w14:paraId="35F3A35C" w14:textId="77777777" w:rsidTr="00A57286">
        <w:tc>
          <w:tcPr>
            <w:tcW w:w="4902" w:type="dxa"/>
            <w:tcBorders>
              <w:top w:val="single" w:sz="4" w:space="0" w:color="000000"/>
              <w:left w:val="single" w:sz="4" w:space="0" w:color="000000"/>
              <w:bottom w:val="single" w:sz="4" w:space="0" w:color="000000"/>
              <w:right w:val="single" w:sz="4" w:space="0" w:color="000000"/>
            </w:tcBorders>
            <w:vAlign w:val="center"/>
            <w:hideMark/>
          </w:tcPr>
          <w:p w14:paraId="5D11E8DE" w14:textId="77777777" w:rsidR="00A57286" w:rsidRPr="00A57286" w:rsidRDefault="00A57286" w:rsidP="00A57286">
            <w:pPr>
              <w:ind w:left="174"/>
              <w:rPr>
                <w:iCs/>
                <w:sz w:val="24"/>
                <w:szCs w:val="24"/>
              </w:rPr>
            </w:pPr>
            <w:r w:rsidRPr="00A57286">
              <w:rPr>
                <w:b/>
                <w:bCs/>
                <w:iCs/>
                <w:sz w:val="24"/>
                <w:szCs w:val="24"/>
              </w:rPr>
              <w:t>Kvalitativ sammensætning af hjælpestoffer og andre bestanddele</w:t>
            </w:r>
          </w:p>
        </w:tc>
        <w:tc>
          <w:tcPr>
            <w:tcW w:w="4159" w:type="dxa"/>
            <w:tcBorders>
              <w:top w:val="single" w:sz="4" w:space="0" w:color="000000"/>
              <w:left w:val="single" w:sz="4" w:space="0" w:color="000000"/>
              <w:bottom w:val="single" w:sz="4" w:space="0" w:color="000000"/>
              <w:right w:val="single" w:sz="4" w:space="0" w:color="000000"/>
            </w:tcBorders>
            <w:hideMark/>
          </w:tcPr>
          <w:p w14:paraId="47097FB2" w14:textId="77777777" w:rsidR="00A57286" w:rsidRDefault="00A57286" w:rsidP="00A57286">
            <w:pPr>
              <w:ind w:left="94"/>
              <w:rPr>
                <w:b/>
                <w:bCs/>
                <w:sz w:val="24"/>
                <w:szCs w:val="24"/>
              </w:rPr>
            </w:pPr>
            <w:r w:rsidRPr="00A57286">
              <w:rPr>
                <w:b/>
                <w:bCs/>
                <w:sz w:val="24"/>
                <w:szCs w:val="24"/>
              </w:rPr>
              <w:t>Kvantitativ sammensætning, hvis oplysningen er vigtig for korrekt administration af veterinærlægemidlet</w:t>
            </w:r>
          </w:p>
          <w:p w14:paraId="131F61B2" w14:textId="1EB2A8FC" w:rsidR="00A57286" w:rsidRPr="00A57286" w:rsidRDefault="00A57286" w:rsidP="00A57286">
            <w:pPr>
              <w:ind w:left="94"/>
              <w:rPr>
                <w:b/>
                <w:bCs/>
                <w:iCs/>
                <w:sz w:val="24"/>
                <w:szCs w:val="24"/>
              </w:rPr>
            </w:pPr>
          </w:p>
        </w:tc>
      </w:tr>
      <w:tr w:rsidR="00A57286" w:rsidRPr="00A57286" w14:paraId="7D1D6E21" w14:textId="77777777" w:rsidTr="00A57286">
        <w:tc>
          <w:tcPr>
            <w:tcW w:w="4902" w:type="dxa"/>
            <w:tcBorders>
              <w:top w:val="single" w:sz="4" w:space="0" w:color="000000"/>
              <w:left w:val="single" w:sz="4" w:space="0" w:color="000000"/>
              <w:bottom w:val="single" w:sz="4" w:space="0" w:color="000000"/>
              <w:right w:val="single" w:sz="4" w:space="0" w:color="000000"/>
            </w:tcBorders>
            <w:vAlign w:val="center"/>
            <w:hideMark/>
          </w:tcPr>
          <w:p w14:paraId="5ECED504" w14:textId="77777777" w:rsidR="00A57286" w:rsidRPr="00A57286" w:rsidRDefault="00A57286" w:rsidP="00A57286">
            <w:pPr>
              <w:ind w:left="174"/>
              <w:rPr>
                <w:iCs/>
                <w:sz w:val="24"/>
                <w:szCs w:val="24"/>
                <w:lang w:val="en-GB"/>
              </w:rPr>
            </w:pPr>
            <w:r w:rsidRPr="00A57286">
              <w:rPr>
                <w:iCs/>
                <w:sz w:val="24"/>
                <w:szCs w:val="24"/>
              </w:rPr>
              <w:t>Butylhydroxytoluen (E321)</w:t>
            </w:r>
          </w:p>
        </w:tc>
        <w:tc>
          <w:tcPr>
            <w:tcW w:w="4159" w:type="dxa"/>
            <w:tcBorders>
              <w:top w:val="single" w:sz="4" w:space="0" w:color="000000"/>
              <w:left w:val="single" w:sz="4" w:space="0" w:color="000000"/>
              <w:bottom w:val="single" w:sz="4" w:space="0" w:color="000000"/>
              <w:right w:val="single" w:sz="4" w:space="0" w:color="000000"/>
            </w:tcBorders>
            <w:hideMark/>
          </w:tcPr>
          <w:p w14:paraId="3FCED711" w14:textId="77777777" w:rsidR="00A57286" w:rsidRPr="00A57286" w:rsidRDefault="00A57286" w:rsidP="00A57286">
            <w:pPr>
              <w:ind w:left="94"/>
              <w:rPr>
                <w:iCs/>
                <w:sz w:val="24"/>
                <w:szCs w:val="24"/>
                <w:lang w:val="en-GB"/>
              </w:rPr>
            </w:pPr>
            <w:r w:rsidRPr="00A57286">
              <w:rPr>
                <w:iCs/>
                <w:sz w:val="24"/>
                <w:szCs w:val="24"/>
              </w:rPr>
              <w:t>0,1 mg</w:t>
            </w:r>
          </w:p>
        </w:tc>
      </w:tr>
      <w:tr w:rsidR="00A57286" w:rsidRPr="00A57286" w14:paraId="1BBEAD66" w14:textId="77777777" w:rsidTr="00A57286">
        <w:tc>
          <w:tcPr>
            <w:tcW w:w="4902" w:type="dxa"/>
            <w:tcBorders>
              <w:top w:val="single" w:sz="4" w:space="0" w:color="000000"/>
              <w:left w:val="single" w:sz="4" w:space="0" w:color="000000"/>
              <w:bottom w:val="single" w:sz="4" w:space="0" w:color="000000"/>
              <w:right w:val="single" w:sz="4" w:space="0" w:color="000000"/>
            </w:tcBorders>
            <w:vAlign w:val="center"/>
            <w:hideMark/>
          </w:tcPr>
          <w:p w14:paraId="6D16E8B6" w14:textId="77777777" w:rsidR="00A57286" w:rsidRPr="00A57286" w:rsidRDefault="00A57286" w:rsidP="00A57286">
            <w:pPr>
              <w:ind w:left="174"/>
              <w:rPr>
                <w:iCs/>
                <w:sz w:val="24"/>
                <w:szCs w:val="24"/>
                <w:lang w:val="en-GB"/>
              </w:rPr>
            </w:pPr>
            <w:r w:rsidRPr="00A57286">
              <w:rPr>
                <w:sz w:val="24"/>
                <w:szCs w:val="24"/>
              </w:rPr>
              <w:t>Propylenglycoldicaprylocaprat</w:t>
            </w:r>
          </w:p>
        </w:tc>
        <w:tc>
          <w:tcPr>
            <w:tcW w:w="4159" w:type="dxa"/>
            <w:tcBorders>
              <w:top w:val="single" w:sz="4" w:space="0" w:color="000000"/>
              <w:left w:val="single" w:sz="4" w:space="0" w:color="000000"/>
              <w:bottom w:val="single" w:sz="4" w:space="0" w:color="000000"/>
              <w:right w:val="single" w:sz="4" w:space="0" w:color="000000"/>
            </w:tcBorders>
          </w:tcPr>
          <w:p w14:paraId="22EA90B8" w14:textId="77777777" w:rsidR="00A57286" w:rsidRPr="00A57286" w:rsidRDefault="00A57286" w:rsidP="00A57286">
            <w:pPr>
              <w:ind w:left="94"/>
              <w:rPr>
                <w:sz w:val="24"/>
                <w:szCs w:val="24"/>
                <w:lang w:val="en-GB"/>
              </w:rPr>
            </w:pPr>
          </w:p>
        </w:tc>
      </w:tr>
      <w:tr w:rsidR="00A57286" w:rsidRPr="00800B84" w14:paraId="7BBCB9BA" w14:textId="77777777" w:rsidTr="00A57286">
        <w:tc>
          <w:tcPr>
            <w:tcW w:w="4902" w:type="dxa"/>
            <w:tcBorders>
              <w:top w:val="single" w:sz="4" w:space="0" w:color="000000"/>
              <w:left w:val="single" w:sz="4" w:space="0" w:color="000000"/>
              <w:bottom w:val="single" w:sz="4" w:space="0" w:color="000000"/>
              <w:right w:val="single" w:sz="4" w:space="0" w:color="000000"/>
            </w:tcBorders>
            <w:vAlign w:val="center"/>
            <w:hideMark/>
          </w:tcPr>
          <w:p w14:paraId="7D0EF1A0" w14:textId="2B2F2568" w:rsidR="00A57286" w:rsidRPr="00A57286" w:rsidRDefault="00A57286" w:rsidP="00A57286">
            <w:pPr>
              <w:ind w:left="174"/>
              <w:rPr>
                <w:sz w:val="24"/>
                <w:szCs w:val="24"/>
                <w:lang w:val="en-GB"/>
              </w:rPr>
            </w:pPr>
            <w:bookmarkStart w:id="1" w:name="_Hlk203636129"/>
            <w:r w:rsidRPr="00A57286">
              <w:rPr>
                <w:sz w:val="24"/>
                <w:szCs w:val="24"/>
                <w:lang w:val="en-US"/>
              </w:rPr>
              <w:t xml:space="preserve">All-rac-alfa-tocopherol (E307) </w:t>
            </w:r>
            <w:bookmarkEnd w:id="1"/>
          </w:p>
        </w:tc>
        <w:tc>
          <w:tcPr>
            <w:tcW w:w="4159" w:type="dxa"/>
            <w:tcBorders>
              <w:top w:val="single" w:sz="4" w:space="0" w:color="000000"/>
              <w:left w:val="single" w:sz="4" w:space="0" w:color="000000"/>
              <w:bottom w:val="single" w:sz="4" w:space="0" w:color="000000"/>
              <w:right w:val="single" w:sz="4" w:space="0" w:color="000000"/>
            </w:tcBorders>
          </w:tcPr>
          <w:p w14:paraId="41588395" w14:textId="77777777" w:rsidR="00A57286" w:rsidRPr="00A57286" w:rsidRDefault="00A57286" w:rsidP="00A57286">
            <w:pPr>
              <w:ind w:left="94"/>
              <w:rPr>
                <w:sz w:val="24"/>
                <w:szCs w:val="24"/>
                <w:lang w:val="en-GB"/>
              </w:rPr>
            </w:pPr>
          </w:p>
        </w:tc>
      </w:tr>
    </w:tbl>
    <w:p w14:paraId="122E032B" w14:textId="77777777" w:rsidR="00A57286" w:rsidRPr="00A57286" w:rsidRDefault="00A57286" w:rsidP="00A57286">
      <w:pPr>
        <w:ind w:left="851"/>
        <w:rPr>
          <w:sz w:val="24"/>
          <w:szCs w:val="24"/>
          <w:lang w:val="en-GB"/>
        </w:rPr>
      </w:pPr>
    </w:p>
    <w:p w14:paraId="0A3C3FFF" w14:textId="77777777" w:rsidR="00A57286" w:rsidRPr="00A57286" w:rsidRDefault="00A57286" w:rsidP="00A57286">
      <w:pPr>
        <w:ind w:left="851"/>
        <w:rPr>
          <w:bCs/>
          <w:sz w:val="24"/>
          <w:szCs w:val="24"/>
        </w:rPr>
      </w:pPr>
      <w:r w:rsidRPr="00A57286">
        <w:rPr>
          <w:bCs/>
          <w:sz w:val="24"/>
          <w:szCs w:val="24"/>
        </w:rPr>
        <w:t>Farveløs eller lysegul, olielignende væske.</w:t>
      </w:r>
    </w:p>
    <w:p w14:paraId="2E838B1E" w14:textId="77777777" w:rsidR="008203A8" w:rsidRDefault="008203A8" w:rsidP="008203A8">
      <w:pPr>
        <w:ind w:left="851"/>
        <w:rPr>
          <w:sz w:val="24"/>
          <w:szCs w:val="24"/>
        </w:rPr>
      </w:pPr>
    </w:p>
    <w:p w14:paraId="077CDB43" w14:textId="77777777" w:rsidR="008203A8" w:rsidRPr="008509BB" w:rsidRDefault="008203A8" w:rsidP="008203A8">
      <w:pPr>
        <w:ind w:left="851"/>
        <w:rPr>
          <w:sz w:val="24"/>
          <w:szCs w:val="24"/>
        </w:rPr>
      </w:pPr>
    </w:p>
    <w:p w14:paraId="5BF45941"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4810EA21" w14:textId="77777777" w:rsidR="008203A8" w:rsidRPr="00406EE7" w:rsidRDefault="008203A8" w:rsidP="008203A8">
      <w:pPr>
        <w:tabs>
          <w:tab w:val="left" w:pos="851"/>
        </w:tabs>
        <w:ind w:left="851"/>
        <w:rPr>
          <w:sz w:val="24"/>
          <w:szCs w:val="24"/>
        </w:rPr>
      </w:pPr>
    </w:p>
    <w:p w14:paraId="4BF2D3D2"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3E94994A" w14:textId="77777777" w:rsidR="00E94ED0" w:rsidRDefault="00E94ED0" w:rsidP="00E94ED0">
      <w:pPr>
        <w:ind w:left="851"/>
        <w:rPr>
          <w:sz w:val="24"/>
          <w:szCs w:val="24"/>
        </w:rPr>
      </w:pPr>
      <w:r w:rsidRPr="00E94ED0">
        <w:rPr>
          <w:sz w:val="24"/>
          <w:szCs w:val="24"/>
        </w:rPr>
        <w:t>Kvæg (kød- og malkekvæg)</w:t>
      </w:r>
    </w:p>
    <w:p w14:paraId="7C9E01D9" w14:textId="77777777" w:rsidR="00E94ED0" w:rsidRDefault="00E94ED0" w:rsidP="00E94ED0">
      <w:pPr>
        <w:ind w:left="851"/>
        <w:rPr>
          <w:sz w:val="24"/>
          <w:szCs w:val="24"/>
        </w:rPr>
      </w:pPr>
      <w:r>
        <w:rPr>
          <w:sz w:val="24"/>
          <w:szCs w:val="24"/>
        </w:rPr>
        <w:t>F</w:t>
      </w:r>
      <w:r w:rsidRPr="00E94ED0">
        <w:rPr>
          <w:sz w:val="24"/>
          <w:szCs w:val="24"/>
        </w:rPr>
        <w:t>år</w:t>
      </w:r>
    </w:p>
    <w:p w14:paraId="586BB5B1" w14:textId="11E183B3" w:rsidR="00E94ED0" w:rsidRPr="00E94ED0" w:rsidRDefault="00E94ED0" w:rsidP="00E94ED0">
      <w:pPr>
        <w:ind w:left="851"/>
        <w:rPr>
          <w:sz w:val="24"/>
          <w:szCs w:val="24"/>
        </w:rPr>
      </w:pPr>
      <w:r>
        <w:rPr>
          <w:sz w:val="24"/>
          <w:szCs w:val="24"/>
        </w:rPr>
        <w:t>Ged</w:t>
      </w:r>
    </w:p>
    <w:p w14:paraId="649AC394" w14:textId="77777777" w:rsidR="008203A8" w:rsidRPr="00406EE7" w:rsidRDefault="008203A8" w:rsidP="008203A8">
      <w:pPr>
        <w:ind w:left="851"/>
        <w:rPr>
          <w:sz w:val="24"/>
          <w:szCs w:val="24"/>
        </w:rPr>
      </w:pPr>
    </w:p>
    <w:p w14:paraId="204DF0F7" w14:textId="77777777" w:rsidR="008203A8" w:rsidRPr="00371CA6" w:rsidRDefault="008203A8" w:rsidP="008203A8">
      <w:pPr>
        <w:pStyle w:val="Sidehoved"/>
        <w:tabs>
          <w:tab w:val="clear" w:pos="4819"/>
        </w:tabs>
        <w:ind w:left="851" w:hanging="851"/>
        <w:rPr>
          <w:b/>
          <w:szCs w:val="24"/>
        </w:rPr>
      </w:pPr>
      <w:r>
        <w:rPr>
          <w:b/>
          <w:szCs w:val="24"/>
        </w:rPr>
        <w:t>3</w:t>
      </w:r>
      <w:r w:rsidRPr="00371CA6">
        <w:rPr>
          <w:b/>
          <w:szCs w:val="24"/>
        </w:rPr>
        <w:t>.2</w:t>
      </w:r>
      <w:r w:rsidRPr="00371CA6">
        <w:rPr>
          <w:b/>
          <w:szCs w:val="24"/>
        </w:rPr>
        <w:tab/>
        <w:t xml:space="preserve">Terapeutiske indikationer </w:t>
      </w:r>
      <w:r w:rsidRPr="00371CA6">
        <w:rPr>
          <w:b/>
        </w:rPr>
        <w:t>for hver dyreart, som lægemidlet er beregnet til</w:t>
      </w:r>
    </w:p>
    <w:p w14:paraId="6D46B7CB" w14:textId="77777777" w:rsidR="00E94ED0" w:rsidRPr="00E94ED0" w:rsidRDefault="00E94ED0" w:rsidP="00E94ED0">
      <w:pPr>
        <w:tabs>
          <w:tab w:val="left" w:pos="1304"/>
        </w:tabs>
        <w:ind w:left="851"/>
        <w:rPr>
          <w:sz w:val="24"/>
          <w:szCs w:val="24"/>
        </w:rPr>
      </w:pPr>
      <w:r w:rsidRPr="00E94ED0">
        <w:rPr>
          <w:sz w:val="24"/>
          <w:szCs w:val="24"/>
          <w:bdr w:val="none" w:sz="0" w:space="0" w:color="auto" w:frame="1"/>
        </w:rPr>
        <w:t>Til behandling af infestationer med følgende parasitter:</w:t>
      </w:r>
    </w:p>
    <w:p w14:paraId="4D05DE2E" w14:textId="77777777" w:rsidR="00E94ED0" w:rsidRPr="00E94ED0" w:rsidRDefault="00E94ED0" w:rsidP="00E94ED0">
      <w:pPr>
        <w:tabs>
          <w:tab w:val="left" w:pos="1304"/>
        </w:tabs>
        <w:rPr>
          <w:sz w:val="24"/>
          <w:szCs w:val="24"/>
        </w:rPr>
      </w:pPr>
    </w:p>
    <w:p w14:paraId="7529793A" w14:textId="77777777" w:rsidR="00E94ED0" w:rsidRPr="00E94ED0" w:rsidRDefault="00E94ED0" w:rsidP="00E94ED0">
      <w:pPr>
        <w:tabs>
          <w:tab w:val="left" w:pos="1304"/>
        </w:tabs>
        <w:ind w:left="851"/>
        <w:rPr>
          <w:b/>
          <w:bCs/>
          <w:sz w:val="24"/>
          <w:szCs w:val="24"/>
          <w:u w:val="single"/>
          <w:lang w:val="en-GB"/>
        </w:rPr>
      </w:pPr>
      <w:r w:rsidRPr="00E94ED0">
        <w:rPr>
          <w:b/>
          <w:bCs/>
          <w:sz w:val="24"/>
          <w:szCs w:val="24"/>
          <w:u w:val="single"/>
          <w:bdr w:val="none" w:sz="0" w:space="0" w:color="auto" w:frame="1"/>
        </w:rPr>
        <w:t>Kvæg:</w:t>
      </w:r>
    </w:p>
    <w:p w14:paraId="531CA333" w14:textId="77777777" w:rsidR="00E94ED0" w:rsidRPr="00E94ED0" w:rsidRDefault="00E94ED0" w:rsidP="00E94ED0">
      <w:pPr>
        <w:tabs>
          <w:tab w:val="left" w:pos="1304"/>
        </w:tabs>
        <w:rPr>
          <w:sz w:val="24"/>
          <w:szCs w:val="24"/>
        </w:rPr>
      </w:pPr>
    </w:p>
    <w:tbl>
      <w:tblPr>
        <w:tblW w:w="8647" w:type="dxa"/>
        <w:tblInd w:w="851" w:type="dxa"/>
        <w:tblLook w:val="04A0" w:firstRow="1" w:lastRow="0" w:firstColumn="1" w:lastColumn="0" w:noHBand="0" w:noVBand="1"/>
      </w:tblPr>
      <w:tblGrid>
        <w:gridCol w:w="3168"/>
        <w:gridCol w:w="1397"/>
        <w:gridCol w:w="2239"/>
        <w:gridCol w:w="1843"/>
      </w:tblGrid>
      <w:tr w:rsidR="00E94ED0" w:rsidRPr="00E94ED0" w14:paraId="17724EE3" w14:textId="77777777" w:rsidTr="00E94ED0">
        <w:tc>
          <w:tcPr>
            <w:tcW w:w="3168" w:type="dxa"/>
            <w:tcBorders>
              <w:top w:val="nil"/>
              <w:left w:val="nil"/>
              <w:bottom w:val="single" w:sz="4" w:space="0" w:color="000000"/>
              <w:right w:val="nil"/>
            </w:tcBorders>
            <w:hideMark/>
          </w:tcPr>
          <w:p w14:paraId="0CADC28F" w14:textId="77777777" w:rsidR="00E94ED0" w:rsidRPr="00E94ED0" w:rsidRDefault="00E94ED0" w:rsidP="00E94ED0">
            <w:pPr>
              <w:rPr>
                <w:rFonts w:cs="Arial"/>
                <w:b/>
                <w:sz w:val="24"/>
                <w:szCs w:val="24"/>
              </w:rPr>
            </w:pPr>
            <w:bookmarkStart w:id="2" w:name="_Hlk203654704"/>
            <w:r w:rsidRPr="00E94ED0">
              <w:rPr>
                <w:b/>
                <w:bCs/>
                <w:sz w:val="24"/>
                <w:szCs w:val="24"/>
                <w:bdr w:val="none" w:sz="0" w:space="0" w:color="auto" w:frame="1"/>
              </w:rPr>
              <w:t>PARASIT</w:t>
            </w:r>
          </w:p>
        </w:tc>
        <w:tc>
          <w:tcPr>
            <w:tcW w:w="1397" w:type="dxa"/>
            <w:tcBorders>
              <w:top w:val="nil"/>
              <w:left w:val="nil"/>
              <w:bottom w:val="single" w:sz="4" w:space="0" w:color="000000"/>
              <w:right w:val="nil"/>
            </w:tcBorders>
            <w:hideMark/>
          </w:tcPr>
          <w:p w14:paraId="010D9210" w14:textId="77777777" w:rsidR="00E94ED0" w:rsidRPr="00E94ED0" w:rsidRDefault="00E94ED0" w:rsidP="00E94ED0">
            <w:pPr>
              <w:rPr>
                <w:rFonts w:cs="Arial"/>
                <w:b/>
                <w:sz w:val="24"/>
                <w:szCs w:val="24"/>
              </w:rPr>
            </w:pPr>
            <w:r w:rsidRPr="00E94ED0">
              <w:rPr>
                <w:b/>
                <w:bCs/>
                <w:sz w:val="24"/>
                <w:szCs w:val="24"/>
                <w:bdr w:val="none" w:sz="0" w:space="0" w:color="auto" w:frame="1"/>
              </w:rPr>
              <w:t>VOKSEN</w:t>
            </w:r>
          </w:p>
        </w:tc>
        <w:tc>
          <w:tcPr>
            <w:tcW w:w="2239" w:type="dxa"/>
            <w:tcBorders>
              <w:top w:val="nil"/>
              <w:left w:val="nil"/>
              <w:bottom w:val="single" w:sz="4" w:space="0" w:color="000000"/>
              <w:right w:val="nil"/>
            </w:tcBorders>
            <w:hideMark/>
          </w:tcPr>
          <w:p w14:paraId="00A92670" w14:textId="77777777" w:rsidR="00E94ED0" w:rsidRPr="00E94ED0" w:rsidRDefault="00E94ED0" w:rsidP="00E94ED0">
            <w:pPr>
              <w:rPr>
                <w:rFonts w:cs="Arial"/>
                <w:b/>
                <w:sz w:val="24"/>
                <w:szCs w:val="24"/>
              </w:rPr>
            </w:pPr>
            <w:r w:rsidRPr="00E94ED0">
              <w:rPr>
                <w:b/>
                <w:bCs/>
                <w:sz w:val="24"/>
                <w:szCs w:val="24"/>
                <w:bdr w:val="none" w:sz="0" w:space="0" w:color="auto" w:frame="1"/>
              </w:rPr>
              <w:t>L4</w:t>
            </w:r>
          </w:p>
        </w:tc>
        <w:tc>
          <w:tcPr>
            <w:tcW w:w="1843" w:type="dxa"/>
            <w:tcBorders>
              <w:top w:val="nil"/>
              <w:left w:val="nil"/>
              <w:bottom w:val="single" w:sz="4" w:space="0" w:color="000000"/>
              <w:right w:val="nil"/>
            </w:tcBorders>
            <w:hideMark/>
          </w:tcPr>
          <w:p w14:paraId="74345A1F" w14:textId="77777777" w:rsidR="00E94ED0" w:rsidRPr="00E94ED0" w:rsidRDefault="00E94ED0" w:rsidP="00E94ED0">
            <w:pPr>
              <w:rPr>
                <w:rFonts w:cs="Arial"/>
                <w:b/>
                <w:sz w:val="24"/>
                <w:szCs w:val="24"/>
              </w:rPr>
            </w:pPr>
            <w:r w:rsidRPr="00E94ED0">
              <w:rPr>
                <w:b/>
                <w:bCs/>
                <w:sz w:val="24"/>
                <w:szCs w:val="24"/>
                <w:bdr w:val="none" w:sz="0" w:space="0" w:color="auto" w:frame="1"/>
              </w:rPr>
              <w:t>Inhiberet L4</w:t>
            </w:r>
          </w:p>
        </w:tc>
      </w:tr>
      <w:tr w:rsidR="00E94ED0" w:rsidRPr="00E94ED0" w14:paraId="63058AC9" w14:textId="77777777" w:rsidTr="00E94ED0">
        <w:tc>
          <w:tcPr>
            <w:tcW w:w="3168" w:type="dxa"/>
            <w:tcBorders>
              <w:top w:val="single" w:sz="4" w:space="0" w:color="000000"/>
              <w:left w:val="nil"/>
              <w:bottom w:val="nil"/>
              <w:right w:val="nil"/>
            </w:tcBorders>
            <w:hideMark/>
          </w:tcPr>
          <w:p w14:paraId="174909BF" w14:textId="77777777" w:rsidR="00E94ED0" w:rsidRPr="00E94ED0" w:rsidRDefault="00E94ED0" w:rsidP="00E94ED0">
            <w:pPr>
              <w:rPr>
                <w:rFonts w:cs="Arial"/>
                <w:b/>
                <w:sz w:val="24"/>
                <w:szCs w:val="24"/>
              </w:rPr>
            </w:pPr>
            <w:r w:rsidRPr="00E94ED0">
              <w:rPr>
                <w:b/>
                <w:bCs/>
                <w:sz w:val="24"/>
                <w:szCs w:val="24"/>
                <w:bdr w:val="none" w:sz="0" w:space="0" w:color="auto" w:frame="1"/>
              </w:rPr>
              <w:t>Gastrointestinale rundorme:</w:t>
            </w:r>
          </w:p>
        </w:tc>
        <w:tc>
          <w:tcPr>
            <w:tcW w:w="1397" w:type="dxa"/>
            <w:tcBorders>
              <w:top w:val="single" w:sz="4" w:space="0" w:color="000000"/>
              <w:left w:val="nil"/>
              <w:bottom w:val="nil"/>
              <w:right w:val="nil"/>
            </w:tcBorders>
          </w:tcPr>
          <w:p w14:paraId="6807AF76" w14:textId="77777777" w:rsidR="00E94ED0" w:rsidRPr="00E94ED0" w:rsidRDefault="00E94ED0" w:rsidP="00E94ED0">
            <w:pPr>
              <w:rPr>
                <w:rFonts w:cs="Arial"/>
                <w:sz w:val="24"/>
                <w:szCs w:val="24"/>
              </w:rPr>
            </w:pPr>
          </w:p>
        </w:tc>
        <w:tc>
          <w:tcPr>
            <w:tcW w:w="2239" w:type="dxa"/>
            <w:tcBorders>
              <w:top w:val="single" w:sz="4" w:space="0" w:color="000000"/>
              <w:left w:val="nil"/>
              <w:bottom w:val="nil"/>
              <w:right w:val="nil"/>
            </w:tcBorders>
          </w:tcPr>
          <w:p w14:paraId="09E34239" w14:textId="77777777" w:rsidR="00E94ED0" w:rsidRPr="00E94ED0" w:rsidRDefault="00E94ED0" w:rsidP="00E94ED0">
            <w:pPr>
              <w:rPr>
                <w:rFonts w:cs="Arial"/>
                <w:sz w:val="24"/>
                <w:szCs w:val="24"/>
              </w:rPr>
            </w:pPr>
          </w:p>
        </w:tc>
        <w:tc>
          <w:tcPr>
            <w:tcW w:w="1843" w:type="dxa"/>
            <w:tcBorders>
              <w:top w:val="single" w:sz="4" w:space="0" w:color="000000"/>
              <w:left w:val="nil"/>
              <w:bottom w:val="nil"/>
              <w:right w:val="nil"/>
            </w:tcBorders>
          </w:tcPr>
          <w:p w14:paraId="6E703DF3" w14:textId="77777777" w:rsidR="00E94ED0" w:rsidRPr="00E94ED0" w:rsidRDefault="00E94ED0" w:rsidP="00E94ED0">
            <w:pPr>
              <w:rPr>
                <w:rFonts w:cs="Arial"/>
                <w:sz w:val="24"/>
                <w:szCs w:val="24"/>
              </w:rPr>
            </w:pPr>
          </w:p>
        </w:tc>
      </w:tr>
      <w:tr w:rsidR="00E94ED0" w:rsidRPr="00E94ED0" w14:paraId="52B85819" w14:textId="77777777" w:rsidTr="00E94ED0">
        <w:tc>
          <w:tcPr>
            <w:tcW w:w="3168" w:type="dxa"/>
            <w:hideMark/>
          </w:tcPr>
          <w:p w14:paraId="66AA366E"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Ostertagia </w:t>
            </w:r>
            <w:r w:rsidRPr="00E94ED0">
              <w:rPr>
                <w:sz w:val="24"/>
                <w:szCs w:val="24"/>
                <w:bdr w:val="none" w:sz="0" w:space="0" w:color="auto" w:frame="1"/>
              </w:rPr>
              <w:t xml:space="preserve">spp. </w:t>
            </w:r>
          </w:p>
        </w:tc>
        <w:tc>
          <w:tcPr>
            <w:tcW w:w="1397" w:type="dxa"/>
            <w:hideMark/>
          </w:tcPr>
          <w:p w14:paraId="2AF70C01"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6294475F"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6D82EC83" w14:textId="77777777" w:rsidR="00E94ED0" w:rsidRPr="00E94ED0" w:rsidRDefault="00E94ED0" w:rsidP="00E94ED0">
            <w:pPr>
              <w:rPr>
                <w:rFonts w:cs="Arial"/>
                <w:sz w:val="24"/>
                <w:szCs w:val="24"/>
              </w:rPr>
            </w:pPr>
          </w:p>
        </w:tc>
      </w:tr>
      <w:tr w:rsidR="00E94ED0" w:rsidRPr="00E94ED0" w14:paraId="2A2AD86B" w14:textId="77777777" w:rsidTr="00E94ED0">
        <w:tc>
          <w:tcPr>
            <w:tcW w:w="3168" w:type="dxa"/>
            <w:hideMark/>
          </w:tcPr>
          <w:p w14:paraId="05189053"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O. lyrata </w:t>
            </w:r>
          </w:p>
        </w:tc>
        <w:tc>
          <w:tcPr>
            <w:tcW w:w="1397" w:type="dxa"/>
            <w:hideMark/>
          </w:tcPr>
          <w:p w14:paraId="1A658072"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tcPr>
          <w:p w14:paraId="42FD430C" w14:textId="77777777" w:rsidR="00E94ED0" w:rsidRPr="00E94ED0" w:rsidRDefault="00E94ED0" w:rsidP="00E94ED0">
            <w:pPr>
              <w:rPr>
                <w:rFonts w:cs="Arial"/>
                <w:sz w:val="24"/>
                <w:szCs w:val="24"/>
              </w:rPr>
            </w:pPr>
          </w:p>
        </w:tc>
        <w:tc>
          <w:tcPr>
            <w:tcW w:w="1843" w:type="dxa"/>
          </w:tcPr>
          <w:p w14:paraId="0901EE97" w14:textId="77777777" w:rsidR="00E94ED0" w:rsidRPr="00E94ED0" w:rsidRDefault="00E94ED0" w:rsidP="00E94ED0">
            <w:pPr>
              <w:rPr>
                <w:rFonts w:cs="Arial"/>
                <w:sz w:val="24"/>
                <w:szCs w:val="24"/>
              </w:rPr>
            </w:pPr>
          </w:p>
        </w:tc>
      </w:tr>
      <w:tr w:rsidR="00E94ED0" w:rsidRPr="00E94ED0" w14:paraId="196ED41C" w14:textId="77777777" w:rsidTr="00E94ED0">
        <w:tc>
          <w:tcPr>
            <w:tcW w:w="3168" w:type="dxa"/>
            <w:hideMark/>
          </w:tcPr>
          <w:p w14:paraId="48BD583D"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O. ostertagi </w:t>
            </w:r>
          </w:p>
        </w:tc>
        <w:tc>
          <w:tcPr>
            <w:tcW w:w="1397" w:type="dxa"/>
            <w:hideMark/>
          </w:tcPr>
          <w:p w14:paraId="22EEEE0F"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432F7D61"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hideMark/>
          </w:tcPr>
          <w:p w14:paraId="0FE9DA77"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r>
      <w:tr w:rsidR="00E94ED0" w:rsidRPr="00E94ED0" w14:paraId="756F33B9" w14:textId="77777777" w:rsidTr="00E94ED0">
        <w:tc>
          <w:tcPr>
            <w:tcW w:w="3168" w:type="dxa"/>
            <w:hideMark/>
          </w:tcPr>
          <w:p w14:paraId="4BCBF795"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Cooperia </w:t>
            </w:r>
            <w:r w:rsidRPr="00E94ED0">
              <w:rPr>
                <w:sz w:val="24"/>
                <w:szCs w:val="24"/>
                <w:bdr w:val="none" w:sz="0" w:space="0" w:color="auto" w:frame="1"/>
              </w:rPr>
              <w:t xml:space="preserve">spp. </w:t>
            </w:r>
          </w:p>
        </w:tc>
        <w:tc>
          <w:tcPr>
            <w:tcW w:w="1397" w:type="dxa"/>
            <w:hideMark/>
          </w:tcPr>
          <w:p w14:paraId="6AE5FEEB"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14717DE0"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hideMark/>
          </w:tcPr>
          <w:p w14:paraId="60F6C1A1"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r>
      <w:tr w:rsidR="00E94ED0" w:rsidRPr="00E94ED0" w14:paraId="0C1F9B98" w14:textId="77777777" w:rsidTr="00E94ED0">
        <w:tc>
          <w:tcPr>
            <w:tcW w:w="3168" w:type="dxa"/>
            <w:hideMark/>
          </w:tcPr>
          <w:p w14:paraId="4620322C"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C. oncophora </w:t>
            </w:r>
          </w:p>
        </w:tc>
        <w:tc>
          <w:tcPr>
            <w:tcW w:w="1397" w:type="dxa"/>
            <w:hideMark/>
          </w:tcPr>
          <w:p w14:paraId="5C31A676"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77CBECF5"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654E6904" w14:textId="77777777" w:rsidR="00E94ED0" w:rsidRPr="00E94ED0" w:rsidRDefault="00E94ED0" w:rsidP="00E94ED0">
            <w:pPr>
              <w:rPr>
                <w:rFonts w:cs="Arial"/>
                <w:sz w:val="24"/>
                <w:szCs w:val="24"/>
              </w:rPr>
            </w:pPr>
          </w:p>
        </w:tc>
      </w:tr>
      <w:tr w:rsidR="00E94ED0" w:rsidRPr="00E94ED0" w14:paraId="4A008652" w14:textId="77777777" w:rsidTr="00E94ED0">
        <w:tc>
          <w:tcPr>
            <w:tcW w:w="3168" w:type="dxa"/>
            <w:hideMark/>
          </w:tcPr>
          <w:p w14:paraId="33A0C13B" w14:textId="77777777" w:rsidR="00E94ED0" w:rsidRPr="00E94ED0" w:rsidRDefault="00E94ED0" w:rsidP="00E94ED0">
            <w:pPr>
              <w:rPr>
                <w:rFonts w:cs="Arial"/>
                <w:i/>
                <w:iCs/>
                <w:sz w:val="24"/>
                <w:szCs w:val="24"/>
                <w:lang w:val="it-IT"/>
              </w:rPr>
            </w:pPr>
            <w:r w:rsidRPr="00E94ED0">
              <w:rPr>
                <w:i/>
                <w:iCs/>
                <w:sz w:val="24"/>
                <w:szCs w:val="24"/>
                <w:bdr w:val="none" w:sz="0" w:space="0" w:color="auto" w:frame="1"/>
              </w:rPr>
              <w:t>C. pectinata</w:t>
            </w:r>
          </w:p>
        </w:tc>
        <w:tc>
          <w:tcPr>
            <w:tcW w:w="1397" w:type="dxa"/>
            <w:hideMark/>
          </w:tcPr>
          <w:p w14:paraId="3921B1F3"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5CB495FC"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16EAD52B" w14:textId="77777777" w:rsidR="00E94ED0" w:rsidRPr="00E94ED0" w:rsidRDefault="00E94ED0" w:rsidP="00E94ED0">
            <w:pPr>
              <w:rPr>
                <w:rFonts w:cs="Arial"/>
                <w:sz w:val="24"/>
                <w:szCs w:val="24"/>
              </w:rPr>
            </w:pPr>
          </w:p>
        </w:tc>
      </w:tr>
      <w:tr w:rsidR="00E94ED0" w:rsidRPr="00E94ED0" w14:paraId="19833F05" w14:textId="77777777" w:rsidTr="00E94ED0">
        <w:tc>
          <w:tcPr>
            <w:tcW w:w="3168" w:type="dxa"/>
            <w:hideMark/>
          </w:tcPr>
          <w:p w14:paraId="112DDE5E"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C. punctata </w:t>
            </w:r>
          </w:p>
        </w:tc>
        <w:tc>
          <w:tcPr>
            <w:tcW w:w="1397" w:type="dxa"/>
            <w:hideMark/>
          </w:tcPr>
          <w:p w14:paraId="27B8892D"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6D7352B2"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7C385E36" w14:textId="77777777" w:rsidR="00E94ED0" w:rsidRPr="00E94ED0" w:rsidRDefault="00E94ED0" w:rsidP="00E94ED0">
            <w:pPr>
              <w:rPr>
                <w:rFonts w:cs="Arial"/>
                <w:sz w:val="24"/>
                <w:szCs w:val="24"/>
              </w:rPr>
            </w:pPr>
          </w:p>
        </w:tc>
      </w:tr>
      <w:tr w:rsidR="00E94ED0" w:rsidRPr="00E94ED0" w14:paraId="41036E4A" w14:textId="77777777" w:rsidTr="00E94ED0">
        <w:tc>
          <w:tcPr>
            <w:tcW w:w="3168" w:type="dxa"/>
            <w:hideMark/>
          </w:tcPr>
          <w:p w14:paraId="5B1570F7" w14:textId="77777777" w:rsidR="00E94ED0" w:rsidRPr="00E94ED0" w:rsidRDefault="00E94ED0" w:rsidP="00E94ED0">
            <w:pPr>
              <w:rPr>
                <w:rFonts w:cs="Arial"/>
                <w:i/>
                <w:iCs/>
                <w:sz w:val="24"/>
                <w:szCs w:val="24"/>
                <w:lang w:val="it-IT"/>
              </w:rPr>
            </w:pPr>
            <w:r w:rsidRPr="00E94ED0">
              <w:rPr>
                <w:i/>
                <w:iCs/>
                <w:sz w:val="24"/>
                <w:szCs w:val="24"/>
                <w:bdr w:val="none" w:sz="0" w:space="0" w:color="auto" w:frame="1"/>
              </w:rPr>
              <w:t xml:space="preserve">C. surnabada </w:t>
            </w:r>
          </w:p>
        </w:tc>
        <w:tc>
          <w:tcPr>
            <w:tcW w:w="1397" w:type="dxa"/>
            <w:hideMark/>
          </w:tcPr>
          <w:p w14:paraId="609B9EE0"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4D2AEDD6"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02F30B41" w14:textId="77777777" w:rsidR="00E94ED0" w:rsidRPr="00E94ED0" w:rsidRDefault="00E94ED0" w:rsidP="00E94ED0">
            <w:pPr>
              <w:rPr>
                <w:rFonts w:cs="Arial"/>
                <w:sz w:val="24"/>
                <w:szCs w:val="24"/>
              </w:rPr>
            </w:pPr>
          </w:p>
        </w:tc>
      </w:tr>
      <w:tr w:rsidR="00E94ED0" w:rsidRPr="00E94ED0" w14:paraId="456B86F1" w14:textId="77777777" w:rsidTr="00E94ED0">
        <w:tc>
          <w:tcPr>
            <w:tcW w:w="3168" w:type="dxa"/>
            <w:hideMark/>
          </w:tcPr>
          <w:p w14:paraId="3BAAF722" w14:textId="77777777" w:rsidR="00E94ED0" w:rsidRPr="00E94ED0" w:rsidRDefault="00E94ED0" w:rsidP="00E94ED0">
            <w:pPr>
              <w:rPr>
                <w:rFonts w:cs="Arial"/>
                <w:i/>
                <w:iCs/>
                <w:sz w:val="24"/>
                <w:szCs w:val="24"/>
                <w:lang w:val="it-IT"/>
              </w:rPr>
            </w:pPr>
            <w:r w:rsidRPr="00E94ED0">
              <w:rPr>
                <w:i/>
                <w:iCs/>
                <w:sz w:val="24"/>
                <w:szCs w:val="24"/>
                <w:bdr w:val="none" w:sz="0" w:space="0" w:color="auto" w:frame="1"/>
              </w:rPr>
              <w:t>Haemonchus placei</w:t>
            </w:r>
          </w:p>
        </w:tc>
        <w:tc>
          <w:tcPr>
            <w:tcW w:w="1397" w:type="dxa"/>
            <w:hideMark/>
          </w:tcPr>
          <w:p w14:paraId="28D7B390"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7610577A"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6BF8DE0D" w14:textId="77777777" w:rsidR="00E94ED0" w:rsidRPr="00E94ED0" w:rsidRDefault="00E94ED0" w:rsidP="00E94ED0">
            <w:pPr>
              <w:rPr>
                <w:rFonts w:cs="Arial"/>
                <w:sz w:val="24"/>
                <w:szCs w:val="24"/>
              </w:rPr>
            </w:pPr>
          </w:p>
        </w:tc>
      </w:tr>
      <w:tr w:rsidR="00E94ED0" w:rsidRPr="00E94ED0" w14:paraId="6B1EB23C" w14:textId="77777777" w:rsidTr="00E94ED0">
        <w:tc>
          <w:tcPr>
            <w:tcW w:w="3168" w:type="dxa"/>
            <w:hideMark/>
          </w:tcPr>
          <w:p w14:paraId="4924ACE2"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Trichostrongylus </w:t>
            </w:r>
            <w:r w:rsidRPr="00E94ED0">
              <w:rPr>
                <w:sz w:val="24"/>
                <w:szCs w:val="24"/>
                <w:bdr w:val="none" w:sz="0" w:space="0" w:color="auto" w:frame="1"/>
              </w:rPr>
              <w:t xml:space="preserve">spp. </w:t>
            </w:r>
          </w:p>
        </w:tc>
        <w:tc>
          <w:tcPr>
            <w:tcW w:w="1397" w:type="dxa"/>
            <w:hideMark/>
          </w:tcPr>
          <w:p w14:paraId="1F093212"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3ED29975"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3055EAD5" w14:textId="77777777" w:rsidR="00E94ED0" w:rsidRPr="00E94ED0" w:rsidRDefault="00E94ED0" w:rsidP="00E94ED0">
            <w:pPr>
              <w:rPr>
                <w:rFonts w:cs="Arial"/>
                <w:sz w:val="24"/>
                <w:szCs w:val="24"/>
              </w:rPr>
            </w:pPr>
          </w:p>
        </w:tc>
      </w:tr>
      <w:tr w:rsidR="00E94ED0" w:rsidRPr="00E94ED0" w14:paraId="19F6F674" w14:textId="77777777" w:rsidTr="00E94ED0">
        <w:tc>
          <w:tcPr>
            <w:tcW w:w="3168" w:type="dxa"/>
            <w:hideMark/>
          </w:tcPr>
          <w:p w14:paraId="13A8A53B"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T. axei </w:t>
            </w:r>
          </w:p>
        </w:tc>
        <w:tc>
          <w:tcPr>
            <w:tcW w:w="1397" w:type="dxa"/>
            <w:hideMark/>
          </w:tcPr>
          <w:p w14:paraId="47D77E9B"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3120E6A9"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563DBFE1" w14:textId="77777777" w:rsidR="00E94ED0" w:rsidRPr="00E94ED0" w:rsidRDefault="00E94ED0" w:rsidP="00E94ED0">
            <w:pPr>
              <w:rPr>
                <w:rFonts w:cs="Arial"/>
                <w:sz w:val="24"/>
                <w:szCs w:val="24"/>
              </w:rPr>
            </w:pPr>
          </w:p>
        </w:tc>
      </w:tr>
      <w:tr w:rsidR="00E94ED0" w:rsidRPr="00E94ED0" w14:paraId="252D9AAF" w14:textId="77777777" w:rsidTr="00E94ED0">
        <w:tc>
          <w:tcPr>
            <w:tcW w:w="3168" w:type="dxa"/>
            <w:hideMark/>
          </w:tcPr>
          <w:p w14:paraId="32598035"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T. colubriformis </w:t>
            </w:r>
          </w:p>
        </w:tc>
        <w:tc>
          <w:tcPr>
            <w:tcW w:w="1397" w:type="dxa"/>
            <w:hideMark/>
          </w:tcPr>
          <w:p w14:paraId="2E983058"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1F837790"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118E8FC1" w14:textId="77777777" w:rsidR="00E94ED0" w:rsidRPr="00E94ED0" w:rsidRDefault="00E94ED0" w:rsidP="00E94ED0">
            <w:pPr>
              <w:rPr>
                <w:rFonts w:cs="Arial"/>
                <w:sz w:val="24"/>
                <w:szCs w:val="24"/>
              </w:rPr>
            </w:pPr>
          </w:p>
        </w:tc>
      </w:tr>
      <w:tr w:rsidR="00E94ED0" w:rsidRPr="00E94ED0" w14:paraId="44F9DFB2" w14:textId="77777777" w:rsidTr="00E94ED0">
        <w:tc>
          <w:tcPr>
            <w:tcW w:w="3168" w:type="dxa"/>
            <w:hideMark/>
          </w:tcPr>
          <w:p w14:paraId="6193EE8F"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Bunostomum phlebotomum </w:t>
            </w:r>
          </w:p>
        </w:tc>
        <w:tc>
          <w:tcPr>
            <w:tcW w:w="1397" w:type="dxa"/>
            <w:hideMark/>
          </w:tcPr>
          <w:p w14:paraId="0333CCA1"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753DE672"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62BE98D4" w14:textId="77777777" w:rsidR="00E94ED0" w:rsidRPr="00E94ED0" w:rsidRDefault="00E94ED0" w:rsidP="00E94ED0">
            <w:pPr>
              <w:rPr>
                <w:rFonts w:cs="Arial"/>
                <w:sz w:val="24"/>
                <w:szCs w:val="24"/>
              </w:rPr>
            </w:pPr>
          </w:p>
        </w:tc>
      </w:tr>
      <w:tr w:rsidR="00E94ED0" w:rsidRPr="00E94ED0" w14:paraId="356D88B6" w14:textId="77777777" w:rsidTr="00E94ED0">
        <w:tc>
          <w:tcPr>
            <w:tcW w:w="3168" w:type="dxa"/>
            <w:hideMark/>
          </w:tcPr>
          <w:p w14:paraId="410791F8"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Nematodirus helvetianus </w:t>
            </w:r>
          </w:p>
        </w:tc>
        <w:tc>
          <w:tcPr>
            <w:tcW w:w="1397" w:type="dxa"/>
            <w:hideMark/>
          </w:tcPr>
          <w:p w14:paraId="5A77BCEC"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3E977DCE"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54C21A08" w14:textId="77777777" w:rsidR="00E94ED0" w:rsidRPr="00E94ED0" w:rsidRDefault="00E94ED0" w:rsidP="00E94ED0">
            <w:pPr>
              <w:rPr>
                <w:rFonts w:cs="Arial"/>
                <w:sz w:val="24"/>
                <w:szCs w:val="24"/>
              </w:rPr>
            </w:pPr>
          </w:p>
        </w:tc>
      </w:tr>
      <w:tr w:rsidR="00E94ED0" w:rsidRPr="00E94ED0" w14:paraId="7EC15262" w14:textId="77777777" w:rsidTr="00E94ED0">
        <w:tc>
          <w:tcPr>
            <w:tcW w:w="3168" w:type="dxa"/>
            <w:hideMark/>
          </w:tcPr>
          <w:p w14:paraId="462285DC"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Oesophagostomum </w:t>
            </w:r>
            <w:r w:rsidRPr="00E94ED0">
              <w:rPr>
                <w:sz w:val="24"/>
                <w:szCs w:val="24"/>
                <w:bdr w:val="none" w:sz="0" w:space="0" w:color="auto" w:frame="1"/>
              </w:rPr>
              <w:t>spp.</w:t>
            </w:r>
          </w:p>
        </w:tc>
        <w:tc>
          <w:tcPr>
            <w:tcW w:w="1397" w:type="dxa"/>
            <w:hideMark/>
          </w:tcPr>
          <w:p w14:paraId="3576174C"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tcPr>
          <w:p w14:paraId="0E68984D" w14:textId="77777777" w:rsidR="00E94ED0" w:rsidRPr="00E94ED0" w:rsidRDefault="00E94ED0" w:rsidP="00E94ED0">
            <w:pPr>
              <w:rPr>
                <w:rFonts w:cs="Arial"/>
                <w:sz w:val="24"/>
                <w:szCs w:val="24"/>
              </w:rPr>
            </w:pPr>
          </w:p>
        </w:tc>
        <w:tc>
          <w:tcPr>
            <w:tcW w:w="1843" w:type="dxa"/>
          </w:tcPr>
          <w:p w14:paraId="5DA785B5" w14:textId="77777777" w:rsidR="00E94ED0" w:rsidRPr="00E94ED0" w:rsidRDefault="00E94ED0" w:rsidP="00E94ED0">
            <w:pPr>
              <w:rPr>
                <w:rFonts w:cs="Arial"/>
                <w:sz w:val="24"/>
                <w:szCs w:val="24"/>
              </w:rPr>
            </w:pPr>
          </w:p>
        </w:tc>
      </w:tr>
      <w:tr w:rsidR="00E94ED0" w:rsidRPr="00E94ED0" w14:paraId="648F3223" w14:textId="77777777" w:rsidTr="00E94ED0">
        <w:tc>
          <w:tcPr>
            <w:tcW w:w="3168" w:type="dxa"/>
            <w:hideMark/>
          </w:tcPr>
          <w:p w14:paraId="59826D71"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Oesophagostomum radiatum </w:t>
            </w:r>
          </w:p>
        </w:tc>
        <w:tc>
          <w:tcPr>
            <w:tcW w:w="1397" w:type="dxa"/>
            <w:hideMark/>
          </w:tcPr>
          <w:p w14:paraId="7BAD5AFE"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hideMark/>
          </w:tcPr>
          <w:p w14:paraId="4488C566"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Pr>
          <w:p w14:paraId="4E09AF19" w14:textId="77777777" w:rsidR="00E94ED0" w:rsidRPr="00E94ED0" w:rsidRDefault="00E94ED0" w:rsidP="00E94ED0">
            <w:pPr>
              <w:rPr>
                <w:rFonts w:cs="Arial"/>
                <w:sz w:val="24"/>
                <w:szCs w:val="24"/>
              </w:rPr>
            </w:pPr>
          </w:p>
        </w:tc>
      </w:tr>
      <w:tr w:rsidR="00E94ED0" w:rsidRPr="00E94ED0" w14:paraId="59B89FDF" w14:textId="77777777" w:rsidTr="00E94ED0">
        <w:tc>
          <w:tcPr>
            <w:tcW w:w="3168" w:type="dxa"/>
            <w:hideMark/>
          </w:tcPr>
          <w:p w14:paraId="648363AC" w14:textId="77777777" w:rsidR="00E94ED0" w:rsidRPr="00E94ED0" w:rsidRDefault="00E94ED0" w:rsidP="00E94ED0">
            <w:pPr>
              <w:rPr>
                <w:rFonts w:cs="Arial"/>
                <w:sz w:val="24"/>
                <w:szCs w:val="24"/>
                <w:lang w:val="it-IT"/>
              </w:rPr>
            </w:pPr>
            <w:r w:rsidRPr="00E94ED0">
              <w:rPr>
                <w:i/>
                <w:iCs/>
                <w:sz w:val="24"/>
                <w:szCs w:val="24"/>
                <w:bdr w:val="none" w:sz="0" w:space="0" w:color="auto" w:frame="1"/>
              </w:rPr>
              <w:t xml:space="preserve">Trichuris </w:t>
            </w:r>
            <w:r w:rsidRPr="00E94ED0">
              <w:rPr>
                <w:sz w:val="24"/>
                <w:szCs w:val="24"/>
                <w:bdr w:val="none" w:sz="0" w:space="0" w:color="auto" w:frame="1"/>
              </w:rPr>
              <w:t xml:space="preserve">spp. </w:t>
            </w:r>
          </w:p>
        </w:tc>
        <w:tc>
          <w:tcPr>
            <w:tcW w:w="1397" w:type="dxa"/>
            <w:hideMark/>
          </w:tcPr>
          <w:p w14:paraId="1F939A19"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tcPr>
          <w:p w14:paraId="7C8B7809" w14:textId="77777777" w:rsidR="00E94ED0" w:rsidRPr="00E94ED0" w:rsidRDefault="00E94ED0" w:rsidP="00E94ED0">
            <w:pPr>
              <w:rPr>
                <w:rFonts w:cs="Arial"/>
                <w:sz w:val="24"/>
                <w:szCs w:val="24"/>
              </w:rPr>
            </w:pPr>
          </w:p>
        </w:tc>
        <w:tc>
          <w:tcPr>
            <w:tcW w:w="1843" w:type="dxa"/>
          </w:tcPr>
          <w:p w14:paraId="0D88F200" w14:textId="77777777" w:rsidR="00E94ED0" w:rsidRPr="00E94ED0" w:rsidRDefault="00E94ED0" w:rsidP="00E94ED0">
            <w:pPr>
              <w:rPr>
                <w:rFonts w:cs="Arial"/>
                <w:sz w:val="24"/>
                <w:szCs w:val="24"/>
              </w:rPr>
            </w:pPr>
          </w:p>
        </w:tc>
      </w:tr>
      <w:tr w:rsidR="00E94ED0" w:rsidRPr="00E94ED0" w14:paraId="109FB3F6" w14:textId="77777777" w:rsidTr="00E94ED0">
        <w:trPr>
          <w:trHeight w:val="304"/>
        </w:trPr>
        <w:tc>
          <w:tcPr>
            <w:tcW w:w="3168" w:type="dxa"/>
            <w:tcBorders>
              <w:top w:val="single" w:sz="4" w:space="0" w:color="auto"/>
              <w:left w:val="nil"/>
              <w:bottom w:val="nil"/>
              <w:right w:val="nil"/>
            </w:tcBorders>
            <w:hideMark/>
          </w:tcPr>
          <w:p w14:paraId="1ADA1EDB" w14:textId="77777777" w:rsidR="00E94ED0" w:rsidRPr="00E94ED0" w:rsidRDefault="00E94ED0" w:rsidP="00E94ED0">
            <w:pPr>
              <w:tabs>
                <w:tab w:val="left" w:pos="1304"/>
              </w:tabs>
              <w:rPr>
                <w:rFonts w:cs="Arial"/>
                <w:i/>
                <w:iCs/>
                <w:sz w:val="24"/>
                <w:szCs w:val="24"/>
                <w:lang w:val="it-IT"/>
              </w:rPr>
            </w:pPr>
            <w:r w:rsidRPr="00E94ED0">
              <w:rPr>
                <w:b/>
                <w:bCs/>
                <w:sz w:val="24"/>
                <w:szCs w:val="24"/>
                <w:bdr w:val="none" w:sz="0" w:space="0" w:color="auto" w:frame="1"/>
              </w:rPr>
              <w:t>Lungeorm:</w:t>
            </w:r>
          </w:p>
        </w:tc>
        <w:tc>
          <w:tcPr>
            <w:tcW w:w="1397" w:type="dxa"/>
            <w:tcBorders>
              <w:top w:val="single" w:sz="4" w:space="0" w:color="auto"/>
              <w:left w:val="nil"/>
              <w:bottom w:val="nil"/>
              <w:right w:val="nil"/>
            </w:tcBorders>
          </w:tcPr>
          <w:p w14:paraId="3CDE802A" w14:textId="77777777" w:rsidR="00E94ED0" w:rsidRPr="00E94ED0" w:rsidRDefault="00E94ED0" w:rsidP="00E94ED0">
            <w:pPr>
              <w:rPr>
                <w:rFonts w:cs="Arial"/>
                <w:sz w:val="24"/>
                <w:szCs w:val="24"/>
                <w:lang w:val="en-GB"/>
              </w:rPr>
            </w:pPr>
          </w:p>
        </w:tc>
        <w:tc>
          <w:tcPr>
            <w:tcW w:w="2239" w:type="dxa"/>
            <w:tcBorders>
              <w:top w:val="single" w:sz="4" w:space="0" w:color="auto"/>
              <w:left w:val="nil"/>
              <w:bottom w:val="nil"/>
              <w:right w:val="nil"/>
            </w:tcBorders>
          </w:tcPr>
          <w:p w14:paraId="3EE7A579" w14:textId="77777777" w:rsidR="00E94ED0" w:rsidRPr="00E94ED0" w:rsidRDefault="00E94ED0" w:rsidP="00E94ED0">
            <w:pPr>
              <w:rPr>
                <w:rFonts w:cs="Arial"/>
                <w:sz w:val="24"/>
                <w:szCs w:val="24"/>
              </w:rPr>
            </w:pPr>
          </w:p>
        </w:tc>
        <w:tc>
          <w:tcPr>
            <w:tcW w:w="1843" w:type="dxa"/>
            <w:tcBorders>
              <w:top w:val="single" w:sz="4" w:space="0" w:color="auto"/>
              <w:left w:val="nil"/>
              <w:bottom w:val="nil"/>
              <w:right w:val="nil"/>
            </w:tcBorders>
          </w:tcPr>
          <w:p w14:paraId="57C3E11B" w14:textId="77777777" w:rsidR="00E94ED0" w:rsidRPr="00E94ED0" w:rsidRDefault="00E94ED0" w:rsidP="00E94ED0">
            <w:pPr>
              <w:rPr>
                <w:rFonts w:cs="Arial"/>
                <w:sz w:val="24"/>
                <w:szCs w:val="24"/>
              </w:rPr>
            </w:pPr>
          </w:p>
        </w:tc>
      </w:tr>
      <w:tr w:rsidR="00E94ED0" w:rsidRPr="00E94ED0" w14:paraId="03B1D013" w14:textId="77777777" w:rsidTr="00E94ED0">
        <w:tc>
          <w:tcPr>
            <w:tcW w:w="3168" w:type="dxa"/>
            <w:tcBorders>
              <w:top w:val="nil"/>
              <w:left w:val="nil"/>
              <w:bottom w:val="single" w:sz="4" w:space="0" w:color="000000"/>
              <w:right w:val="nil"/>
            </w:tcBorders>
            <w:hideMark/>
          </w:tcPr>
          <w:p w14:paraId="59C78E1A" w14:textId="77777777" w:rsidR="00E94ED0" w:rsidRPr="00E94ED0" w:rsidRDefault="00E94ED0" w:rsidP="00E94ED0">
            <w:pPr>
              <w:rPr>
                <w:rFonts w:cs="Arial"/>
                <w:i/>
                <w:iCs/>
                <w:sz w:val="24"/>
                <w:szCs w:val="24"/>
                <w:lang w:val="it-IT"/>
              </w:rPr>
            </w:pPr>
            <w:r w:rsidRPr="00E94ED0">
              <w:rPr>
                <w:i/>
                <w:iCs/>
                <w:sz w:val="24"/>
                <w:szCs w:val="24"/>
                <w:bdr w:val="none" w:sz="0" w:space="0" w:color="auto" w:frame="1"/>
              </w:rPr>
              <w:t>Dictyocaulus viviparus</w:t>
            </w:r>
          </w:p>
        </w:tc>
        <w:tc>
          <w:tcPr>
            <w:tcW w:w="1397" w:type="dxa"/>
            <w:tcBorders>
              <w:top w:val="nil"/>
              <w:left w:val="nil"/>
              <w:bottom w:val="single" w:sz="4" w:space="0" w:color="000000"/>
              <w:right w:val="nil"/>
            </w:tcBorders>
            <w:hideMark/>
          </w:tcPr>
          <w:p w14:paraId="57A35BF4" w14:textId="77777777" w:rsidR="00E94ED0" w:rsidRPr="00E94ED0" w:rsidRDefault="00E94ED0" w:rsidP="00E94ED0">
            <w:pPr>
              <w:rPr>
                <w:rFonts w:cs="Arial"/>
                <w:sz w:val="24"/>
                <w:szCs w:val="24"/>
                <w:lang w:val="en-GB"/>
              </w:rPr>
            </w:pPr>
            <w:r w:rsidRPr="00E94ED0">
              <w:rPr>
                <w:rFonts w:ascii="Wingdings" w:hAnsi="Wingdings" w:cs="Arial"/>
                <w:sz w:val="24"/>
                <w:szCs w:val="24"/>
              </w:rPr>
              <w:sym w:font="Wingdings" w:char="F075"/>
            </w:r>
          </w:p>
        </w:tc>
        <w:tc>
          <w:tcPr>
            <w:tcW w:w="2239" w:type="dxa"/>
            <w:tcBorders>
              <w:top w:val="nil"/>
              <w:left w:val="nil"/>
              <w:bottom w:val="single" w:sz="4" w:space="0" w:color="000000"/>
              <w:right w:val="nil"/>
            </w:tcBorders>
            <w:hideMark/>
          </w:tcPr>
          <w:p w14:paraId="310B77AF" w14:textId="77777777" w:rsidR="00E94ED0" w:rsidRPr="00E94ED0" w:rsidRDefault="00E94ED0" w:rsidP="00E94ED0">
            <w:pPr>
              <w:rPr>
                <w:rFonts w:cs="Arial"/>
                <w:sz w:val="24"/>
                <w:szCs w:val="24"/>
              </w:rPr>
            </w:pPr>
            <w:r w:rsidRPr="00E94ED0">
              <w:rPr>
                <w:rFonts w:ascii="Wingdings" w:hAnsi="Wingdings" w:cs="Arial"/>
                <w:sz w:val="24"/>
                <w:szCs w:val="24"/>
              </w:rPr>
              <w:sym w:font="Wingdings" w:char="F075"/>
            </w:r>
          </w:p>
        </w:tc>
        <w:tc>
          <w:tcPr>
            <w:tcW w:w="1843" w:type="dxa"/>
            <w:tcBorders>
              <w:top w:val="nil"/>
              <w:left w:val="nil"/>
              <w:bottom w:val="single" w:sz="4" w:space="0" w:color="000000"/>
              <w:right w:val="nil"/>
            </w:tcBorders>
          </w:tcPr>
          <w:p w14:paraId="1FFB3876" w14:textId="77777777" w:rsidR="00E94ED0" w:rsidRPr="00E94ED0" w:rsidRDefault="00E94ED0" w:rsidP="00E94ED0">
            <w:pPr>
              <w:rPr>
                <w:rFonts w:cs="Arial"/>
                <w:sz w:val="24"/>
                <w:szCs w:val="24"/>
              </w:rPr>
            </w:pPr>
          </w:p>
        </w:tc>
      </w:tr>
      <w:bookmarkEnd w:id="2"/>
    </w:tbl>
    <w:p w14:paraId="57882E23" w14:textId="77777777" w:rsidR="00E94ED0" w:rsidRPr="00E94ED0" w:rsidRDefault="00E94ED0" w:rsidP="00E94ED0">
      <w:pPr>
        <w:tabs>
          <w:tab w:val="left" w:pos="993"/>
        </w:tabs>
        <w:ind w:left="851"/>
        <w:rPr>
          <w:sz w:val="24"/>
          <w:szCs w:val="24"/>
          <w:lang w:val="en-GB"/>
        </w:rPr>
      </w:pPr>
    </w:p>
    <w:p w14:paraId="1E5EC843" w14:textId="77777777" w:rsidR="00E94ED0" w:rsidRPr="00E94ED0" w:rsidRDefault="00E94ED0" w:rsidP="00E94ED0">
      <w:pPr>
        <w:tabs>
          <w:tab w:val="left" w:pos="284"/>
        </w:tabs>
        <w:rPr>
          <w:b/>
          <w:bCs/>
          <w:sz w:val="24"/>
          <w:szCs w:val="24"/>
        </w:rPr>
      </w:pPr>
    </w:p>
    <w:p w14:paraId="35357A1F" w14:textId="77777777" w:rsidR="00E94ED0" w:rsidRPr="00E94ED0" w:rsidRDefault="00E94ED0" w:rsidP="00E94ED0">
      <w:pPr>
        <w:tabs>
          <w:tab w:val="left" w:pos="284"/>
        </w:tabs>
        <w:ind w:left="851"/>
        <w:rPr>
          <w:b/>
          <w:bCs/>
          <w:sz w:val="24"/>
          <w:szCs w:val="24"/>
        </w:rPr>
      </w:pPr>
      <w:bookmarkStart w:id="3" w:name="_Hlk203654726"/>
      <w:r w:rsidRPr="00E94ED0">
        <w:rPr>
          <w:b/>
          <w:bCs/>
          <w:sz w:val="24"/>
          <w:szCs w:val="24"/>
          <w:bdr w:val="none" w:sz="0" w:space="0" w:color="auto" w:frame="1"/>
        </w:rPr>
        <w:t>Oksebremselarver (parasitiske stadier):</w:t>
      </w:r>
    </w:p>
    <w:p w14:paraId="5F9AD18C" w14:textId="77777777" w:rsidR="00E94ED0" w:rsidRPr="00E94ED0" w:rsidRDefault="00E94ED0" w:rsidP="00E94ED0">
      <w:pPr>
        <w:tabs>
          <w:tab w:val="left" w:pos="993"/>
        </w:tabs>
        <w:ind w:left="851"/>
        <w:rPr>
          <w:i/>
          <w:iCs/>
          <w:sz w:val="24"/>
          <w:szCs w:val="24"/>
        </w:rPr>
      </w:pPr>
      <w:r w:rsidRPr="00E94ED0">
        <w:rPr>
          <w:i/>
          <w:iCs/>
          <w:sz w:val="24"/>
          <w:szCs w:val="24"/>
          <w:bdr w:val="none" w:sz="0" w:space="0" w:color="auto" w:frame="1"/>
        </w:rPr>
        <w:tab/>
        <w:t>Hypoderma bovis</w:t>
      </w:r>
    </w:p>
    <w:p w14:paraId="5165E357" w14:textId="77777777" w:rsidR="00E94ED0" w:rsidRPr="00E94ED0" w:rsidRDefault="00E94ED0" w:rsidP="00E94ED0">
      <w:pPr>
        <w:tabs>
          <w:tab w:val="left" w:pos="284"/>
          <w:tab w:val="left" w:pos="993"/>
        </w:tabs>
        <w:ind w:left="851"/>
        <w:rPr>
          <w:i/>
          <w:iCs/>
          <w:sz w:val="24"/>
          <w:szCs w:val="24"/>
        </w:rPr>
      </w:pPr>
      <w:r w:rsidRPr="00E94ED0">
        <w:rPr>
          <w:i/>
          <w:iCs/>
          <w:sz w:val="24"/>
          <w:szCs w:val="24"/>
          <w:bdr w:val="none" w:sz="0" w:space="0" w:color="auto" w:frame="1"/>
        </w:rPr>
        <w:tab/>
        <w:t>Hypoderma lineatum</w:t>
      </w:r>
    </w:p>
    <w:p w14:paraId="4CCF67A2" w14:textId="77777777" w:rsidR="00E94ED0" w:rsidRPr="00E94ED0" w:rsidRDefault="00E94ED0" w:rsidP="00E94ED0">
      <w:pPr>
        <w:tabs>
          <w:tab w:val="left" w:pos="284"/>
          <w:tab w:val="left" w:pos="993"/>
        </w:tabs>
        <w:ind w:left="851"/>
        <w:rPr>
          <w:i/>
          <w:iCs/>
          <w:sz w:val="24"/>
          <w:szCs w:val="24"/>
        </w:rPr>
      </w:pPr>
    </w:p>
    <w:p w14:paraId="4BC78253" w14:textId="77777777" w:rsidR="00E94ED0" w:rsidRPr="00E94ED0" w:rsidRDefault="00E94ED0" w:rsidP="00E94ED0">
      <w:pPr>
        <w:tabs>
          <w:tab w:val="left" w:pos="284"/>
          <w:tab w:val="left" w:pos="993"/>
        </w:tabs>
        <w:ind w:left="851"/>
        <w:rPr>
          <w:b/>
          <w:bCs/>
          <w:sz w:val="24"/>
          <w:szCs w:val="24"/>
          <w:lang w:val="en-GB"/>
        </w:rPr>
      </w:pPr>
      <w:r w:rsidRPr="00E94ED0">
        <w:rPr>
          <w:b/>
          <w:bCs/>
          <w:sz w:val="24"/>
          <w:szCs w:val="24"/>
          <w:bdr w:val="none" w:sz="0" w:space="0" w:color="auto" w:frame="1"/>
          <w:lang w:val="en-US"/>
        </w:rPr>
        <w:t>Skabmider:</w:t>
      </w:r>
    </w:p>
    <w:p w14:paraId="3FDF8724" w14:textId="77777777" w:rsidR="00E94ED0" w:rsidRPr="00E94ED0" w:rsidRDefault="00E94ED0" w:rsidP="00E94ED0">
      <w:pPr>
        <w:tabs>
          <w:tab w:val="left" w:pos="284"/>
          <w:tab w:val="left" w:pos="993"/>
        </w:tabs>
        <w:ind w:left="851"/>
        <w:rPr>
          <w:i/>
          <w:iCs/>
          <w:sz w:val="24"/>
          <w:szCs w:val="24"/>
          <w:lang w:val="en-US"/>
        </w:rPr>
      </w:pPr>
      <w:r w:rsidRPr="00E94ED0">
        <w:rPr>
          <w:i/>
          <w:iCs/>
          <w:sz w:val="24"/>
          <w:szCs w:val="24"/>
          <w:bdr w:val="none" w:sz="0" w:space="0" w:color="auto" w:frame="1"/>
          <w:lang w:val="en-US"/>
        </w:rPr>
        <w:tab/>
        <w:t>Chorioptes bovis</w:t>
      </w:r>
    </w:p>
    <w:p w14:paraId="7D503383" w14:textId="77777777" w:rsidR="00E94ED0" w:rsidRPr="00E94ED0" w:rsidRDefault="00E94ED0" w:rsidP="00E94ED0">
      <w:pPr>
        <w:tabs>
          <w:tab w:val="left" w:pos="284"/>
          <w:tab w:val="left" w:pos="993"/>
        </w:tabs>
        <w:ind w:left="851"/>
        <w:rPr>
          <w:i/>
          <w:iCs/>
          <w:sz w:val="24"/>
          <w:szCs w:val="24"/>
          <w:lang w:val="en-US"/>
        </w:rPr>
      </w:pPr>
      <w:r w:rsidRPr="00E94ED0">
        <w:rPr>
          <w:i/>
          <w:iCs/>
          <w:sz w:val="24"/>
          <w:szCs w:val="24"/>
          <w:bdr w:val="none" w:sz="0" w:space="0" w:color="auto" w:frame="1"/>
          <w:lang w:val="en-US"/>
        </w:rPr>
        <w:tab/>
        <w:t xml:space="preserve">Sarcoptes scabiei </w:t>
      </w:r>
      <w:r w:rsidRPr="00E94ED0">
        <w:rPr>
          <w:sz w:val="24"/>
          <w:szCs w:val="24"/>
          <w:bdr w:val="none" w:sz="0" w:space="0" w:color="auto" w:frame="1"/>
          <w:lang w:val="en-US"/>
        </w:rPr>
        <w:t xml:space="preserve">var. </w:t>
      </w:r>
      <w:r w:rsidRPr="00E94ED0">
        <w:rPr>
          <w:i/>
          <w:iCs/>
          <w:sz w:val="24"/>
          <w:szCs w:val="24"/>
          <w:bdr w:val="none" w:sz="0" w:space="0" w:color="auto" w:frame="1"/>
          <w:lang w:val="en-US"/>
        </w:rPr>
        <w:t>bovis</w:t>
      </w:r>
    </w:p>
    <w:p w14:paraId="08D514B7" w14:textId="77777777" w:rsidR="00E94ED0" w:rsidRPr="00E94ED0" w:rsidRDefault="00E94ED0" w:rsidP="00E94ED0">
      <w:pPr>
        <w:tabs>
          <w:tab w:val="left" w:pos="284"/>
          <w:tab w:val="left" w:pos="993"/>
        </w:tabs>
        <w:ind w:left="851"/>
        <w:rPr>
          <w:i/>
          <w:iCs/>
          <w:sz w:val="24"/>
          <w:szCs w:val="24"/>
          <w:lang w:val="en-US"/>
        </w:rPr>
      </w:pPr>
    </w:p>
    <w:p w14:paraId="71886826" w14:textId="77777777" w:rsidR="00E94ED0" w:rsidRPr="00E94ED0" w:rsidRDefault="00E94ED0" w:rsidP="00E94ED0">
      <w:pPr>
        <w:tabs>
          <w:tab w:val="left" w:pos="284"/>
        </w:tabs>
        <w:ind w:left="851"/>
        <w:rPr>
          <w:b/>
          <w:bCs/>
          <w:sz w:val="24"/>
          <w:szCs w:val="24"/>
          <w:lang w:val="fr-BE"/>
        </w:rPr>
      </w:pPr>
      <w:r w:rsidRPr="00E94ED0">
        <w:rPr>
          <w:b/>
          <w:bCs/>
          <w:sz w:val="24"/>
          <w:szCs w:val="24"/>
          <w:bdr w:val="none" w:sz="0" w:space="0" w:color="auto" w:frame="1"/>
          <w:lang w:val="fr-BE"/>
        </w:rPr>
        <w:t>Lus:</w:t>
      </w:r>
    </w:p>
    <w:p w14:paraId="19107870" w14:textId="77777777" w:rsidR="00E94ED0" w:rsidRPr="00E94ED0" w:rsidRDefault="00E94ED0" w:rsidP="00E94ED0">
      <w:pPr>
        <w:tabs>
          <w:tab w:val="left" w:pos="284"/>
          <w:tab w:val="left" w:pos="993"/>
        </w:tabs>
        <w:ind w:left="851"/>
        <w:rPr>
          <w:sz w:val="24"/>
          <w:szCs w:val="24"/>
          <w:lang w:val="fr-BE"/>
        </w:rPr>
      </w:pPr>
      <w:r w:rsidRPr="00E94ED0">
        <w:rPr>
          <w:i/>
          <w:iCs/>
          <w:sz w:val="24"/>
          <w:szCs w:val="24"/>
          <w:bdr w:val="none" w:sz="0" w:space="0" w:color="auto" w:frame="1"/>
          <w:lang w:val="fr-BE"/>
        </w:rPr>
        <w:tab/>
        <w:t xml:space="preserve">Damalinia bovis </w:t>
      </w:r>
      <w:r w:rsidRPr="00E94ED0">
        <w:rPr>
          <w:sz w:val="24"/>
          <w:szCs w:val="24"/>
          <w:bdr w:val="none" w:sz="0" w:space="0" w:color="auto" w:frame="1"/>
          <w:lang w:val="fr-BE"/>
        </w:rPr>
        <w:t>(bidende lus)</w:t>
      </w:r>
    </w:p>
    <w:p w14:paraId="27E91344" w14:textId="77777777" w:rsidR="00E94ED0" w:rsidRPr="00E94ED0" w:rsidRDefault="00E94ED0" w:rsidP="00E94ED0">
      <w:pPr>
        <w:tabs>
          <w:tab w:val="left" w:pos="284"/>
          <w:tab w:val="left" w:pos="993"/>
        </w:tabs>
        <w:ind w:left="851"/>
        <w:rPr>
          <w:sz w:val="24"/>
          <w:szCs w:val="24"/>
          <w:lang w:val="fr-BE"/>
        </w:rPr>
      </w:pPr>
      <w:r w:rsidRPr="00E94ED0">
        <w:rPr>
          <w:i/>
          <w:iCs/>
          <w:sz w:val="24"/>
          <w:szCs w:val="24"/>
          <w:bdr w:val="none" w:sz="0" w:space="0" w:color="auto" w:frame="1"/>
          <w:lang w:val="fr-BE"/>
        </w:rPr>
        <w:tab/>
        <w:t>Linognathus vituli</w:t>
      </w:r>
      <w:r w:rsidRPr="00E94ED0">
        <w:rPr>
          <w:sz w:val="24"/>
          <w:szCs w:val="24"/>
          <w:bdr w:val="none" w:sz="0" w:space="0" w:color="auto" w:frame="1"/>
          <w:lang w:val="fr-BE"/>
        </w:rPr>
        <w:t xml:space="preserve"> (sugende lus)</w:t>
      </w:r>
    </w:p>
    <w:p w14:paraId="3394E27C" w14:textId="77777777" w:rsidR="00E94ED0" w:rsidRPr="00E94ED0" w:rsidRDefault="00E94ED0" w:rsidP="00E94ED0">
      <w:pPr>
        <w:tabs>
          <w:tab w:val="left" w:pos="284"/>
          <w:tab w:val="left" w:pos="993"/>
        </w:tabs>
        <w:ind w:left="851"/>
        <w:rPr>
          <w:sz w:val="24"/>
          <w:szCs w:val="24"/>
          <w:lang w:val="fr-BE"/>
        </w:rPr>
      </w:pPr>
      <w:r w:rsidRPr="00E94ED0">
        <w:rPr>
          <w:i/>
          <w:iCs/>
          <w:sz w:val="24"/>
          <w:szCs w:val="24"/>
          <w:bdr w:val="none" w:sz="0" w:space="0" w:color="auto" w:frame="1"/>
          <w:lang w:val="fr-BE"/>
        </w:rPr>
        <w:tab/>
        <w:t>Haematopinus eurysternus</w:t>
      </w:r>
      <w:r w:rsidRPr="00E94ED0">
        <w:rPr>
          <w:sz w:val="24"/>
          <w:szCs w:val="24"/>
          <w:bdr w:val="none" w:sz="0" w:space="0" w:color="auto" w:frame="1"/>
          <w:lang w:val="fr-BE"/>
        </w:rPr>
        <w:t xml:space="preserve"> (sugende lus)</w:t>
      </w:r>
    </w:p>
    <w:p w14:paraId="71C16D29" w14:textId="77777777" w:rsidR="00E94ED0" w:rsidRPr="00E94ED0" w:rsidRDefault="00E94ED0" w:rsidP="00E94ED0">
      <w:pPr>
        <w:tabs>
          <w:tab w:val="left" w:pos="284"/>
          <w:tab w:val="left" w:pos="993"/>
        </w:tabs>
        <w:ind w:left="851"/>
        <w:rPr>
          <w:sz w:val="24"/>
          <w:szCs w:val="24"/>
          <w:lang w:val="fr-BE"/>
        </w:rPr>
      </w:pPr>
      <w:r w:rsidRPr="00E94ED0">
        <w:rPr>
          <w:i/>
          <w:iCs/>
          <w:sz w:val="24"/>
          <w:szCs w:val="24"/>
          <w:bdr w:val="none" w:sz="0" w:space="0" w:color="auto" w:frame="1"/>
          <w:lang w:val="fr-BE"/>
        </w:rPr>
        <w:tab/>
        <w:t>Solenopotes capillatus</w:t>
      </w:r>
      <w:r w:rsidRPr="00E94ED0">
        <w:rPr>
          <w:sz w:val="24"/>
          <w:szCs w:val="24"/>
          <w:bdr w:val="none" w:sz="0" w:space="0" w:color="auto" w:frame="1"/>
          <w:lang w:val="fr-BE"/>
        </w:rPr>
        <w:t xml:space="preserve"> (sugende lus)</w:t>
      </w:r>
    </w:p>
    <w:p w14:paraId="2485ADFD" w14:textId="77777777" w:rsidR="00E94ED0" w:rsidRPr="00E94ED0" w:rsidRDefault="00E94ED0" w:rsidP="00E94ED0">
      <w:pPr>
        <w:tabs>
          <w:tab w:val="left" w:pos="284"/>
          <w:tab w:val="left" w:pos="993"/>
        </w:tabs>
        <w:ind w:left="851"/>
        <w:rPr>
          <w:sz w:val="24"/>
          <w:szCs w:val="24"/>
          <w:lang w:val="fr-BE"/>
        </w:rPr>
      </w:pPr>
    </w:p>
    <w:p w14:paraId="3770928F" w14:textId="77777777" w:rsidR="00E94ED0" w:rsidRPr="00E94ED0" w:rsidRDefault="00E94ED0" w:rsidP="00E94ED0">
      <w:pPr>
        <w:tabs>
          <w:tab w:val="left" w:pos="284"/>
        </w:tabs>
        <w:ind w:left="851"/>
        <w:rPr>
          <w:b/>
          <w:bCs/>
          <w:sz w:val="24"/>
          <w:szCs w:val="24"/>
          <w:lang w:val="fr-BE"/>
        </w:rPr>
      </w:pPr>
      <w:r w:rsidRPr="00E94ED0">
        <w:rPr>
          <w:b/>
          <w:bCs/>
          <w:sz w:val="24"/>
          <w:szCs w:val="24"/>
          <w:bdr w:val="none" w:sz="0" w:space="0" w:color="auto" w:frame="1"/>
          <w:lang w:val="fr-BE"/>
        </w:rPr>
        <w:t>Stikfluer:</w:t>
      </w:r>
    </w:p>
    <w:p w14:paraId="74B35502" w14:textId="20FFFFFE" w:rsidR="00E94ED0" w:rsidRDefault="00E94ED0" w:rsidP="00E94ED0">
      <w:pPr>
        <w:tabs>
          <w:tab w:val="left" w:pos="284"/>
          <w:tab w:val="left" w:pos="993"/>
        </w:tabs>
        <w:ind w:left="851"/>
        <w:rPr>
          <w:i/>
          <w:iCs/>
          <w:sz w:val="24"/>
          <w:szCs w:val="24"/>
          <w:bdr w:val="none" w:sz="0" w:space="0" w:color="auto" w:frame="1"/>
          <w:lang w:val="fr-BE"/>
        </w:rPr>
      </w:pPr>
      <w:r w:rsidRPr="00E94ED0">
        <w:rPr>
          <w:i/>
          <w:iCs/>
          <w:sz w:val="24"/>
          <w:szCs w:val="24"/>
          <w:bdr w:val="none" w:sz="0" w:space="0" w:color="auto" w:frame="1"/>
          <w:lang w:val="fr-BE"/>
        </w:rPr>
        <w:tab/>
        <w:t>Haematobia irritans</w:t>
      </w:r>
      <w:bookmarkEnd w:id="3"/>
    </w:p>
    <w:p w14:paraId="180C7450" w14:textId="2783B73D" w:rsidR="00E94ED0" w:rsidRDefault="00E94ED0" w:rsidP="00E94ED0">
      <w:pPr>
        <w:tabs>
          <w:tab w:val="left" w:pos="284"/>
          <w:tab w:val="left" w:pos="993"/>
        </w:tabs>
        <w:ind w:left="851"/>
        <w:rPr>
          <w:i/>
          <w:iCs/>
          <w:sz w:val="24"/>
          <w:szCs w:val="24"/>
          <w:bdr w:val="none" w:sz="0" w:space="0" w:color="auto" w:frame="1"/>
          <w:lang w:val="fr-BE"/>
        </w:rPr>
      </w:pPr>
    </w:p>
    <w:p w14:paraId="58BF1E3D" w14:textId="77777777" w:rsidR="00E94ED0" w:rsidRDefault="00E94ED0" w:rsidP="00E94ED0">
      <w:pPr>
        <w:tabs>
          <w:tab w:val="left" w:pos="993"/>
          <w:tab w:val="left" w:pos="1304"/>
        </w:tabs>
        <w:ind w:left="851"/>
        <w:rPr>
          <w:b/>
          <w:bCs/>
          <w:sz w:val="24"/>
          <w:szCs w:val="24"/>
          <w:bdr w:val="none" w:sz="0" w:space="0" w:color="auto" w:frame="1"/>
          <w:lang w:val="fr-BE"/>
        </w:rPr>
      </w:pPr>
    </w:p>
    <w:p w14:paraId="61488AC5" w14:textId="77777777" w:rsidR="00E94ED0" w:rsidRDefault="00E94ED0" w:rsidP="00E94ED0">
      <w:pPr>
        <w:tabs>
          <w:tab w:val="left" w:pos="993"/>
          <w:tab w:val="left" w:pos="1304"/>
        </w:tabs>
        <w:ind w:left="851"/>
        <w:rPr>
          <w:b/>
          <w:bCs/>
          <w:sz w:val="24"/>
          <w:szCs w:val="24"/>
          <w:bdr w:val="none" w:sz="0" w:space="0" w:color="auto" w:frame="1"/>
          <w:lang w:val="fr-BE"/>
        </w:rPr>
      </w:pPr>
    </w:p>
    <w:p w14:paraId="2D25D9C7" w14:textId="77777777" w:rsidR="00E94ED0" w:rsidRDefault="00E94ED0" w:rsidP="00E94ED0">
      <w:pPr>
        <w:tabs>
          <w:tab w:val="left" w:pos="993"/>
          <w:tab w:val="left" w:pos="1304"/>
        </w:tabs>
        <w:ind w:left="851"/>
        <w:rPr>
          <w:b/>
          <w:bCs/>
          <w:sz w:val="24"/>
          <w:szCs w:val="24"/>
          <w:bdr w:val="none" w:sz="0" w:space="0" w:color="auto" w:frame="1"/>
          <w:lang w:val="fr-BE"/>
        </w:rPr>
      </w:pPr>
    </w:p>
    <w:p w14:paraId="1760658C" w14:textId="77777777" w:rsidR="00E94ED0" w:rsidRDefault="00E94ED0" w:rsidP="00E94ED0">
      <w:pPr>
        <w:tabs>
          <w:tab w:val="left" w:pos="993"/>
          <w:tab w:val="left" w:pos="1304"/>
        </w:tabs>
        <w:ind w:left="851"/>
        <w:rPr>
          <w:b/>
          <w:bCs/>
          <w:sz w:val="24"/>
          <w:szCs w:val="24"/>
          <w:bdr w:val="none" w:sz="0" w:space="0" w:color="auto" w:frame="1"/>
          <w:lang w:val="fr-BE"/>
        </w:rPr>
      </w:pPr>
    </w:p>
    <w:p w14:paraId="585E6169" w14:textId="77777777" w:rsidR="00E94ED0" w:rsidRDefault="00E94ED0" w:rsidP="00E94ED0">
      <w:pPr>
        <w:tabs>
          <w:tab w:val="left" w:pos="993"/>
          <w:tab w:val="left" w:pos="1304"/>
        </w:tabs>
        <w:ind w:left="851"/>
        <w:rPr>
          <w:b/>
          <w:bCs/>
          <w:sz w:val="24"/>
          <w:szCs w:val="24"/>
          <w:bdr w:val="none" w:sz="0" w:space="0" w:color="auto" w:frame="1"/>
          <w:lang w:val="fr-BE"/>
        </w:rPr>
      </w:pPr>
    </w:p>
    <w:p w14:paraId="578BAFD9" w14:textId="68246C5F" w:rsidR="00E94ED0" w:rsidRPr="00E94ED0" w:rsidRDefault="00E94ED0" w:rsidP="00E94ED0">
      <w:pPr>
        <w:tabs>
          <w:tab w:val="left" w:pos="993"/>
          <w:tab w:val="left" w:pos="1304"/>
        </w:tabs>
        <w:ind w:left="851"/>
        <w:rPr>
          <w:b/>
          <w:bCs/>
          <w:sz w:val="24"/>
          <w:szCs w:val="24"/>
          <w:lang w:val="fr-BE"/>
        </w:rPr>
      </w:pPr>
      <w:r w:rsidRPr="00E94ED0">
        <w:rPr>
          <w:b/>
          <w:bCs/>
          <w:sz w:val="24"/>
          <w:szCs w:val="24"/>
          <w:bdr w:val="none" w:sz="0" w:space="0" w:color="auto" w:frame="1"/>
          <w:lang w:val="fr-BE"/>
        </w:rPr>
        <w:lastRenderedPageBreak/>
        <w:t>FORLÆNGET VIRKNING</w:t>
      </w:r>
    </w:p>
    <w:p w14:paraId="24E5FD23" w14:textId="77777777" w:rsidR="00E94ED0" w:rsidRPr="00E94ED0" w:rsidRDefault="00E94ED0" w:rsidP="00E94ED0">
      <w:pPr>
        <w:tabs>
          <w:tab w:val="left" w:pos="993"/>
          <w:tab w:val="left" w:pos="1304"/>
        </w:tabs>
        <w:ind w:left="851"/>
        <w:rPr>
          <w:sz w:val="24"/>
          <w:szCs w:val="24"/>
        </w:rPr>
      </w:pPr>
      <w:r w:rsidRPr="00E94ED0">
        <w:rPr>
          <w:sz w:val="24"/>
          <w:szCs w:val="24"/>
          <w:bdr w:val="none" w:sz="0" w:space="0" w:color="auto" w:frame="1"/>
        </w:rPr>
        <w:t xml:space="preserve">Når veterinærlægemidlet appliceres som anbefalet, </w:t>
      </w:r>
      <w:bookmarkStart w:id="4" w:name="_Hlk203654838"/>
      <w:r w:rsidRPr="00E94ED0">
        <w:rPr>
          <w:sz w:val="24"/>
          <w:szCs w:val="24"/>
          <w:bdr w:val="none" w:sz="0" w:space="0" w:color="auto" w:frame="1"/>
        </w:rPr>
        <w:t xml:space="preserve">forebygger </w:t>
      </w:r>
      <w:bookmarkEnd w:id="4"/>
      <w:r w:rsidRPr="00E94ED0">
        <w:rPr>
          <w:sz w:val="24"/>
          <w:szCs w:val="24"/>
          <w:bdr w:val="none" w:sz="0" w:space="0" w:color="auto" w:frame="1"/>
        </w:rPr>
        <w:t>det reinfestation med:</w:t>
      </w:r>
    </w:p>
    <w:p w14:paraId="262CF15F" w14:textId="77777777" w:rsidR="00E94ED0" w:rsidRPr="00E94ED0" w:rsidRDefault="00E94ED0" w:rsidP="00E94ED0">
      <w:pPr>
        <w:tabs>
          <w:tab w:val="left" w:pos="993"/>
          <w:tab w:val="left" w:pos="1304"/>
        </w:tabs>
        <w:ind w:left="851"/>
        <w:rPr>
          <w:sz w:val="24"/>
          <w:szCs w:val="24"/>
        </w:rPr>
      </w:pPr>
    </w:p>
    <w:p w14:paraId="25349232" w14:textId="031FC29B" w:rsidR="00E94ED0" w:rsidRPr="00E94ED0" w:rsidRDefault="00E94ED0" w:rsidP="00E94ED0">
      <w:pPr>
        <w:pBdr>
          <w:bottom w:val="single" w:sz="4" w:space="1" w:color="auto"/>
        </w:pBdr>
        <w:tabs>
          <w:tab w:val="left" w:pos="993"/>
        </w:tabs>
        <w:ind w:left="851"/>
        <w:rPr>
          <w:rFonts w:cs="Arial"/>
          <w:b/>
          <w:bCs/>
          <w:sz w:val="24"/>
          <w:szCs w:val="24"/>
        </w:rPr>
      </w:pPr>
      <w:bookmarkStart w:id="5" w:name="_Hlk203654857"/>
      <w:r w:rsidRPr="00E94ED0">
        <w:rPr>
          <w:b/>
          <w:bCs/>
          <w:sz w:val="24"/>
          <w:szCs w:val="24"/>
          <w:bdr w:val="none" w:sz="0" w:space="0" w:color="auto" w:frame="1"/>
        </w:rPr>
        <w:t>Parasit</w:t>
      </w:r>
      <w:r w:rsidRPr="00E94ED0">
        <w:rPr>
          <w:b/>
          <w:bCs/>
          <w:sz w:val="24"/>
          <w:szCs w:val="24"/>
          <w:bdr w:val="none" w:sz="0" w:space="0" w:color="auto" w:frame="1"/>
        </w:rPr>
        <w:tab/>
      </w:r>
      <w:r w:rsidRPr="00E94ED0">
        <w:rPr>
          <w:b/>
          <w:bCs/>
          <w:sz w:val="24"/>
          <w:szCs w:val="24"/>
          <w:bdr w:val="none" w:sz="0" w:space="0" w:color="auto" w:frame="1"/>
        </w:rPr>
        <w:tab/>
      </w:r>
      <w:r w:rsidRPr="00E94ED0">
        <w:rPr>
          <w:b/>
          <w:bCs/>
          <w:sz w:val="24"/>
          <w:szCs w:val="24"/>
          <w:bdr w:val="none" w:sz="0" w:space="0" w:color="auto" w:frame="1"/>
        </w:rPr>
        <w:tab/>
      </w:r>
      <w:r w:rsidRPr="00E94ED0">
        <w:rPr>
          <w:b/>
          <w:bCs/>
          <w:sz w:val="24"/>
          <w:szCs w:val="24"/>
          <w:bdr w:val="none" w:sz="0" w:space="0" w:color="auto" w:frame="1"/>
        </w:rPr>
        <w:tab/>
        <w:t>Forlænget virkning</w:t>
      </w:r>
    </w:p>
    <w:p w14:paraId="6CD942FB" w14:textId="5C06A9B7"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Dictyocaulus viviparus</w:t>
      </w:r>
      <w:r w:rsidRPr="00E94ED0">
        <w:rPr>
          <w:sz w:val="24"/>
          <w:szCs w:val="24"/>
          <w:bdr w:val="none" w:sz="0" w:space="0" w:color="auto" w:frame="1"/>
        </w:rPr>
        <w:t xml:space="preserve"> </w:t>
      </w:r>
      <w:r w:rsidRPr="00E94ED0">
        <w:rPr>
          <w:sz w:val="24"/>
          <w:szCs w:val="24"/>
          <w:bdr w:val="none" w:sz="0" w:space="0" w:color="auto" w:frame="1"/>
        </w:rPr>
        <w:tab/>
      </w:r>
      <w:r w:rsidRPr="00E94ED0">
        <w:rPr>
          <w:sz w:val="24"/>
          <w:szCs w:val="24"/>
          <w:bdr w:val="none" w:sz="0" w:space="0" w:color="auto" w:frame="1"/>
        </w:rPr>
        <w:tab/>
      </w:r>
      <w:r w:rsidRPr="00E94ED0">
        <w:rPr>
          <w:sz w:val="24"/>
          <w:szCs w:val="24"/>
          <w:bdr w:val="none" w:sz="0" w:space="0" w:color="auto" w:frame="1"/>
        </w:rPr>
        <w:tab/>
        <w:t>op til 28 dage</w:t>
      </w:r>
    </w:p>
    <w:p w14:paraId="65EB8793" w14:textId="28ABC66C"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Ostertagia ostertagi</w:t>
      </w:r>
      <w:r w:rsidRPr="00E94ED0">
        <w:rPr>
          <w:sz w:val="24"/>
          <w:szCs w:val="24"/>
          <w:bdr w:val="none" w:sz="0" w:space="0" w:color="auto" w:frame="1"/>
        </w:rPr>
        <w:t xml:space="preserve"> </w:t>
      </w:r>
      <w:r w:rsidRPr="00E94ED0">
        <w:rPr>
          <w:sz w:val="24"/>
          <w:szCs w:val="24"/>
          <w:bdr w:val="none" w:sz="0" w:space="0" w:color="auto" w:frame="1"/>
        </w:rPr>
        <w:tab/>
      </w:r>
      <w:r w:rsidRPr="00E94ED0">
        <w:rPr>
          <w:sz w:val="24"/>
          <w:szCs w:val="24"/>
          <w:bdr w:val="none" w:sz="0" w:space="0" w:color="auto" w:frame="1"/>
        </w:rPr>
        <w:tab/>
      </w:r>
      <w:r w:rsidRPr="00E94ED0">
        <w:rPr>
          <w:sz w:val="24"/>
          <w:szCs w:val="24"/>
          <w:bdr w:val="none" w:sz="0" w:space="0" w:color="auto" w:frame="1"/>
        </w:rPr>
        <w:tab/>
        <w:t>op til 28 dage</w:t>
      </w:r>
    </w:p>
    <w:p w14:paraId="17BCFDED" w14:textId="231ECB90"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Oesophagostomum radiatum</w:t>
      </w:r>
      <w:r w:rsidRPr="00E94ED0">
        <w:rPr>
          <w:sz w:val="24"/>
          <w:szCs w:val="24"/>
          <w:bdr w:val="none" w:sz="0" w:space="0" w:color="auto" w:frame="1"/>
        </w:rPr>
        <w:t xml:space="preserve"> </w:t>
      </w:r>
      <w:r w:rsidRPr="00E94ED0">
        <w:rPr>
          <w:sz w:val="24"/>
          <w:szCs w:val="24"/>
          <w:bdr w:val="none" w:sz="0" w:space="0" w:color="auto" w:frame="1"/>
        </w:rPr>
        <w:tab/>
      </w:r>
      <w:r>
        <w:rPr>
          <w:sz w:val="24"/>
          <w:szCs w:val="24"/>
          <w:bdr w:val="none" w:sz="0" w:space="0" w:color="auto" w:frame="1"/>
        </w:rPr>
        <w:tab/>
      </w:r>
      <w:r w:rsidRPr="00E94ED0">
        <w:rPr>
          <w:sz w:val="24"/>
          <w:szCs w:val="24"/>
          <w:bdr w:val="none" w:sz="0" w:space="0" w:color="auto" w:frame="1"/>
        </w:rPr>
        <w:tab/>
        <w:t>op til 28 dage</w:t>
      </w:r>
    </w:p>
    <w:p w14:paraId="486639AD" w14:textId="03EA62ED"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 xml:space="preserve">Cooperia punctata </w:t>
      </w:r>
      <w:r w:rsidRPr="00E94ED0">
        <w:rPr>
          <w:i/>
          <w:iCs/>
          <w:sz w:val="24"/>
          <w:szCs w:val="24"/>
          <w:bdr w:val="none" w:sz="0" w:space="0" w:color="auto" w:frame="1"/>
        </w:rPr>
        <w:tab/>
      </w:r>
      <w:r w:rsidRPr="00E94ED0">
        <w:rPr>
          <w:sz w:val="24"/>
          <w:szCs w:val="24"/>
          <w:bdr w:val="none" w:sz="0" w:space="0" w:color="auto" w:frame="1"/>
        </w:rPr>
        <w:tab/>
      </w:r>
      <w:r w:rsidRPr="00E94ED0">
        <w:rPr>
          <w:sz w:val="24"/>
          <w:szCs w:val="24"/>
          <w:bdr w:val="none" w:sz="0" w:space="0" w:color="auto" w:frame="1"/>
        </w:rPr>
        <w:tab/>
        <w:t>op til 28 dage</w:t>
      </w:r>
    </w:p>
    <w:p w14:paraId="14BF6DC1" w14:textId="40FAB542"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Cooperia surnabada</w:t>
      </w:r>
      <w:r w:rsidRPr="00E94ED0">
        <w:rPr>
          <w:sz w:val="24"/>
          <w:szCs w:val="24"/>
          <w:bdr w:val="none" w:sz="0" w:space="0" w:color="auto" w:frame="1"/>
        </w:rPr>
        <w:tab/>
      </w:r>
      <w:r w:rsidRPr="00E94ED0">
        <w:rPr>
          <w:sz w:val="24"/>
          <w:szCs w:val="24"/>
          <w:bdr w:val="none" w:sz="0" w:space="0" w:color="auto" w:frame="1"/>
        </w:rPr>
        <w:tab/>
      </w:r>
      <w:r w:rsidRPr="00E94ED0">
        <w:rPr>
          <w:sz w:val="24"/>
          <w:szCs w:val="24"/>
          <w:bdr w:val="none" w:sz="0" w:space="0" w:color="auto" w:frame="1"/>
        </w:rPr>
        <w:tab/>
        <w:t>op til 28 dage</w:t>
      </w:r>
    </w:p>
    <w:p w14:paraId="0EE238AB" w14:textId="157B7FD8"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Cooperia oncophora</w:t>
      </w:r>
      <w:r w:rsidRPr="00E94ED0">
        <w:rPr>
          <w:i/>
          <w:iCs/>
          <w:sz w:val="24"/>
          <w:szCs w:val="24"/>
          <w:bdr w:val="none" w:sz="0" w:space="0" w:color="auto" w:frame="1"/>
        </w:rPr>
        <w:tab/>
      </w:r>
      <w:r w:rsidRPr="00E94ED0">
        <w:rPr>
          <w:sz w:val="24"/>
          <w:szCs w:val="24"/>
          <w:bdr w:val="none" w:sz="0" w:space="0" w:color="auto" w:frame="1"/>
        </w:rPr>
        <w:tab/>
      </w:r>
      <w:r w:rsidRPr="00E94ED0">
        <w:rPr>
          <w:sz w:val="24"/>
          <w:szCs w:val="24"/>
          <w:bdr w:val="none" w:sz="0" w:space="0" w:color="auto" w:frame="1"/>
        </w:rPr>
        <w:tab/>
        <w:t>op til 28 dage</w:t>
      </w:r>
    </w:p>
    <w:p w14:paraId="17A4AA67" w14:textId="42CFB88C"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 xml:space="preserve">Nematodirus helvetianus </w:t>
      </w:r>
      <w:r w:rsidRPr="00E94ED0">
        <w:rPr>
          <w:i/>
          <w:iCs/>
          <w:sz w:val="24"/>
          <w:szCs w:val="24"/>
          <w:bdr w:val="none" w:sz="0" w:space="0" w:color="auto" w:frame="1"/>
        </w:rPr>
        <w:tab/>
      </w:r>
      <w:r w:rsidRPr="00E94ED0">
        <w:rPr>
          <w:sz w:val="24"/>
          <w:szCs w:val="24"/>
          <w:bdr w:val="none" w:sz="0" w:space="0" w:color="auto" w:frame="1"/>
        </w:rPr>
        <w:tab/>
      </w:r>
      <w:r w:rsidRPr="00E94ED0">
        <w:rPr>
          <w:sz w:val="24"/>
          <w:szCs w:val="24"/>
          <w:bdr w:val="none" w:sz="0" w:space="0" w:color="auto" w:frame="1"/>
        </w:rPr>
        <w:tab/>
        <w:t>op til 14 dage</w:t>
      </w:r>
    </w:p>
    <w:p w14:paraId="2329E053" w14:textId="37CBDE60"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Trichostrongylus colubriformis</w:t>
      </w:r>
      <w:r w:rsidRPr="00E94ED0">
        <w:rPr>
          <w:i/>
          <w:iCs/>
          <w:sz w:val="24"/>
          <w:szCs w:val="24"/>
          <w:bdr w:val="none" w:sz="0" w:space="0" w:color="auto" w:frame="1"/>
        </w:rPr>
        <w:tab/>
      </w:r>
      <w:r w:rsidRPr="00E94ED0">
        <w:rPr>
          <w:sz w:val="24"/>
          <w:szCs w:val="24"/>
          <w:bdr w:val="none" w:sz="0" w:space="0" w:color="auto" w:frame="1"/>
        </w:rPr>
        <w:tab/>
      </w:r>
      <w:r>
        <w:rPr>
          <w:sz w:val="24"/>
          <w:szCs w:val="24"/>
          <w:bdr w:val="none" w:sz="0" w:space="0" w:color="auto" w:frame="1"/>
        </w:rPr>
        <w:tab/>
      </w:r>
      <w:r w:rsidRPr="00E94ED0">
        <w:rPr>
          <w:sz w:val="24"/>
          <w:szCs w:val="24"/>
          <w:bdr w:val="none" w:sz="0" w:space="0" w:color="auto" w:frame="1"/>
        </w:rPr>
        <w:t>op til 21 dage</w:t>
      </w:r>
    </w:p>
    <w:p w14:paraId="188F9EC1" w14:textId="19437A00" w:rsidR="00E94ED0" w:rsidRPr="00E94ED0" w:rsidRDefault="00E94ED0" w:rsidP="00E94ED0">
      <w:pPr>
        <w:tabs>
          <w:tab w:val="left" w:pos="993"/>
        </w:tabs>
        <w:ind w:left="851"/>
        <w:rPr>
          <w:rFonts w:cs="Arial"/>
          <w:sz w:val="24"/>
          <w:szCs w:val="24"/>
        </w:rPr>
      </w:pPr>
      <w:r w:rsidRPr="00E94ED0">
        <w:rPr>
          <w:i/>
          <w:iCs/>
          <w:sz w:val="24"/>
          <w:szCs w:val="24"/>
          <w:bdr w:val="none" w:sz="0" w:space="0" w:color="auto" w:frame="1"/>
        </w:rPr>
        <w:t>Trichostrongylus axei</w:t>
      </w:r>
      <w:r w:rsidRPr="00E94ED0">
        <w:rPr>
          <w:sz w:val="24"/>
          <w:szCs w:val="24"/>
          <w:bdr w:val="none" w:sz="0" w:space="0" w:color="auto" w:frame="1"/>
        </w:rPr>
        <w:t xml:space="preserve"> </w:t>
      </w:r>
      <w:r w:rsidRPr="00E94ED0">
        <w:rPr>
          <w:sz w:val="24"/>
          <w:szCs w:val="24"/>
          <w:bdr w:val="none" w:sz="0" w:space="0" w:color="auto" w:frame="1"/>
        </w:rPr>
        <w:tab/>
      </w:r>
      <w:r w:rsidRPr="00E94ED0">
        <w:rPr>
          <w:sz w:val="24"/>
          <w:szCs w:val="24"/>
          <w:bdr w:val="none" w:sz="0" w:space="0" w:color="auto" w:frame="1"/>
        </w:rPr>
        <w:tab/>
      </w:r>
      <w:r w:rsidRPr="00E94ED0">
        <w:rPr>
          <w:sz w:val="24"/>
          <w:szCs w:val="24"/>
          <w:bdr w:val="none" w:sz="0" w:space="0" w:color="auto" w:frame="1"/>
        </w:rPr>
        <w:tab/>
        <w:t>op til 21 dage</w:t>
      </w:r>
    </w:p>
    <w:p w14:paraId="58CA1A58" w14:textId="6EFE1B56" w:rsidR="00E94ED0" w:rsidRPr="00E94ED0" w:rsidRDefault="00E94ED0" w:rsidP="00E94ED0">
      <w:pPr>
        <w:tabs>
          <w:tab w:val="left" w:pos="993"/>
          <w:tab w:val="left" w:pos="1304"/>
        </w:tabs>
        <w:ind w:left="851"/>
        <w:rPr>
          <w:sz w:val="24"/>
          <w:szCs w:val="24"/>
        </w:rPr>
      </w:pPr>
      <w:r w:rsidRPr="00E94ED0">
        <w:rPr>
          <w:i/>
          <w:iCs/>
          <w:sz w:val="24"/>
          <w:szCs w:val="24"/>
          <w:bdr w:val="none" w:sz="0" w:space="0" w:color="auto" w:frame="1"/>
        </w:rPr>
        <w:t>Haemonchus placei</w:t>
      </w:r>
      <w:r w:rsidRPr="00E94ED0">
        <w:rPr>
          <w:sz w:val="24"/>
          <w:szCs w:val="24"/>
          <w:bdr w:val="none" w:sz="0" w:space="0" w:color="auto" w:frame="1"/>
        </w:rPr>
        <w:t xml:space="preserve"> </w:t>
      </w:r>
      <w:r w:rsidRPr="00E94ED0">
        <w:rPr>
          <w:sz w:val="24"/>
          <w:szCs w:val="24"/>
          <w:bdr w:val="none" w:sz="0" w:space="0" w:color="auto" w:frame="1"/>
        </w:rPr>
        <w:tab/>
      </w:r>
      <w:r w:rsidRPr="00E94ED0">
        <w:rPr>
          <w:sz w:val="24"/>
          <w:szCs w:val="24"/>
          <w:bdr w:val="none" w:sz="0" w:space="0" w:color="auto" w:frame="1"/>
        </w:rPr>
        <w:tab/>
      </w:r>
      <w:r w:rsidRPr="00E94ED0">
        <w:rPr>
          <w:sz w:val="24"/>
          <w:szCs w:val="24"/>
          <w:bdr w:val="none" w:sz="0" w:space="0" w:color="auto" w:frame="1"/>
        </w:rPr>
        <w:tab/>
        <w:t>op til 21 dage</w:t>
      </w:r>
    </w:p>
    <w:bookmarkEnd w:id="5"/>
    <w:p w14:paraId="5C617FB4" w14:textId="77777777" w:rsidR="00E94ED0" w:rsidRPr="00E94ED0" w:rsidRDefault="00E94ED0" w:rsidP="00E94ED0">
      <w:pPr>
        <w:tabs>
          <w:tab w:val="left" w:pos="993"/>
          <w:tab w:val="left" w:pos="1304"/>
        </w:tabs>
        <w:ind w:left="851"/>
        <w:rPr>
          <w:sz w:val="24"/>
          <w:szCs w:val="24"/>
        </w:rPr>
      </w:pPr>
    </w:p>
    <w:p w14:paraId="278517B8" w14:textId="77777777" w:rsidR="00E94ED0" w:rsidRPr="00E94ED0" w:rsidRDefault="00E94ED0" w:rsidP="00E94ED0">
      <w:pPr>
        <w:tabs>
          <w:tab w:val="left" w:pos="993"/>
          <w:tab w:val="left" w:pos="1304"/>
        </w:tabs>
        <w:ind w:left="851"/>
        <w:rPr>
          <w:sz w:val="24"/>
          <w:szCs w:val="24"/>
        </w:rPr>
      </w:pPr>
      <w:r w:rsidRPr="00E94ED0">
        <w:rPr>
          <w:sz w:val="24"/>
          <w:szCs w:val="24"/>
          <w:bdr w:val="none" w:sz="0" w:space="0" w:color="auto" w:frame="1"/>
        </w:rPr>
        <w:t>For at opnå de bedste resultater bør veterinærlægemidlet være en del af et program, som har til hensigt at kontrollere både interne og eksterne parasitter hos kvæg baseret på epidemiologien af disse parasitter.</w:t>
      </w:r>
    </w:p>
    <w:p w14:paraId="37EBA930" w14:textId="77777777" w:rsidR="00E94ED0" w:rsidRPr="00E94ED0" w:rsidRDefault="00E94ED0" w:rsidP="00E94ED0">
      <w:pPr>
        <w:tabs>
          <w:tab w:val="left" w:pos="993"/>
          <w:tab w:val="left" w:pos="1304"/>
        </w:tabs>
        <w:ind w:left="851"/>
        <w:rPr>
          <w:sz w:val="24"/>
          <w:szCs w:val="24"/>
        </w:rPr>
      </w:pPr>
    </w:p>
    <w:p w14:paraId="66C66AE1" w14:textId="77777777" w:rsidR="00E94ED0" w:rsidRPr="00E94ED0" w:rsidRDefault="00E94ED0" w:rsidP="00E94ED0">
      <w:pPr>
        <w:tabs>
          <w:tab w:val="left" w:pos="993"/>
          <w:tab w:val="left" w:pos="1304"/>
        </w:tabs>
        <w:ind w:left="851"/>
        <w:rPr>
          <w:b/>
          <w:bCs/>
          <w:sz w:val="24"/>
          <w:szCs w:val="24"/>
          <w:u w:val="single"/>
          <w:lang w:val="pt-BR"/>
        </w:rPr>
      </w:pPr>
      <w:r w:rsidRPr="00E94ED0">
        <w:rPr>
          <w:b/>
          <w:bCs/>
          <w:sz w:val="24"/>
          <w:szCs w:val="24"/>
          <w:u w:val="single"/>
          <w:bdr w:val="none" w:sz="0" w:space="0" w:color="auto" w:frame="1"/>
          <w:lang w:val="en-US"/>
        </w:rPr>
        <w:t>Får:</w:t>
      </w:r>
    </w:p>
    <w:p w14:paraId="64FF2EC6" w14:textId="77777777" w:rsidR="00E94ED0" w:rsidRPr="00E94ED0" w:rsidRDefault="00E94ED0" w:rsidP="00E94ED0">
      <w:pPr>
        <w:tabs>
          <w:tab w:val="left" w:pos="993"/>
          <w:tab w:val="left" w:pos="1304"/>
        </w:tabs>
        <w:ind w:left="851"/>
        <w:rPr>
          <w:b/>
          <w:bCs/>
          <w:sz w:val="24"/>
          <w:szCs w:val="24"/>
          <w:u w:val="single"/>
          <w:lang w:val="pt-BR"/>
        </w:rPr>
      </w:pPr>
    </w:p>
    <w:p w14:paraId="2CB2577E" w14:textId="77777777" w:rsidR="00E94ED0" w:rsidRPr="00E94ED0" w:rsidRDefault="00E94ED0" w:rsidP="00E94ED0">
      <w:pPr>
        <w:tabs>
          <w:tab w:val="left" w:pos="993"/>
          <w:tab w:val="left" w:pos="1304"/>
        </w:tabs>
        <w:autoSpaceDE w:val="0"/>
        <w:autoSpaceDN w:val="0"/>
        <w:adjustRightInd w:val="0"/>
        <w:ind w:left="851"/>
        <w:rPr>
          <w:b/>
          <w:bCs/>
          <w:sz w:val="24"/>
          <w:szCs w:val="24"/>
          <w:lang w:val="pt-BR" w:eastAsia="en-GB"/>
        </w:rPr>
      </w:pPr>
      <w:r w:rsidRPr="00E94ED0">
        <w:rPr>
          <w:b/>
          <w:bCs/>
          <w:sz w:val="24"/>
          <w:szCs w:val="24"/>
          <w:bdr w:val="none" w:sz="0" w:space="0" w:color="auto" w:frame="1"/>
          <w:lang w:val="en-US" w:eastAsia="en-GB"/>
        </w:rPr>
        <w:t>Gastrointestinale rundorme (voksne):</w:t>
      </w:r>
    </w:p>
    <w:p w14:paraId="50D35663"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Teladorsagia circumcincta (pinnata/trifurcata)</w:t>
      </w:r>
    </w:p>
    <w:p w14:paraId="56A5F718"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Haemonchus contortus</w:t>
      </w:r>
    </w:p>
    <w:p w14:paraId="38053979"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Trichostrongylus axei</w:t>
      </w:r>
    </w:p>
    <w:p w14:paraId="3B7AA40F"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Trichostrongylus colubriformis</w:t>
      </w:r>
    </w:p>
    <w:p w14:paraId="6AF4A9C4"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Nematodirus battus</w:t>
      </w:r>
    </w:p>
    <w:p w14:paraId="4721A7A2"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Cooperia curticei</w:t>
      </w:r>
    </w:p>
    <w:p w14:paraId="7128CD30"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Chabertia ovina</w:t>
      </w:r>
    </w:p>
    <w:p w14:paraId="45549463"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Oesophagostomum venulosum</w:t>
      </w:r>
    </w:p>
    <w:p w14:paraId="58CD6DCF" w14:textId="77777777" w:rsidR="00E94ED0" w:rsidRPr="00E94ED0" w:rsidRDefault="00E94ED0" w:rsidP="00E94ED0">
      <w:pPr>
        <w:tabs>
          <w:tab w:val="left" w:pos="993"/>
        </w:tabs>
        <w:ind w:left="851"/>
        <w:rPr>
          <w:i/>
          <w:iCs/>
          <w:sz w:val="24"/>
          <w:szCs w:val="24"/>
          <w:lang w:val="pt-BR"/>
        </w:rPr>
      </w:pPr>
    </w:p>
    <w:p w14:paraId="5BFA81DA" w14:textId="77777777" w:rsidR="00E94ED0" w:rsidRPr="00E94ED0" w:rsidRDefault="00E94ED0" w:rsidP="00E94ED0">
      <w:pPr>
        <w:tabs>
          <w:tab w:val="left" w:pos="993"/>
        </w:tabs>
        <w:autoSpaceDE w:val="0"/>
        <w:autoSpaceDN w:val="0"/>
        <w:adjustRightInd w:val="0"/>
        <w:ind w:left="851"/>
        <w:rPr>
          <w:b/>
          <w:bCs/>
          <w:sz w:val="24"/>
          <w:szCs w:val="24"/>
          <w:lang w:val="pt-BR" w:eastAsia="en-GB"/>
        </w:rPr>
      </w:pPr>
      <w:r w:rsidRPr="00E94ED0">
        <w:rPr>
          <w:b/>
          <w:bCs/>
          <w:sz w:val="24"/>
          <w:szCs w:val="24"/>
          <w:bdr w:val="none" w:sz="0" w:space="0" w:color="auto" w:frame="1"/>
          <w:lang w:val="en-US" w:eastAsia="en-GB"/>
        </w:rPr>
        <w:t>Lungeorm (voksne):</w:t>
      </w:r>
    </w:p>
    <w:p w14:paraId="3454785D" w14:textId="77777777" w:rsidR="00E94ED0" w:rsidRPr="00E94ED0" w:rsidRDefault="00E94ED0" w:rsidP="00E94ED0">
      <w:pPr>
        <w:tabs>
          <w:tab w:val="left" w:pos="993"/>
        </w:tabs>
        <w:ind w:left="851"/>
        <w:rPr>
          <w:i/>
          <w:iCs/>
          <w:sz w:val="24"/>
          <w:szCs w:val="24"/>
          <w:lang w:val="en-GB"/>
        </w:rPr>
      </w:pPr>
      <w:r w:rsidRPr="00E94ED0">
        <w:rPr>
          <w:i/>
          <w:iCs/>
          <w:sz w:val="24"/>
          <w:szCs w:val="24"/>
          <w:bdr w:val="none" w:sz="0" w:space="0" w:color="auto" w:frame="1"/>
          <w:lang w:val="en-US"/>
        </w:rPr>
        <w:tab/>
        <w:t>Dictyocaulus filaria</w:t>
      </w:r>
    </w:p>
    <w:p w14:paraId="279A5E67" w14:textId="77777777" w:rsidR="00E94ED0" w:rsidRPr="00E94ED0" w:rsidRDefault="00E94ED0" w:rsidP="00E94ED0">
      <w:pPr>
        <w:tabs>
          <w:tab w:val="left" w:pos="993"/>
        </w:tabs>
        <w:ind w:left="851"/>
        <w:rPr>
          <w:i/>
          <w:iCs/>
          <w:sz w:val="24"/>
          <w:szCs w:val="24"/>
          <w:lang w:val="en-US"/>
        </w:rPr>
      </w:pPr>
    </w:p>
    <w:p w14:paraId="68246E5B" w14:textId="77777777" w:rsidR="00E94ED0" w:rsidRPr="00E94ED0" w:rsidRDefault="00E94ED0" w:rsidP="00E94ED0">
      <w:pPr>
        <w:tabs>
          <w:tab w:val="left" w:pos="993"/>
        </w:tabs>
        <w:ind w:left="851"/>
        <w:rPr>
          <w:b/>
          <w:bCs/>
          <w:sz w:val="24"/>
          <w:szCs w:val="24"/>
        </w:rPr>
      </w:pPr>
      <w:r w:rsidRPr="00E94ED0">
        <w:rPr>
          <w:b/>
          <w:bCs/>
          <w:sz w:val="24"/>
          <w:szCs w:val="24"/>
          <w:bdr w:val="none" w:sz="0" w:space="0" w:color="auto" w:frame="1"/>
        </w:rPr>
        <w:t>Næsebremselarver (L1, L2, L3):</w:t>
      </w:r>
    </w:p>
    <w:p w14:paraId="58AA8A33" w14:textId="77777777" w:rsidR="00E94ED0" w:rsidRPr="00E94ED0" w:rsidRDefault="00E94ED0" w:rsidP="00E94ED0">
      <w:pPr>
        <w:tabs>
          <w:tab w:val="left" w:pos="993"/>
        </w:tabs>
        <w:ind w:left="851"/>
        <w:rPr>
          <w:i/>
          <w:iCs/>
          <w:sz w:val="24"/>
          <w:szCs w:val="24"/>
        </w:rPr>
      </w:pPr>
      <w:r w:rsidRPr="00E94ED0">
        <w:rPr>
          <w:b/>
          <w:bCs/>
          <w:sz w:val="24"/>
          <w:szCs w:val="24"/>
          <w:bdr w:val="none" w:sz="0" w:space="0" w:color="auto" w:frame="1"/>
        </w:rPr>
        <w:tab/>
      </w:r>
      <w:r w:rsidRPr="00E94ED0">
        <w:rPr>
          <w:i/>
          <w:iCs/>
          <w:sz w:val="24"/>
          <w:szCs w:val="24"/>
          <w:bdr w:val="none" w:sz="0" w:space="0" w:color="auto" w:frame="1"/>
        </w:rPr>
        <w:t>Oestrus ovis</w:t>
      </w:r>
    </w:p>
    <w:p w14:paraId="2184AB02" w14:textId="77777777" w:rsidR="00E94ED0" w:rsidRPr="00E94ED0" w:rsidRDefault="00E94ED0" w:rsidP="00E94ED0">
      <w:pPr>
        <w:tabs>
          <w:tab w:val="left" w:pos="993"/>
          <w:tab w:val="left" w:pos="1304"/>
        </w:tabs>
        <w:ind w:left="851"/>
        <w:rPr>
          <w:b/>
          <w:bCs/>
          <w:sz w:val="24"/>
          <w:szCs w:val="24"/>
          <w:u w:val="single"/>
        </w:rPr>
      </w:pPr>
    </w:p>
    <w:p w14:paraId="79A13574" w14:textId="77777777" w:rsidR="00E94ED0" w:rsidRPr="00E94ED0" w:rsidRDefault="00E94ED0" w:rsidP="00E94ED0">
      <w:pPr>
        <w:tabs>
          <w:tab w:val="left" w:pos="993"/>
          <w:tab w:val="left" w:pos="1304"/>
        </w:tabs>
        <w:ind w:left="851"/>
        <w:rPr>
          <w:b/>
          <w:bCs/>
          <w:sz w:val="24"/>
          <w:szCs w:val="24"/>
          <w:u w:val="single"/>
        </w:rPr>
      </w:pPr>
      <w:r w:rsidRPr="00E94ED0">
        <w:rPr>
          <w:b/>
          <w:bCs/>
          <w:sz w:val="24"/>
          <w:szCs w:val="24"/>
          <w:u w:val="single"/>
          <w:bdr w:val="none" w:sz="0" w:space="0" w:color="auto" w:frame="1"/>
        </w:rPr>
        <w:t>Ged:</w:t>
      </w:r>
    </w:p>
    <w:p w14:paraId="388C9927" w14:textId="77777777" w:rsidR="00E94ED0" w:rsidRPr="00E94ED0" w:rsidRDefault="00E94ED0" w:rsidP="00E94ED0">
      <w:pPr>
        <w:tabs>
          <w:tab w:val="left" w:pos="993"/>
          <w:tab w:val="left" w:pos="1304"/>
        </w:tabs>
        <w:ind w:left="851"/>
        <w:rPr>
          <w:b/>
          <w:bCs/>
          <w:sz w:val="24"/>
          <w:szCs w:val="24"/>
          <w:u w:val="single"/>
        </w:rPr>
      </w:pPr>
    </w:p>
    <w:p w14:paraId="04DC4A4F" w14:textId="77777777" w:rsidR="00E94ED0" w:rsidRPr="00E94ED0" w:rsidRDefault="00E94ED0" w:rsidP="00E94ED0">
      <w:pPr>
        <w:tabs>
          <w:tab w:val="left" w:pos="993"/>
        </w:tabs>
        <w:autoSpaceDE w:val="0"/>
        <w:autoSpaceDN w:val="0"/>
        <w:adjustRightInd w:val="0"/>
        <w:ind w:left="851"/>
        <w:rPr>
          <w:b/>
          <w:bCs/>
          <w:sz w:val="24"/>
          <w:szCs w:val="24"/>
          <w:lang w:val="es-ES" w:eastAsia="en-GB"/>
        </w:rPr>
      </w:pPr>
      <w:r w:rsidRPr="00E94ED0">
        <w:rPr>
          <w:b/>
          <w:bCs/>
          <w:sz w:val="24"/>
          <w:szCs w:val="24"/>
          <w:bdr w:val="none" w:sz="0" w:space="0" w:color="auto" w:frame="1"/>
          <w:lang w:eastAsia="en-GB"/>
        </w:rPr>
        <w:t>Gastrointestinale rundorme (voksne):</w:t>
      </w:r>
    </w:p>
    <w:p w14:paraId="121B63B6"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rPr>
        <w:tab/>
      </w:r>
      <w:r w:rsidRPr="00E94ED0">
        <w:rPr>
          <w:i/>
          <w:iCs/>
          <w:sz w:val="24"/>
          <w:szCs w:val="24"/>
          <w:bdr w:val="none" w:sz="0" w:space="0" w:color="auto" w:frame="1"/>
          <w:lang w:val="en-US"/>
        </w:rPr>
        <w:t>Teladorsagia circumcincta (pinnata/trifurcata)</w:t>
      </w:r>
    </w:p>
    <w:p w14:paraId="3FCCFAA2"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Haemonchus contortus</w:t>
      </w:r>
    </w:p>
    <w:p w14:paraId="35B7F790"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Trichostrongylus axei</w:t>
      </w:r>
    </w:p>
    <w:p w14:paraId="6DA11990"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Trichostrongylus colubriformis</w:t>
      </w:r>
    </w:p>
    <w:p w14:paraId="585EA9BD"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Nematodirus battus</w:t>
      </w:r>
    </w:p>
    <w:p w14:paraId="42A29E63"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Cooperia curticei</w:t>
      </w:r>
    </w:p>
    <w:p w14:paraId="73A316ED"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Oesophagotomum venulosum</w:t>
      </w:r>
    </w:p>
    <w:p w14:paraId="52B36F91" w14:textId="77777777" w:rsidR="00E94ED0" w:rsidRPr="00E94ED0" w:rsidRDefault="00E94ED0" w:rsidP="00E94ED0">
      <w:pPr>
        <w:tabs>
          <w:tab w:val="left" w:pos="993"/>
        </w:tabs>
        <w:ind w:left="851"/>
        <w:rPr>
          <w:i/>
          <w:iCs/>
          <w:sz w:val="24"/>
          <w:szCs w:val="24"/>
          <w:lang w:val="pt-BR"/>
        </w:rPr>
      </w:pPr>
    </w:p>
    <w:p w14:paraId="48CBF60D" w14:textId="77777777" w:rsidR="00E94ED0" w:rsidRPr="00E94ED0" w:rsidRDefault="00E94ED0" w:rsidP="00E94ED0">
      <w:pPr>
        <w:tabs>
          <w:tab w:val="left" w:pos="993"/>
        </w:tabs>
        <w:autoSpaceDE w:val="0"/>
        <w:autoSpaceDN w:val="0"/>
        <w:adjustRightInd w:val="0"/>
        <w:ind w:left="851"/>
        <w:rPr>
          <w:b/>
          <w:bCs/>
          <w:sz w:val="24"/>
          <w:szCs w:val="24"/>
          <w:lang w:val="pt-BR" w:eastAsia="en-GB"/>
        </w:rPr>
      </w:pPr>
      <w:r w:rsidRPr="00E94ED0">
        <w:rPr>
          <w:b/>
          <w:bCs/>
          <w:sz w:val="24"/>
          <w:szCs w:val="24"/>
          <w:bdr w:val="none" w:sz="0" w:space="0" w:color="auto" w:frame="1"/>
          <w:lang w:val="en-US" w:eastAsia="en-GB"/>
        </w:rPr>
        <w:t>Lungeorm (voksne):</w:t>
      </w:r>
    </w:p>
    <w:p w14:paraId="53AB2B89" w14:textId="77777777" w:rsidR="00E94ED0" w:rsidRPr="00E94ED0" w:rsidRDefault="00E94ED0" w:rsidP="00E94ED0">
      <w:pPr>
        <w:tabs>
          <w:tab w:val="left" w:pos="993"/>
        </w:tabs>
        <w:ind w:left="851"/>
        <w:rPr>
          <w:i/>
          <w:iCs/>
          <w:sz w:val="24"/>
          <w:szCs w:val="24"/>
          <w:lang w:val="pt-BR"/>
        </w:rPr>
      </w:pPr>
      <w:r w:rsidRPr="00E94ED0">
        <w:rPr>
          <w:i/>
          <w:iCs/>
          <w:sz w:val="24"/>
          <w:szCs w:val="24"/>
          <w:bdr w:val="none" w:sz="0" w:space="0" w:color="auto" w:frame="1"/>
          <w:lang w:val="en-US"/>
        </w:rPr>
        <w:tab/>
        <w:t>Dictyocaulus filaria</w:t>
      </w:r>
    </w:p>
    <w:p w14:paraId="68B2064D" w14:textId="77777777" w:rsidR="00E94ED0" w:rsidRPr="00E94ED0" w:rsidRDefault="00E94ED0" w:rsidP="00E94ED0">
      <w:pPr>
        <w:tabs>
          <w:tab w:val="left" w:pos="993"/>
        </w:tabs>
        <w:ind w:left="851"/>
        <w:rPr>
          <w:i/>
          <w:iCs/>
          <w:sz w:val="24"/>
          <w:szCs w:val="24"/>
          <w:lang w:val="en-GB"/>
        </w:rPr>
      </w:pPr>
    </w:p>
    <w:p w14:paraId="10A8A885" w14:textId="77777777" w:rsidR="00E94ED0" w:rsidRPr="00E94ED0" w:rsidRDefault="00E94ED0" w:rsidP="00E94ED0">
      <w:pPr>
        <w:tabs>
          <w:tab w:val="left" w:pos="993"/>
        </w:tabs>
        <w:ind w:left="851"/>
        <w:rPr>
          <w:b/>
          <w:bCs/>
          <w:sz w:val="24"/>
          <w:szCs w:val="24"/>
          <w:lang w:val="en-US"/>
        </w:rPr>
      </w:pPr>
      <w:bookmarkStart w:id="6" w:name="_Hlk203655021"/>
      <w:r w:rsidRPr="00E94ED0">
        <w:rPr>
          <w:b/>
          <w:bCs/>
          <w:sz w:val="24"/>
          <w:szCs w:val="24"/>
          <w:bdr w:val="none" w:sz="0" w:space="0" w:color="auto" w:frame="1"/>
          <w:lang w:val="en-US"/>
        </w:rPr>
        <w:t>Næsebremselarver (L1, L2, L3):</w:t>
      </w:r>
    </w:p>
    <w:p w14:paraId="3155A30D" w14:textId="77777777" w:rsidR="00E94ED0" w:rsidRPr="00E94ED0" w:rsidRDefault="00E94ED0" w:rsidP="00E94ED0">
      <w:pPr>
        <w:tabs>
          <w:tab w:val="left" w:pos="993"/>
        </w:tabs>
        <w:ind w:left="851"/>
        <w:rPr>
          <w:i/>
          <w:iCs/>
          <w:sz w:val="24"/>
          <w:szCs w:val="24"/>
          <w:lang w:val="en-US"/>
        </w:rPr>
      </w:pPr>
      <w:r w:rsidRPr="00E94ED0">
        <w:rPr>
          <w:b/>
          <w:bCs/>
          <w:sz w:val="24"/>
          <w:szCs w:val="24"/>
          <w:bdr w:val="none" w:sz="0" w:space="0" w:color="auto" w:frame="1"/>
          <w:lang w:val="en-US"/>
        </w:rPr>
        <w:tab/>
      </w:r>
      <w:r w:rsidRPr="00E94ED0">
        <w:rPr>
          <w:i/>
          <w:iCs/>
          <w:sz w:val="24"/>
          <w:szCs w:val="24"/>
          <w:bdr w:val="none" w:sz="0" w:space="0" w:color="auto" w:frame="1"/>
          <w:lang w:val="en-US"/>
        </w:rPr>
        <w:t>Oestrus ovis</w:t>
      </w:r>
    </w:p>
    <w:p w14:paraId="3D5CEE0F" w14:textId="77777777" w:rsidR="00E94ED0" w:rsidRPr="00E94ED0" w:rsidRDefault="00E94ED0" w:rsidP="00E94ED0">
      <w:pPr>
        <w:tabs>
          <w:tab w:val="left" w:pos="993"/>
        </w:tabs>
        <w:ind w:left="851"/>
        <w:rPr>
          <w:i/>
          <w:iCs/>
          <w:sz w:val="24"/>
          <w:szCs w:val="24"/>
          <w:lang w:val="en-US"/>
        </w:rPr>
      </w:pPr>
    </w:p>
    <w:p w14:paraId="3125821A" w14:textId="77777777" w:rsidR="00E94ED0" w:rsidRPr="00E94ED0" w:rsidRDefault="00E94ED0" w:rsidP="00E94ED0">
      <w:pPr>
        <w:tabs>
          <w:tab w:val="left" w:pos="993"/>
        </w:tabs>
        <w:ind w:left="851"/>
        <w:rPr>
          <w:b/>
          <w:bCs/>
          <w:sz w:val="24"/>
          <w:szCs w:val="24"/>
          <w:highlight w:val="yellow"/>
          <w:lang w:val="pt-BR"/>
        </w:rPr>
      </w:pPr>
      <w:r w:rsidRPr="00E94ED0">
        <w:rPr>
          <w:b/>
          <w:bCs/>
          <w:sz w:val="24"/>
          <w:szCs w:val="24"/>
          <w:bdr w:val="none" w:sz="0" w:space="0" w:color="auto" w:frame="1"/>
          <w:lang w:val="en-US"/>
        </w:rPr>
        <w:t>Bremselarver (L1, L2, L3):</w:t>
      </w:r>
    </w:p>
    <w:p w14:paraId="06FCF252" w14:textId="77777777" w:rsidR="00E94ED0" w:rsidRPr="00E94ED0" w:rsidRDefault="00E94ED0" w:rsidP="00E94ED0">
      <w:pPr>
        <w:tabs>
          <w:tab w:val="left" w:pos="993"/>
        </w:tabs>
        <w:ind w:left="851"/>
        <w:rPr>
          <w:i/>
          <w:iCs/>
          <w:sz w:val="24"/>
          <w:szCs w:val="24"/>
          <w:lang w:val="pt-BR"/>
        </w:rPr>
      </w:pPr>
      <w:r w:rsidRPr="00E94ED0">
        <w:rPr>
          <w:sz w:val="24"/>
          <w:szCs w:val="24"/>
          <w:bdr w:val="none" w:sz="0" w:space="0" w:color="auto" w:frame="1"/>
          <w:lang w:val="en-US"/>
        </w:rPr>
        <w:tab/>
      </w:r>
      <w:r w:rsidRPr="00E94ED0">
        <w:rPr>
          <w:i/>
          <w:iCs/>
          <w:sz w:val="24"/>
          <w:szCs w:val="24"/>
          <w:bdr w:val="none" w:sz="0" w:space="0" w:color="auto" w:frame="1"/>
          <w:lang w:val="en-US"/>
        </w:rPr>
        <w:t>Przhevalskiana silenus</w:t>
      </w:r>
    </w:p>
    <w:bookmarkEnd w:id="6"/>
    <w:p w14:paraId="30E8E338" w14:textId="77777777" w:rsidR="00E94ED0" w:rsidRPr="00E94ED0" w:rsidRDefault="00E94ED0" w:rsidP="00E94ED0">
      <w:pPr>
        <w:tabs>
          <w:tab w:val="left" w:pos="993"/>
        </w:tabs>
        <w:ind w:left="851"/>
        <w:rPr>
          <w:i/>
          <w:iCs/>
          <w:sz w:val="24"/>
          <w:szCs w:val="24"/>
          <w:lang w:val="pt-BR"/>
        </w:rPr>
      </w:pPr>
    </w:p>
    <w:p w14:paraId="7161B45B" w14:textId="77777777" w:rsidR="00E94ED0" w:rsidRPr="00E94ED0" w:rsidRDefault="00E94ED0" w:rsidP="00E94ED0">
      <w:pPr>
        <w:tabs>
          <w:tab w:val="left" w:pos="993"/>
        </w:tabs>
        <w:ind w:left="851"/>
        <w:rPr>
          <w:sz w:val="24"/>
          <w:szCs w:val="24"/>
          <w:lang w:val="pt-BR"/>
        </w:rPr>
      </w:pPr>
      <w:bookmarkStart w:id="7" w:name="_Hlk203655056"/>
      <w:r w:rsidRPr="00E94ED0">
        <w:rPr>
          <w:sz w:val="24"/>
          <w:szCs w:val="24"/>
          <w:bdr w:val="none" w:sz="0" w:space="0" w:color="auto" w:frame="1"/>
        </w:rPr>
        <w:t>For at opnå de bedste resultater bør veterinærlægemidlet indgå i et program, som har til hensigt at kontrollere både interne og eksterne parasitter hos får og geder baseret på epidemiologien af disse parasitter.</w:t>
      </w:r>
    </w:p>
    <w:bookmarkEnd w:id="7"/>
    <w:p w14:paraId="56591AC9" w14:textId="77777777" w:rsidR="008203A8" w:rsidRPr="00E94ED0" w:rsidRDefault="008203A8" w:rsidP="00E94ED0">
      <w:pPr>
        <w:pStyle w:val="Sidehoved"/>
        <w:ind w:left="851"/>
        <w:rPr>
          <w:szCs w:val="24"/>
        </w:rPr>
      </w:pPr>
    </w:p>
    <w:p w14:paraId="33656E4E"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7CE6D84C" w14:textId="77777777" w:rsidR="009E13FE" w:rsidRPr="009E13FE" w:rsidRDefault="009E13FE" w:rsidP="009E13FE">
      <w:pPr>
        <w:pStyle w:val="Sidehoved"/>
        <w:ind w:left="851"/>
        <w:rPr>
          <w:szCs w:val="24"/>
        </w:rPr>
      </w:pPr>
      <w:r w:rsidRPr="009E13FE">
        <w:rPr>
          <w:szCs w:val="24"/>
        </w:rPr>
        <w:t>Må ikke anvendes til andre dyrearter. Avermectiner kan være dødelige for hunde, især collier, old english sheepdogs og beslægtede racer og blandingsracer, men også for padder/skildpadder.</w:t>
      </w:r>
    </w:p>
    <w:p w14:paraId="3F04E900" w14:textId="77777777" w:rsidR="009E13FE" w:rsidRPr="009E13FE" w:rsidRDefault="009E13FE" w:rsidP="009E13FE">
      <w:pPr>
        <w:pStyle w:val="Sidehoved"/>
        <w:ind w:left="851"/>
        <w:rPr>
          <w:szCs w:val="24"/>
        </w:rPr>
      </w:pPr>
      <w:r w:rsidRPr="009E13FE">
        <w:rPr>
          <w:szCs w:val="24"/>
        </w:rPr>
        <w:t xml:space="preserve">Må ikke anvendes i tilfælde af overfølsomhed over for det aktive stof eller over for et eller flere af hjælpestofferne. </w:t>
      </w:r>
    </w:p>
    <w:p w14:paraId="6724E694" w14:textId="77777777" w:rsidR="008203A8" w:rsidRPr="00406EE7" w:rsidRDefault="008203A8" w:rsidP="008203A8">
      <w:pPr>
        <w:pStyle w:val="Sidehoved"/>
        <w:tabs>
          <w:tab w:val="clear" w:pos="4819"/>
        </w:tabs>
        <w:ind w:left="851"/>
        <w:rPr>
          <w:szCs w:val="24"/>
        </w:rPr>
      </w:pPr>
    </w:p>
    <w:p w14:paraId="0DAE9B3A"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4AD343C2" w14:textId="77777777" w:rsidR="009E13FE" w:rsidRPr="009E13FE" w:rsidRDefault="009E13FE" w:rsidP="009E13FE">
      <w:pPr>
        <w:pStyle w:val="Sidehoved"/>
        <w:ind w:left="851"/>
        <w:rPr>
          <w:szCs w:val="24"/>
        </w:rPr>
      </w:pPr>
      <w:r w:rsidRPr="009E13FE">
        <w:rPr>
          <w:szCs w:val="24"/>
        </w:rPr>
        <w:t>For at sikre en effektiv anvendelse må veterinærlægemidlet ikke påføres områder på ryggen, som er dækket af mudder eller gødning.</w:t>
      </w:r>
    </w:p>
    <w:p w14:paraId="25DB3F1F" w14:textId="77777777" w:rsidR="009E13FE" w:rsidRPr="009E13FE" w:rsidRDefault="009E13FE" w:rsidP="009E13FE">
      <w:pPr>
        <w:pStyle w:val="Sidehoved"/>
        <w:ind w:left="851"/>
        <w:rPr>
          <w:szCs w:val="24"/>
        </w:rPr>
      </w:pPr>
    </w:p>
    <w:p w14:paraId="67115356" w14:textId="77777777" w:rsidR="009E13FE" w:rsidRPr="009E13FE" w:rsidRDefault="009E13FE" w:rsidP="009E13FE">
      <w:pPr>
        <w:pStyle w:val="Sidehoved"/>
        <w:ind w:left="851"/>
        <w:rPr>
          <w:szCs w:val="24"/>
        </w:rPr>
      </w:pPr>
      <w:r w:rsidRPr="009E13FE">
        <w:rPr>
          <w:szCs w:val="24"/>
        </w:rPr>
        <w:t>Det er vist, at hos kvæg har regnvejr før, under eller efter påføring af veterinærlægemidlet ingen indflydelse på virkningen. Det er ligeledes påvist, at pelslængden ikke påvirker veterinærlægemidlets virkning. Regnvejr og pelslængdens indflydelse på virkningen er ikke blevet undersøgt hos får og geder.</w:t>
      </w:r>
    </w:p>
    <w:p w14:paraId="1EB70A99" w14:textId="77777777" w:rsidR="009E13FE" w:rsidRPr="009E13FE" w:rsidRDefault="009E13FE" w:rsidP="009E13FE">
      <w:pPr>
        <w:pStyle w:val="Sidehoved"/>
        <w:ind w:left="851"/>
        <w:rPr>
          <w:szCs w:val="24"/>
        </w:rPr>
      </w:pPr>
    </w:p>
    <w:p w14:paraId="6F1E48D3" w14:textId="77777777" w:rsidR="009E13FE" w:rsidRPr="009E13FE" w:rsidRDefault="009E13FE" w:rsidP="009E13FE">
      <w:pPr>
        <w:pStyle w:val="Sidehoved"/>
        <w:ind w:left="851"/>
        <w:rPr>
          <w:szCs w:val="24"/>
        </w:rPr>
      </w:pPr>
      <w:r w:rsidRPr="009E13FE">
        <w:rPr>
          <w:szCs w:val="24"/>
        </w:rPr>
        <w:t xml:space="preserve">For at begrænse krydsoverføring af eprinomectin bør behandlede dyr adskilles fra ubehandlede dyr. Afvigelse fra denne anbefaling kan medføre overskridelse af grænseværdier hos ubehandlede dyr </w:t>
      </w:r>
      <w:bookmarkStart w:id="8" w:name="_Hlk203655124"/>
      <w:r w:rsidRPr="009E13FE">
        <w:rPr>
          <w:szCs w:val="24"/>
        </w:rPr>
        <w:t>og udvikling af resistens over for eprinomectin.</w:t>
      </w:r>
    </w:p>
    <w:bookmarkEnd w:id="8"/>
    <w:p w14:paraId="77DCBE29" w14:textId="77777777" w:rsidR="009E13FE" w:rsidRPr="009E13FE" w:rsidRDefault="009E13FE" w:rsidP="009E13FE">
      <w:pPr>
        <w:pStyle w:val="Sidehoved"/>
        <w:ind w:left="851"/>
        <w:rPr>
          <w:szCs w:val="24"/>
        </w:rPr>
      </w:pPr>
    </w:p>
    <w:p w14:paraId="6A78204E" w14:textId="77777777" w:rsidR="009E13FE" w:rsidRPr="009E13FE" w:rsidRDefault="009E13FE" w:rsidP="009E13FE">
      <w:pPr>
        <w:pStyle w:val="Sidehoved"/>
        <w:ind w:left="851"/>
        <w:rPr>
          <w:szCs w:val="24"/>
        </w:rPr>
      </w:pPr>
      <w:bookmarkStart w:id="9" w:name="_Hlk203655151"/>
      <w:r w:rsidRPr="009E13FE">
        <w:rPr>
          <w:szCs w:val="24"/>
        </w:rPr>
        <w:t xml:space="preserve">Unødig anvendelse af antiparasitære lægemidler eller anvendelse, som afviger fra anvisningerne i produktresuméet, kan øge resistensselektionstrykket og medføre reduceret virkning. Beslutningen om at anvende veterinærlægemidlet bør baseres på bekræftet tilstedeværelse af parasitarten og parasitbyrden, eller risikoen for infestation baseret på dens epidemiologiske egenskaber i den enkelte besætning. </w:t>
      </w:r>
    </w:p>
    <w:p w14:paraId="1D7C4274" w14:textId="77777777" w:rsidR="009E13FE" w:rsidRPr="009E13FE" w:rsidRDefault="009E13FE" w:rsidP="009E13FE">
      <w:pPr>
        <w:pStyle w:val="Sidehoved"/>
        <w:ind w:left="851"/>
        <w:rPr>
          <w:szCs w:val="24"/>
        </w:rPr>
      </w:pPr>
    </w:p>
    <w:p w14:paraId="430E281E" w14:textId="77777777" w:rsidR="009E13FE" w:rsidRPr="009E13FE" w:rsidRDefault="009E13FE" w:rsidP="009E13FE">
      <w:pPr>
        <w:pStyle w:val="Sidehoved"/>
        <w:ind w:left="851"/>
        <w:rPr>
          <w:szCs w:val="24"/>
        </w:rPr>
      </w:pPr>
      <w:r w:rsidRPr="009E13FE">
        <w:rPr>
          <w:szCs w:val="24"/>
        </w:rPr>
        <w:t>Gentagen anvendelse gennem længere tid, især ved anvendelse af samme stofklasse, øger risikoen for resistensudvikling. Inden for en besætning er vedligeholdelse af modtagelige refugier afgørende for at reducere denne risiko. Systematisk anvendt intervalbaseret behandling og behandling af en hel besætning bør undgås. Hvis det er muligt, bør i stedet kun udvalgte individuelle dyr eller undergrupper behandles (målrettet selektiv behandling). Dette bør kombineres med passende driftspraksis og håndtering af græsningsarealer. Den ansvarlige dyrlæge skal tages med på råd for den enkelte besætning.</w:t>
      </w:r>
    </w:p>
    <w:bookmarkEnd w:id="9"/>
    <w:p w14:paraId="1125E7C9" w14:textId="77777777" w:rsidR="009E13FE" w:rsidRPr="009E13FE" w:rsidRDefault="009E13FE" w:rsidP="009E13FE">
      <w:pPr>
        <w:pStyle w:val="Sidehoved"/>
        <w:ind w:left="851"/>
        <w:rPr>
          <w:szCs w:val="24"/>
        </w:rPr>
      </w:pPr>
    </w:p>
    <w:p w14:paraId="7639B82C" w14:textId="77777777" w:rsidR="009E13FE" w:rsidRPr="009E13FE" w:rsidRDefault="009E13FE" w:rsidP="009E13FE">
      <w:pPr>
        <w:pStyle w:val="Sidehoved"/>
        <w:ind w:left="851"/>
        <w:rPr>
          <w:szCs w:val="24"/>
        </w:rPr>
      </w:pPr>
      <w:r w:rsidRPr="009E13FE">
        <w:rPr>
          <w:szCs w:val="24"/>
        </w:rPr>
        <w:t xml:space="preserve">Mistænkte tilfælde af resistens bør undersøges nærmere ved hjælp af en egnet diagnostisk metode (fx </w:t>
      </w:r>
      <w:r w:rsidRPr="009E13FE">
        <w:rPr>
          <w:iCs/>
          <w:szCs w:val="24"/>
        </w:rPr>
        <w:t>Faecal Egg Count Reduction Test</w:t>
      </w:r>
      <w:r w:rsidRPr="009E13FE">
        <w:rPr>
          <w:szCs w:val="24"/>
        </w:rPr>
        <w:t xml:space="preserve">). Hvis testresultaterne tydeligt viser resistens over for et bestemt anthelmintikum, skal der anvendes et anthelmintikum fra en anden farmakologisk klasse med en anden virkningsmekanisme. </w:t>
      </w:r>
    </w:p>
    <w:p w14:paraId="1F5B6BFE" w14:textId="77777777" w:rsidR="009E13FE" w:rsidRPr="009E13FE" w:rsidRDefault="009E13FE" w:rsidP="009E13FE">
      <w:pPr>
        <w:pStyle w:val="Sidehoved"/>
        <w:ind w:left="851"/>
        <w:rPr>
          <w:bCs/>
          <w:szCs w:val="24"/>
        </w:rPr>
      </w:pPr>
      <w:bookmarkStart w:id="10" w:name="_Hlk203655247"/>
      <w:r w:rsidRPr="009E13FE">
        <w:rPr>
          <w:bCs/>
          <w:szCs w:val="24"/>
        </w:rPr>
        <w:t>Bekræftet resistens skal rapporteres til indehaveren af markedsføringstilladelsen eller til de relevante myndigheder.</w:t>
      </w:r>
    </w:p>
    <w:bookmarkEnd w:id="10"/>
    <w:p w14:paraId="114ABA6E" w14:textId="77777777" w:rsidR="009E13FE" w:rsidRPr="009E13FE" w:rsidRDefault="009E13FE" w:rsidP="009E13FE">
      <w:pPr>
        <w:pStyle w:val="Sidehoved"/>
        <w:ind w:left="851"/>
        <w:rPr>
          <w:szCs w:val="24"/>
        </w:rPr>
      </w:pPr>
      <w:r w:rsidRPr="009E13FE">
        <w:rPr>
          <w:szCs w:val="24"/>
        </w:rPr>
        <w:t xml:space="preserve">Til dato er der ikke indberettet om resistens over for eprinomectin (makrocyklisk lakton) hos kvæg, men der er indberettet resistens over for eprinomectin hos geder og får indenfor EU. Der er imidlertid rapporteret resistens over for andre makrocykliske laktoner i nematodepopulationer hos kvæg, får og geder inden for EU, hvilket kan være associeret med krydsresistens over for eprinomectin. </w:t>
      </w:r>
      <w:bookmarkStart w:id="11" w:name="_Hlk203655324"/>
      <w:r w:rsidRPr="009E13FE">
        <w:rPr>
          <w:szCs w:val="24"/>
        </w:rPr>
        <w:t>Veterinærlægemidlet bør anvendes under hensyntagen til lokal information om målparasitternes følsomhed, hvor denne er tilgængelig.</w:t>
      </w:r>
    </w:p>
    <w:bookmarkEnd w:id="11"/>
    <w:p w14:paraId="7ADEC88D" w14:textId="77777777" w:rsidR="009E13FE" w:rsidRPr="009E13FE" w:rsidRDefault="009E13FE" w:rsidP="009E13FE">
      <w:pPr>
        <w:pStyle w:val="Sidehoved"/>
        <w:ind w:left="851"/>
        <w:rPr>
          <w:szCs w:val="24"/>
        </w:rPr>
      </w:pPr>
    </w:p>
    <w:p w14:paraId="4FC0CB13" w14:textId="77777777" w:rsidR="009E13FE" w:rsidRPr="009E13FE" w:rsidRDefault="009E13FE" w:rsidP="009E13FE">
      <w:pPr>
        <w:pStyle w:val="Sidehoved"/>
        <w:ind w:left="851"/>
        <w:rPr>
          <w:szCs w:val="24"/>
        </w:rPr>
      </w:pPr>
      <w:r w:rsidRPr="009E13FE">
        <w:rPr>
          <w:szCs w:val="24"/>
        </w:rPr>
        <w:t>Selv om antallet af mider og lus hurtigt falder efter behandlingen, kan det tage flere uger før visse mider er fuldstændig udryddet pga. deres vaner for fødeoptag.</w:t>
      </w:r>
    </w:p>
    <w:p w14:paraId="6CA1785F" w14:textId="77777777" w:rsidR="008203A8" w:rsidRPr="00406EE7" w:rsidRDefault="008203A8" w:rsidP="008203A8">
      <w:pPr>
        <w:pStyle w:val="Sidehoved"/>
        <w:tabs>
          <w:tab w:val="clear" w:pos="4819"/>
        </w:tabs>
        <w:ind w:left="851"/>
        <w:rPr>
          <w:szCs w:val="24"/>
        </w:rPr>
      </w:pPr>
    </w:p>
    <w:p w14:paraId="0993BED7"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040CE7FF" w14:textId="77777777" w:rsidR="008203A8" w:rsidRPr="002374DA" w:rsidRDefault="008203A8" w:rsidP="008203A8">
      <w:pPr>
        <w:tabs>
          <w:tab w:val="left" w:pos="851"/>
        </w:tabs>
        <w:ind w:left="851"/>
        <w:rPr>
          <w:sz w:val="24"/>
          <w:szCs w:val="24"/>
        </w:rPr>
      </w:pPr>
    </w:p>
    <w:p w14:paraId="7E2CC35A" w14:textId="77777777" w:rsidR="008203A8" w:rsidRPr="00967486" w:rsidRDefault="008203A8" w:rsidP="008203A8">
      <w:pPr>
        <w:tabs>
          <w:tab w:val="left" w:pos="851"/>
        </w:tabs>
        <w:ind w:left="851"/>
        <w:rPr>
          <w:sz w:val="24"/>
          <w:szCs w:val="24"/>
          <w:u w:val="single"/>
        </w:rPr>
      </w:pPr>
      <w:r w:rsidRPr="00967486">
        <w:rPr>
          <w:sz w:val="24"/>
          <w:szCs w:val="24"/>
          <w:u w:val="single"/>
        </w:rPr>
        <w:t>Særlige forholdsregler vedrørende sikker brug hos de dyrearter, som lægemidlet er beregnet til</w:t>
      </w:r>
    </w:p>
    <w:p w14:paraId="56BC8737" w14:textId="77777777" w:rsidR="00DD4C1F" w:rsidRPr="00DD4C1F" w:rsidRDefault="00DD4C1F" w:rsidP="00DD4C1F">
      <w:pPr>
        <w:tabs>
          <w:tab w:val="left" w:pos="851"/>
        </w:tabs>
        <w:ind w:left="851"/>
        <w:rPr>
          <w:sz w:val="24"/>
          <w:szCs w:val="24"/>
        </w:rPr>
      </w:pPr>
      <w:r w:rsidRPr="00DD4C1F">
        <w:rPr>
          <w:sz w:val="24"/>
          <w:szCs w:val="24"/>
        </w:rPr>
        <w:t>Kun til udvortes brug.</w:t>
      </w:r>
    </w:p>
    <w:p w14:paraId="199C2286" w14:textId="77777777" w:rsidR="00DD4C1F" w:rsidRPr="00DD4C1F" w:rsidRDefault="00DD4C1F" w:rsidP="00DD4C1F">
      <w:pPr>
        <w:tabs>
          <w:tab w:val="left" w:pos="851"/>
        </w:tabs>
        <w:ind w:left="851"/>
        <w:rPr>
          <w:sz w:val="24"/>
          <w:szCs w:val="24"/>
        </w:rPr>
      </w:pPr>
      <w:r w:rsidRPr="00DD4C1F">
        <w:rPr>
          <w:sz w:val="24"/>
          <w:szCs w:val="24"/>
        </w:rPr>
        <w:t xml:space="preserve">Veterinærlægemidlet må kun påføres på sund hud. </w:t>
      </w:r>
    </w:p>
    <w:p w14:paraId="15E5247B" w14:textId="77777777" w:rsidR="00DD4C1F" w:rsidRPr="00DD4C1F" w:rsidRDefault="00DD4C1F" w:rsidP="00DD4C1F">
      <w:pPr>
        <w:tabs>
          <w:tab w:val="left" w:pos="851"/>
        </w:tabs>
        <w:ind w:left="851"/>
        <w:rPr>
          <w:sz w:val="24"/>
          <w:szCs w:val="24"/>
        </w:rPr>
      </w:pPr>
      <w:r w:rsidRPr="00DD4C1F">
        <w:rPr>
          <w:sz w:val="24"/>
          <w:szCs w:val="24"/>
        </w:rPr>
        <w:t xml:space="preserve">For at undgå sekundære reaktioner forårsaget af døde </w:t>
      </w:r>
      <w:r w:rsidRPr="00DD4C1F">
        <w:rPr>
          <w:i/>
          <w:iCs/>
          <w:sz w:val="24"/>
          <w:szCs w:val="24"/>
        </w:rPr>
        <w:t>Hypoderma-</w:t>
      </w:r>
      <w:r w:rsidRPr="00DD4C1F">
        <w:rPr>
          <w:sz w:val="24"/>
          <w:szCs w:val="24"/>
        </w:rPr>
        <w:t>larver i spiserør eller i rygrad anbefales det at administrere veterinærlægemidlet i slutningen af oksebremsens livscyklus, og før larverne forpupper sig.</w:t>
      </w:r>
    </w:p>
    <w:p w14:paraId="7AD141A1" w14:textId="77777777" w:rsidR="008203A8" w:rsidRPr="00406EE7" w:rsidRDefault="008203A8" w:rsidP="008203A8">
      <w:pPr>
        <w:tabs>
          <w:tab w:val="left" w:pos="851"/>
        </w:tabs>
        <w:ind w:left="851"/>
        <w:rPr>
          <w:sz w:val="24"/>
          <w:szCs w:val="24"/>
        </w:rPr>
      </w:pPr>
    </w:p>
    <w:p w14:paraId="48CFACFB"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for personer, der administrerer veterinærlægemidlet til dyr</w:t>
      </w:r>
    </w:p>
    <w:p w14:paraId="477D2323" w14:textId="77777777" w:rsidR="00DD4C1F" w:rsidRPr="00DD4C1F" w:rsidRDefault="00DD4C1F" w:rsidP="00DD4C1F">
      <w:pPr>
        <w:tabs>
          <w:tab w:val="left" w:pos="851"/>
        </w:tabs>
        <w:ind w:left="851"/>
        <w:rPr>
          <w:sz w:val="24"/>
          <w:szCs w:val="24"/>
        </w:rPr>
      </w:pPr>
      <w:bookmarkStart w:id="12" w:name="_Hlk200617202"/>
      <w:r w:rsidRPr="00DD4C1F">
        <w:rPr>
          <w:sz w:val="24"/>
          <w:szCs w:val="24"/>
        </w:rPr>
        <w:t>Dette veterinærlægemiddel kan irritere hud og øjne og kan forårsage overfølsomhedsreaktioner.</w:t>
      </w:r>
    </w:p>
    <w:p w14:paraId="26B9D480" w14:textId="77777777" w:rsidR="00DD4C1F" w:rsidRPr="00DD4C1F" w:rsidRDefault="00DD4C1F" w:rsidP="00DD4C1F">
      <w:pPr>
        <w:tabs>
          <w:tab w:val="left" w:pos="851"/>
        </w:tabs>
        <w:ind w:left="851"/>
        <w:rPr>
          <w:sz w:val="24"/>
          <w:szCs w:val="24"/>
        </w:rPr>
      </w:pPr>
      <w:r w:rsidRPr="00DD4C1F">
        <w:rPr>
          <w:sz w:val="24"/>
          <w:szCs w:val="24"/>
        </w:rPr>
        <w:t>Personer med kendt overfølsomhed for eprinomectin,</w:t>
      </w:r>
      <w:bookmarkStart w:id="13" w:name="_Hlk203655409"/>
      <w:bookmarkStart w:id="14" w:name="_Hlk203660539"/>
      <w:r w:rsidRPr="00DD4C1F">
        <w:rPr>
          <w:sz w:val="24"/>
          <w:szCs w:val="24"/>
        </w:rPr>
        <w:t xml:space="preserve"> butylhydroxytoluen eller propylenglycol-dicaprylocaprat</w:t>
      </w:r>
      <w:bookmarkEnd w:id="13"/>
      <w:bookmarkEnd w:id="14"/>
      <w:r w:rsidRPr="00DD4C1F">
        <w:rPr>
          <w:sz w:val="24"/>
          <w:szCs w:val="24"/>
        </w:rPr>
        <w:t xml:space="preserve"> skal undgå kontakt med veterinærlægemidlet.</w:t>
      </w:r>
    </w:p>
    <w:p w14:paraId="421A03B9" w14:textId="77777777" w:rsidR="00DD4C1F" w:rsidRPr="00DD4C1F" w:rsidRDefault="00DD4C1F" w:rsidP="00DD4C1F">
      <w:pPr>
        <w:tabs>
          <w:tab w:val="left" w:pos="851"/>
        </w:tabs>
        <w:ind w:left="851"/>
        <w:rPr>
          <w:sz w:val="24"/>
          <w:szCs w:val="24"/>
        </w:rPr>
      </w:pPr>
      <w:bookmarkStart w:id="15" w:name="_Hlk203655428"/>
      <w:r w:rsidRPr="00DD4C1F">
        <w:rPr>
          <w:sz w:val="24"/>
          <w:szCs w:val="24"/>
        </w:rPr>
        <w:t>Eprinomectin kan overføres til brystmælk. Derfor bør ammende kvinder håndtere veterinærlægemidlet med stor forsigtighed.</w:t>
      </w:r>
    </w:p>
    <w:bookmarkEnd w:id="15"/>
    <w:p w14:paraId="7B0DA626" w14:textId="77777777" w:rsidR="00DD4C1F" w:rsidRPr="00DD4C1F" w:rsidRDefault="00DD4C1F" w:rsidP="00DD4C1F">
      <w:pPr>
        <w:tabs>
          <w:tab w:val="left" w:pos="851"/>
        </w:tabs>
        <w:ind w:left="851"/>
        <w:rPr>
          <w:sz w:val="24"/>
          <w:szCs w:val="24"/>
        </w:rPr>
      </w:pPr>
      <w:r w:rsidRPr="00DD4C1F">
        <w:rPr>
          <w:sz w:val="24"/>
          <w:szCs w:val="24"/>
        </w:rPr>
        <w:t>Undgå kontakt med øjne og hud.</w:t>
      </w:r>
    </w:p>
    <w:p w14:paraId="55ABE6C1" w14:textId="77777777" w:rsidR="00DD4C1F" w:rsidRPr="00DD4C1F" w:rsidRDefault="00DD4C1F" w:rsidP="00DD4C1F">
      <w:pPr>
        <w:tabs>
          <w:tab w:val="left" w:pos="851"/>
        </w:tabs>
        <w:ind w:left="851"/>
        <w:rPr>
          <w:sz w:val="24"/>
          <w:szCs w:val="24"/>
        </w:rPr>
      </w:pPr>
      <w:r w:rsidRPr="00DD4C1F">
        <w:rPr>
          <w:sz w:val="24"/>
          <w:szCs w:val="24"/>
        </w:rPr>
        <w:t>Personligt beskyttelsesudstyr i form af gummihandsker, støvler og vandtæt kittel bør anvendes ved håndtering af veterinærlægemidlet.</w:t>
      </w:r>
    </w:p>
    <w:p w14:paraId="3EC06A22" w14:textId="77777777" w:rsidR="00DD4C1F" w:rsidRPr="00DD4C1F" w:rsidRDefault="00DD4C1F" w:rsidP="00DD4C1F">
      <w:pPr>
        <w:tabs>
          <w:tab w:val="left" w:pos="851"/>
        </w:tabs>
        <w:ind w:left="851"/>
        <w:rPr>
          <w:sz w:val="24"/>
          <w:szCs w:val="24"/>
        </w:rPr>
      </w:pPr>
      <w:r w:rsidRPr="00DD4C1F">
        <w:rPr>
          <w:sz w:val="24"/>
          <w:szCs w:val="24"/>
        </w:rPr>
        <w:t>Hvis der spildes på beklædning, skal det tages af så hurtigt som muligt og vaskes før det anvendes igen.</w:t>
      </w:r>
    </w:p>
    <w:p w14:paraId="76B46307" w14:textId="77777777" w:rsidR="00DD4C1F" w:rsidRPr="00DD4C1F" w:rsidRDefault="00DD4C1F" w:rsidP="00DD4C1F">
      <w:pPr>
        <w:tabs>
          <w:tab w:val="left" w:pos="851"/>
        </w:tabs>
        <w:ind w:left="851"/>
        <w:rPr>
          <w:sz w:val="24"/>
          <w:szCs w:val="24"/>
        </w:rPr>
      </w:pPr>
      <w:r w:rsidRPr="00DD4C1F">
        <w:rPr>
          <w:sz w:val="24"/>
          <w:szCs w:val="24"/>
        </w:rPr>
        <w:t>I tilfælde af utilsigtet spild på huden skal det berørte område straks vaskes med vand og sæbe.</w:t>
      </w:r>
    </w:p>
    <w:p w14:paraId="01480B18" w14:textId="77777777" w:rsidR="00DD4C1F" w:rsidRPr="00DD4C1F" w:rsidRDefault="00DD4C1F" w:rsidP="00DD4C1F">
      <w:pPr>
        <w:tabs>
          <w:tab w:val="left" w:pos="851"/>
        </w:tabs>
        <w:ind w:left="851"/>
        <w:rPr>
          <w:sz w:val="24"/>
          <w:szCs w:val="24"/>
        </w:rPr>
      </w:pPr>
      <w:r w:rsidRPr="00DD4C1F">
        <w:rPr>
          <w:sz w:val="24"/>
          <w:szCs w:val="24"/>
        </w:rPr>
        <w:t>I tilfælde af utilsigtet kontakt med øjnene skylles øjnene straks med rigelige mængder rent vand. Ved vedvarende irritation skal der straks søges læge</w:t>
      </w:r>
      <w:bookmarkStart w:id="16" w:name="_Hlk203655628"/>
      <w:bookmarkStart w:id="17" w:name="_Hlk203660633"/>
      <w:r w:rsidRPr="00DD4C1F">
        <w:rPr>
          <w:sz w:val="24"/>
          <w:szCs w:val="24"/>
        </w:rPr>
        <w:t>hjælp, og indlægssedlen eller etiketten bør vises til lægen</w:t>
      </w:r>
      <w:bookmarkEnd w:id="16"/>
      <w:r w:rsidRPr="00DD4C1F">
        <w:rPr>
          <w:sz w:val="24"/>
          <w:szCs w:val="24"/>
        </w:rPr>
        <w:t>.</w:t>
      </w:r>
    </w:p>
    <w:bookmarkEnd w:id="17"/>
    <w:p w14:paraId="43DE3B76" w14:textId="77777777" w:rsidR="00DD4C1F" w:rsidRPr="00DD4C1F" w:rsidRDefault="00DD4C1F" w:rsidP="00DD4C1F">
      <w:pPr>
        <w:tabs>
          <w:tab w:val="left" w:pos="851"/>
        </w:tabs>
        <w:ind w:left="851"/>
        <w:rPr>
          <w:sz w:val="24"/>
          <w:szCs w:val="24"/>
        </w:rPr>
      </w:pPr>
      <w:r w:rsidRPr="00DD4C1F">
        <w:rPr>
          <w:sz w:val="24"/>
          <w:szCs w:val="24"/>
        </w:rPr>
        <w:t>Må ikke indtages. I tilfælde af utilsigtet indtagelse skal munden skylles grundigt med vand</w:t>
      </w:r>
      <w:bookmarkStart w:id="18" w:name="_Hlk203660662"/>
      <w:r w:rsidRPr="00DD4C1F">
        <w:rPr>
          <w:sz w:val="24"/>
          <w:szCs w:val="24"/>
        </w:rPr>
        <w:t>, og der søges straks lægehjælp, og indlægssedlen eller etiketten bør vises til lægen.</w:t>
      </w:r>
    </w:p>
    <w:bookmarkEnd w:id="18"/>
    <w:p w14:paraId="3F9BE9FF" w14:textId="77777777" w:rsidR="00DD4C1F" w:rsidRPr="00DD4C1F" w:rsidRDefault="00DD4C1F" w:rsidP="00DD4C1F">
      <w:pPr>
        <w:tabs>
          <w:tab w:val="left" w:pos="851"/>
        </w:tabs>
        <w:ind w:left="851"/>
        <w:rPr>
          <w:sz w:val="24"/>
          <w:szCs w:val="24"/>
        </w:rPr>
      </w:pPr>
      <w:r w:rsidRPr="00DD4C1F">
        <w:rPr>
          <w:sz w:val="24"/>
          <w:szCs w:val="24"/>
        </w:rPr>
        <w:t>Der må ikke spises, drikkes eller ryges under håndteringen af veterinærlægemidlet.</w:t>
      </w:r>
    </w:p>
    <w:p w14:paraId="5B6CAF8E" w14:textId="77777777" w:rsidR="00DD4C1F" w:rsidRPr="00DD4C1F" w:rsidRDefault="00DD4C1F" w:rsidP="00DD4C1F">
      <w:pPr>
        <w:tabs>
          <w:tab w:val="left" w:pos="851"/>
        </w:tabs>
        <w:ind w:left="851"/>
        <w:rPr>
          <w:sz w:val="24"/>
          <w:szCs w:val="24"/>
        </w:rPr>
      </w:pPr>
      <w:r w:rsidRPr="00DD4C1F">
        <w:rPr>
          <w:sz w:val="24"/>
          <w:szCs w:val="24"/>
        </w:rPr>
        <w:t>Vask hænderne efter brug.</w:t>
      </w:r>
      <w:bookmarkEnd w:id="12"/>
    </w:p>
    <w:p w14:paraId="4CB4EC3A" w14:textId="77777777" w:rsidR="008203A8" w:rsidRDefault="008203A8" w:rsidP="008203A8">
      <w:pPr>
        <w:tabs>
          <w:tab w:val="left" w:pos="851"/>
        </w:tabs>
        <w:ind w:left="851"/>
        <w:rPr>
          <w:sz w:val="24"/>
          <w:szCs w:val="24"/>
        </w:rPr>
      </w:pPr>
    </w:p>
    <w:p w14:paraId="53D75AD7"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vedrørende beskyttelse af miljøet</w:t>
      </w:r>
    </w:p>
    <w:p w14:paraId="71699761" w14:textId="77777777" w:rsidR="00DD4C1F" w:rsidRPr="00DD4C1F" w:rsidRDefault="00DD4C1F" w:rsidP="00DD4C1F">
      <w:pPr>
        <w:tabs>
          <w:tab w:val="left" w:pos="851"/>
        </w:tabs>
        <w:ind w:left="851"/>
        <w:rPr>
          <w:sz w:val="24"/>
          <w:szCs w:val="24"/>
        </w:rPr>
      </w:pPr>
      <w:r w:rsidRPr="00DD4C1F">
        <w:rPr>
          <w:sz w:val="24"/>
          <w:szCs w:val="24"/>
        </w:rPr>
        <w:t>Eprinomectin er yderst toksisk for gødningsfauna og for vandorganismer, er persistent i jord og kan akkumuleres i aflejringer.</w:t>
      </w:r>
    </w:p>
    <w:p w14:paraId="7AE1639D" w14:textId="77777777" w:rsidR="00DD4C1F" w:rsidRPr="00DD4C1F" w:rsidRDefault="00DD4C1F" w:rsidP="00DD4C1F">
      <w:pPr>
        <w:tabs>
          <w:tab w:val="left" w:pos="851"/>
        </w:tabs>
        <w:ind w:left="851"/>
        <w:rPr>
          <w:sz w:val="24"/>
          <w:szCs w:val="24"/>
        </w:rPr>
      </w:pPr>
      <w:r w:rsidRPr="00DD4C1F">
        <w:rPr>
          <w:sz w:val="24"/>
          <w:szCs w:val="24"/>
        </w:rPr>
        <w:t>Risikoen for at påvirke økosystemer i vand og gødningsfauna kan reduceres ved at undgå gentagen anvendelse af eprinomectin (og produkter i samme anthelmintikum-klasse).</w:t>
      </w:r>
    </w:p>
    <w:p w14:paraId="33B77625" w14:textId="77777777" w:rsidR="00DD4C1F" w:rsidRPr="00DD4C1F" w:rsidRDefault="00DD4C1F" w:rsidP="00DD4C1F">
      <w:pPr>
        <w:tabs>
          <w:tab w:val="left" w:pos="851"/>
        </w:tabs>
        <w:ind w:left="851"/>
        <w:rPr>
          <w:sz w:val="24"/>
          <w:szCs w:val="24"/>
        </w:rPr>
      </w:pPr>
      <w:r w:rsidRPr="00DD4C1F">
        <w:rPr>
          <w:sz w:val="24"/>
          <w:szCs w:val="24"/>
        </w:rPr>
        <w:t>For at minimere risikoen for økosystemer i vand bør behandlede dyr ikke have direkte adgang til vandområder i to til fem uger efter behandlingen.</w:t>
      </w:r>
    </w:p>
    <w:p w14:paraId="233645BC" w14:textId="77777777" w:rsidR="008203A8" w:rsidRPr="00406EE7" w:rsidRDefault="008203A8" w:rsidP="008203A8">
      <w:pPr>
        <w:tabs>
          <w:tab w:val="left" w:pos="851"/>
        </w:tabs>
        <w:ind w:left="851"/>
        <w:rPr>
          <w:sz w:val="24"/>
          <w:szCs w:val="24"/>
        </w:rPr>
      </w:pPr>
    </w:p>
    <w:p w14:paraId="2C15CDF5"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6F20898F" w14:textId="77777777" w:rsidR="00B305BF" w:rsidRPr="00B305BF" w:rsidRDefault="00B305BF" w:rsidP="00B305BF">
      <w:pPr>
        <w:tabs>
          <w:tab w:val="left" w:pos="851"/>
        </w:tabs>
        <w:ind w:left="851"/>
        <w:rPr>
          <w:sz w:val="24"/>
          <w:szCs w:val="24"/>
        </w:rPr>
      </w:pPr>
      <w:r w:rsidRPr="00B305BF">
        <w:rPr>
          <w:sz w:val="24"/>
          <w:szCs w:val="24"/>
        </w:rPr>
        <w:t>Kvæg (kød- og malkekvæg), får og ged:</w:t>
      </w:r>
    </w:p>
    <w:p w14:paraId="4E4A22E4" w14:textId="77777777" w:rsidR="00B305BF" w:rsidRPr="00B305BF" w:rsidRDefault="00B305BF" w:rsidP="00B305BF">
      <w:pPr>
        <w:tabs>
          <w:tab w:val="left" w:pos="851"/>
        </w:tabs>
        <w:ind w:left="851"/>
        <w:rPr>
          <w:sz w:val="24"/>
          <w:szCs w:val="24"/>
        </w:rPr>
      </w:pPr>
    </w:p>
    <w:tbl>
      <w:tblPr>
        <w:tblW w:w="3975"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2269"/>
      </w:tblGrid>
      <w:tr w:rsidR="00B305BF" w:rsidRPr="00B305BF" w14:paraId="2FB2EC27" w14:textId="77777777" w:rsidTr="00B305BF">
        <w:trPr>
          <w:trHeight w:val="1030"/>
        </w:trPr>
        <w:tc>
          <w:tcPr>
            <w:tcW w:w="3518" w:type="pct"/>
            <w:tcBorders>
              <w:top w:val="single" w:sz="4" w:space="0" w:color="auto"/>
              <w:left w:val="single" w:sz="4" w:space="0" w:color="auto"/>
              <w:bottom w:val="single" w:sz="4" w:space="0" w:color="auto"/>
              <w:right w:val="single" w:sz="4" w:space="0" w:color="auto"/>
            </w:tcBorders>
            <w:hideMark/>
          </w:tcPr>
          <w:p w14:paraId="0D296D0F" w14:textId="77777777" w:rsidR="00B305BF" w:rsidRPr="00B305BF" w:rsidRDefault="00B305BF" w:rsidP="00B305BF">
            <w:pPr>
              <w:ind w:left="174"/>
              <w:rPr>
                <w:sz w:val="24"/>
                <w:szCs w:val="24"/>
              </w:rPr>
            </w:pPr>
            <w:r w:rsidRPr="00B305BF">
              <w:rPr>
                <w:sz w:val="24"/>
                <w:szCs w:val="24"/>
              </w:rPr>
              <w:t>Meget sjælden</w:t>
            </w:r>
          </w:p>
          <w:p w14:paraId="09497EF7" w14:textId="77777777" w:rsidR="00B305BF" w:rsidRPr="00B305BF" w:rsidRDefault="00B305BF" w:rsidP="00B305BF">
            <w:pPr>
              <w:ind w:left="174"/>
              <w:rPr>
                <w:sz w:val="24"/>
                <w:szCs w:val="24"/>
              </w:rPr>
            </w:pPr>
            <w:r w:rsidRPr="00B305BF">
              <w:rPr>
                <w:sz w:val="24"/>
                <w:szCs w:val="24"/>
              </w:rPr>
              <w:t>(&lt;1 dyr / 10.000 behandlede dyr, herunder enkeltstående indberetninger):</w:t>
            </w:r>
          </w:p>
        </w:tc>
        <w:tc>
          <w:tcPr>
            <w:tcW w:w="1482" w:type="pct"/>
            <w:tcBorders>
              <w:top w:val="single" w:sz="4" w:space="0" w:color="auto"/>
              <w:left w:val="single" w:sz="4" w:space="0" w:color="auto"/>
              <w:bottom w:val="single" w:sz="4" w:space="0" w:color="auto"/>
              <w:right w:val="single" w:sz="4" w:space="0" w:color="auto"/>
            </w:tcBorders>
            <w:hideMark/>
          </w:tcPr>
          <w:p w14:paraId="63988B24" w14:textId="28AFB530" w:rsidR="00B305BF" w:rsidRPr="00B305BF" w:rsidRDefault="00B305BF" w:rsidP="00B305BF">
            <w:pPr>
              <w:rPr>
                <w:iCs/>
                <w:sz w:val="24"/>
                <w:szCs w:val="24"/>
                <w:lang w:val="en-GB"/>
              </w:rPr>
            </w:pPr>
            <w:r w:rsidRPr="00B305BF">
              <w:rPr>
                <w:iCs/>
                <w:sz w:val="24"/>
                <w:szCs w:val="24"/>
              </w:rPr>
              <w:t>Alopeci</w:t>
            </w:r>
          </w:p>
          <w:p w14:paraId="6E1ED3DE" w14:textId="77777777" w:rsidR="00B305BF" w:rsidRPr="00B305BF" w:rsidRDefault="00B305BF" w:rsidP="00B305BF">
            <w:pPr>
              <w:rPr>
                <w:iCs/>
                <w:sz w:val="24"/>
                <w:szCs w:val="24"/>
                <w:lang w:val="en-GB"/>
              </w:rPr>
            </w:pPr>
            <w:r w:rsidRPr="00B305BF">
              <w:rPr>
                <w:iCs/>
                <w:sz w:val="24"/>
                <w:szCs w:val="24"/>
              </w:rPr>
              <w:t>Pruritus</w:t>
            </w:r>
          </w:p>
        </w:tc>
      </w:tr>
    </w:tbl>
    <w:p w14:paraId="7E1A5B6C" w14:textId="77777777" w:rsidR="00B305BF" w:rsidRPr="00B305BF" w:rsidRDefault="00B305BF" w:rsidP="00B305BF">
      <w:pPr>
        <w:tabs>
          <w:tab w:val="left" w:pos="851"/>
        </w:tabs>
        <w:ind w:left="851"/>
        <w:rPr>
          <w:sz w:val="24"/>
          <w:szCs w:val="24"/>
          <w:lang w:val="en-GB"/>
        </w:rPr>
      </w:pPr>
    </w:p>
    <w:p w14:paraId="54323478" w14:textId="77777777" w:rsidR="00B305BF" w:rsidRPr="00B305BF" w:rsidRDefault="00B305BF" w:rsidP="00B305BF">
      <w:pPr>
        <w:tabs>
          <w:tab w:val="left" w:pos="851"/>
        </w:tabs>
        <w:ind w:left="851"/>
        <w:rPr>
          <w:sz w:val="24"/>
          <w:szCs w:val="24"/>
        </w:rPr>
      </w:pPr>
      <w:r w:rsidRPr="00B305BF">
        <w:rPr>
          <w:sz w:val="24"/>
          <w:szCs w:val="24"/>
        </w:rPr>
        <w:t>Indberetning af bivirkninger er vigtigt. Det muliggør løbende sikkerhedsovervågning af et veterinærlægemiddel. Indberetningerne sendes, helst via en dyrlæge, til enten indehaveren af markedsføringstilladelsen eller til den nationale kompetente myndighed via det nationale indberetningssystem. Se indlægssedlen for at finde de relevante kontaktoplysninger.</w:t>
      </w:r>
    </w:p>
    <w:p w14:paraId="7E170B62" w14:textId="77777777" w:rsidR="008203A8" w:rsidRPr="00406EE7" w:rsidRDefault="008203A8" w:rsidP="008203A8">
      <w:pPr>
        <w:tabs>
          <w:tab w:val="left" w:pos="851"/>
        </w:tabs>
        <w:ind w:left="851"/>
        <w:rPr>
          <w:sz w:val="24"/>
          <w:szCs w:val="24"/>
        </w:rPr>
      </w:pPr>
    </w:p>
    <w:p w14:paraId="551C9A46"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4143235C" w14:textId="77777777" w:rsidR="00B305BF" w:rsidRPr="00B305BF" w:rsidRDefault="00B305BF" w:rsidP="00B305BF">
      <w:pPr>
        <w:tabs>
          <w:tab w:val="left" w:pos="851"/>
        </w:tabs>
        <w:ind w:left="851"/>
        <w:rPr>
          <w:sz w:val="24"/>
          <w:szCs w:val="24"/>
        </w:rPr>
      </w:pPr>
    </w:p>
    <w:p w14:paraId="47B04BCD" w14:textId="77BBC1BF" w:rsidR="00B305BF" w:rsidRPr="00B305BF" w:rsidRDefault="00B305BF" w:rsidP="00B305BF">
      <w:pPr>
        <w:tabs>
          <w:tab w:val="left" w:pos="851"/>
        </w:tabs>
        <w:ind w:left="851"/>
        <w:rPr>
          <w:sz w:val="24"/>
          <w:szCs w:val="24"/>
        </w:rPr>
      </w:pPr>
      <w:bookmarkStart w:id="19" w:name="_Hlk203567836"/>
      <w:r w:rsidRPr="00B305BF">
        <w:rPr>
          <w:sz w:val="24"/>
          <w:szCs w:val="24"/>
          <w:u w:val="single"/>
        </w:rPr>
        <w:t>Drægtighed og laktation</w:t>
      </w:r>
    </w:p>
    <w:p w14:paraId="5158C6F9" w14:textId="77777777" w:rsidR="00B305BF" w:rsidRPr="00B305BF" w:rsidRDefault="00B305BF" w:rsidP="00B305BF">
      <w:pPr>
        <w:tabs>
          <w:tab w:val="left" w:pos="851"/>
        </w:tabs>
        <w:ind w:left="851"/>
        <w:rPr>
          <w:sz w:val="24"/>
          <w:szCs w:val="24"/>
        </w:rPr>
      </w:pPr>
      <w:r w:rsidRPr="00B305BF">
        <w:rPr>
          <w:sz w:val="24"/>
          <w:szCs w:val="24"/>
        </w:rPr>
        <w:t>Laboratorieundersøgelser med rotter og kaniner har ikke påvist teratogene eller embryotoksiske virkninger.</w:t>
      </w:r>
    </w:p>
    <w:p w14:paraId="55D60D95" w14:textId="77777777" w:rsidR="00B305BF" w:rsidRPr="00B305BF" w:rsidRDefault="00B305BF" w:rsidP="00B305BF">
      <w:pPr>
        <w:tabs>
          <w:tab w:val="left" w:pos="851"/>
        </w:tabs>
        <w:ind w:left="851"/>
        <w:rPr>
          <w:sz w:val="24"/>
          <w:szCs w:val="24"/>
        </w:rPr>
      </w:pPr>
    </w:p>
    <w:p w14:paraId="0FD3DFC7" w14:textId="7904B864" w:rsidR="00B305BF" w:rsidRPr="00B305BF" w:rsidRDefault="00B305BF" w:rsidP="00B305BF">
      <w:pPr>
        <w:tabs>
          <w:tab w:val="left" w:pos="851"/>
        </w:tabs>
        <w:ind w:left="851"/>
        <w:rPr>
          <w:i/>
          <w:iCs/>
          <w:sz w:val="24"/>
          <w:szCs w:val="24"/>
        </w:rPr>
      </w:pPr>
      <w:r w:rsidRPr="00B305BF">
        <w:rPr>
          <w:i/>
          <w:iCs/>
          <w:sz w:val="24"/>
          <w:szCs w:val="24"/>
        </w:rPr>
        <w:t xml:space="preserve">Kvæg </w:t>
      </w:r>
    </w:p>
    <w:p w14:paraId="4E3C962E" w14:textId="77777777" w:rsidR="00B305BF" w:rsidRPr="00B305BF" w:rsidRDefault="00B305BF" w:rsidP="00B305BF">
      <w:pPr>
        <w:tabs>
          <w:tab w:val="left" w:pos="851"/>
        </w:tabs>
        <w:ind w:left="851"/>
        <w:rPr>
          <w:sz w:val="24"/>
          <w:szCs w:val="24"/>
          <w:lang w:val="nl-BE"/>
        </w:rPr>
      </w:pPr>
      <w:r w:rsidRPr="00B305BF">
        <w:rPr>
          <w:sz w:val="24"/>
          <w:szCs w:val="24"/>
        </w:rPr>
        <w:t xml:space="preserve">Laboratorieundersøgelser med kvæg har ikke påvist teratogene eller føtotoksiske virkninger ved den anbefalede dosis. </w:t>
      </w:r>
      <w:bookmarkStart w:id="20" w:name="_Hlk203655768"/>
      <w:r w:rsidRPr="00B305BF">
        <w:rPr>
          <w:sz w:val="24"/>
          <w:szCs w:val="24"/>
        </w:rPr>
        <w:t>Veterinærlægemidlet</w:t>
      </w:r>
      <w:bookmarkEnd w:id="20"/>
      <w:r w:rsidRPr="00B305BF">
        <w:rPr>
          <w:sz w:val="24"/>
          <w:szCs w:val="24"/>
        </w:rPr>
        <w:t xml:space="preserve"> kan anvendes under drægtighed og diegivning. </w:t>
      </w:r>
      <w:r w:rsidRPr="00B305BF">
        <w:rPr>
          <w:sz w:val="24"/>
          <w:szCs w:val="24"/>
        </w:rPr>
        <w:br/>
      </w:r>
    </w:p>
    <w:p w14:paraId="055A4818" w14:textId="4522C5D8" w:rsidR="00B305BF" w:rsidRPr="00B305BF" w:rsidRDefault="00B305BF" w:rsidP="00B305BF">
      <w:pPr>
        <w:tabs>
          <w:tab w:val="left" w:pos="851"/>
        </w:tabs>
        <w:ind w:left="851"/>
        <w:rPr>
          <w:i/>
          <w:iCs/>
          <w:sz w:val="24"/>
          <w:szCs w:val="24"/>
        </w:rPr>
      </w:pPr>
      <w:r w:rsidRPr="00B305BF">
        <w:rPr>
          <w:i/>
          <w:iCs/>
          <w:sz w:val="24"/>
          <w:szCs w:val="24"/>
        </w:rPr>
        <w:t>Får og geder</w:t>
      </w:r>
    </w:p>
    <w:p w14:paraId="738C6AFA" w14:textId="77777777" w:rsidR="00B305BF" w:rsidRPr="00B305BF" w:rsidRDefault="00B305BF" w:rsidP="00B305BF">
      <w:pPr>
        <w:tabs>
          <w:tab w:val="left" w:pos="851"/>
        </w:tabs>
        <w:ind w:left="851"/>
        <w:rPr>
          <w:sz w:val="24"/>
          <w:szCs w:val="24"/>
        </w:rPr>
      </w:pPr>
      <w:r w:rsidRPr="00B305BF">
        <w:rPr>
          <w:sz w:val="24"/>
          <w:szCs w:val="24"/>
        </w:rPr>
        <w:t>Veterinærlægemidlets sikkerhed under drægtighed hos får og geder er ikke undersøgt. </w:t>
      </w:r>
      <w:r w:rsidRPr="00B305BF">
        <w:rPr>
          <w:sz w:val="24"/>
          <w:szCs w:val="24"/>
        </w:rPr>
        <w:br/>
        <w:t>Må kun anvendes i overensstemmelse med den ansvarlige dyrlæges vurdering af benefit/risk-forholdet.</w:t>
      </w:r>
    </w:p>
    <w:bookmarkEnd w:id="19"/>
    <w:p w14:paraId="6CF0E3BE" w14:textId="77777777" w:rsidR="00B305BF" w:rsidRPr="00B305BF" w:rsidRDefault="00B305BF" w:rsidP="00B305BF">
      <w:pPr>
        <w:tabs>
          <w:tab w:val="left" w:pos="851"/>
        </w:tabs>
        <w:ind w:left="851"/>
        <w:rPr>
          <w:sz w:val="24"/>
          <w:szCs w:val="24"/>
        </w:rPr>
      </w:pPr>
    </w:p>
    <w:p w14:paraId="0AB027F6"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2E883525" w14:textId="77777777" w:rsidR="00B305BF" w:rsidRPr="00B305BF" w:rsidRDefault="00B305BF" w:rsidP="00B305BF">
      <w:pPr>
        <w:tabs>
          <w:tab w:val="left" w:pos="851"/>
        </w:tabs>
        <w:ind w:left="851"/>
        <w:rPr>
          <w:sz w:val="24"/>
          <w:szCs w:val="24"/>
        </w:rPr>
      </w:pPr>
      <w:r w:rsidRPr="00B305BF">
        <w:rPr>
          <w:sz w:val="24"/>
          <w:szCs w:val="24"/>
        </w:rPr>
        <w:t>Der foreligger ingen kendte interaktioner med andre lægemidler eller andre former for interaktioner. Da eprinomectin i udstrakt grad bindes til plasmaproteiner, bør der tages hensyn hertil, hvis det anvendes samtidigt med andre molekyler med samme karakteristika.</w:t>
      </w:r>
    </w:p>
    <w:p w14:paraId="607A4CB8" w14:textId="77777777" w:rsidR="008203A8" w:rsidRPr="00406EE7" w:rsidRDefault="008203A8" w:rsidP="008203A8">
      <w:pPr>
        <w:tabs>
          <w:tab w:val="left" w:pos="851"/>
        </w:tabs>
        <w:ind w:left="851"/>
        <w:rPr>
          <w:sz w:val="24"/>
          <w:szCs w:val="24"/>
        </w:rPr>
      </w:pPr>
    </w:p>
    <w:p w14:paraId="4EDE12F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001E92DA" w14:textId="77777777" w:rsidR="00B305BF" w:rsidRPr="00B305BF" w:rsidRDefault="00B305BF" w:rsidP="00B305BF">
      <w:pPr>
        <w:tabs>
          <w:tab w:val="left" w:pos="851"/>
        </w:tabs>
        <w:ind w:left="851"/>
        <w:rPr>
          <w:sz w:val="24"/>
          <w:szCs w:val="24"/>
        </w:rPr>
      </w:pPr>
      <w:r w:rsidRPr="00B305BF">
        <w:rPr>
          <w:sz w:val="24"/>
          <w:szCs w:val="24"/>
        </w:rPr>
        <w:t xml:space="preserve">Pour-on anvendelse. </w:t>
      </w:r>
    </w:p>
    <w:p w14:paraId="2FF46D18" w14:textId="77777777" w:rsidR="00B305BF" w:rsidRPr="00B305BF" w:rsidRDefault="00B305BF" w:rsidP="00B305BF">
      <w:pPr>
        <w:tabs>
          <w:tab w:val="left" w:pos="851"/>
        </w:tabs>
        <w:ind w:left="851"/>
        <w:rPr>
          <w:sz w:val="24"/>
          <w:szCs w:val="24"/>
        </w:rPr>
      </w:pPr>
      <w:r w:rsidRPr="00B305BF">
        <w:rPr>
          <w:sz w:val="24"/>
          <w:szCs w:val="24"/>
        </w:rPr>
        <w:t>Kun til engangsapplicering.</w:t>
      </w:r>
    </w:p>
    <w:p w14:paraId="4F09F887" w14:textId="77777777" w:rsidR="00B305BF" w:rsidRPr="00B305BF" w:rsidRDefault="00B305BF" w:rsidP="00B305BF">
      <w:pPr>
        <w:tabs>
          <w:tab w:val="left" w:pos="851"/>
        </w:tabs>
        <w:ind w:left="851"/>
        <w:rPr>
          <w:sz w:val="24"/>
          <w:szCs w:val="24"/>
        </w:rPr>
      </w:pPr>
    </w:p>
    <w:p w14:paraId="4C902DDB" w14:textId="77777777" w:rsidR="00B305BF" w:rsidRPr="00B305BF" w:rsidRDefault="00B305BF" w:rsidP="00B305BF">
      <w:pPr>
        <w:tabs>
          <w:tab w:val="left" w:pos="851"/>
        </w:tabs>
        <w:ind w:left="851"/>
        <w:rPr>
          <w:sz w:val="24"/>
          <w:szCs w:val="24"/>
        </w:rPr>
      </w:pPr>
      <w:r w:rsidRPr="00B305BF">
        <w:rPr>
          <w:sz w:val="24"/>
          <w:szCs w:val="24"/>
        </w:rPr>
        <w:t xml:space="preserve">For at sikre korrekt dosering bør legemsvægten bestemmes så nøjagtigt som muligt. Hvis dyr skal behandles samlet, </w:t>
      </w:r>
      <w:bookmarkStart w:id="21" w:name="_Hlk203655886"/>
      <w:r w:rsidRPr="00B305BF">
        <w:rPr>
          <w:sz w:val="24"/>
          <w:szCs w:val="24"/>
        </w:rPr>
        <w:t>bør de grupperes i rimeligt homogene grupper, og alle dyrene i samme gruppe skal have dosis svarende til det tungeste dyr. Underdosering kan medføre ineffektiv anvendelse og kan fremme udvikling af resistens.</w:t>
      </w:r>
    </w:p>
    <w:bookmarkEnd w:id="21"/>
    <w:p w14:paraId="523C0A17" w14:textId="77777777" w:rsidR="00B305BF" w:rsidRPr="00B305BF" w:rsidRDefault="00B305BF" w:rsidP="00B305BF">
      <w:pPr>
        <w:tabs>
          <w:tab w:val="left" w:pos="851"/>
        </w:tabs>
        <w:ind w:left="851"/>
        <w:rPr>
          <w:sz w:val="24"/>
          <w:szCs w:val="24"/>
        </w:rPr>
      </w:pPr>
      <w:r w:rsidRPr="00B305BF">
        <w:rPr>
          <w:sz w:val="24"/>
          <w:szCs w:val="24"/>
        </w:rPr>
        <w:br/>
        <w:t>Doseringsanordningens nøjagtighed skal kontrolleres.</w:t>
      </w:r>
    </w:p>
    <w:p w14:paraId="645C04E5" w14:textId="77777777" w:rsidR="00B305BF" w:rsidRPr="00B305BF" w:rsidRDefault="00B305BF" w:rsidP="00B305BF">
      <w:pPr>
        <w:tabs>
          <w:tab w:val="left" w:pos="851"/>
        </w:tabs>
        <w:ind w:left="851"/>
        <w:rPr>
          <w:sz w:val="24"/>
          <w:szCs w:val="24"/>
        </w:rPr>
      </w:pPr>
    </w:p>
    <w:p w14:paraId="3934BEA7" w14:textId="77777777" w:rsidR="00B305BF" w:rsidRPr="00B305BF" w:rsidRDefault="00B305BF" w:rsidP="00B305BF">
      <w:pPr>
        <w:tabs>
          <w:tab w:val="left" w:pos="851"/>
        </w:tabs>
        <w:ind w:left="851"/>
        <w:rPr>
          <w:sz w:val="24"/>
          <w:szCs w:val="24"/>
        </w:rPr>
      </w:pPr>
      <w:r w:rsidRPr="00B305BF">
        <w:rPr>
          <w:sz w:val="24"/>
          <w:szCs w:val="24"/>
        </w:rPr>
        <w:t>Veterinærlægemidlet skal appliceres topikalt ved at hælde i en smal stribe langs rygraden fra skulderparti til halerod.</w:t>
      </w:r>
    </w:p>
    <w:p w14:paraId="3782D101" w14:textId="77777777" w:rsidR="00B305BF" w:rsidRPr="00B305BF" w:rsidRDefault="00B305BF" w:rsidP="00B305BF">
      <w:pPr>
        <w:tabs>
          <w:tab w:val="left" w:pos="851"/>
        </w:tabs>
        <w:ind w:left="851"/>
        <w:rPr>
          <w:sz w:val="24"/>
          <w:szCs w:val="24"/>
        </w:rPr>
      </w:pPr>
    </w:p>
    <w:p w14:paraId="3098E004" w14:textId="2FD1F287" w:rsidR="00B305BF" w:rsidRPr="00B305BF" w:rsidRDefault="00B305BF" w:rsidP="00B305BF">
      <w:pPr>
        <w:tabs>
          <w:tab w:val="left" w:pos="851"/>
        </w:tabs>
        <w:ind w:left="851"/>
        <w:rPr>
          <w:sz w:val="24"/>
          <w:szCs w:val="24"/>
          <w:u w:val="single"/>
        </w:rPr>
      </w:pPr>
      <w:r w:rsidRPr="00B305BF">
        <w:rPr>
          <w:sz w:val="24"/>
          <w:szCs w:val="24"/>
          <w:u w:val="single"/>
        </w:rPr>
        <w:t>Kvæg</w:t>
      </w:r>
    </w:p>
    <w:p w14:paraId="73D6CC52" w14:textId="77777777" w:rsidR="00B305BF" w:rsidRPr="00B305BF" w:rsidRDefault="00B305BF" w:rsidP="00B305BF">
      <w:pPr>
        <w:tabs>
          <w:tab w:val="left" w:pos="851"/>
        </w:tabs>
        <w:ind w:left="851"/>
        <w:rPr>
          <w:sz w:val="24"/>
          <w:szCs w:val="24"/>
        </w:rPr>
      </w:pPr>
      <w:r w:rsidRPr="00B305BF">
        <w:rPr>
          <w:sz w:val="24"/>
          <w:szCs w:val="24"/>
        </w:rPr>
        <w:t>Administreres topikalt med en dosis på 0,5 mg eprinomectin pr. kg legemsvægt svarende til den anbefalede dosis på 1 ml pr.10 kg legemsvægt.</w:t>
      </w:r>
    </w:p>
    <w:p w14:paraId="126961F3" w14:textId="77777777" w:rsidR="00B305BF" w:rsidRPr="00B305BF" w:rsidRDefault="00B305BF" w:rsidP="00B305BF">
      <w:pPr>
        <w:tabs>
          <w:tab w:val="left" w:pos="851"/>
        </w:tabs>
        <w:ind w:left="851"/>
        <w:rPr>
          <w:sz w:val="24"/>
          <w:szCs w:val="24"/>
        </w:rPr>
      </w:pPr>
    </w:p>
    <w:p w14:paraId="6FDF5A00" w14:textId="2451F84A" w:rsidR="00B305BF" w:rsidRPr="00B305BF" w:rsidRDefault="00B305BF" w:rsidP="00B305BF">
      <w:pPr>
        <w:tabs>
          <w:tab w:val="left" w:pos="851"/>
        </w:tabs>
        <w:ind w:left="851"/>
        <w:rPr>
          <w:sz w:val="24"/>
          <w:szCs w:val="24"/>
          <w:u w:val="single"/>
        </w:rPr>
      </w:pPr>
      <w:r w:rsidRPr="00B305BF">
        <w:rPr>
          <w:sz w:val="24"/>
          <w:szCs w:val="24"/>
          <w:u w:val="single"/>
        </w:rPr>
        <w:t>Får og geder</w:t>
      </w:r>
    </w:p>
    <w:p w14:paraId="668CB114" w14:textId="77777777" w:rsidR="00B305BF" w:rsidRPr="00B305BF" w:rsidRDefault="00B305BF" w:rsidP="00B305BF">
      <w:pPr>
        <w:tabs>
          <w:tab w:val="left" w:pos="851"/>
        </w:tabs>
        <w:ind w:left="851"/>
        <w:rPr>
          <w:sz w:val="24"/>
          <w:szCs w:val="24"/>
        </w:rPr>
      </w:pPr>
      <w:r w:rsidRPr="00B305BF">
        <w:rPr>
          <w:sz w:val="24"/>
          <w:szCs w:val="24"/>
        </w:rPr>
        <w:t>Administreres topikalt med en dosis på 1,0 mg eprinomectin pr. kg legemsvægt svarende til den anbefalede dosis på 2 ml pr. 10 kg legemsvægt.</w:t>
      </w:r>
    </w:p>
    <w:p w14:paraId="3E722881" w14:textId="77777777" w:rsidR="00B305BF" w:rsidRPr="00B305BF" w:rsidRDefault="00B305BF" w:rsidP="00B305BF">
      <w:pPr>
        <w:tabs>
          <w:tab w:val="left" w:pos="851"/>
        </w:tabs>
        <w:ind w:left="851"/>
        <w:rPr>
          <w:sz w:val="24"/>
          <w:szCs w:val="24"/>
        </w:rPr>
      </w:pPr>
    </w:p>
    <w:p w14:paraId="3C88A758" w14:textId="77777777" w:rsidR="00B305BF" w:rsidRPr="00B305BF" w:rsidRDefault="00B305BF" w:rsidP="00B305BF">
      <w:pPr>
        <w:tabs>
          <w:tab w:val="left" w:pos="851"/>
        </w:tabs>
        <w:ind w:left="851"/>
        <w:rPr>
          <w:sz w:val="24"/>
          <w:szCs w:val="24"/>
        </w:rPr>
      </w:pPr>
      <w:r w:rsidRPr="00B305BF">
        <w:rPr>
          <w:sz w:val="24"/>
          <w:szCs w:val="24"/>
        </w:rPr>
        <w:t>For at kunne administrere veterinærlægemidlet langs med rygraden skal ulden/pelsen deles, og sprøjtepistolens dyse eller doseringshætten placeres mod huden.</w:t>
      </w:r>
    </w:p>
    <w:p w14:paraId="6188A393" w14:textId="77777777" w:rsidR="00B305BF" w:rsidRPr="00B305BF" w:rsidRDefault="00B305BF" w:rsidP="00B305BF">
      <w:pPr>
        <w:tabs>
          <w:tab w:val="left" w:pos="851"/>
        </w:tabs>
        <w:ind w:left="851"/>
        <w:rPr>
          <w:sz w:val="24"/>
          <w:szCs w:val="24"/>
        </w:rPr>
      </w:pPr>
    </w:p>
    <w:p w14:paraId="51F8189E" w14:textId="77AF0127" w:rsidR="00B305BF" w:rsidRPr="00B305BF" w:rsidRDefault="00B305BF" w:rsidP="00B305BF">
      <w:pPr>
        <w:tabs>
          <w:tab w:val="left" w:pos="851"/>
        </w:tabs>
        <w:ind w:left="851"/>
        <w:rPr>
          <w:sz w:val="24"/>
          <w:szCs w:val="24"/>
        </w:rPr>
      </w:pPr>
      <w:r w:rsidRPr="00B305BF">
        <w:rPr>
          <w:sz w:val="24"/>
          <w:szCs w:val="24"/>
          <w:u w:val="single"/>
        </w:rPr>
        <w:t>Administrationsmetode</w:t>
      </w:r>
    </w:p>
    <w:p w14:paraId="24F2343F" w14:textId="77777777" w:rsidR="00B305BF" w:rsidRDefault="00B305BF" w:rsidP="00B305BF">
      <w:pPr>
        <w:tabs>
          <w:tab w:val="left" w:pos="851"/>
        </w:tabs>
        <w:ind w:left="851"/>
        <w:rPr>
          <w:sz w:val="24"/>
          <w:szCs w:val="24"/>
        </w:rPr>
      </w:pPr>
    </w:p>
    <w:p w14:paraId="35D5338D" w14:textId="0FCC1FF2" w:rsidR="00B305BF" w:rsidRPr="00B305BF" w:rsidRDefault="00B305BF" w:rsidP="00B305BF">
      <w:pPr>
        <w:tabs>
          <w:tab w:val="left" w:pos="851"/>
        </w:tabs>
        <w:ind w:left="851"/>
        <w:rPr>
          <w:sz w:val="24"/>
          <w:szCs w:val="24"/>
        </w:rPr>
      </w:pPr>
      <w:r w:rsidRPr="00B305BF">
        <w:rPr>
          <w:sz w:val="24"/>
          <w:szCs w:val="24"/>
        </w:rPr>
        <w:t>Til 2,5 og 5 liter beholdere, til at bære på ryggen, udformet til brug med en passende automatisk doseringspistol:</w:t>
      </w:r>
    </w:p>
    <w:p w14:paraId="4F276D02" w14:textId="77777777" w:rsidR="00B305BF" w:rsidRPr="00B305BF" w:rsidRDefault="00B305BF" w:rsidP="00B305BF">
      <w:pPr>
        <w:tabs>
          <w:tab w:val="left" w:pos="851"/>
        </w:tabs>
        <w:ind w:left="851"/>
        <w:rPr>
          <w:sz w:val="24"/>
          <w:szCs w:val="24"/>
        </w:rPr>
      </w:pPr>
      <w:r w:rsidRPr="00B305BF">
        <w:rPr>
          <w:sz w:val="24"/>
          <w:szCs w:val="24"/>
        </w:rPr>
        <w:t>Tilslut doseringspistolen og den aftagelige slange til beholderen på følgende måde:</w:t>
      </w:r>
    </w:p>
    <w:p w14:paraId="368DB5D3" w14:textId="77777777" w:rsidR="00B305BF" w:rsidRPr="00B305BF" w:rsidRDefault="00B305BF" w:rsidP="00B305BF">
      <w:pPr>
        <w:numPr>
          <w:ilvl w:val="0"/>
          <w:numId w:val="4"/>
        </w:numPr>
        <w:tabs>
          <w:tab w:val="left" w:pos="851"/>
        </w:tabs>
        <w:ind w:left="1134" w:hanging="283"/>
        <w:rPr>
          <w:sz w:val="24"/>
          <w:szCs w:val="24"/>
        </w:rPr>
      </w:pPr>
      <w:r w:rsidRPr="00B305BF">
        <w:rPr>
          <w:sz w:val="24"/>
          <w:szCs w:val="24"/>
        </w:rPr>
        <w:t>Tilslut den frie ende af den aftagelige slange til en passende doseringspistol.</w:t>
      </w:r>
    </w:p>
    <w:p w14:paraId="75854028" w14:textId="77777777" w:rsidR="00B305BF" w:rsidRPr="00B305BF" w:rsidRDefault="00B305BF" w:rsidP="00B305BF">
      <w:pPr>
        <w:numPr>
          <w:ilvl w:val="0"/>
          <w:numId w:val="4"/>
        </w:numPr>
        <w:tabs>
          <w:tab w:val="left" w:pos="851"/>
        </w:tabs>
        <w:ind w:left="1134" w:hanging="283"/>
        <w:rPr>
          <w:sz w:val="24"/>
          <w:szCs w:val="24"/>
        </w:rPr>
      </w:pPr>
      <w:r w:rsidRPr="00B305BF">
        <w:rPr>
          <w:sz w:val="24"/>
          <w:szCs w:val="24"/>
        </w:rPr>
        <w:t>Tilslut den anden ende af slangen til det låg med studs, som medfølger i pakningen.</w:t>
      </w:r>
    </w:p>
    <w:p w14:paraId="13FB3CF0" w14:textId="77777777" w:rsidR="00B305BF" w:rsidRPr="00B305BF" w:rsidRDefault="00B305BF" w:rsidP="00B305BF">
      <w:pPr>
        <w:numPr>
          <w:ilvl w:val="0"/>
          <w:numId w:val="4"/>
        </w:numPr>
        <w:tabs>
          <w:tab w:val="left" w:pos="851"/>
        </w:tabs>
        <w:ind w:left="1134" w:hanging="283"/>
        <w:rPr>
          <w:sz w:val="24"/>
          <w:szCs w:val="24"/>
        </w:rPr>
      </w:pPr>
      <w:r w:rsidRPr="00B305BF">
        <w:rPr>
          <w:sz w:val="24"/>
          <w:szCs w:val="24"/>
        </w:rPr>
        <w:t>Fjern det oprindelige låg på pakningen og erstat med låget med studs og slangen. Stram til.</w:t>
      </w:r>
    </w:p>
    <w:p w14:paraId="285D8726" w14:textId="77777777" w:rsidR="00B305BF" w:rsidRPr="00B305BF" w:rsidRDefault="00B305BF" w:rsidP="00B305BF">
      <w:pPr>
        <w:numPr>
          <w:ilvl w:val="0"/>
          <w:numId w:val="4"/>
        </w:numPr>
        <w:tabs>
          <w:tab w:val="left" w:pos="851"/>
        </w:tabs>
        <w:ind w:left="1134" w:hanging="283"/>
        <w:rPr>
          <w:sz w:val="24"/>
          <w:szCs w:val="24"/>
        </w:rPr>
      </w:pPr>
      <w:r w:rsidRPr="00B305BF">
        <w:rPr>
          <w:sz w:val="24"/>
          <w:szCs w:val="24"/>
        </w:rPr>
        <w:t>Pump forsigtigt med doseringspistolen, og undersøg om der er utætheder.</w:t>
      </w:r>
    </w:p>
    <w:p w14:paraId="27168CFB" w14:textId="77777777" w:rsidR="00B305BF" w:rsidRPr="00B305BF" w:rsidRDefault="00B305BF" w:rsidP="00B305BF">
      <w:pPr>
        <w:numPr>
          <w:ilvl w:val="0"/>
          <w:numId w:val="4"/>
        </w:numPr>
        <w:tabs>
          <w:tab w:val="left" w:pos="851"/>
        </w:tabs>
        <w:ind w:left="1134" w:hanging="283"/>
        <w:rPr>
          <w:sz w:val="24"/>
          <w:szCs w:val="24"/>
        </w:rPr>
      </w:pPr>
      <w:r w:rsidRPr="00B305BF">
        <w:rPr>
          <w:sz w:val="24"/>
          <w:szCs w:val="24"/>
        </w:rPr>
        <w:t>Følg den vejledning, som følger med doseringspistolen vedrørende justering af dosis og korrekt anvendelse og vedligeholdelse af doseringspistol og den aftagelige slange.</w:t>
      </w:r>
    </w:p>
    <w:p w14:paraId="272B3A4C" w14:textId="77777777" w:rsidR="00B305BF" w:rsidRPr="00B305BF" w:rsidRDefault="00B305BF" w:rsidP="00B305BF">
      <w:pPr>
        <w:tabs>
          <w:tab w:val="left" w:pos="851"/>
        </w:tabs>
        <w:ind w:left="1134" w:hanging="283"/>
        <w:rPr>
          <w:sz w:val="24"/>
          <w:szCs w:val="24"/>
        </w:rPr>
      </w:pPr>
    </w:p>
    <w:p w14:paraId="40684988" w14:textId="77777777" w:rsidR="00B305BF" w:rsidRPr="00B305BF" w:rsidRDefault="00B305BF" w:rsidP="00B305BF">
      <w:pPr>
        <w:tabs>
          <w:tab w:val="left" w:pos="851"/>
        </w:tabs>
        <w:ind w:left="851"/>
        <w:rPr>
          <w:sz w:val="24"/>
          <w:szCs w:val="24"/>
        </w:rPr>
      </w:pPr>
      <w:bookmarkStart w:id="22" w:name="_Hlk203656006"/>
      <w:r w:rsidRPr="00B305BF">
        <w:rPr>
          <w:sz w:val="24"/>
          <w:szCs w:val="24"/>
        </w:rPr>
        <w:t>Til 250 ml og 1 liter flasker:</w:t>
      </w:r>
    </w:p>
    <w:p w14:paraId="7BD9AAAA" w14:textId="77777777" w:rsidR="00B305BF" w:rsidRPr="00B305BF" w:rsidRDefault="00B305BF" w:rsidP="00B305BF">
      <w:pPr>
        <w:tabs>
          <w:tab w:val="left" w:pos="851"/>
        </w:tabs>
        <w:ind w:left="851"/>
        <w:rPr>
          <w:sz w:val="24"/>
          <w:szCs w:val="24"/>
        </w:rPr>
      </w:pPr>
      <w:r w:rsidRPr="00B305BF">
        <w:rPr>
          <w:sz w:val="24"/>
          <w:szCs w:val="24"/>
        </w:rPr>
        <w:t xml:space="preserve">Begge flasketyper kan anvendes med et passende doseringssystem, som f.eks. en doseringspistol og et låg med studs eller en doseringshætte kombineret med et dykrør. </w:t>
      </w:r>
    </w:p>
    <w:p w14:paraId="687527CD" w14:textId="77777777" w:rsidR="00B305BF" w:rsidRPr="00B305BF" w:rsidRDefault="00B305BF" w:rsidP="00B305BF">
      <w:pPr>
        <w:tabs>
          <w:tab w:val="left" w:pos="851"/>
        </w:tabs>
        <w:ind w:left="851"/>
        <w:rPr>
          <w:sz w:val="24"/>
          <w:szCs w:val="24"/>
        </w:rPr>
      </w:pPr>
    </w:p>
    <w:p w14:paraId="7E9219F3" w14:textId="77777777" w:rsidR="00B305BF" w:rsidRDefault="00B305BF" w:rsidP="00B305BF">
      <w:pPr>
        <w:tabs>
          <w:tab w:val="left" w:pos="851"/>
        </w:tabs>
        <w:ind w:left="851"/>
        <w:rPr>
          <w:sz w:val="24"/>
          <w:szCs w:val="24"/>
        </w:rPr>
      </w:pPr>
      <w:r w:rsidRPr="00B305BF">
        <w:rPr>
          <w:sz w:val="24"/>
          <w:szCs w:val="24"/>
        </w:rPr>
        <w:t>Ved anvendelse med en doseringspistol</w:t>
      </w:r>
    </w:p>
    <w:p w14:paraId="7184E0FA" w14:textId="0E80CF01" w:rsidR="00B305BF" w:rsidRPr="00B305BF" w:rsidRDefault="00B305BF" w:rsidP="00B305BF">
      <w:pPr>
        <w:tabs>
          <w:tab w:val="left" w:pos="851"/>
        </w:tabs>
        <w:ind w:left="851"/>
        <w:rPr>
          <w:sz w:val="24"/>
          <w:szCs w:val="24"/>
        </w:rPr>
      </w:pPr>
      <w:r w:rsidRPr="00B305BF">
        <w:rPr>
          <w:sz w:val="24"/>
          <w:szCs w:val="24"/>
        </w:rPr>
        <w:t>Skru polypropylenhætten af. Fjern beskyttelsesforseglingen fra flasken. Skru et låg med studs på flasken, og sørg for at stramme det. Tilslut slangen til låget med studs og tilslut den anden ende til en doseringspistol. Følg den vejledning, som følger med doseringspistolen vedrørende justering af dosis og korrekt anvendelse og vedligeholdelse af doseringspistolen og låget med studs. Efter anvendelse skal låget med studs fjernes og erstattes af polypropylenhætten under opbevaring.</w:t>
      </w:r>
    </w:p>
    <w:p w14:paraId="11B7BA2E" w14:textId="77777777" w:rsidR="00B305BF" w:rsidRPr="00B305BF" w:rsidRDefault="00B305BF" w:rsidP="00B305BF">
      <w:pPr>
        <w:tabs>
          <w:tab w:val="left" w:pos="851"/>
        </w:tabs>
        <w:ind w:left="851"/>
        <w:rPr>
          <w:sz w:val="24"/>
          <w:szCs w:val="24"/>
        </w:rPr>
      </w:pPr>
    </w:p>
    <w:p w14:paraId="5D54EEB0" w14:textId="77777777" w:rsidR="00B305BF" w:rsidRDefault="00B305BF" w:rsidP="00B305BF">
      <w:pPr>
        <w:tabs>
          <w:tab w:val="left" w:pos="851"/>
        </w:tabs>
        <w:ind w:left="851"/>
        <w:rPr>
          <w:sz w:val="24"/>
          <w:szCs w:val="24"/>
        </w:rPr>
      </w:pPr>
      <w:r w:rsidRPr="00B305BF">
        <w:rPr>
          <w:sz w:val="24"/>
          <w:szCs w:val="24"/>
        </w:rPr>
        <w:t>Ved anvendelse med en doseringshætte og et dykrør</w:t>
      </w:r>
    </w:p>
    <w:p w14:paraId="506E24CB" w14:textId="53722727" w:rsidR="00B305BF" w:rsidRPr="00B305BF" w:rsidRDefault="00B305BF" w:rsidP="00B305BF">
      <w:pPr>
        <w:tabs>
          <w:tab w:val="left" w:pos="851"/>
        </w:tabs>
        <w:ind w:left="851"/>
        <w:rPr>
          <w:sz w:val="24"/>
          <w:szCs w:val="24"/>
        </w:rPr>
      </w:pPr>
      <w:r w:rsidRPr="00B305BF">
        <w:rPr>
          <w:sz w:val="24"/>
          <w:szCs w:val="24"/>
        </w:rPr>
        <w:t>Følg den vejledning, som følger med, vedrørende justering af dosis og korrekt anvendelse og vedligeholdelse af doseringshætten og dykrøret.</w:t>
      </w:r>
    </w:p>
    <w:p w14:paraId="2C864E6C" w14:textId="77777777" w:rsidR="00B305BF" w:rsidRPr="00B305BF" w:rsidRDefault="00B305BF" w:rsidP="00B305BF">
      <w:pPr>
        <w:tabs>
          <w:tab w:val="left" w:pos="851"/>
        </w:tabs>
        <w:ind w:left="851"/>
        <w:rPr>
          <w:sz w:val="24"/>
          <w:szCs w:val="24"/>
        </w:rPr>
      </w:pPr>
      <w:r w:rsidRPr="00B305BF">
        <w:rPr>
          <w:sz w:val="24"/>
          <w:szCs w:val="24"/>
        </w:rPr>
        <w:t>Skru propylenhætten af. Fjern beskyttelsesforseglingen fra flasken. Sæt dykrøret ind på undersiden af doseringshætten. Skru doseringshætten på toppen af flasken. Tryk forsigtigt på flasken for at fylde doseringshætten op med den påkrævede dosis efter producentens anvisninger. Når grebet løsnes, vil eventuel overskydende væske løbe tilbage i flasken. Påfør den fulde dosis ved at vippe flasken og hælde langs med dyrets rygrad, indtil doseringshætten er tom. Efter brug skal doseringshætten og dykrøret fjernes og erstattes med polypropylenhætten under opbevaring.</w:t>
      </w:r>
    </w:p>
    <w:bookmarkEnd w:id="22"/>
    <w:p w14:paraId="377B546F" w14:textId="77777777" w:rsidR="00B305BF" w:rsidRPr="00B305BF" w:rsidRDefault="00B305BF" w:rsidP="00B305BF">
      <w:pPr>
        <w:tabs>
          <w:tab w:val="left" w:pos="851"/>
        </w:tabs>
        <w:ind w:left="851"/>
        <w:rPr>
          <w:sz w:val="24"/>
          <w:szCs w:val="24"/>
        </w:rPr>
      </w:pPr>
    </w:p>
    <w:p w14:paraId="77600ACB"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5208E024" w14:textId="77777777" w:rsidR="007E650E" w:rsidRPr="007E650E" w:rsidRDefault="007E650E" w:rsidP="007E650E">
      <w:pPr>
        <w:tabs>
          <w:tab w:val="left" w:pos="851"/>
        </w:tabs>
        <w:ind w:left="851"/>
        <w:rPr>
          <w:sz w:val="24"/>
          <w:szCs w:val="24"/>
        </w:rPr>
      </w:pPr>
      <w:r w:rsidRPr="007E650E">
        <w:rPr>
          <w:sz w:val="24"/>
          <w:szCs w:val="24"/>
        </w:rPr>
        <w:t xml:space="preserve">Der sås ingen tegn på toksicitet hos 8-uger gamle kalve, der blev behandlet med op til 5 gange den terapeutiske dosis (2,5 mg eprinomectin/kg legemsvægt) 3 gange med 7 dages intervaller. </w:t>
      </w:r>
      <w:r w:rsidRPr="007E650E">
        <w:rPr>
          <w:sz w:val="24"/>
          <w:szCs w:val="24"/>
        </w:rPr>
        <w:br/>
        <w:t xml:space="preserve">En kalv, som blev behandlet en gang med 10 gange den terapeutiske dosis (5 mg/kg legemsvægt) udviste kortvarig mydriasis i et tolerancestudie med et eprinomectin-holdigt veterinærlægemiddel. Der sås ingen andre bivirkninger ved behandlingen. </w:t>
      </w:r>
    </w:p>
    <w:p w14:paraId="398B9EB1" w14:textId="77777777" w:rsidR="007E650E" w:rsidRPr="007E650E" w:rsidRDefault="007E650E" w:rsidP="007E650E">
      <w:pPr>
        <w:tabs>
          <w:tab w:val="left" w:pos="851"/>
        </w:tabs>
        <w:ind w:left="851"/>
        <w:rPr>
          <w:sz w:val="24"/>
          <w:szCs w:val="24"/>
        </w:rPr>
      </w:pPr>
    </w:p>
    <w:p w14:paraId="3C53CF6E" w14:textId="77777777" w:rsidR="007E650E" w:rsidRPr="007E650E" w:rsidRDefault="007E650E" w:rsidP="007E650E">
      <w:pPr>
        <w:tabs>
          <w:tab w:val="left" w:pos="851"/>
        </w:tabs>
        <w:ind w:left="851"/>
        <w:rPr>
          <w:sz w:val="24"/>
          <w:szCs w:val="24"/>
        </w:rPr>
      </w:pPr>
      <w:r w:rsidRPr="007E650E">
        <w:rPr>
          <w:sz w:val="24"/>
          <w:szCs w:val="24"/>
        </w:rPr>
        <w:t xml:space="preserve">Der blev ikke set tegn på toksicitet hos 17-uger gamle får, der blev behandlet med op til 5 gange den terapeutiske dosis (5 mg eprinomectin/kg legemsvægt) 3 gange med 14 dages intervaller. </w:t>
      </w:r>
    </w:p>
    <w:p w14:paraId="764994B6" w14:textId="77777777" w:rsidR="007E650E" w:rsidRPr="007E650E" w:rsidRDefault="007E650E" w:rsidP="007E650E">
      <w:pPr>
        <w:tabs>
          <w:tab w:val="left" w:pos="851"/>
        </w:tabs>
        <w:ind w:left="851"/>
        <w:rPr>
          <w:sz w:val="24"/>
          <w:szCs w:val="24"/>
        </w:rPr>
      </w:pPr>
    </w:p>
    <w:p w14:paraId="7FDAFD94" w14:textId="77777777" w:rsidR="007E650E" w:rsidRPr="007E650E" w:rsidRDefault="007E650E" w:rsidP="007E650E">
      <w:pPr>
        <w:tabs>
          <w:tab w:val="left" w:pos="851"/>
        </w:tabs>
        <w:ind w:left="851"/>
        <w:rPr>
          <w:sz w:val="24"/>
          <w:szCs w:val="24"/>
        </w:rPr>
      </w:pPr>
      <w:r w:rsidRPr="007E650E">
        <w:rPr>
          <w:sz w:val="24"/>
          <w:szCs w:val="24"/>
        </w:rPr>
        <w:t>Der er ikke identificeret nogen modgift.</w:t>
      </w:r>
    </w:p>
    <w:p w14:paraId="03F65134" w14:textId="77777777" w:rsidR="008203A8" w:rsidRDefault="008203A8" w:rsidP="008203A8">
      <w:pPr>
        <w:tabs>
          <w:tab w:val="left" w:pos="851"/>
        </w:tabs>
        <w:ind w:left="851"/>
        <w:rPr>
          <w:sz w:val="24"/>
          <w:szCs w:val="24"/>
        </w:rPr>
      </w:pPr>
    </w:p>
    <w:p w14:paraId="1B95E680"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28EE7E17" w14:textId="77777777" w:rsidR="007E650E" w:rsidRPr="007E650E" w:rsidRDefault="007E650E" w:rsidP="007E650E">
      <w:pPr>
        <w:tabs>
          <w:tab w:val="left" w:pos="851"/>
        </w:tabs>
        <w:ind w:left="851"/>
        <w:rPr>
          <w:sz w:val="24"/>
          <w:szCs w:val="24"/>
        </w:rPr>
      </w:pPr>
      <w:r w:rsidRPr="007E650E">
        <w:rPr>
          <w:sz w:val="24"/>
          <w:szCs w:val="24"/>
        </w:rPr>
        <w:t>Ikke relevant.</w:t>
      </w:r>
    </w:p>
    <w:p w14:paraId="1E8FDCCA" w14:textId="77777777" w:rsidR="008203A8" w:rsidRPr="00406EE7" w:rsidRDefault="008203A8" w:rsidP="008203A8">
      <w:pPr>
        <w:tabs>
          <w:tab w:val="left" w:pos="851"/>
        </w:tabs>
        <w:ind w:left="851"/>
        <w:rPr>
          <w:sz w:val="24"/>
          <w:szCs w:val="24"/>
        </w:rPr>
      </w:pPr>
    </w:p>
    <w:p w14:paraId="1015E742"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2233821E" w14:textId="77777777" w:rsidR="007E650E" w:rsidRPr="007E650E" w:rsidRDefault="007E650E" w:rsidP="007E650E">
      <w:pPr>
        <w:pStyle w:val="Sidehoved"/>
        <w:ind w:left="851"/>
        <w:rPr>
          <w:b/>
          <w:szCs w:val="24"/>
        </w:rPr>
      </w:pPr>
    </w:p>
    <w:p w14:paraId="2D1382B4" w14:textId="640E95B2" w:rsidR="007E650E" w:rsidRPr="007E650E" w:rsidRDefault="007E650E" w:rsidP="007E650E">
      <w:pPr>
        <w:pStyle w:val="Sidehoved"/>
        <w:ind w:left="851"/>
        <w:rPr>
          <w:szCs w:val="24"/>
          <w:u w:val="single"/>
        </w:rPr>
      </w:pPr>
      <w:bookmarkStart w:id="23" w:name="_Hlk203656078"/>
      <w:r w:rsidRPr="007E650E">
        <w:rPr>
          <w:szCs w:val="24"/>
          <w:u w:val="single"/>
        </w:rPr>
        <w:t>Kvæg</w:t>
      </w:r>
    </w:p>
    <w:p w14:paraId="608A0A02" w14:textId="77777777" w:rsidR="007E650E" w:rsidRPr="007E650E" w:rsidRDefault="007E650E" w:rsidP="007E650E">
      <w:pPr>
        <w:pStyle w:val="Sidehoved"/>
        <w:ind w:left="851"/>
        <w:rPr>
          <w:szCs w:val="24"/>
        </w:rPr>
      </w:pPr>
      <w:r w:rsidRPr="007E650E">
        <w:rPr>
          <w:szCs w:val="24"/>
        </w:rPr>
        <w:t>Slagtning: 15 dage.</w:t>
      </w:r>
    </w:p>
    <w:p w14:paraId="2AAEC7AB" w14:textId="77777777" w:rsidR="007E650E" w:rsidRPr="007E650E" w:rsidRDefault="007E650E" w:rsidP="007E650E">
      <w:pPr>
        <w:pStyle w:val="Sidehoved"/>
        <w:ind w:left="851"/>
        <w:rPr>
          <w:szCs w:val="24"/>
        </w:rPr>
      </w:pPr>
      <w:r w:rsidRPr="007E650E">
        <w:rPr>
          <w:szCs w:val="24"/>
        </w:rPr>
        <w:t>Mælk: 0 timer.</w:t>
      </w:r>
    </w:p>
    <w:p w14:paraId="0E2EB5E7" w14:textId="77777777" w:rsidR="007E650E" w:rsidRPr="007E650E" w:rsidRDefault="007E650E" w:rsidP="007E650E">
      <w:pPr>
        <w:pStyle w:val="Sidehoved"/>
        <w:ind w:left="851"/>
        <w:rPr>
          <w:szCs w:val="24"/>
        </w:rPr>
      </w:pPr>
    </w:p>
    <w:p w14:paraId="31051D09" w14:textId="1E91ABED" w:rsidR="007E650E" w:rsidRPr="007E650E" w:rsidRDefault="007E650E" w:rsidP="007E650E">
      <w:pPr>
        <w:pStyle w:val="Sidehoved"/>
        <w:ind w:left="851"/>
        <w:rPr>
          <w:szCs w:val="24"/>
          <w:u w:val="single"/>
        </w:rPr>
      </w:pPr>
      <w:r w:rsidRPr="007E650E">
        <w:rPr>
          <w:szCs w:val="24"/>
          <w:u w:val="single"/>
        </w:rPr>
        <w:t>Får</w:t>
      </w:r>
    </w:p>
    <w:p w14:paraId="2C37AC00" w14:textId="77777777" w:rsidR="007E650E" w:rsidRPr="007E650E" w:rsidRDefault="007E650E" w:rsidP="007E650E">
      <w:pPr>
        <w:pStyle w:val="Sidehoved"/>
        <w:ind w:left="851"/>
        <w:rPr>
          <w:szCs w:val="24"/>
        </w:rPr>
      </w:pPr>
      <w:r w:rsidRPr="007E650E">
        <w:rPr>
          <w:szCs w:val="24"/>
        </w:rPr>
        <w:t>Slagtning: 2 dage.</w:t>
      </w:r>
    </w:p>
    <w:p w14:paraId="6ECE4BA5" w14:textId="77777777" w:rsidR="007E650E" w:rsidRPr="007E650E" w:rsidRDefault="007E650E" w:rsidP="007E650E">
      <w:pPr>
        <w:pStyle w:val="Sidehoved"/>
        <w:ind w:left="851"/>
        <w:rPr>
          <w:szCs w:val="24"/>
        </w:rPr>
      </w:pPr>
      <w:r w:rsidRPr="007E650E">
        <w:rPr>
          <w:szCs w:val="24"/>
        </w:rPr>
        <w:t>Mælk: 0 timer.</w:t>
      </w:r>
    </w:p>
    <w:p w14:paraId="7B38FC5D" w14:textId="77777777" w:rsidR="007E650E" w:rsidRPr="007E650E" w:rsidRDefault="007E650E" w:rsidP="007E650E">
      <w:pPr>
        <w:pStyle w:val="Sidehoved"/>
        <w:ind w:left="851"/>
        <w:rPr>
          <w:szCs w:val="24"/>
        </w:rPr>
      </w:pPr>
    </w:p>
    <w:p w14:paraId="54366CB4" w14:textId="557D69E7" w:rsidR="007E650E" w:rsidRPr="007E650E" w:rsidRDefault="007E650E" w:rsidP="007E650E">
      <w:pPr>
        <w:pStyle w:val="Sidehoved"/>
        <w:ind w:left="851"/>
        <w:rPr>
          <w:szCs w:val="24"/>
          <w:u w:val="single"/>
        </w:rPr>
      </w:pPr>
      <w:r w:rsidRPr="007E650E">
        <w:rPr>
          <w:szCs w:val="24"/>
          <w:u w:val="single"/>
        </w:rPr>
        <w:t>Geder</w:t>
      </w:r>
    </w:p>
    <w:p w14:paraId="46F5050A" w14:textId="77777777" w:rsidR="007E650E" w:rsidRPr="007E650E" w:rsidRDefault="007E650E" w:rsidP="007E650E">
      <w:pPr>
        <w:pStyle w:val="Sidehoved"/>
        <w:ind w:left="851"/>
        <w:rPr>
          <w:szCs w:val="24"/>
        </w:rPr>
      </w:pPr>
      <w:r w:rsidRPr="007E650E">
        <w:rPr>
          <w:szCs w:val="24"/>
        </w:rPr>
        <w:t>Slagtning: 1 dag.</w:t>
      </w:r>
    </w:p>
    <w:p w14:paraId="40CF2DB2" w14:textId="77777777" w:rsidR="007E650E" w:rsidRPr="007E650E" w:rsidRDefault="007E650E" w:rsidP="007E650E">
      <w:pPr>
        <w:pStyle w:val="Sidehoved"/>
        <w:ind w:left="851"/>
        <w:rPr>
          <w:szCs w:val="24"/>
          <w:u w:val="single"/>
        </w:rPr>
      </w:pPr>
      <w:r w:rsidRPr="007E650E">
        <w:rPr>
          <w:szCs w:val="24"/>
        </w:rPr>
        <w:t>Mælk: 0 timer.</w:t>
      </w:r>
    </w:p>
    <w:bookmarkEnd w:id="23"/>
    <w:p w14:paraId="75ECE61B" w14:textId="77777777" w:rsidR="008203A8" w:rsidRPr="00406EE7" w:rsidRDefault="008203A8" w:rsidP="008203A8">
      <w:pPr>
        <w:pStyle w:val="Sidehoved"/>
        <w:tabs>
          <w:tab w:val="clear" w:pos="4819"/>
        </w:tabs>
        <w:ind w:left="851"/>
        <w:rPr>
          <w:szCs w:val="24"/>
        </w:rPr>
      </w:pPr>
    </w:p>
    <w:p w14:paraId="1C449A63" w14:textId="77777777" w:rsidR="008203A8" w:rsidRPr="00406EE7" w:rsidRDefault="008203A8" w:rsidP="008203A8">
      <w:pPr>
        <w:tabs>
          <w:tab w:val="left" w:pos="851"/>
        </w:tabs>
        <w:ind w:left="851"/>
        <w:rPr>
          <w:sz w:val="24"/>
          <w:szCs w:val="24"/>
        </w:rPr>
      </w:pPr>
    </w:p>
    <w:p w14:paraId="0EE3961E" w14:textId="73853462" w:rsidR="008203A8" w:rsidRPr="00536B75" w:rsidRDefault="008203A8" w:rsidP="008203A8">
      <w:pPr>
        <w:ind w:left="851" w:hanging="851"/>
        <w:rPr>
          <w:b/>
          <w:sz w:val="24"/>
          <w:szCs w:val="24"/>
        </w:rPr>
      </w:pPr>
      <w:r w:rsidRPr="00536B75">
        <w:rPr>
          <w:b/>
          <w:sz w:val="24"/>
          <w:szCs w:val="24"/>
        </w:rPr>
        <w:t>4.</w:t>
      </w:r>
      <w:r w:rsidRPr="00536B75">
        <w:rPr>
          <w:b/>
          <w:sz w:val="24"/>
          <w:szCs w:val="24"/>
        </w:rPr>
        <w:tab/>
        <w:t>FARMAKOLOGISKE OPLYSNINGER</w:t>
      </w:r>
    </w:p>
    <w:p w14:paraId="4C02C1AF" w14:textId="77777777" w:rsidR="008203A8" w:rsidRPr="00536B75" w:rsidRDefault="008203A8" w:rsidP="008203A8">
      <w:pPr>
        <w:ind w:left="851"/>
        <w:rPr>
          <w:sz w:val="24"/>
          <w:szCs w:val="24"/>
        </w:rPr>
      </w:pPr>
    </w:p>
    <w:p w14:paraId="20CD26AD" w14:textId="77777777" w:rsidR="008203A8" w:rsidRPr="00536B75" w:rsidRDefault="008203A8" w:rsidP="008203A8">
      <w:pPr>
        <w:ind w:left="851" w:hanging="851"/>
        <w:rPr>
          <w:b/>
          <w:sz w:val="24"/>
          <w:szCs w:val="24"/>
        </w:rPr>
      </w:pPr>
      <w:r w:rsidRPr="00536B75">
        <w:rPr>
          <w:b/>
          <w:sz w:val="24"/>
          <w:szCs w:val="24"/>
        </w:rPr>
        <w:t>4.1</w:t>
      </w:r>
      <w:r w:rsidRPr="00536B75">
        <w:rPr>
          <w:b/>
          <w:sz w:val="24"/>
          <w:szCs w:val="24"/>
        </w:rPr>
        <w:tab/>
        <w:t>ATCvet-kode</w:t>
      </w:r>
    </w:p>
    <w:p w14:paraId="795174FD" w14:textId="70861417" w:rsidR="008203A8" w:rsidRPr="00536B75" w:rsidRDefault="00536B75" w:rsidP="008203A8">
      <w:pPr>
        <w:ind w:left="851"/>
        <w:rPr>
          <w:sz w:val="24"/>
          <w:szCs w:val="24"/>
        </w:rPr>
      </w:pPr>
      <w:r w:rsidRPr="00536B75">
        <w:rPr>
          <w:szCs w:val="22"/>
          <w:bdr w:val="none" w:sz="0" w:space="0" w:color="auto" w:frame="1"/>
        </w:rPr>
        <w:t>QP54AA04</w:t>
      </w:r>
    </w:p>
    <w:p w14:paraId="45020C50" w14:textId="77777777" w:rsidR="008203A8" w:rsidRPr="00536B75" w:rsidRDefault="008203A8" w:rsidP="008203A8">
      <w:pPr>
        <w:ind w:left="851"/>
        <w:rPr>
          <w:sz w:val="24"/>
          <w:szCs w:val="24"/>
        </w:rPr>
      </w:pPr>
    </w:p>
    <w:p w14:paraId="7A9F4362" w14:textId="77777777" w:rsidR="008203A8" w:rsidRPr="00536B75" w:rsidRDefault="008203A8" w:rsidP="008203A8">
      <w:pPr>
        <w:tabs>
          <w:tab w:val="left" w:pos="851"/>
        </w:tabs>
        <w:ind w:left="851" w:hanging="851"/>
        <w:rPr>
          <w:b/>
          <w:sz w:val="24"/>
          <w:szCs w:val="24"/>
        </w:rPr>
      </w:pPr>
      <w:r w:rsidRPr="00536B75">
        <w:rPr>
          <w:b/>
          <w:sz w:val="24"/>
          <w:szCs w:val="24"/>
        </w:rPr>
        <w:t>4.2</w:t>
      </w:r>
      <w:r w:rsidRPr="00536B75">
        <w:rPr>
          <w:b/>
          <w:sz w:val="24"/>
          <w:szCs w:val="24"/>
        </w:rPr>
        <w:tab/>
        <w:t>Farmakodynamiske oplysninger</w:t>
      </w:r>
    </w:p>
    <w:p w14:paraId="056B2EB2" w14:textId="77777777" w:rsidR="00536B75" w:rsidRPr="00536B75" w:rsidRDefault="00536B75" w:rsidP="00536B75">
      <w:pPr>
        <w:tabs>
          <w:tab w:val="left" w:pos="851"/>
        </w:tabs>
        <w:ind w:left="851"/>
        <w:rPr>
          <w:sz w:val="24"/>
          <w:szCs w:val="24"/>
        </w:rPr>
      </w:pPr>
      <w:r w:rsidRPr="00536B75">
        <w:rPr>
          <w:sz w:val="24"/>
          <w:szCs w:val="24"/>
        </w:rPr>
        <w:t>Eprinomectin tilhører den makrocycliske laktonklasse af endectocider. Stoffer i klassen bindes selektivt og med høj affinitet til glutamatregulerede chloridion-(GluCl) kanaler, som forekommer i nerve- eller muskelceller hos hvirvelløse dyr. Dette medfører en øget gennemtrængelighed for chloridioner i cellemembranen, hvilket medfører en hyperpolarisering af nerve- eller muskelceller, der får parasitterne til at lammes og dø.</w:t>
      </w:r>
    </w:p>
    <w:p w14:paraId="7BEB0BB9" w14:textId="77777777" w:rsidR="00536B75" w:rsidRPr="00536B75" w:rsidRDefault="00536B75" w:rsidP="00536B75">
      <w:pPr>
        <w:tabs>
          <w:tab w:val="left" w:pos="851"/>
        </w:tabs>
        <w:ind w:left="851"/>
        <w:rPr>
          <w:sz w:val="24"/>
          <w:szCs w:val="24"/>
        </w:rPr>
      </w:pPr>
      <w:r w:rsidRPr="00536B75">
        <w:rPr>
          <w:sz w:val="24"/>
          <w:szCs w:val="24"/>
        </w:rPr>
        <w:t>Substanser af denne klasse kan også interagere med andre ligand-regulerede chloridkanaler, som fx dem, der reguleres af neurotransmitteren gammaamino-smørsyre (GABA).</w:t>
      </w:r>
    </w:p>
    <w:p w14:paraId="032DA6BB" w14:textId="77777777" w:rsidR="00536B75" w:rsidRPr="00536B75" w:rsidRDefault="00536B75" w:rsidP="00536B75">
      <w:pPr>
        <w:tabs>
          <w:tab w:val="left" w:pos="851"/>
        </w:tabs>
        <w:ind w:left="851"/>
        <w:rPr>
          <w:sz w:val="24"/>
          <w:szCs w:val="24"/>
        </w:rPr>
      </w:pPr>
      <w:r w:rsidRPr="00536B75">
        <w:rPr>
          <w:sz w:val="24"/>
          <w:szCs w:val="24"/>
        </w:rPr>
        <w:t>Sikkerhedsmarginen for stoffer i denne klasse skyldes, at pattedyr ikke har glutamatregulerede chloridkanaler, at de makrocykliske laktoner har en lav affinitet for andre ligandregulerede chloridkanaler hos pattedyr, og at de ikke umiddelbart kan krydse blod-hjerne barrieren.</w:t>
      </w:r>
    </w:p>
    <w:p w14:paraId="0962046A" w14:textId="77777777" w:rsidR="00536B75" w:rsidRPr="00536B75" w:rsidRDefault="00536B75" w:rsidP="00536B75">
      <w:pPr>
        <w:tabs>
          <w:tab w:val="left" w:pos="851"/>
        </w:tabs>
        <w:ind w:left="851"/>
        <w:rPr>
          <w:sz w:val="24"/>
          <w:szCs w:val="24"/>
        </w:rPr>
      </w:pPr>
    </w:p>
    <w:p w14:paraId="10501DFF" w14:textId="77777777" w:rsidR="00536B75" w:rsidRPr="00536B75" w:rsidRDefault="00536B75" w:rsidP="00536B75">
      <w:pPr>
        <w:tabs>
          <w:tab w:val="left" w:pos="851"/>
        </w:tabs>
        <w:ind w:left="851"/>
        <w:rPr>
          <w:sz w:val="24"/>
          <w:szCs w:val="24"/>
        </w:rPr>
      </w:pPr>
      <w:bookmarkStart w:id="24" w:name="_Hlk203656172"/>
      <w:r w:rsidRPr="00536B75">
        <w:rPr>
          <w:sz w:val="24"/>
          <w:szCs w:val="24"/>
        </w:rPr>
        <w:t xml:space="preserve">Der er mistanke om krydsresistens inden for avermectin undergruppen (eprinomectin, ivermectin, doramectin og abamectin) af de makrocykliske laktoner. </w:t>
      </w:r>
    </w:p>
    <w:p w14:paraId="6C9B6EAE" w14:textId="77777777" w:rsidR="00536B75" w:rsidRPr="00536B75" w:rsidRDefault="00536B75" w:rsidP="00536B75">
      <w:pPr>
        <w:tabs>
          <w:tab w:val="left" w:pos="851"/>
        </w:tabs>
        <w:ind w:left="851"/>
        <w:rPr>
          <w:sz w:val="24"/>
          <w:szCs w:val="24"/>
        </w:rPr>
      </w:pPr>
      <w:r w:rsidRPr="00536B75">
        <w:rPr>
          <w:sz w:val="24"/>
          <w:szCs w:val="24"/>
        </w:rPr>
        <w:t xml:space="preserve">Overekspression eller polymorfismer i gener, som koder for P-glycoproteiner – såsom </w:t>
      </w:r>
      <w:r w:rsidRPr="00536B75">
        <w:rPr>
          <w:i/>
          <w:iCs/>
          <w:sz w:val="24"/>
          <w:szCs w:val="24"/>
        </w:rPr>
        <w:t>pgp-1</w:t>
      </w:r>
      <w:r w:rsidRPr="00536B75">
        <w:rPr>
          <w:sz w:val="24"/>
          <w:szCs w:val="24"/>
        </w:rPr>
        <w:t xml:space="preserve">, </w:t>
      </w:r>
      <w:r w:rsidRPr="00536B75">
        <w:rPr>
          <w:i/>
          <w:iCs/>
          <w:sz w:val="24"/>
          <w:szCs w:val="24"/>
        </w:rPr>
        <w:t>pgp-2</w:t>
      </w:r>
      <w:r w:rsidRPr="00536B75">
        <w:rPr>
          <w:sz w:val="24"/>
          <w:szCs w:val="24"/>
        </w:rPr>
        <w:t xml:space="preserve">, </w:t>
      </w:r>
      <w:r w:rsidRPr="00536B75">
        <w:rPr>
          <w:i/>
          <w:iCs/>
          <w:sz w:val="24"/>
          <w:szCs w:val="24"/>
        </w:rPr>
        <w:t>pgp-9</w:t>
      </w:r>
      <w:r w:rsidRPr="00536B75">
        <w:rPr>
          <w:sz w:val="24"/>
          <w:szCs w:val="24"/>
        </w:rPr>
        <w:t xml:space="preserve">, </w:t>
      </w:r>
      <w:r w:rsidRPr="00536B75">
        <w:rPr>
          <w:i/>
          <w:iCs/>
          <w:sz w:val="24"/>
          <w:szCs w:val="24"/>
        </w:rPr>
        <w:t>pgp-11</w:t>
      </w:r>
      <w:r w:rsidRPr="00536B75">
        <w:rPr>
          <w:sz w:val="24"/>
          <w:szCs w:val="24"/>
        </w:rPr>
        <w:t xml:space="preserve"> - som tilhører </w:t>
      </w:r>
      <w:r w:rsidRPr="00536B75">
        <w:rPr>
          <w:i/>
          <w:iCs/>
          <w:sz w:val="24"/>
          <w:szCs w:val="24"/>
        </w:rPr>
        <w:t>ATP-binding cassette</w:t>
      </w:r>
      <w:r w:rsidRPr="00536B75">
        <w:rPr>
          <w:sz w:val="24"/>
          <w:szCs w:val="24"/>
        </w:rPr>
        <w:t xml:space="preserve"> (ABC) transporter-familien, bevirker nedsat intracellulær akkumulering af makrocycliske laktoner og forbindes med resistens. Mutationer i glutamatregulerede chloridkanalgener (GluCl) — såsom </w:t>
      </w:r>
      <w:r w:rsidRPr="00536B75">
        <w:rPr>
          <w:i/>
          <w:iCs/>
          <w:sz w:val="24"/>
          <w:szCs w:val="24"/>
        </w:rPr>
        <w:t>glc-1</w:t>
      </w:r>
      <w:r w:rsidRPr="00536B75">
        <w:rPr>
          <w:sz w:val="24"/>
          <w:szCs w:val="24"/>
        </w:rPr>
        <w:t xml:space="preserve">, </w:t>
      </w:r>
      <w:r w:rsidRPr="00536B75">
        <w:rPr>
          <w:i/>
          <w:iCs/>
          <w:sz w:val="24"/>
          <w:szCs w:val="24"/>
        </w:rPr>
        <w:t>avr-14</w:t>
      </w:r>
      <w:r w:rsidRPr="00536B75">
        <w:rPr>
          <w:sz w:val="24"/>
          <w:szCs w:val="24"/>
        </w:rPr>
        <w:t xml:space="preserve">, og </w:t>
      </w:r>
      <w:r w:rsidRPr="00536B75">
        <w:rPr>
          <w:i/>
          <w:iCs/>
          <w:sz w:val="24"/>
          <w:szCs w:val="24"/>
        </w:rPr>
        <w:t>avr-15</w:t>
      </w:r>
      <w:r w:rsidRPr="00536B75">
        <w:rPr>
          <w:sz w:val="24"/>
          <w:szCs w:val="24"/>
        </w:rPr>
        <w:t>- har vist sig at reducere bindingsaffiniteten for lægemidler. Resistens over for eprinomectin og andre makrocykliske laktoner involverer et komplekst samspil mellem flere gener og regulatoriske signalveje, som ligger uden for dem, der er identificeret på nuværende tidspunkt.</w:t>
      </w:r>
    </w:p>
    <w:bookmarkEnd w:id="24"/>
    <w:p w14:paraId="21F1FCDD" w14:textId="77777777" w:rsidR="00536B75" w:rsidRPr="00536B75" w:rsidRDefault="00536B75" w:rsidP="00536B75">
      <w:pPr>
        <w:tabs>
          <w:tab w:val="left" w:pos="851"/>
        </w:tabs>
        <w:ind w:left="851"/>
        <w:rPr>
          <w:sz w:val="24"/>
          <w:szCs w:val="24"/>
        </w:rPr>
      </w:pPr>
    </w:p>
    <w:p w14:paraId="390D5E76" w14:textId="77777777" w:rsidR="008203A8" w:rsidRPr="00406EE7" w:rsidRDefault="008203A8" w:rsidP="008203A8">
      <w:pPr>
        <w:tabs>
          <w:tab w:val="left" w:pos="851"/>
        </w:tabs>
        <w:ind w:left="851" w:hanging="851"/>
        <w:rPr>
          <w:b/>
          <w:sz w:val="24"/>
          <w:szCs w:val="24"/>
        </w:rPr>
      </w:pPr>
      <w:r w:rsidRPr="00536B75">
        <w:rPr>
          <w:b/>
          <w:sz w:val="24"/>
          <w:szCs w:val="24"/>
        </w:rPr>
        <w:t>4.3</w:t>
      </w:r>
      <w:r w:rsidRPr="00536B75">
        <w:rPr>
          <w:b/>
          <w:sz w:val="24"/>
          <w:szCs w:val="24"/>
        </w:rPr>
        <w:tab/>
        <w:t>Farmakokinetiske oplysninger</w:t>
      </w:r>
    </w:p>
    <w:p w14:paraId="5868D4BF" w14:textId="46ABB9D3" w:rsidR="00536B75" w:rsidRPr="00536B75" w:rsidRDefault="00536B75" w:rsidP="00536B75">
      <w:pPr>
        <w:tabs>
          <w:tab w:val="left" w:pos="1304"/>
        </w:tabs>
        <w:autoSpaceDE w:val="0"/>
        <w:autoSpaceDN w:val="0"/>
        <w:adjustRightInd w:val="0"/>
        <w:ind w:left="851"/>
        <w:rPr>
          <w:sz w:val="24"/>
          <w:szCs w:val="24"/>
          <w:lang w:eastAsia="en-GB"/>
        </w:rPr>
      </w:pPr>
      <w:r w:rsidRPr="00536B75">
        <w:rPr>
          <w:sz w:val="24"/>
          <w:szCs w:val="24"/>
          <w:bdr w:val="none" w:sz="0" w:space="0" w:color="auto" w:frame="1"/>
          <w:lang w:eastAsia="en-GB"/>
        </w:rPr>
        <w:t>Eprinomectin er i udstrakt grad bundet til plasmaproteiner (99</w:t>
      </w:r>
      <w:r>
        <w:rPr>
          <w:sz w:val="24"/>
          <w:szCs w:val="24"/>
          <w:bdr w:val="none" w:sz="0" w:space="0" w:color="auto" w:frame="1"/>
          <w:lang w:eastAsia="en-GB"/>
        </w:rPr>
        <w:t xml:space="preserve"> </w:t>
      </w:r>
      <w:r w:rsidRPr="00536B75">
        <w:rPr>
          <w:sz w:val="24"/>
          <w:szCs w:val="24"/>
          <w:bdr w:val="none" w:sz="0" w:space="0" w:color="auto" w:frame="1"/>
          <w:lang w:eastAsia="en-GB"/>
        </w:rPr>
        <w:t>%).</w:t>
      </w:r>
    </w:p>
    <w:p w14:paraId="48B68ADD" w14:textId="77777777" w:rsidR="00536B75" w:rsidRPr="00536B75" w:rsidRDefault="00536B75" w:rsidP="00536B75">
      <w:pPr>
        <w:tabs>
          <w:tab w:val="left" w:pos="1304"/>
        </w:tabs>
        <w:autoSpaceDE w:val="0"/>
        <w:autoSpaceDN w:val="0"/>
        <w:adjustRightInd w:val="0"/>
        <w:ind w:left="851"/>
        <w:rPr>
          <w:sz w:val="24"/>
          <w:szCs w:val="24"/>
          <w:lang w:eastAsia="en-GB"/>
        </w:rPr>
      </w:pPr>
    </w:p>
    <w:p w14:paraId="1DFA1435" w14:textId="77777777" w:rsidR="00536B75" w:rsidRPr="00536B75" w:rsidRDefault="00536B75" w:rsidP="00536B75">
      <w:pPr>
        <w:tabs>
          <w:tab w:val="left" w:pos="1304"/>
        </w:tabs>
        <w:autoSpaceDE w:val="0"/>
        <w:autoSpaceDN w:val="0"/>
        <w:adjustRightInd w:val="0"/>
        <w:ind w:left="851"/>
        <w:rPr>
          <w:sz w:val="24"/>
          <w:szCs w:val="24"/>
          <w:lang w:eastAsia="en-GB"/>
        </w:rPr>
      </w:pPr>
      <w:r w:rsidRPr="00536B75">
        <w:rPr>
          <w:sz w:val="24"/>
          <w:szCs w:val="24"/>
          <w:bdr w:val="none" w:sz="0" w:space="0" w:color="auto" w:frame="1"/>
          <w:lang w:eastAsia="en-GB"/>
        </w:rPr>
        <w:t>Farmakokinetiske undersøgelser</w:t>
      </w:r>
      <w:bookmarkStart w:id="25" w:name="_Hlk203656192"/>
      <w:r w:rsidRPr="00536B75">
        <w:rPr>
          <w:sz w:val="24"/>
          <w:szCs w:val="24"/>
          <w:bdr w:val="none" w:sz="0" w:space="0" w:color="auto" w:frame="1"/>
          <w:lang w:eastAsia="en-GB"/>
        </w:rPr>
        <w:t xml:space="preserve"> af et eprinomectin-holdigt veterinærlægemiddel </w:t>
      </w:r>
      <w:bookmarkEnd w:id="25"/>
      <w:r w:rsidRPr="00536B75">
        <w:rPr>
          <w:sz w:val="24"/>
          <w:szCs w:val="24"/>
          <w:bdr w:val="none" w:sz="0" w:space="0" w:color="auto" w:frame="1"/>
          <w:lang w:eastAsia="en-GB"/>
        </w:rPr>
        <w:t xml:space="preserve">er gennemført med diegivende og ikke-diegivende dyr, hvor en enkelt dosis på 0,5 mg/kg legemsvægt til kvæg og 1 mg/kg legemsvægt til får og geder blev administreret topikalt. </w:t>
      </w:r>
    </w:p>
    <w:p w14:paraId="1DE5F984" w14:textId="77777777" w:rsidR="00536B75" w:rsidRPr="00536B75" w:rsidRDefault="00536B75" w:rsidP="00536B75">
      <w:pPr>
        <w:tabs>
          <w:tab w:val="left" w:pos="1304"/>
        </w:tabs>
        <w:autoSpaceDE w:val="0"/>
        <w:autoSpaceDN w:val="0"/>
        <w:adjustRightInd w:val="0"/>
        <w:ind w:left="851"/>
        <w:rPr>
          <w:sz w:val="24"/>
          <w:szCs w:val="24"/>
          <w:lang w:eastAsia="en-GB"/>
        </w:rPr>
      </w:pPr>
    </w:p>
    <w:p w14:paraId="1AA202A4" w14:textId="77777777" w:rsidR="00536B75" w:rsidRPr="00536B75" w:rsidRDefault="00536B75" w:rsidP="00536B75">
      <w:pPr>
        <w:tabs>
          <w:tab w:val="left" w:pos="1304"/>
        </w:tabs>
        <w:autoSpaceDE w:val="0"/>
        <w:autoSpaceDN w:val="0"/>
        <w:adjustRightInd w:val="0"/>
        <w:ind w:left="851"/>
        <w:rPr>
          <w:sz w:val="24"/>
          <w:szCs w:val="24"/>
          <w:lang w:eastAsia="en-GB"/>
        </w:rPr>
      </w:pPr>
      <w:r w:rsidRPr="00536B75">
        <w:rPr>
          <w:sz w:val="24"/>
          <w:szCs w:val="24"/>
          <w:bdr w:val="none" w:sz="0" w:space="0" w:color="auto" w:frame="1"/>
          <w:lang w:eastAsia="en-GB"/>
        </w:rPr>
        <w:t>For kvæg viste resultaterne fra to repræsentative studier af et eprinomectin-holdigt veterinærlægemiddel maksimale gennemsnitlige plasmakoncentrationer på 9,7 og 43,8 ng/ml, som sås 4,8 og 2,0 dage efter dosering. Den tilsvarende halveringstid i plasma var 5,2 og 2,0 dage, og gennemsnittet af areal-under-kurven værdierne var på 124 og 241 ng*dage/ml.</w:t>
      </w:r>
    </w:p>
    <w:p w14:paraId="544BFE35" w14:textId="77777777" w:rsidR="00536B75" w:rsidRPr="00536B75" w:rsidRDefault="00536B75" w:rsidP="00536B75">
      <w:pPr>
        <w:tabs>
          <w:tab w:val="left" w:pos="1304"/>
        </w:tabs>
        <w:autoSpaceDE w:val="0"/>
        <w:autoSpaceDN w:val="0"/>
        <w:adjustRightInd w:val="0"/>
        <w:ind w:left="851"/>
        <w:rPr>
          <w:sz w:val="24"/>
          <w:szCs w:val="24"/>
          <w:lang w:eastAsia="en-GB"/>
        </w:rPr>
      </w:pPr>
    </w:p>
    <w:p w14:paraId="02640CAD" w14:textId="77777777" w:rsidR="00536B75" w:rsidRPr="00536B75" w:rsidRDefault="00536B75" w:rsidP="00536B75">
      <w:pPr>
        <w:tabs>
          <w:tab w:val="left" w:pos="1304"/>
        </w:tabs>
        <w:autoSpaceDE w:val="0"/>
        <w:autoSpaceDN w:val="0"/>
        <w:adjustRightInd w:val="0"/>
        <w:ind w:left="851"/>
        <w:rPr>
          <w:sz w:val="24"/>
          <w:szCs w:val="24"/>
          <w:bdr w:val="none" w:sz="0" w:space="0" w:color="auto" w:frame="1"/>
          <w:lang w:eastAsia="en-GB"/>
        </w:rPr>
      </w:pPr>
      <w:r w:rsidRPr="00536B75">
        <w:rPr>
          <w:sz w:val="24"/>
          <w:szCs w:val="24"/>
          <w:bdr w:val="none" w:sz="0" w:space="0" w:color="auto" w:frame="1"/>
          <w:lang w:eastAsia="en-GB"/>
        </w:rPr>
        <w:t xml:space="preserve">Eprinomectin metaboliseres ikke i udstrakt grad hos kvæg efter topikal administration. </w:t>
      </w:r>
    </w:p>
    <w:p w14:paraId="5346FF05" w14:textId="77777777" w:rsidR="00536B75" w:rsidRPr="00536B75" w:rsidRDefault="00536B75" w:rsidP="00536B75">
      <w:pPr>
        <w:tabs>
          <w:tab w:val="left" w:pos="1304"/>
        </w:tabs>
        <w:autoSpaceDE w:val="0"/>
        <w:autoSpaceDN w:val="0"/>
        <w:adjustRightInd w:val="0"/>
        <w:ind w:left="851"/>
        <w:rPr>
          <w:sz w:val="24"/>
          <w:szCs w:val="24"/>
          <w:lang w:eastAsia="en-GB"/>
        </w:rPr>
      </w:pPr>
      <w:r w:rsidRPr="00536B75">
        <w:rPr>
          <w:sz w:val="24"/>
          <w:szCs w:val="24"/>
          <w:bdr w:val="none" w:sz="0" w:space="0" w:color="auto" w:frame="1"/>
          <w:lang w:eastAsia="en-GB"/>
        </w:rPr>
        <w:t>Størstedelen af stoffet blev udskilt via fæces hos kød- og malkekvæg.</w:t>
      </w:r>
    </w:p>
    <w:p w14:paraId="65B2492B" w14:textId="77777777" w:rsidR="00536B75" w:rsidRPr="00536B75" w:rsidRDefault="00536B75" w:rsidP="00536B75">
      <w:pPr>
        <w:tabs>
          <w:tab w:val="left" w:pos="1304"/>
        </w:tabs>
        <w:autoSpaceDE w:val="0"/>
        <w:autoSpaceDN w:val="0"/>
        <w:adjustRightInd w:val="0"/>
        <w:ind w:left="851"/>
        <w:rPr>
          <w:sz w:val="24"/>
          <w:szCs w:val="24"/>
          <w:lang w:eastAsia="en-GB"/>
        </w:rPr>
      </w:pPr>
    </w:p>
    <w:p w14:paraId="03ADEC1D" w14:textId="77777777" w:rsidR="00536B75" w:rsidRPr="00536B75" w:rsidRDefault="00536B75" w:rsidP="00536B75">
      <w:pPr>
        <w:tabs>
          <w:tab w:val="left" w:pos="1304"/>
        </w:tabs>
        <w:autoSpaceDE w:val="0"/>
        <w:autoSpaceDN w:val="0"/>
        <w:adjustRightInd w:val="0"/>
        <w:ind w:left="851"/>
        <w:rPr>
          <w:sz w:val="24"/>
          <w:szCs w:val="24"/>
          <w:lang w:eastAsia="en-GB"/>
        </w:rPr>
      </w:pPr>
      <w:r w:rsidRPr="00536B75">
        <w:rPr>
          <w:sz w:val="24"/>
          <w:szCs w:val="24"/>
          <w:bdr w:val="none" w:sz="0" w:space="0" w:color="auto" w:frame="1"/>
          <w:lang w:eastAsia="en-GB"/>
        </w:rPr>
        <w:t>Hos får sås en gennemsnitlig maksimal plasmakoncentration (C</w:t>
      </w:r>
      <w:r w:rsidRPr="00536B75">
        <w:rPr>
          <w:sz w:val="24"/>
          <w:szCs w:val="24"/>
          <w:bdr w:val="none" w:sz="0" w:space="0" w:color="auto" w:frame="1"/>
          <w:vertAlign w:val="subscript"/>
          <w:lang w:eastAsia="en-GB"/>
        </w:rPr>
        <w:t>maks.</w:t>
      </w:r>
      <w:r w:rsidRPr="00536B75">
        <w:rPr>
          <w:sz w:val="24"/>
          <w:szCs w:val="24"/>
          <w:bdr w:val="none" w:sz="0" w:space="0" w:color="auto" w:frame="1"/>
          <w:lang w:eastAsia="en-GB"/>
        </w:rPr>
        <w:t>) på 6,20 ng/ml efter en topikal dosis på 1 mg/kg. Halveringstiden i plasma var 6,4 dage med en gennemsnitlig areal under kurven-værdi (AUC</w:t>
      </w:r>
      <w:r w:rsidRPr="00536B75">
        <w:rPr>
          <w:sz w:val="24"/>
          <w:szCs w:val="24"/>
          <w:bdr w:val="none" w:sz="0" w:space="0" w:color="auto" w:frame="1"/>
          <w:vertAlign w:val="subscript"/>
          <w:lang w:eastAsia="en-GB"/>
        </w:rPr>
        <w:t>sidste</w:t>
      </w:r>
      <w:r w:rsidRPr="00536B75">
        <w:rPr>
          <w:sz w:val="24"/>
          <w:szCs w:val="24"/>
          <w:bdr w:val="none" w:sz="0" w:space="0" w:color="auto" w:frame="1"/>
          <w:lang w:eastAsia="en-GB"/>
        </w:rPr>
        <w:t xml:space="preserve">) på 48,8 ng*dage/ml. </w:t>
      </w:r>
    </w:p>
    <w:p w14:paraId="4247C0D1" w14:textId="77777777" w:rsidR="00536B75" w:rsidRPr="00536B75" w:rsidRDefault="00536B75" w:rsidP="00536B75">
      <w:pPr>
        <w:tabs>
          <w:tab w:val="left" w:pos="1304"/>
        </w:tabs>
        <w:autoSpaceDE w:val="0"/>
        <w:autoSpaceDN w:val="0"/>
        <w:adjustRightInd w:val="0"/>
        <w:ind w:left="851"/>
        <w:rPr>
          <w:sz w:val="24"/>
          <w:szCs w:val="24"/>
          <w:lang w:eastAsia="en-GB"/>
        </w:rPr>
      </w:pPr>
    </w:p>
    <w:p w14:paraId="55BCF92D" w14:textId="77777777" w:rsidR="00536B75" w:rsidRPr="00536B75" w:rsidRDefault="00536B75" w:rsidP="00536B75">
      <w:pPr>
        <w:tabs>
          <w:tab w:val="left" w:pos="1304"/>
        </w:tabs>
        <w:autoSpaceDE w:val="0"/>
        <w:autoSpaceDN w:val="0"/>
        <w:adjustRightInd w:val="0"/>
        <w:ind w:left="851"/>
        <w:rPr>
          <w:sz w:val="24"/>
          <w:szCs w:val="24"/>
          <w:lang w:eastAsia="en-GB"/>
        </w:rPr>
      </w:pPr>
      <w:bookmarkStart w:id="26" w:name="_Hlk200624073"/>
      <w:r w:rsidRPr="00536B75">
        <w:rPr>
          <w:sz w:val="24"/>
          <w:szCs w:val="24"/>
          <w:bdr w:val="none" w:sz="0" w:space="0" w:color="auto" w:frame="1"/>
          <w:lang w:eastAsia="en-GB"/>
        </w:rPr>
        <w:t xml:space="preserve">For geder sås maksimale middelværdier for plasmakoncentrationer mellem 3 til 13,1 ng/ml gennemsnitligt 17 timer til 2 dage efter dosering. Den gennemsnitlige halveringstid i plasma varierede fra en dag til op til 5 dage med gennemsnitlige areal-under-kurven-værdier fra 15,7 til 39,1 ng*dag/ml. </w:t>
      </w:r>
    </w:p>
    <w:bookmarkEnd w:id="26"/>
    <w:p w14:paraId="4DB018BA" w14:textId="77777777" w:rsidR="00536B75" w:rsidRPr="00536B75" w:rsidRDefault="00536B75" w:rsidP="00536B75">
      <w:pPr>
        <w:tabs>
          <w:tab w:val="left" w:pos="1304"/>
        </w:tabs>
        <w:autoSpaceDE w:val="0"/>
        <w:autoSpaceDN w:val="0"/>
        <w:adjustRightInd w:val="0"/>
        <w:ind w:left="851"/>
        <w:rPr>
          <w:sz w:val="24"/>
          <w:szCs w:val="24"/>
          <w:lang w:eastAsia="en-GB"/>
        </w:rPr>
      </w:pPr>
    </w:p>
    <w:p w14:paraId="77B16831" w14:textId="77777777" w:rsidR="00536B75" w:rsidRPr="00536B75" w:rsidRDefault="00536B75" w:rsidP="00536B75">
      <w:pPr>
        <w:tabs>
          <w:tab w:val="left" w:pos="1304"/>
        </w:tabs>
        <w:autoSpaceDE w:val="0"/>
        <w:autoSpaceDN w:val="0"/>
        <w:adjustRightInd w:val="0"/>
        <w:ind w:left="851"/>
        <w:rPr>
          <w:sz w:val="24"/>
          <w:szCs w:val="24"/>
          <w:lang w:eastAsia="en-GB"/>
        </w:rPr>
      </w:pPr>
      <w:r w:rsidRPr="00536B75">
        <w:rPr>
          <w:sz w:val="24"/>
          <w:szCs w:val="24"/>
          <w:bdr w:val="none" w:sz="0" w:space="0" w:color="auto" w:frame="1"/>
          <w:lang w:eastAsia="en-GB"/>
        </w:rPr>
        <w:t xml:space="preserve">Et </w:t>
      </w:r>
      <w:r w:rsidRPr="00536B75">
        <w:rPr>
          <w:i/>
          <w:iCs/>
          <w:sz w:val="24"/>
          <w:szCs w:val="24"/>
          <w:bdr w:val="none" w:sz="0" w:space="0" w:color="auto" w:frame="1"/>
          <w:lang w:eastAsia="en-GB"/>
        </w:rPr>
        <w:t>in vitro</w:t>
      </w:r>
      <w:r w:rsidRPr="00536B75">
        <w:rPr>
          <w:sz w:val="24"/>
          <w:szCs w:val="24"/>
          <w:bdr w:val="none" w:sz="0" w:space="0" w:color="auto" w:frame="1"/>
          <w:lang w:eastAsia="en-GB"/>
        </w:rPr>
        <w:t xml:space="preserve"> mikrosomatisk metabolismestudie blev gennemført med anvendelse af levermikrosomer isoleret fra kvæg, får og geder. Det viste, at de farmakokinetiske forskelle, som sås mellem kvæg, får og geder, ikke skyldes forskelle i metabolismens hastighed og omfang, men snarere tyder på en mere komplet absorption af eprinomectin hos kvæg.</w:t>
      </w:r>
    </w:p>
    <w:p w14:paraId="7F633CD6" w14:textId="77777777" w:rsidR="00536B75" w:rsidRDefault="00536B75" w:rsidP="00536B75">
      <w:pPr>
        <w:tabs>
          <w:tab w:val="left" w:pos="1304"/>
        </w:tabs>
        <w:rPr>
          <w:szCs w:val="22"/>
        </w:rPr>
      </w:pPr>
    </w:p>
    <w:p w14:paraId="1D21D1A9" w14:textId="77777777" w:rsidR="00536B75" w:rsidRDefault="00536B75" w:rsidP="00536B75">
      <w:pPr>
        <w:tabs>
          <w:tab w:val="left" w:pos="0"/>
        </w:tabs>
        <w:rPr>
          <w:b/>
          <w:szCs w:val="22"/>
        </w:rPr>
      </w:pPr>
      <w:r>
        <w:rPr>
          <w:b/>
          <w:bCs/>
          <w:szCs w:val="22"/>
          <w:bdr w:val="none" w:sz="0" w:space="0" w:color="auto" w:frame="1"/>
        </w:rPr>
        <w:t>Miljøoplysninger</w:t>
      </w:r>
    </w:p>
    <w:p w14:paraId="3574F3DF" w14:textId="77777777" w:rsidR="00536B75" w:rsidRDefault="00536B75" w:rsidP="00536B75">
      <w:pPr>
        <w:tabs>
          <w:tab w:val="left" w:pos="0"/>
        </w:tabs>
        <w:rPr>
          <w:bCs/>
          <w:szCs w:val="22"/>
        </w:rPr>
      </w:pPr>
      <w:bookmarkStart w:id="27" w:name="_Hlk203656335"/>
      <w:r>
        <w:rPr>
          <w:bCs/>
          <w:szCs w:val="22"/>
          <w:bdr w:val="none" w:sz="0" w:space="0" w:color="auto" w:frame="1"/>
        </w:rPr>
        <w:t>Ekstremt farlig for fisk og vandlevende organismer (se også pkt. 5.5).</w:t>
      </w:r>
    </w:p>
    <w:bookmarkEnd w:id="27"/>
    <w:p w14:paraId="62BC83AF" w14:textId="77777777" w:rsidR="00536B75" w:rsidRDefault="00536B75" w:rsidP="00536B75">
      <w:pPr>
        <w:tabs>
          <w:tab w:val="left" w:pos="0"/>
        </w:tabs>
        <w:rPr>
          <w:bCs/>
          <w:szCs w:val="22"/>
        </w:rPr>
      </w:pPr>
    </w:p>
    <w:p w14:paraId="7514A9F6" w14:textId="77777777" w:rsidR="00536B75" w:rsidRDefault="00536B75" w:rsidP="00536B75">
      <w:pPr>
        <w:tabs>
          <w:tab w:val="left" w:pos="1304"/>
        </w:tabs>
        <w:autoSpaceDE w:val="0"/>
        <w:autoSpaceDN w:val="0"/>
        <w:adjustRightInd w:val="0"/>
        <w:rPr>
          <w:szCs w:val="22"/>
          <w:lang w:eastAsia="en-GB"/>
        </w:rPr>
      </w:pPr>
      <w:r>
        <w:rPr>
          <w:szCs w:val="22"/>
          <w:bdr w:val="none" w:sz="0" w:space="0" w:color="auto" w:frame="1"/>
          <w:lang w:eastAsia="en-GB"/>
        </w:rPr>
        <w:t>Ligesom andre makrocycliske laktoner, har eprinomectin potentiale for skadelig påvirkning af organismer, som ikke er målarten. Efter behandling kan der forekomme udskillelse af potentielt toksiske niveauer af eprinomectin i flere uger. Fæces, som indeholder eprinomectin og udskilles af behandlede dyr på græsningsarealer, kan reducere mangfoldigheden af organismer, som lever af dyregødning. Dette kan indvirke på nedbrydningen af gødning. Eprinomectin er meget toksisk for vandorganismer, er persistent i jord og kan ophobes i aflejringer.</w:t>
      </w:r>
    </w:p>
    <w:p w14:paraId="4A9BD8AF" w14:textId="5E2D5BB4" w:rsidR="00536B75" w:rsidRDefault="00536B75">
      <w:pPr>
        <w:rPr>
          <w:sz w:val="24"/>
          <w:szCs w:val="24"/>
        </w:rPr>
      </w:pPr>
      <w:r>
        <w:rPr>
          <w:sz w:val="24"/>
          <w:szCs w:val="24"/>
        </w:rPr>
        <w:br w:type="page"/>
      </w:r>
    </w:p>
    <w:p w14:paraId="0D23FBB5" w14:textId="77777777" w:rsidR="008203A8" w:rsidRPr="00406EE7" w:rsidRDefault="008203A8" w:rsidP="008203A8">
      <w:pPr>
        <w:tabs>
          <w:tab w:val="left" w:pos="851"/>
        </w:tabs>
        <w:ind w:left="851"/>
        <w:rPr>
          <w:sz w:val="24"/>
          <w:szCs w:val="24"/>
        </w:rPr>
      </w:pPr>
    </w:p>
    <w:p w14:paraId="0042B989"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1AD45E7D" w14:textId="77777777" w:rsidR="008203A8" w:rsidRPr="00406EE7" w:rsidRDefault="008203A8" w:rsidP="008203A8">
      <w:pPr>
        <w:tabs>
          <w:tab w:val="left" w:pos="851"/>
        </w:tabs>
        <w:ind w:left="851"/>
        <w:rPr>
          <w:sz w:val="24"/>
          <w:szCs w:val="24"/>
        </w:rPr>
      </w:pPr>
    </w:p>
    <w:p w14:paraId="6039B135"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600A5554" w14:textId="77777777" w:rsidR="00536B75" w:rsidRPr="00536B75" w:rsidRDefault="00536B75" w:rsidP="00536B75">
      <w:pPr>
        <w:tabs>
          <w:tab w:val="left" w:pos="851"/>
        </w:tabs>
        <w:ind w:left="851"/>
        <w:rPr>
          <w:sz w:val="24"/>
          <w:szCs w:val="24"/>
        </w:rPr>
      </w:pPr>
      <w:r w:rsidRPr="00536B75">
        <w:rPr>
          <w:sz w:val="24"/>
          <w:szCs w:val="24"/>
        </w:rPr>
        <w:t>Da der ikke er undersøgelser vedrørende eventuelle uforligeligheder, må dette veterinærlægemiddel ikke blandes med andre veterinærlægemidler.</w:t>
      </w:r>
    </w:p>
    <w:p w14:paraId="40734BF2" w14:textId="77777777" w:rsidR="008203A8" w:rsidRPr="00406EE7" w:rsidRDefault="008203A8" w:rsidP="008203A8">
      <w:pPr>
        <w:tabs>
          <w:tab w:val="left" w:pos="851"/>
        </w:tabs>
        <w:ind w:left="851"/>
        <w:rPr>
          <w:sz w:val="24"/>
          <w:szCs w:val="24"/>
        </w:rPr>
      </w:pPr>
    </w:p>
    <w:p w14:paraId="223553B0"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7490F04E" w14:textId="77777777" w:rsidR="00536B75" w:rsidRPr="00536B75" w:rsidRDefault="00536B75" w:rsidP="00536B75">
      <w:pPr>
        <w:tabs>
          <w:tab w:val="left" w:pos="851"/>
        </w:tabs>
        <w:ind w:left="851"/>
        <w:rPr>
          <w:sz w:val="24"/>
          <w:szCs w:val="24"/>
        </w:rPr>
      </w:pPr>
      <w:r w:rsidRPr="00536B75">
        <w:rPr>
          <w:sz w:val="24"/>
          <w:szCs w:val="24"/>
        </w:rPr>
        <w:t>Opbevaringstid for veterinærlægemidlet i salgspakning: 2 år.</w:t>
      </w:r>
    </w:p>
    <w:p w14:paraId="775FCBA2" w14:textId="77777777" w:rsidR="00536B75" w:rsidRPr="00536B75" w:rsidRDefault="00536B75" w:rsidP="00536B75">
      <w:pPr>
        <w:tabs>
          <w:tab w:val="left" w:pos="851"/>
        </w:tabs>
        <w:ind w:left="851"/>
        <w:rPr>
          <w:sz w:val="24"/>
          <w:szCs w:val="24"/>
        </w:rPr>
      </w:pPr>
      <w:r w:rsidRPr="00536B75">
        <w:rPr>
          <w:sz w:val="24"/>
          <w:szCs w:val="24"/>
        </w:rPr>
        <w:t>Opbevaringstid efter første åbning af den indre emballage: 1 år.</w:t>
      </w:r>
    </w:p>
    <w:p w14:paraId="70EBD0A3" w14:textId="77777777" w:rsidR="008203A8" w:rsidRPr="00406EE7" w:rsidRDefault="008203A8" w:rsidP="008203A8">
      <w:pPr>
        <w:tabs>
          <w:tab w:val="left" w:pos="851"/>
        </w:tabs>
        <w:ind w:left="851"/>
        <w:rPr>
          <w:sz w:val="24"/>
          <w:szCs w:val="24"/>
        </w:rPr>
      </w:pPr>
    </w:p>
    <w:p w14:paraId="21AFEAD6"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18BA33D8" w14:textId="1F9E0E15" w:rsidR="00536B75" w:rsidRDefault="00536B75" w:rsidP="00536B75">
      <w:pPr>
        <w:tabs>
          <w:tab w:val="left" w:pos="851"/>
        </w:tabs>
        <w:ind w:left="851"/>
        <w:rPr>
          <w:sz w:val="24"/>
          <w:szCs w:val="24"/>
        </w:rPr>
      </w:pPr>
      <w:r w:rsidRPr="00536B75">
        <w:rPr>
          <w:sz w:val="24"/>
          <w:szCs w:val="24"/>
        </w:rPr>
        <w:t>Opbevares i den originale beholder for at beskytte mod lys.</w:t>
      </w:r>
    </w:p>
    <w:p w14:paraId="0D8EF135" w14:textId="77777777" w:rsidR="00536B75" w:rsidRPr="00536B75" w:rsidRDefault="00536B75" w:rsidP="00536B75">
      <w:pPr>
        <w:tabs>
          <w:tab w:val="left" w:pos="851"/>
        </w:tabs>
        <w:ind w:left="851"/>
        <w:rPr>
          <w:sz w:val="24"/>
          <w:szCs w:val="24"/>
        </w:rPr>
      </w:pPr>
    </w:p>
    <w:p w14:paraId="3A63B2B8" w14:textId="77777777" w:rsidR="00536B75" w:rsidRPr="00536B75" w:rsidRDefault="00536B75" w:rsidP="00536B75">
      <w:pPr>
        <w:tabs>
          <w:tab w:val="left" w:pos="851"/>
        </w:tabs>
        <w:ind w:left="851"/>
        <w:rPr>
          <w:sz w:val="24"/>
          <w:szCs w:val="24"/>
        </w:rPr>
      </w:pPr>
      <w:bookmarkStart w:id="28" w:name="_Hlk203658697"/>
      <w:r w:rsidRPr="00536B75">
        <w:rPr>
          <w:sz w:val="24"/>
          <w:szCs w:val="24"/>
        </w:rPr>
        <w:t>Der er ingen særlige krav vedrørende opbevaringstemperaturer for dette veterinærlægemiddel.</w:t>
      </w:r>
      <w:bookmarkEnd w:id="28"/>
    </w:p>
    <w:p w14:paraId="0CBBCFE0" w14:textId="77777777" w:rsidR="008203A8" w:rsidRPr="00406EE7" w:rsidRDefault="008203A8" w:rsidP="008203A8">
      <w:pPr>
        <w:tabs>
          <w:tab w:val="left" w:pos="851"/>
        </w:tabs>
        <w:ind w:left="851"/>
        <w:rPr>
          <w:sz w:val="24"/>
          <w:szCs w:val="24"/>
        </w:rPr>
      </w:pPr>
    </w:p>
    <w:p w14:paraId="1C227E72"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6B58D029" w14:textId="619DFE8D" w:rsidR="00536B75" w:rsidRPr="00536B75" w:rsidRDefault="00536B75" w:rsidP="00536B75">
      <w:pPr>
        <w:tabs>
          <w:tab w:val="left" w:pos="851"/>
        </w:tabs>
        <w:ind w:left="851"/>
        <w:rPr>
          <w:sz w:val="24"/>
          <w:szCs w:val="24"/>
        </w:rPr>
      </w:pPr>
      <w:bookmarkStart w:id="29" w:name="_Hlk203653354"/>
      <w:bookmarkStart w:id="30" w:name="_Hlk203652226"/>
      <w:bookmarkStart w:id="31" w:name="_Hlk203652074"/>
      <w:r w:rsidRPr="00536B75">
        <w:rPr>
          <w:sz w:val="24"/>
          <w:szCs w:val="24"/>
        </w:rPr>
        <w:t>250 ml hvid HDPE-flaske og hvid HDPE-beholder (til at bære på ryggen) med 1 l, 2,5 l eller 5 l</w:t>
      </w:r>
      <w:r>
        <w:rPr>
          <w:sz w:val="24"/>
          <w:szCs w:val="24"/>
        </w:rPr>
        <w:t>,</w:t>
      </w:r>
      <w:r w:rsidRPr="00536B75">
        <w:rPr>
          <w:sz w:val="24"/>
          <w:szCs w:val="24"/>
        </w:rPr>
        <w:t xml:space="preserve"> lukket med et sort skruelåg af PP med en PE-foret skive (vat) til indvendig induktionsforsegling. </w:t>
      </w:r>
      <w:bookmarkStart w:id="32" w:name="_Hlk203658806"/>
      <w:r w:rsidRPr="00536B75">
        <w:rPr>
          <w:sz w:val="24"/>
          <w:szCs w:val="24"/>
        </w:rPr>
        <w:t>Separat PP-låg med studs.</w:t>
      </w:r>
    </w:p>
    <w:bookmarkEnd w:id="32"/>
    <w:p w14:paraId="49369E05" w14:textId="77777777" w:rsidR="00536B75" w:rsidRPr="00536B75" w:rsidRDefault="00536B75" w:rsidP="00536B75">
      <w:pPr>
        <w:tabs>
          <w:tab w:val="left" w:pos="851"/>
        </w:tabs>
        <w:ind w:left="851"/>
        <w:rPr>
          <w:b/>
          <w:bCs/>
          <w:sz w:val="24"/>
          <w:szCs w:val="24"/>
          <w:u w:val="single"/>
        </w:rPr>
      </w:pPr>
    </w:p>
    <w:p w14:paraId="4F58F9A9" w14:textId="053B47F6" w:rsidR="00536B75" w:rsidRPr="00536B75" w:rsidRDefault="00536B75" w:rsidP="00536B75">
      <w:pPr>
        <w:tabs>
          <w:tab w:val="left" w:pos="851"/>
        </w:tabs>
        <w:ind w:left="851"/>
        <w:rPr>
          <w:sz w:val="24"/>
          <w:szCs w:val="24"/>
          <w:u w:val="single"/>
        </w:rPr>
      </w:pPr>
      <w:bookmarkStart w:id="33" w:name="_Hlk203658766"/>
      <w:r w:rsidRPr="00536B75">
        <w:rPr>
          <w:sz w:val="24"/>
          <w:szCs w:val="24"/>
          <w:u w:val="single"/>
        </w:rPr>
        <w:t>Pakningsstørrelser</w:t>
      </w:r>
    </w:p>
    <w:p w14:paraId="236EAC0D" w14:textId="77777777" w:rsidR="00536B75" w:rsidRPr="00536B75" w:rsidRDefault="00536B75" w:rsidP="00536B75">
      <w:pPr>
        <w:tabs>
          <w:tab w:val="left" w:pos="851"/>
        </w:tabs>
        <w:ind w:left="851"/>
        <w:rPr>
          <w:sz w:val="24"/>
          <w:szCs w:val="24"/>
          <w:lang w:val="bg-BG"/>
        </w:rPr>
      </w:pPr>
      <w:r w:rsidRPr="00536B75">
        <w:rPr>
          <w:sz w:val="24"/>
          <w:szCs w:val="24"/>
        </w:rPr>
        <w:t>Æske med 250 ml flaske med låg med studs.</w:t>
      </w:r>
    </w:p>
    <w:p w14:paraId="67CB3886" w14:textId="77777777" w:rsidR="00536B75" w:rsidRPr="00536B75" w:rsidRDefault="00536B75" w:rsidP="00536B75">
      <w:pPr>
        <w:tabs>
          <w:tab w:val="left" w:pos="851"/>
        </w:tabs>
        <w:ind w:left="851"/>
        <w:rPr>
          <w:sz w:val="24"/>
          <w:szCs w:val="24"/>
          <w:lang w:val="bg-BG"/>
        </w:rPr>
      </w:pPr>
      <w:r w:rsidRPr="00536B75">
        <w:rPr>
          <w:sz w:val="24"/>
          <w:szCs w:val="24"/>
        </w:rPr>
        <w:t>Æske med 1 l flaske med låg med studs og rygsækstrop.</w:t>
      </w:r>
    </w:p>
    <w:p w14:paraId="7A4469A8" w14:textId="77777777" w:rsidR="00536B75" w:rsidRPr="00536B75" w:rsidRDefault="00536B75" w:rsidP="00536B75">
      <w:pPr>
        <w:tabs>
          <w:tab w:val="left" w:pos="851"/>
        </w:tabs>
        <w:ind w:left="851"/>
        <w:rPr>
          <w:sz w:val="24"/>
          <w:szCs w:val="24"/>
          <w:lang w:val="bg-BG"/>
        </w:rPr>
      </w:pPr>
      <w:r w:rsidRPr="00536B75">
        <w:rPr>
          <w:sz w:val="24"/>
          <w:szCs w:val="24"/>
        </w:rPr>
        <w:t>Æske med 2,5 l flaske med låg med studs og rygsækstrop.</w:t>
      </w:r>
    </w:p>
    <w:p w14:paraId="2D965156" w14:textId="77777777" w:rsidR="00536B75" w:rsidRPr="00536B75" w:rsidRDefault="00536B75" w:rsidP="00536B75">
      <w:pPr>
        <w:tabs>
          <w:tab w:val="left" w:pos="851"/>
        </w:tabs>
        <w:ind w:left="851"/>
        <w:rPr>
          <w:sz w:val="24"/>
          <w:szCs w:val="24"/>
        </w:rPr>
      </w:pPr>
      <w:r w:rsidRPr="00536B75">
        <w:rPr>
          <w:sz w:val="24"/>
          <w:szCs w:val="24"/>
        </w:rPr>
        <w:t>Æske med 5 l flaske med låg med studs og rygsækstrop.</w:t>
      </w:r>
    </w:p>
    <w:bookmarkEnd w:id="29"/>
    <w:bookmarkEnd w:id="33"/>
    <w:p w14:paraId="7ABB1B18" w14:textId="77777777" w:rsidR="00536B75" w:rsidRPr="00536B75" w:rsidRDefault="00536B75" w:rsidP="00536B75">
      <w:pPr>
        <w:tabs>
          <w:tab w:val="left" w:pos="851"/>
        </w:tabs>
        <w:ind w:left="851"/>
        <w:rPr>
          <w:sz w:val="24"/>
          <w:szCs w:val="24"/>
          <w:lang w:val="bg-BG"/>
        </w:rPr>
      </w:pPr>
    </w:p>
    <w:p w14:paraId="770B532A" w14:textId="77777777" w:rsidR="00536B75" w:rsidRPr="00536B75" w:rsidRDefault="00536B75" w:rsidP="00536B75">
      <w:pPr>
        <w:tabs>
          <w:tab w:val="left" w:pos="851"/>
        </w:tabs>
        <w:ind w:left="851"/>
        <w:rPr>
          <w:sz w:val="24"/>
          <w:szCs w:val="24"/>
        </w:rPr>
      </w:pPr>
      <w:bookmarkStart w:id="34" w:name="_Hlk203653414"/>
      <w:bookmarkEnd w:id="30"/>
      <w:r w:rsidRPr="00536B75">
        <w:rPr>
          <w:sz w:val="24"/>
          <w:szCs w:val="24"/>
        </w:rPr>
        <w:t>Ikke alle pakningsstørrelser er nødvendigvis markedsført.</w:t>
      </w:r>
      <w:bookmarkEnd w:id="31"/>
      <w:bookmarkEnd w:id="34"/>
    </w:p>
    <w:p w14:paraId="753AFF6A" w14:textId="77777777" w:rsidR="008203A8" w:rsidRPr="00406EE7" w:rsidRDefault="008203A8" w:rsidP="008203A8">
      <w:pPr>
        <w:tabs>
          <w:tab w:val="left" w:pos="851"/>
        </w:tabs>
        <w:ind w:left="851"/>
        <w:rPr>
          <w:sz w:val="24"/>
          <w:szCs w:val="24"/>
        </w:rPr>
      </w:pPr>
    </w:p>
    <w:p w14:paraId="736574C6"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105A698E" w14:textId="77777777" w:rsidR="00ED61FF" w:rsidRPr="00ED61FF" w:rsidRDefault="00ED61FF" w:rsidP="00ED61FF">
      <w:pPr>
        <w:tabs>
          <w:tab w:val="left" w:pos="851"/>
        </w:tabs>
        <w:ind w:left="851"/>
        <w:rPr>
          <w:sz w:val="24"/>
          <w:szCs w:val="24"/>
        </w:rPr>
      </w:pPr>
      <w:r w:rsidRPr="00ED61FF">
        <w:rPr>
          <w:sz w:val="24"/>
          <w:szCs w:val="24"/>
        </w:rPr>
        <w:t>Lægemidler må ikke bortskaffes sammen med spildevand eller husholdningsaffald.</w:t>
      </w:r>
    </w:p>
    <w:p w14:paraId="779019C4" w14:textId="77777777" w:rsidR="00ED61FF" w:rsidRPr="00ED61FF" w:rsidRDefault="00ED61FF" w:rsidP="00ED61FF">
      <w:pPr>
        <w:tabs>
          <w:tab w:val="left" w:pos="851"/>
        </w:tabs>
        <w:ind w:left="851"/>
        <w:rPr>
          <w:sz w:val="24"/>
          <w:szCs w:val="24"/>
        </w:rPr>
      </w:pPr>
    </w:p>
    <w:p w14:paraId="6E396258" w14:textId="77777777" w:rsidR="00ED61FF" w:rsidRPr="00ED61FF" w:rsidRDefault="00ED61FF" w:rsidP="00ED61FF">
      <w:pPr>
        <w:tabs>
          <w:tab w:val="left" w:pos="851"/>
        </w:tabs>
        <w:ind w:left="851"/>
        <w:rPr>
          <w:sz w:val="24"/>
          <w:szCs w:val="24"/>
        </w:rPr>
      </w:pPr>
      <w:r w:rsidRPr="00ED61FF">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2A7ECAC6" w14:textId="77777777" w:rsidR="00ED61FF" w:rsidRPr="00ED61FF" w:rsidRDefault="00ED61FF" w:rsidP="00ED61FF">
      <w:pPr>
        <w:tabs>
          <w:tab w:val="left" w:pos="851"/>
        </w:tabs>
        <w:ind w:left="851"/>
        <w:rPr>
          <w:sz w:val="24"/>
          <w:szCs w:val="24"/>
        </w:rPr>
      </w:pPr>
    </w:p>
    <w:p w14:paraId="5D35CAB2" w14:textId="77777777" w:rsidR="00ED61FF" w:rsidRPr="00ED61FF" w:rsidRDefault="00ED61FF" w:rsidP="00ED61FF">
      <w:pPr>
        <w:tabs>
          <w:tab w:val="left" w:pos="851"/>
        </w:tabs>
        <w:ind w:left="851"/>
        <w:rPr>
          <w:i/>
          <w:sz w:val="24"/>
          <w:szCs w:val="24"/>
        </w:rPr>
      </w:pPr>
      <w:r w:rsidRPr="00ED61FF">
        <w:rPr>
          <w:sz w:val="24"/>
          <w:szCs w:val="24"/>
        </w:rPr>
        <w:t>Dette veterinærlægemiddel må ikke udledes i vandløb, da eprinomectin kan være farligt for fisk og andre vandorganismer. Søer eller vandløb må ikke forurenes med veterinærlægemidlet eller kasserede beholdere.</w:t>
      </w:r>
    </w:p>
    <w:p w14:paraId="5AE54B6D" w14:textId="77777777" w:rsidR="008203A8" w:rsidRDefault="008203A8" w:rsidP="008203A8">
      <w:pPr>
        <w:tabs>
          <w:tab w:val="left" w:pos="851"/>
        </w:tabs>
        <w:ind w:left="851"/>
        <w:rPr>
          <w:sz w:val="24"/>
          <w:szCs w:val="24"/>
        </w:rPr>
      </w:pPr>
    </w:p>
    <w:p w14:paraId="298B8418" w14:textId="77777777" w:rsidR="008203A8" w:rsidRPr="00070728" w:rsidRDefault="008203A8" w:rsidP="008203A8">
      <w:pPr>
        <w:tabs>
          <w:tab w:val="left" w:pos="851"/>
        </w:tabs>
        <w:ind w:left="851"/>
        <w:rPr>
          <w:sz w:val="24"/>
          <w:szCs w:val="24"/>
        </w:rPr>
      </w:pPr>
    </w:p>
    <w:p w14:paraId="68574AFB"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7F398100" w14:textId="353C2794" w:rsidR="00ED61FF" w:rsidRPr="00ED61FF" w:rsidRDefault="00ED61FF" w:rsidP="00ED61FF">
      <w:pPr>
        <w:tabs>
          <w:tab w:val="left" w:pos="851"/>
        </w:tabs>
        <w:ind w:left="851"/>
        <w:rPr>
          <w:sz w:val="24"/>
          <w:szCs w:val="24"/>
        </w:rPr>
      </w:pPr>
      <w:r w:rsidRPr="00ED61FF">
        <w:rPr>
          <w:sz w:val="24"/>
          <w:szCs w:val="24"/>
        </w:rPr>
        <w:t>Hu</w:t>
      </w:r>
      <w:r w:rsidR="00800B84">
        <w:rPr>
          <w:sz w:val="24"/>
          <w:szCs w:val="24"/>
        </w:rPr>
        <w:t>v</w:t>
      </w:r>
      <w:bookmarkStart w:id="35" w:name="_GoBack"/>
      <w:bookmarkEnd w:id="35"/>
      <w:r w:rsidRPr="00ED61FF">
        <w:rPr>
          <w:sz w:val="24"/>
          <w:szCs w:val="24"/>
        </w:rPr>
        <w:t>epharma</w:t>
      </w:r>
    </w:p>
    <w:p w14:paraId="5C16E8D1" w14:textId="77777777" w:rsidR="00ED61FF" w:rsidRPr="00ED61FF" w:rsidRDefault="00ED61FF" w:rsidP="00ED61FF">
      <w:pPr>
        <w:tabs>
          <w:tab w:val="left" w:pos="851"/>
        </w:tabs>
        <w:ind w:left="851"/>
        <w:rPr>
          <w:sz w:val="24"/>
          <w:szCs w:val="24"/>
        </w:rPr>
      </w:pPr>
      <w:r w:rsidRPr="00ED61FF">
        <w:rPr>
          <w:sz w:val="24"/>
          <w:szCs w:val="24"/>
        </w:rPr>
        <w:t>Uitbreidingstraat 80</w:t>
      </w:r>
    </w:p>
    <w:p w14:paraId="75EE71AA" w14:textId="77777777" w:rsidR="00ED61FF" w:rsidRPr="00ED61FF" w:rsidRDefault="00ED61FF" w:rsidP="00ED61FF">
      <w:pPr>
        <w:tabs>
          <w:tab w:val="left" w:pos="851"/>
        </w:tabs>
        <w:ind w:left="851"/>
        <w:rPr>
          <w:sz w:val="24"/>
          <w:szCs w:val="24"/>
        </w:rPr>
      </w:pPr>
      <w:r w:rsidRPr="00ED61FF">
        <w:rPr>
          <w:sz w:val="24"/>
          <w:szCs w:val="24"/>
        </w:rPr>
        <w:t>2600 Antwerp</w:t>
      </w:r>
    </w:p>
    <w:p w14:paraId="578B7B7F" w14:textId="77777777" w:rsidR="00ED61FF" w:rsidRPr="00ED61FF" w:rsidRDefault="00ED61FF" w:rsidP="00ED61FF">
      <w:pPr>
        <w:tabs>
          <w:tab w:val="left" w:pos="851"/>
        </w:tabs>
        <w:ind w:left="851"/>
        <w:rPr>
          <w:sz w:val="24"/>
          <w:szCs w:val="24"/>
        </w:rPr>
      </w:pPr>
      <w:r w:rsidRPr="00ED61FF">
        <w:rPr>
          <w:sz w:val="24"/>
          <w:szCs w:val="24"/>
        </w:rPr>
        <w:t>Belgien</w:t>
      </w:r>
    </w:p>
    <w:p w14:paraId="13A46E64" w14:textId="77777777" w:rsidR="008203A8" w:rsidRDefault="008203A8" w:rsidP="008203A8">
      <w:pPr>
        <w:tabs>
          <w:tab w:val="left" w:pos="851"/>
        </w:tabs>
        <w:ind w:left="851"/>
        <w:rPr>
          <w:sz w:val="24"/>
          <w:szCs w:val="24"/>
        </w:rPr>
      </w:pPr>
    </w:p>
    <w:p w14:paraId="317353A6" w14:textId="77777777" w:rsidR="008203A8" w:rsidRPr="00406EE7" w:rsidRDefault="008203A8" w:rsidP="008203A8">
      <w:pPr>
        <w:ind w:left="851" w:hanging="851"/>
        <w:rPr>
          <w:b/>
          <w:sz w:val="24"/>
          <w:szCs w:val="24"/>
        </w:rPr>
      </w:pPr>
      <w:r>
        <w:rPr>
          <w:b/>
          <w:sz w:val="24"/>
          <w:szCs w:val="24"/>
        </w:rPr>
        <w:t>7</w:t>
      </w:r>
      <w:r w:rsidRPr="00406EE7">
        <w:rPr>
          <w:b/>
          <w:sz w:val="24"/>
          <w:szCs w:val="24"/>
        </w:rPr>
        <w:t>.</w:t>
      </w:r>
      <w:r w:rsidRPr="00406EE7">
        <w:rPr>
          <w:b/>
          <w:sz w:val="24"/>
          <w:szCs w:val="24"/>
        </w:rPr>
        <w:tab/>
        <w:t>MARKEDSFØRINGSTILLADELSESNUMMER (</w:t>
      </w:r>
      <w:r>
        <w:rPr>
          <w:b/>
          <w:sz w:val="24"/>
          <w:szCs w:val="24"/>
        </w:rPr>
        <w:t>-</w:t>
      </w:r>
      <w:r w:rsidRPr="00406EE7">
        <w:rPr>
          <w:b/>
          <w:sz w:val="24"/>
          <w:szCs w:val="24"/>
        </w:rPr>
        <w:t>NUMRE)</w:t>
      </w:r>
    </w:p>
    <w:p w14:paraId="305CDBAD" w14:textId="71467778" w:rsidR="008203A8" w:rsidRPr="00406EE7" w:rsidRDefault="00ED61FF" w:rsidP="008203A8">
      <w:pPr>
        <w:tabs>
          <w:tab w:val="left" w:pos="851"/>
        </w:tabs>
        <w:ind w:left="851"/>
        <w:rPr>
          <w:sz w:val="24"/>
          <w:szCs w:val="24"/>
        </w:rPr>
      </w:pPr>
      <w:r>
        <w:rPr>
          <w:sz w:val="24"/>
          <w:szCs w:val="24"/>
        </w:rPr>
        <w:t>72515</w:t>
      </w:r>
    </w:p>
    <w:p w14:paraId="7564438D" w14:textId="77777777" w:rsidR="008203A8" w:rsidRPr="00406EE7" w:rsidRDefault="008203A8" w:rsidP="008203A8">
      <w:pPr>
        <w:tabs>
          <w:tab w:val="left" w:pos="851"/>
        </w:tabs>
        <w:ind w:left="851"/>
        <w:rPr>
          <w:sz w:val="24"/>
          <w:szCs w:val="24"/>
        </w:rPr>
      </w:pPr>
    </w:p>
    <w:p w14:paraId="228071E9"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349EAA86" w14:textId="0533B1F9" w:rsidR="008203A8" w:rsidRPr="00406EE7" w:rsidRDefault="00800B84" w:rsidP="008203A8">
      <w:pPr>
        <w:tabs>
          <w:tab w:val="left" w:pos="851"/>
        </w:tabs>
        <w:ind w:left="851"/>
        <w:rPr>
          <w:sz w:val="24"/>
          <w:szCs w:val="24"/>
        </w:rPr>
      </w:pPr>
      <w:r>
        <w:rPr>
          <w:sz w:val="24"/>
          <w:szCs w:val="24"/>
        </w:rPr>
        <w:t>9. februar 2026</w:t>
      </w:r>
    </w:p>
    <w:p w14:paraId="460096F8" w14:textId="77777777" w:rsidR="008203A8" w:rsidRPr="00406EE7" w:rsidRDefault="008203A8" w:rsidP="008203A8">
      <w:pPr>
        <w:tabs>
          <w:tab w:val="left" w:pos="851"/>
        </w:tabs>
        <w:ind w:left="851"/>
        <w:rPr>
          <w:sz w:val="24"/>
          <w:szCs w:val="24"/>
        </w:rPr>
      </w:pPr>
    </w:p>
    <w:p w14:paraId="1FAC7C17"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37214996" w14:textId="1988A983" w:rsidR="008203A8" w:rsidRPr="00406EE7" w:rsidRDefault="00ED61FF" w:rsidP="008203A8">
      <w:pPr>
        <w:tabs>
          <w:tab w:val="left" w:pos="851"/>
        </w:tabs>
        <w:ind w:left="851"/>
        <w:rPr>
          <w:sz w:val="24"/>
          <w:szCs w:val="24"/>
        </w:rPr>
      </w:pPr>
      <w:r>
        <w:rPr>
          <w:sz w:val="24"/>
          <w:szCs w:val="24"/>
        </w:rPr>
        <w:t>-</w:t>
      </w:r>
    </w:p>
    <w:p w14:paraId="1310C10F" w14:textId="77777777" w:rsidR="008203A8" w:rsidRPr="00406EE7" w:rsidRDefault="008203A8" w:rsidP="008203A8">
      <w:pPr>
        <w:tabs>
          <w:tab w:val="left" w:pos="851"/>
        </w:tabs>
        <w:ind w:left="851"/>
        <w:rPr>
          <w:sz w:val="24"/>
          <w:szCs w:val="24"/>
        </w:rPr>
      </w:pPr>
    </w:p>
    <w:p w14:paraId="04CB0D75"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37AD79E9" w14:textId="792A9AE1" w:rsidR="00ED61FF" w:rsidRPr="00ED61FF" w:rsidRDefault="00ED61FF" w:rsidP="00ED61FF">
      <w:pPr>
        <w:ind w:left="851"/>
        <w:rPr>
          <w:sz w:val="24"/>
          <w:szCs w:val="24"/>
          <w:lang w:eastAsia="da-DK"/>
        </w:rPr>
      </w:pPr>
      <w:r w:rsidRPr="00ED61FF">
        <w:rPr>
          <w:sz w:val="24"/>
          <w:szCs w:val="24"/>
          <w:lang w:eastAsia="da-DK"/>
        </w:rPr>
        <w:t>BP</w:t>
      </w:r>
    </w:p>
    <w:p w14:paraId="152ABD15" w14:textId="77777777" w:rsidR="00ED61FF" w:rsidRPr="00ED61FF" w:rsidRDefault="00ED61FF" w:rsidP="00ED61FF">
      <w:pPr>
        <w:rPr>
          <w:sz w:val="24"/>
          <w:szCs w:val="24"/>
          <w:lang w:eastAsia="da-DK"/>
        </w:rPr>
      </w:pPr>
    </w:p>
    <w:p w14:paraId="23A49583" w14:textId="77777777" w:rsidR="00ED61FF" w:rsidRPr="00ED61FF" w:rsidRDefault="00ED61FF" w:rsidP="00ED61FF">
      <w:pPr>
        <w:rPr>
          <w:sz w:val="24"/>
          <w:szCs w:val="24"/>
          <w:lang w:eastAsia="da-DK"/>
        </w:rPr>
      </w:pPr>
      <w:bookmarkStart w:id="36" w:name="_Hlk73467306"/>
      <w:r w:rsidRPr="00ED61FF">
        <w:rPr>
          <w:sz w:val="24"/>
          <w:szCs w:val="24"/>
          <w:lang w:eastAsia="da-DK"/>
        </w:rPr>
        <w:t xml:space="preserve">Der findes detaljerede oplysninger om dette veterinærlægemiddel </w:t>
      </w:r>
      <w:r w:rsidRPr="00ED61FF">
        <w:rPr>
          <w:sz w:val="24"/>
          <w:szCs w:val="24"/>
          <w:u w:val="single"/>
          <w:lang w:eastAsia="da-DK"/>
        </w:rPr>
        <w:t>EU-lægemiddeldatabasen</w:t>
      </w:r>
      <w:r w:rsidRPr="00ED61FF">
        <w:rPr>
          <w:sz w:val="24"/>
          <w:szCs w:val="24"/>
          <w:lang w:eastAsia="da-DK"/>
        </w:rPr>
        <w:t xml:space="preserve"> (</w:t>
      </w:r>
      <w:hyperlink r:id="rId8" w:history="1">
        <w:r w:rsidRPr="00ED61FF">
          <w:rPr>
            <w:rStyle w:val="Hyperlink"/>
            <w:sz w:val="24"/>
            <w:szCs w:val="24"/>
            <w:lang w:eastAsia="da-DK"/>
          </w:rPr>
          <w:t>https://medicines.health.europa.eu/veterinary</w:t>
        </w:r>
      </w:hyperlink>
      <w:r w:rsidRPr="00ED61FF">
        <w:rPr>
          <w:sz w:val="24"/>
          <w:szCs w:val="24"/>
          <w:lang w:eastAsia="da-DK"/>
        </w:rPr>
        <w:t>).</w:t>
      </w:r>
      <w:bookmarkEnd w:id="36"/>
    </w:p>
    <w:p w14:paraId="4FC56090" w14:textId="77777777" w:rsidR="0003527F" w:rsidRPr="008203A8" w:rsidRDefault="0003527F" w:rsidP="008203A8"/>
    <w:sectPr w:rsidR="0003527F" w:rsidRPr="008203A8"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65034" w14:textId="77777777" w:rsidR="00B32BB0" w:rsidRDefault="00B32BB0">
      <w:r>
        <w:separator/>
      </w:r>
    </w:p>
  </w:endnote>
  <w:endnote w:type="continuationSeparator" w:id="0">
    <w:p w14:paraId="23A6BB26" w14:textId="77777777" w:rsidR="00B32BB0" w:rsidRDefault="00B3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33A4" w14:textId="77777777" w:rsidR="004A62CC" w:rsidRDefault="004A62CC">
    <w:pPr>
      <w:pStyle w:val="Sidefod"/>
      <w:pBdr>
        <w:bottom w:val="single" w:sz="6" w:space="1" w:color="auto"/>
      </w:pBdr>
      <w:tabs>
        <w:tab w:val="clear" w:pos="4819"/>
        <w:tab w:val="left" w:pos="8647"/>
      </w:tabs>
      <w:rPr>
        <w:i/>
        <w:snapToGrid w:val="0"/>
        <w:sz w:val="18"/>
      </w:rPr>
    </w:pPr>
  </w:p>
  <w:p w14:paraId="10F30547" w14:textId="77777777" w:rsidR="004A62CC" w:rsidRDefault="004A62CC">
    <w:pPr>
      <w:pStyle w:val="Sidefod"/>
      <w:tabs>
        <w:tab w:val="clear" w:pos="4819"/>
        <w:tab w:val="left" w:pos="8647"/>
      </w:tabs>
      <w:rPr>
        <w:i/>
        <w:snapToGrid w:val="0"/>
        <w:sz w:val="18"/>
      </w:rPr>
    </w:pPr>
  </w:p>
  <w:p w14:paraId="561E4172" w14:textId="1E1AAD86"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E94ED0">
      <w:rPr>
        <w:i/>
        <w:noProof/>
        <w:snapToGrid w:val="0"/>
        <w:sz w:val="18"/>
      </w:rPr>
      <w:t>Pereprin, pour-on, opløsning 5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9E03" w14:textId="77777777" w:rsidR="004A62CC" w:rsidRDefault="004A62CC">
    <w:pPr>
      <w:pStyle w:val="Sidefod"/>
      <w:pBdr>
        <w:bottom w:val="single" w:sz="6" w:space="1" w:color="auto"/>
      </w:pBdr>
      <w:tabs>
        <w:tab w:val="clear" w:pos="4819"/>
        <w:tab w:val="left" w:pos="8647"/>
      </w:tabs>
      <w:rPr>
        <w:i/>
        <w:snapToGrid w:val="0"/>
        <w:sz w:val="18"/>
      </w:rPr>
    </w:pPr>
  </w:p>
  <w:p w14:paraId="26F7B973" w14:textId="77777777" w:rsidR="004A62CC" w:rsidRDefault="004A62CC">
    <w:pPr>
      <w:pStyle w:val="Sidefod"/>
      <w:tabs>
        <w:tab w:val="clear" w:pos="4819"/>
        <w:tab w:val="left" w:pos="8647"/>
      </w:tabs>
      <w:rPr>
        <w:i/>
        <w:snapToGrid w:val="0"/>
        <w:sz w:val="18"/>
      </w:rPr>
    </w:pPr>
  </w:p>
  <w:p w14:paraId="08923AE3" w14:textId="3F91FC73"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E94ED0">
      <w:rPr>
        <w:i/>
        <w:noProof/>
        <w:snapToGrid w:val="0"/>
        <w:sz w:val="18"/>
      </w:rPr>
      <w:t>Pereprin, pour-on, opløsning 5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BEDD5" w14:textId="77777777" w:rsidR="00B32BB0" w:rsidRDefault="00B32BB0">
      <w:r>
        <w:separator/>
      </w:r>
    </w:p>
  </w:footnote>
  <w:footnote w:type="continuationSeparator" w:id="0">
    <w:p w14:paraId="59D11C37" w14:textId="77777777" w:rsidR="00B32BB0" w:rsidRDefault="00B32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7E26"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1750"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A3072EF"/>
    <w:multiLevelType w:val="hybridMultilevel"/>
    <w:tmpl w:val="627CC856"/>
    <w:lvl w:ilvl="0" w:tplc="FD1E2BEA">
      <w:start w:val="3"/>
      <w:numFmt w:val="bullet"/>
      <w:lvlText w:val=""/>
      <w:lvlJc w:val="left"/>
      <w:pPr>
        <w:ind w:left="720" w:hanging="360"/>
      </w:pPr>
      <w:rPr>
        <w:rFonts w:ascii="Symbol" w:eastAsia="Times New Roman" w:hAnsi="Symbol" w:cs="Times New Roman" w:hint="default"/>
      </w:rPr>
    </w:lvl>
    <w:lvl w:ilvl="1" w:tplc="2588370E">
      <w:start w:val="1"/>
      <w:numFmt w:val="bullet"/>
      <w:lvlText w:val="o"/>
      <w:lvlJc w:val="left"/>
      <w:pPr>
        <w:ind w:left="1440" w:hanging="360"/>
      </w:pPr>
      <w:rPr>
        <w:rFonts w:ascii="Courier New" w:hAnsi="Courier New" w:cs="Courier New" w:hint="default"/>
      </w:rPr>
    </w:lvl>
    <w:lvl w:ilvl="2" w:tplc="91F864E0">
      <w:start w:val="1"/>
      <w:numFmt w:val="bullet"/>
      <w:lvlText w:val=""/>
      <w:lvlJc w:val="left"/>
      <w:pPr>
        <w:ind w:left="2160" w:hanging="360"/>
      </w:pPr>
      <w:rPr>
        <w:rFonts w:ascii="Wingdings" w:hAnsi="Wingdings" w:hint="default"/>
      </w:rPr>
    </w:lvl>
    <w:lvl w:ilvl="3" w:tplc="6402FE02">
      <w:start w:val="1"/>
      <w:numFmt w:val="bullet"/>
      <w:lvlText w:val=""/>
      <w:lvlJc w:val="left"/>
      <w:pPr>
        <w:ind w:left="2880" w:hanging="360"/>
      </w:pPr>
      <w:rPr>
        <w:rFonts w:ascii="Symbol" w:hAnsi="Symbol" w:hint="default"/>
      </w:rPr>
    </w:lvl>
    <w:lvl w:ilvl="4" w:tplc="1C8475E6">
      <w:start w:val="1"/>
      <w:numFmt w:val="bullet"/>
      <w:lvlText w:val="o"/>
      <w:lvlJc w:val="left"/>
      <w:pPr>
        <w:ind w:left="3600" w:hanging="360"/>
      </w:pPr>
      <w:rPr>
        <w:rFonts w:ascii="Courier New" w:hAnsi="Courier New" w:cs="Courier New" w:hint="default"/>
      </w:rPr>
    </w:lvl>
    <w:lvl w:ilvl="5" w:tplc="9202E638">
      <w:start w:val="1"/>
      <w:numFmt w:val="bullet"/>
      <w:lvlText w:val=""/>
      <w:lvlJc w:val="left"/>
      <w:pPr>
        <w:ind w:left="4320" w:hanging="360"/>
      </w:pPr>
      <w:rPr>
        <w:rFonts w:ascii="Wingdings" w:hAnsi="Wingdings" w:hint="default"/>
      </w:rPr>
    </w:lvl>
    <w:lvl w:ilvl="6" w:tplc="9B18532A">
      <w:start w:val="1"/>
      <w:numFmt w:val="bullet"/>
      <w:lvlText w:val=""/>
      <w:lvlJc w:val="left"/>
      <w:pPr>
        <w:ind w:left="5040" w:hanging="360"/>
      </w:pPr>
      <w:rPr>
        <w:rFonts w:ascii="Symbol" w:hAnsi="Symbol" w:hint="default"/>
      </w:rPr>
    </w:lvl>
    <w:lvl w:ilvl="7" w:tplc="D318ED24">
      <w:start w:val="1"/>
      <w:numFmt w:val="bullet"/>
      <w:lvlText w:val="o"/>
      <w:lvlJc w:val="left"/>
      <w:pPr>
        <w:ind w:left="5760" w:hanging="360"/>
      </w:pPr>
      <w:rPr>
        <w:rFonts w:ascii="Courier New" w:hAnsi="Courier New" w:cs="Courier New" w:hint="default"/>
      </w:rPr>
    </w:lvl>
    <w:lvl w:ilvl="8" w:tplc="1C740892">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B0"/>
    <w:rsid w:val="000241E8"/>
    <w:rsid w:val="0003527F"/>
    <w:rsid w:val="0004390D"/>
    <w:rsid w:val="0005253E"/>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514C36"/>
    <w:rsid w:val="00536B75"/>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7E650E"/>
    <w:rsid w:val="00800B84"/>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13FE"/>
    <w:rsid w:val="009E300C"/>
    <w:rsid w:val="009E5184"/>
    <w:rsid w:val="009F1F5E"/>
    <w:rsid w:val="00A31E52"/>
    <w:rsid w:val="00A57286"/>
    <w:rsid w:val="00A74A8A"/>
    <w:rsid w:val="00A85606"/>
    <w:rsid w:val="00A86C63"/>
    <w:rsid w:val="00A957A6"/>
    <w:rsid w:val="00A96525"/>
    <w:rsid w:val="00AA0D25"/>
    <w:rsid w:val="00AC012D"/>
    <w:rsid w:val="00AD4D77"/>
    <w:rsid w:val="00AE29E5"/>
    <w:rsid w:val="00AE5757"/>
    <w:rsid w:val="00B25EB8"/>
    <w:rsid w:val="00B305BF"/>
    <w:rsid w:val="00B32BB0"/>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4C1F"/>
    <w:rsid w:val="00DD6D71"/>
    <w:rsid w:val="00DF32BE"/>
    <w:rsid w:val="00E14F0A"/>
    <w:rsid w:val="00E321D6"/>
    <w:rsid w:val="00E323FB"/>
    <w:rsid w:val="00E61E78"/>
    <w:rsid w:val="00E84DC6"/>
    <w:rsid w:val="00E94ED0"/>
    <w:rsid w:val="00EB5778"/>
    <w:rsid w:val="00ED61FF"/>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BBF8A"/>
  <w15:chartTrackingRefBased/>
  <w15:docId w15:val="{EDDDEC00-2264-47FF-BD5B-50769794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ED61FF"/>
    <w:rPr>
      <w:color w:val="0563C1" w:themeColor="hyperlink"/>
      <w:u w:val="single"/>
    </w:rPr>
  </w:style>
  <w:style w:type="character" w:styleId="Ulstomtale">
    <w:name w:val="Unresolved Mention"/>
    <w:basedOn w:val="Standardskrifttypeiafsnit"/>
    <w:uiPriority w:val="99"/>
    <w:semiHidden/>
    <w:unhideWhenUsed/>
    <w:rsid w:val="00ED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188">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82798150">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74803674">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15839731">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35194297">
      <w:bodyDiv w:val="1"/>
      <w:marLeft w:val="0"/>
      <w:marRight w:val="0"/>
      <w:marTop w:val="0"/>
      <w:marBottom w:val="0"/>
      <w:divBdr>
        <w:top w:val="none" w:sz="0" w:space="0" w:color="auto"/>
        <w:left w:val="none" w:sz="0" w:space="0" w:color="auto"/>
        <w:bottom w:val="none" w:sz="0" w:space="0" w:color="auto"/>
        <w:right w:val="none" w:sz="0" w:space="0" w:color="auto"/>
      </w:divBdr>
    </w:div>
    <w:div w:id="586496603">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23537352">
      <w:bodyDiv w:val="1"/>
      <w:marLeft w:val="0"/>
      <w:marRight w:val="0"/>
      <w:marTop w:val="0"/>
      <w:marBottom w:val="0"/>
      <w:divBdr>
        <w:top w:val="none" w:sz="0" w:space="0" w:color="auto"/>
        <w:left w:val="none" w:sz="0" w:space="0" w:color="auto"/>
        <w:bottom w:val="none" w:sz="0" w:space="0" w:color="auto"/>
        <w:right w:val="none" w:sz="0" w:space="0" w:color="auto"/>
      </w:divBdr>
    </w:div>
    <w:div w:id="624777873">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96870164">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85262192">
      <w:bodyDiv w:val="1"/>
      <w:marLeft w:val="0"/>
      <w:marRight w:val="0"/>
      <w:marTop w:val="0"/>
      <w:marBottom w:val="0"/>
      <w:divBdr>
        <w:top w:val="none" w:sz="0" w:space="0" w:color="auto"/>
        <w:left w:val="none" w:sz="0" w:space="0" w:color="auto"/>
        <w:bottom w:val="none" w:sz="0" w:space="0" w:color="auto"/>
        <w:right w:val="none" w:sz="0" w:space="0" w:color="auto"/>
      </w:divBdr>
    </w:div>
    <w:div w:id="893543788">
      <w:bodyDiv w:val="1"/>
      <w:marLeft w:val="0"/>
      <w:marRight w:val="0"/>
      <w:marTop w:val="0"/>
      <w:marBottom w:val="0"/>
      <w:divBdr>
        <w:top w:val="none" w:sz="0" w:space="0" w:color="auto"/>
        <w:left w:val="none" w:sz="0" w:space="0" w:color="auto"/>
        <w:bottom w:val="none" w:sz="0" w:space="0" w:color="auto"/>
        <w:right w:val="none" w:sz="0" w:space="0" w:color="auto"/>
      </w:divBdr>
    </w:div>
    <w:div w:id="924337008">
      <w:bodyDiv w:val="1"/>
      <w:marLeft w:val="0"/>
      <w:marRight w:val="0"/>
      <w:marTop w:val="0"/>
      <w:marBottom w:val="0"/>
      <w:divBdr>
        <w:top w:val="none" w:sz="0" w:space="0" w:color="auto"/>
        <w:left w:val="none" w:sz="0" w:space="0" w:color="auto"/>
        <w:bottom w:val="none" w:sz="0" w:space="0" w:color="auto"/>
        <w:right w:val="none" w:sz="0" w:space="0" w:color="auto"/>
      </w:divBdr>
    </w:div>
    <w:div w:id="931939385">
      <w:bodyDiv w:val="1"/>
      <w:marLeft w:val="0"/>
      <w:marRight w:val="0"/>
      <w:marTop w:val="0"/>
      <w:marBottom w:val="0"/>
      <w:divBdr>
        <w:top w:val="none" w:sz="0" w:space="0" w:color="auto"/>
        <w:left w:val="none" w:sz="0" w:space="0" w:color="auto"/>
        <w:bottom w:val="none" w:sz="0" w:space="0" w:color="auto"/>
        <w:right w:val="none" w:sz="0" w:space="0" w:color="auto"/>
      </w:divBdr>
    </w:div>
    <w:div w:id="949819795">
      <w:bodyDiv w:val="1"/>
      <w:marLeft w:val="0"/>
      <w:marRight w:val="0"/>
      <w:marTop w:val="0"/>
      <w:marBottom w:val="0"/>
      <w:divBdr>
        <w:top w:val="none" w:sz="0" w:space="0" w:color="auto"/>
        <w:left w:val="none" w:sz="0" w:space="0" w:color="auto"/>
        <w:bottom w:val="none" w:sz="0" w:space="0" w:color="auto"/>
        <w:right w:val="none" w:sz="0" w:space="0" w:color="auto"/>
      </w:divBdr>
    </w:div>
    <w:div w:id="959074839">
      <w:bodyDiv w:val="1"/>
      <w:marLeft w:val="0"/>
      <w:marRight w:val="0"/>
      <w:marTop w:val="0"/>
      <w:marBottom w:val="0"/>
      <w:divBdr>
        <w:top w:val="none" w:sz="0" w:space="0" w:color="auto"/>
        <w:left w:val="none" w:sz="0" w:space="0" w:color="auto"/>
        <w:bottom w:val="none" w:sz="0" w:space="0" w:color="auto"/>
        <w:right w:val="none" w:sz="0" w:space="0" w:color="auto"/>
      </w:divBdr>
    </w:div>
    <w:div w:id="1016661284">
      <w:bodyDiv w:val="1"/>
      <w:marLeft w:val="0"/>
      <w:marRight w:val="0"/>
      <w:marTop w:val="0"/>
      <w:marBottom w:val="0"/>
      <w:divBdr>
        <w:top w:val="none" w:sz="0" w:space="0" w:color="auto"/>
        <w:left w:val="none" w:sz="0" w:space="0" w:color="auto"/>
        <w:bottom w:val="none" w:sz="0" w:space="0" w:color="auto"/>
        <w:right w:val="none" w:sz="0" w:space="0" w:color="auto"/>
      </w:divBdr>
    </w:div>
    <w:div w:id="1025711216">
      <w:bodyDiv w:val="1"/>
      <w:marLeft w:val="0"/>
      <w:marRight w:val="0"/>
      <w:marTop w:val="0"/>
      <w:marBottom w:val="0"/>
      <w:divBdr>
        <w:top w:val="none" w:sz="0" w:space="0" w:color="auto"/>
        <w:left w:val="none" w:sz="0" w:space="0" w:color="auto"/>
        <w:bottom w:val="none" w:sz="0" w:space="0" w:color="auto"/>
        <w:right w:val="none" w:sz="0" w:space="0" w:color="auto"/>
      </w:divBdr>
    </w:div>
    <w:div w:id="1036349220">
      <w:bodyDiv w:val="1"/>
      <w:marLeft w:val="0"/>
      <w:marRight w:val="0"/>
      <w:marTop w:val="0"/>
      <w:marBottom w:val="0"/>
      <w:divBdr>
        <w:top w:val="none" w:sz="0" w:space="0" w:color="auto"/>
        <w:left w:val="none" w:sz="0" w:space="0" w:color="auto"/>
        <w:bottom w:val="none" w:sz="0" w:space="0" w:color="auto"/>
        <w:right w:val="none" w:sz="0" w:space="0" w:color="auto"/>
      </w:divBdr>
    </w:div>
    <w:div w:id="1060589444">
      <w:bodyDiv w:val="1"/>
      <w:marLeft w:val="0"/>
      <w:marRight w:val="0"/>
      <w:marTop w:val="0"/>
      <w:marBottom w:val="0"/>
      <w:divBdr>
        <w:top w:val="none" w:sz="0" w:space="0" w:color="auto"/>
        <w:left w:val="none" w:sz="0" w:space="0" w:color="auto"/>
        <w:bottom w:val="none" w:sz="0" w:space="0" w:color="auto"/>
        <w:right w:val="none" w:sz="0" w:space="0" w:color="auto"/>
      </w:divBdr>
    </w:div>
    <w:div w:id="1076242373">
      <w:bodyDiv w:val="1"/>
      <w:marLeft w:val="0"/>
      <w:marRight w:val="0"/>
      <w:marTop w:val="0"/>
      <w:marBottom w:val="0"/>
      <w:divBdr>
        <w:top w:val="none" w:sz="0" w:space="0" w:color="auto"/>
        <w:left w:val="none" w:sz="0" w:space="0" w:color="auto"/>
        <w:bottom w:val="none" w:sz="0" w:space="0" w:color="auto"/>
        <w:right w:val="none" w:sz="0" w:space="0" w:color="auto"/>
      </w:divBdr>
    </w:div>
    <w:div w:id="1129320159">
      <w:bodyDiv w:val="1"/>
      <w:marLeft w:val="0"/>
      <w:marRight w:val="0"/>
      <w:marTop w:val="0"/>
      <w:marBottom w:val="0"/>
      <w:divBdr>
        <w:top w:val="none" w:sz="0" w:space="0" w:color="auto"/>
        <w:left w:val="none" w:sz="0" w:space="0" w:color="auto"/>
        <w:bottom w:val="none" w:sz="0" w:space="0" w:color="auto"/>
        <w:right w:val="none" w:sz="0" w:space="0" w:color="auto"/>
      </w:divBdr>
    </w:div>
    <w:div w:id="1146699968">
      <w:bodyDiv w:val="1"/>
      <w:marLeft w:val="0"/>
      <w:marRight w:val="0"/>
      <w:marTop w:val="0"/>
      <w:marBottom w:val="0"/>
      <w:divBdr>
        <w:top w:val="none" w:sz="0" w:space="0" w:color="auto"/>
        <w:left w:val="none" w:sz="0" w:space="0" w:color="auto"/>
        <w:bottom w:val="none" w:sz="0" w:space="0" w:color="auto"/>
        <w:right w:val="none" w:sz="0" w:space="0" w:color="auto"/>
      </w:divBdr>
    </w:div>
    <w:div w:id="1152060917">
      <w:bodyDiv w:val="1"/>
      <w:marLeft w:val="0"/>
      <w:marRight w:val="0"/>
      <w:marTop w:val="0"/>
      <w:marBottom w:val="0"/>
      <w:divBdr>
        <w:top w:val="none" w:sz="0" w:space="0" w:color="auto"/>
        <w:left w:val="none" w:sz="0" w:space="0" w:color="auto"/>
        <w:bottom w:val="none" w:sz="0" w:space="0" w:color="auto"/>
        <w:right w:val="none" w:sz="0" w:space="0" w:color="auto"/>
      </w:divBdr>
    </w:div>
    <w:div w:id="1163467015">
      <w:bodyDiv w:val="1"/>
      <w:marLeft w:val="0"/>
      <w:marRight w:val="0"/>
      <w:marTop w:val="0"/>
      <w:marBottom w:val="0"/>
      <w:divBdr>
        <w:top w:val="none" w:sz="0" w:space="0" w:color="auto"/>
        <w:left w:val="none" w:sz="0" w:space="0" w:color="auto"/>
        <w:bottom w:val="none" w:sz="0" w:space="0" w:color="auto"/>
        <w:right w:val="none" w:sz="0" w:space="0" w:color="auto"/>
      </w:divBdr>
    </w:div>
    <w:div w:id="1167549068">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97163469">
      <w:bodyDiv w:val="1"/>
      <w:marLeft w:val="0"/>
      <w:marRight w:val="0"/>
      <w:marTop w:val="0"/>
      <w:marBottom w:val="0"/>
      <w:divBdr>
        <w:top w:val="none" w:sz="0" w:space="0" w:color="auto"/>
        <w:left w:val="none" w:sz="0" w:space="0" w:color="auto"/>
        <w:bottom w:val="none" w:sz="0" w:space="0" w:color="auto"/>
        <w:right w:val="none" w:sz="0" w:space="0" w:color="auto"/>
      </w:divBdr>
    </w:div>
    <w:div w:id="1203513744">
      <w:bodyDiv w:val="1"/>
      <w:marLeft w:val="0"/>
      <w:marRight w:val="0"/>
      <w:marTop w:val="0"/>
      <w:marBottom w:val="0"/>
      <w:divBdr>
        <w:top w:val="none" w:sz="0" w:space="0" w:color="auto"/>
        <w:left w:val="none" w:sz="0" w:space="0" w:color="auto"/>
        <w:bottom w:val="none" w:sz="0" w:space="0" w:color="auto"/>
        <w:right w:val="none" w:sz="0" w:space="0" w:color="auto"/>
      </w:divBdr>
    </w:div>
    <w:div w:id="1241865683">
      <w:bodyDiv w:val="1"/>
      <w:marLeft w:val="0"/>
      <w:marRight w:val="0"/>
      <w:marTop w:val="0"/>
      <w:marBottom w:val="0"/>
      <w:divBdr>
        <w:top w:val="none" w:sz="0" w:space="0" w:color="auto"/>
        <w:left w:val="none" w:sz="0" w:space="0" w:color="auto"/>
        <w:bottom w:val="none" w:sz="0" w:space="0" w:color="auto"/>
        <w:right w:val="none" w:sz="0" w:space="0" w:color="auto"/>
      </w:divBdr>
    </w:div>
    <w:div w:id="1251352480">
      <w:bodyDiv w:val="1"/>
      <w:marLeft w:val="0"/>
      <w:marRight w:val="0"/>
      <w:marTop w:val="0"/>
      <w:marBottom w:val="0"/>
      <w:divBdr>
        <w:top w:val="none" w:sz="0" w:space="0" w:color="auto"/>
        <w:left w:val="none" w:sz="0" w:space="0" w:color="auto"/>
        <w:bottom w:val="none" w:sz="0" w:space="0" w:color="auto"/>
        <w:right w:val="none" w:sz="0" w:space="0" w:color="auto"/>
      </w:divBdr>
    </w:div>
    <w:div w:id="1340423896">
      <w:bodyDiv w:val="1"/>
      <w:marLeft w:val="0"/>
      <w:marRight w:val="0"/>
      <w:marTop w:val="0"/>
      <w:marBottom w:val="0"/>
      <w:divBdr>
        <w:top w:val="none" w:sz="0" w:space="0" w:color="auto"/>
        <w:left w:val="none" w:sz="0" w:space="0" w:color="auto"/>
        <w:bottom w:val="none" w:sz="0" w:space="0" w:color="auto"/>
        <w:right w:val="none" w:sz="0" w:space="0" w:color="auto"/>
      </w:divBdr>
    </w:div>
    <w:div w:id="1341156098">
      <w:bodyDiv w:val="1"/>
      <w:marLeft w:val="0"/>
      <w:marRight w:val="0"/>
      <w:marTop w:val="0"/>
      <w:marBottom w:val="0"/>
      <w:divBdr>
        <w:top w:val="none" w:sz="0" w:space="0" w:color="auto"/>
        <w:left w:val="none" w:sz="0" w:space="0" w:color="auto"/>
        <w:bottom w:val="none" w:sz="0" w:space="0" w:color="auto"/>
        <w:right w:val="none" w:sz="0" w:space="0" w:color="auto"/>
      </w:divBdr>
    </w:div>
    <w:div w:id="1365590824">
      <w:bodyDiv w:val="1"/>
      <w:marLeft w:val="0"/>
      <w:marRight w:val="0"/>
      <w:marTop w:val="0"/>
      <w:marBottom w:val="0"/>
      <w:divBdr>
        <w:top w:val="none" w:sz="0" w:space="0" w:color="auto"/>
        <w:left w:val="none" w:sz="0" w:space="0" w:color="auto"/>
        <w:bottom w:val="none" w:sz="0" w:space="0" w:color="auto"/>
        <w:right w:val="none" w:sz="0" w:space="0" w:color="auto"/>
      </w:divBdr>
    </w:div>
    <w:div w:id="1375231819">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09427008">
      <w:bodyDiv w:val="1"/>
      <w:marLeft w:val="0"/>
      <w:marRight w:val="0"/>
      <w:marTop w:val="0"/>
      <w:marBottom w:val="0"/>
      <w:divBdr>
        <w:top w:val="none" w:sz="0" w:space="0" w:color="auto"/>
        <w:left w:val="none" w:sz="0" w:space="0" w:color="auto"/>
        <w:bottom w:val="none" w:sz="0" w:space="0" w:color="auto"/>
        <w:right w:val="none" w:sz="0" w:space="0" w:color="auto"/>
      </w:divBdr>
    </w:div>
    <w:div w:id="1422995362">
      <w:bodyDiv w:val="1"/>
      <w:marLeft w:val="0"/>
      <w:marRight w:val="0"/>
      <w:marTop w:val="0"/>
      <w:marBottom w:val="0"/>
      <w:divBdr>
        <w:top w:val="none" w:sz="0" w:space="0" w:color="auto"/>
        <w:left w:val="none" w:sz="0" w:space="0" w:color="auto"/>
        <w:bottom w:val="none" w:sz="0" w:space="0" w:color="auto"/>
        <w:right w:val="none" w:sz="0" w:space="0" w:color="auto"/>
      </w:divBdr>
    </w:div>
    <w:div w:id="1427265554">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96920548">
      <w:bodyDiv w:val="1"/>
      <w:marLeft w:val="0"/>
      <w:marRight w:val="0"/>
      <w:marTop w:val="0"/>
      <w:marBottom w:val="0"/>
      <w:divBdr>
        <w:top w:val="none" w:sz="0" w:space="0" w:color="auto"/>
        <w:left w:val="none" w:sz="0" w:space="0" w:color="auto"/>
        <w:bottom w:val="none" w:sz="0" w:space="0" w:color="auto"/>
        <w:right w:val="none" w:sz="0" w:space="0" w:color="auto"/>
      </w:divBdr>
    </w:div>
    <w:div w:id="1507138158">
      <w:bodyDiv w:val="1"/>
      <w:marLeft w:val="0"/>
      <w:marRight w:val="0"/>
      <w:marTop w:val="0"/>
      <w:marBottom w:val="0"/>
      <w:divBdr>
        <w:top w:val="none" w:sz="0" w:space="0" w:color="auto"/>
        <w:left w:val="none" w:sz="0" w:space="0" w:color="auto"/>
        <w:bottom w:val="none" w:sz="0" w:space="0" w:color="auto"/>
        <w:right w:val="none" w:sz="0" w:space="0" w:color="auto"/>
      </w:divBdr>
    </w:div>
    <w:div w:id="1520856331">
      <w:bodyDiv w:val="1"/>
      <w:marLeft w:val="0"/>
      <w:marRight w:val="0"/>
      <w:marTop w:val="0"/>
      <w:marBottom w:val="0"/>
      <w:divBdr>
        <w:top w:val="none" w:sz="0" w:space="0" w:color="auto"/>
        <w:left w:val="none" w:sz="0" w:space="0" w:color="auto"/>
        <w:bottom w:val="none" w:sz="0" w:space="0" w:color="auto"/>
        <w:right w:val="none" w:sz="0" w:space="0" w:color="auto"/>
      </w:divBdr>
    </w:div>
    <w:div w:id="1572538744">
      <w:bodyDiv w:val="1"/>
      <w:marLeft w:val="0"/>
      <w:marRight w:val="0"/>
      <w:marTop w:val="0"/>
      <w:marBottom w:val="0"/>
      <w:divBdr>
        <w:top w:val="none" w:sz="0" w:space="0" w:color="auto"/>
        <w:left w:val="none" w:sz="0" w:space="0" w:color="auto"/>
        <w:bottom w:val="none" w:sz="0" w:space="0" w:color="auto"/>
        <w:right w:val="none" w:sz="0" w:space="0" w:color="auto"/>
      </w:divBdr>
    </w:div>
    <w:div w:id="1691754523">
      <w:bodyDiv w:val="1"/>
      <w:marLeft w:val="0"/>
      <w:marRight w:val="0"/>
      <w:marTop w:val="0"/>
      <w:marBottom w:val="0"/>
      <w:divBdr>
        <w:top w:val="none" w:sz="0" w:space="0" w:color="auto"/>
        <w:left w:val="none" w:sz="0" w:space="0" w:color="auto"/>
        <w:bottom w:val="none" w:sz="0" w:space="0" w:color="auto"/>
        <w:right w:val="none" w:sz="0" w:space="0" w:color="auto"/>
      </w:divBdr>
    </w:div>
    <w:div w:id="1693603685">
      <w:bodyDiv w:val="1"/>
      <w:marLeft w:val="0"/>
      <w:marRight w:val="0"/>
      <w:marTop w:val="0"/>
      <w:marBottom w:val="0"/>
      <w:divBdr>
        <w:top w:val="none" w:sz="0" w:space="0" w:color="auto"/>
        <w:left w:val="none" w:sz="0" w:space="0" w:color="auto"/>
        <w:bottom w:val="none" w:sz="0" w:space="0" w:color="auto"/>
        <w:right w:val="none" w:sz="0" w:space="0" w:color="auto"/>
      </w:divBdr>
    </w:div>
    <w:div w:id="1848515234">
      <w:bodyDiv w:val="1"/>
      <w:marLeft w:val="0"/>
      <w:marRight w:val="0"/>
      <w:marTop w:val="0"/>
      <w:marBottom w:val="0"/>
      <w:divBdr>
        <w:top w:val="none" w:sz="0" w:space="0" w:color="auto"/>
        <w:left w:val="none" w:sz="0" w:space="0" w:color="auto"/>
        <w:bottom w:val="none" w:sz="0" w:space="0" w:color="auto"/>
        <w:right w:val="none" w:sz="0" w:space="0" w:color="auto"/>
      </w:divBdr>
    </w:div>
    <w:div w:id="1859733651">
      <w:bodyDiv w:val="1"/>
      <w:marLeft w:val="0"/>
      <w:marRight w:val="0"/>
      <w:marTop w:val="0"/>
      <w:marBottom w:val="0"/>
      <w:divBdr>
        <w:top w:val="none" w:sz="0" w:space="0" w:color="auto"/>
        <w:left w:val="none" w:sz="0" w:space="0" w:color="auto"/>
        <w:bottom w:val="none" w:sz="0" w:space="0" w:color="auto"/>
        <w:right w:val="none" w:sz="0" w:space="0" w:color="auto"/>
      </w:divBdr>
    </w:div>
    <w:div w:id="1919633468">
      <w:bodyDiv w:val="1"/>
      <w:marLeft w:val="0"/>
      <w:marRight w:val="0"/>
      <w:marTop w:val="0"/>
      <w:marBottom w:val="0"/>
      <w:divBdr>
        <w:top w:val="none" w:sz="0" w:space="0" w:color="auto"/>
        <w:left w:val="none" w:sz="0" w:space="0" w:color="auto"/>
        <w:bottom w:val="none" w:sz="0" w:space="0" w:color="auto"/>
        <w:right w:val="none" w:sz="0" w:space="0" w:color="auto"/>
      </w:divBdr>
    </w:div>
    <w:div w:id="1936359414">
      <w:bodyDiv w:val="1"/>
      <w:marLeft w:val="0"/>
      <w:marRight w:val="0"/>
      <w:marTop w:val="0"/>
      <w:marBottom w:val="0"/>
      <w:divBdr>
        <w:top w:val="none" w:sz="0" w:space="0" w:color="auto"/>
        <w:left w:val="none" w:sz="0" w:space="0" w:color="auto"/>
        <w:bottom w:val="none" w:sz="0" w:space="0" w:color="auto"/>
        <w:right w:val="none" w:sz="0" w:space="0" w:color="auto"/>
      </w:divBdr>
    </w:div>
    <w:div w:id="2019387057">
      <w:bodyDiv w:val="1"/>
      <w:marLeft w:val="0"/>
      <w:marRight w:val="0"/>
      <w:marTop w:val="0"/>
      <w:marBottom w:val="0"/>
      <w:divBdr>
        <w:top w:val="none" w:sz="0" w:space="0" w:color="auto"/>
        <w:left w:val="none" w:sz="0" w:space="0" w:color="auto"/>
        <w:bottom w:val="none" w:sz="0" w:space="0" w:color="auto"/>
        <w:right w:val="none" w:sz="0" w:space="0" w:color="auto"/>
      </w:divBdr>
    </w:div>
    <w:div w:id="20195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Template>
  <TotalTime>29</TotalTime>
  <Pages>11</Pages>
  <Words>2790</Words>
  <Characters>18154</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2024092823 mt</dc:description>
  <cp:lastModifiedBy>Hanne Thy Iversen</cp:lastModifiedBy>
  <cp:revision>9</cp:revision>
  <cp:lastPrinted>2022-05-18T14:03:00Z</cp:lastPrinted>
  <dcterms:created xsi:type="dcterms:W3CDTF">2026-01-27T13:56:00Z</dcterms:created>
  <dcterms:modified xsi:type="dcterms:W3CDTF">2026-02-09T14:24:00Z</dcterms:modified>
</cp:coreProperties>
</file>