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FB5" w:rsidRPr="00FB091C" w:rsidRDefault="00C82FB5" w:rsidP="00C82FB5">
      <w:pPr>
        <w:tabs>
          <w:tab w:val="left" w:pos="6804"/>
        </w:tabs>
        <w:rPr>
          <w:b/>
          <w:sz w:val="24"/>
          <w:szCs w:val="24"/>
        </w:rPr>
      </w:pPr>
      <w:bookmarkStart w:id="0" w:name="_GoBack"/>
      <w:bookmarkEnd w:id="0"/>
      <w:r w:rsidRPr="00FB091C">
        <w:rPr>
          <w:b/>
          <w:noProof/>
          <w:sz w:val="24"/>
          <w:szCs w:val="24"/>
          <w:lang w:eastAsia="da-DK"/>
        </w:rPr>
        <w:drawing>
          <wp:inline distT="0" distB="0" distL="0" distR="0" wp14:anchorId="5E390AC6" wp14:editId="4D5F2658">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82FB5" w:rsidRPr="00FB091C" w:rsidRDefault="00C82FB5" w:rsidP="00C82FB5">
      <w:pPr>
        <w:tabs>
          <w:tab w:val="left" w:pos="6804"/>
        </w:tabs>
        <w:rPr>
          <w:b/>
          <w:sz w:val="24"/>
          <w:szCs w:val="24"/>
        </w:rPr>
      </w:pPr>
    </w:p>
    <w:p w:rsidR="00C82FB5" w:rsidRPr="00FB091C" w:rsidRDefault="00174258" w:rsidP="00C82FB5">
      <w:pPr>
        <w:tabs>
          <w:tab w:val="left" w:pos="6804"/>
        </w:tabs>
        <w:jc w:val="right"/>
        <w:rPr>
          <w:b/>
          <w:sz w:val="24"/>
          <w:szCs w:val="24"/>
        </w:rPr>
      </w:pPr>
      <w:r w:rsidRPr="00FB091C">
        <w:rPr>
          <w:b/>
          <w:sz w:val="24"/>
          <w:szCs w:val="24"/>
        </w:rPr>
        <w:t>1</w:t>
      </w:r>
      <w:r w:rsidR="00FB091C" w:rsidRPr="00FB091C">
        <w:rPr>
          <w:b/>
          <w:sz w:val="24"/>
          <w:szCs w:val="24"/>
        </w:rPr>
        <w:t>9. februar 2025</w:t>
      </w:r>
    </w:p>
    <w:p w:rsidR="00C82FB5" w:rsidRPr="00FB091C" w:rsidRDefault="00C82FB5" w:rsidP="00C82FB5">
      <w:pPr>
        <w:tabs>
          <w:tab w:val="left" w:pos="8222"/>
        </w:tabs>
        <w:rPr>
          <w:sz w:val="24"/>
          <w:szCs w:val="24"/>
        </w:rPr>
      </w:pPr>
    </w:p>
    <w:p w:rsidR="00C82FB5" w:rsidRPr="00FB091C" w:rsidRDefault="00C82FB5" w:rsidP="00C82FB5">
      <w:pPr>
        <w:tabs>
          <w:tab w:val="left" w:pos="8222"/>
        </w:tabs>
        <w:jc w:val="center"/>
        <w:rPr>
          <w:b/>
          <w:sz w:val="24"/>
          <w:szCs w:val="24"/>
        </w:rPr>
      </w:pPr>
      <w:r w:rsidRPr="00FB091C">
        <w:rPr>
          <w:b/>
          <w:sz w:val="24"/>
          <w:szCs w:val="24"/>
        </w:rPr>
        <w:t>PRODUKTRESUMÉ</w:t>
      </w:r>
    </w:p>
    <w:p w:rsidR="00C82FB5" w:rsidRPr="00FB091C" w:rsidRDefault="00C82FB5" w:rsidP="00C82FB5">
      <w:pPr>
        <w:tabs>
          <w:tab w:val="left" w:pos="8222"/>
        </w:tabs>
        <w:jc w:val="center"/>
        <w:rPr>
          <w:b/>
          <w:sz w:val="24"/>
          <w:szCs w:val="24"/>
        </w:rPr>
      </w:pPr>
    </w:p>
    <w:p w:rsidR="00C82FB5" w:rsidRPr="00FB091C" w:rsidRDefault="00C82FB5" w:rsidP="00C82FB5">
      <w:pPr>
        <w:tabs>
          <w:tab w:val="left" w:pos="8222"/>
        </w:tabs>
        <w:jc w:val="center"/>
        <w:rPr>
          <w:b/>
          <w:sz w:val="24"/>
          <w:szCs w:val="24"/>
        </w:rPr>
      </w:pPr>
      <w:r w:rsidRPr="00FB091C">
        <w:rPr>
          <w:b/>
          <w:sz w:val="24"/>
          <w:szCs w:val="24"/>
        </w:rPr>
        <w:t>for</w:t>
      </w:r>
    </w:p>
    <w:p w:rsidR="00C82FB5" w:rsidRPr="00FB091C" w:rsidRDefault="00C82FB5" w:rsidP="00C82FB5">
      <w:pPr>
        <w:tabs>
          <w:tab w:val="left" w:pos="8222"/>
        </w:tabs>
        <w:jc w:val="center"/>
        <w:rPr>
          <w:b/>
          <w:sz w:val="24"/>
          <w:szCs w:val="24"/>
        </w:rPr>
      </w:pPr>
    </w:p>
    <w:p w:rsidR="00C82FB5" w:rsidRPr="00FB091C" w:rsidRDefault="00C82FB5" w:rsidP="00C82FB5">
      <w:pPr>
        <w:tabs>
          <w:tab w:val="left" w:pos="8222"/>
        </w:tabs>
        <w:jc w:val="center"/>
        <w:rPr>
          <w:b/>
          <w:sz w:val="24"/>
          <w:szCs w:val="24"/>
        </w:rPr>
      </w:pPr>
      <w:proofErr w:type="spellStart"/>
      <w:r w:rsidRPr="00FB091C">
        <w:rPr>
          <w:b/>
          <w:sz w:val="24"/>
          <w:szCs w:val="24"/>
        </w:rPr>
        <w:t>Pigfen</w:t>
      </w:r>
      <w:proofErr w:type="spellEnd"/>
      <w:r w:rsidRPr="00FB091C">
        <w:rPr>
          <w:b/>
          <w:sz w:val="24"/>
          <w:szCs w:val="24"/>
        </w:rPr>
        <w:t>, granulat</w:t>
      </w:r>
    </w:p>
    <w:p w:rsidR="00C82FB5" w:rsidRPr="00FB091C" w:rsidRDefault="00C82FB5" w:rsidP="00C82FB5">
      <w:pPr>
        <w:tabs>
          <w:tab w:val="left" w:pos="8222"/>
        </w:tabs>
        <w:jc w:val="both"/>
        <w:rPr>
          <w:sz w:val="24"/>
          <w:szCs w:val="24"/>
        </w:rPr>
      </w:pPr>
    </w:p>
    <w:p w:rsidR="00C82FB5" w:rsidRPr="00FB091C" w:rsidRDefault="00C82FB5" w:rsidP="00C82FB5">
      <w:pPr>
        <w:tabs>
          <w:tab w:val="left" w:pos="8222"/>
        </w:tabs>
        <w:jc w:val="both"/>
        <w:rPr>
          <w:sz w:val="24"/>
          <w:szCs w:val="24"/>
        </w:rPr>
      </w:pPr>
    </w:p>
    <w:p w:rsidR="00C82FB5" w:rsidRPr="00FB091C" w:rsidRDefault="00C82FB5" w:rsidP="00FB091C">
      <w:pPr>
        <w:tabs>
          <w:tab w:val="left" w:pos="8222"/>
        </w:tabs>
        <w:ind w:left="567" w:hanging="567"/>
        <w:rPr>
          <w:b/>
          <w:sz w:val="24"/>
          <w:szCs w:val="24"/>
        </w:rPr>
      </w:pPr>
      <w:r w:rsidRPr="00FB091C">
        <w:rPr>
          <w:b/>
          <w:sz w:val="24"/>
          <w:szCs w:val="24"/>
        </w:rPr>
        <w:t>0.</w:t>
      </w:r>
      <w:r w:rsidRPr="00FB091C">
        <w:rPr>
          <w:b/>
          <w:sz w:val="24"/>
          <w:szCs w:val="24"/>
        </w:rPr>
        <w:tab/>
        <w:t>D.SP.NR.</w:t>
      </w:r>
    </w:p>
    <w:p w:rsidR="00C82FB5" w:rsidRPr="00FB091C" w:rsidRDefault="00C82FB5" w:rsidP="00FB091C">
      <w:pPr>
        <w:tabs>
          <w:tab w:val="left" w:pos="8222"/>
        </w:tabs>
        <w:ind w:left="567"/>
        <w:rPr>
          <w:sz w:val="24"/>
          <w:szCs w:val="24"/>
        </w:rPr>
      </w:pPr>
      <w:r w:rsidRPr="00FB091C">
        <w:rPr>
          <w:sz w:val="24"/>
          <w:szCs w:val="24"/>
        </w:rPr>
        <w:t>29300</w:t>
      </w:r>
    </w:p>
    <w:p w:rsidR="00C82FB5" w:rsidRPr="00FB091C" w:rsidRDefault="00C82FB5" w:rsidP="00C82FB5">
      <w:pPr>
        <w:tabs>
          <w:tab w:val="left" w:pos="8222"/>
        </w:tabs>
        <w:ind w:left="851"/>
        <w:rPr>
          <w:sz w:val="24"/>
          <w:szCs w:val="24"/>
        </w:rPr>
      </w:pPr>
    </w:p>
    <w:p w:rsidR="00FB091C" w:rsidRPr="00FB091C" w:rsidRDefault="00FB091C" w:rsidP="00FB091C">
      <w:pPr>
        <w:pStyle w:val="Style1"/>
        <w:rPr>
          <w:sz w:val="24"/>
          <w:szCs w:val="24"/>
        </w:rPr>
      </w:pPr>
      <w:r w:rsidRPr="00FB091C">
        <w:rPr>
          <w:sz w:val="24"/>
          <w:szCs w:val="24"/>
        </w:rPr>
        <w:t>1.</w:t>
      </w:r>
      <w:r w:rsidRPr="00FB091C">
        <w:rPr>
          <w:sz w:val="24"/>
          <w:szCs w:val="24"/>
        </w:rPr>
        <w:tab/>
        <w:t>VETERINÆRLÆGEMIDLETS NAVN</w:t>
      </w:r>
    </w:p>
    <w:p w:rsidR="00FB091C" w:rsidRPr="00FB091C" w:rsidRDefault="00FB091C" w:rsidP="00FB091C">
      <w:pPr>
        <w:rPr>
          <w:sz w:val="24"/>
          <w:szCs w:val="24"/>
        </w:rPr>
      </w:pPr>
    </w:p>
    <w:p w:rsidR="00FB091C" w:rsidRPr="00FB091C" w:rsidRDefault="00FB091C" w:rsidP="00FB091C">
      <w:pPr>
        <w:ind w:left="567"/>
        <w:rPr>
          <w:bCs/>
          <w:sz w:val="24"/>
          <w:szCs w:val="24"/>
        </w:rPr>
      </w:pPr>
      <w:proofErr w:type="spellStart"/>
      <w:r w:rsidRPr="00FB091C">
        <w:rPr>
          <w:bCs/>
          <w:sz w:val="24"/>
          <w:szCs w:val="24"/>
        </w:rPr>
        <w:t>Pigfen</w:t>
      </w:r>
      <w:proofErr w:type="spellEnd"/>
    </w:p>
    <w:p w:rsidR="00FB091C" w:rsidRPr="00FB091C" w:rsidRDefault="00FB091C" w:rsidP="00FB091C">
      <w:pPr>
        <w:ind w:left="567"/>
        <w:rPr>
          <w:bCs/>
          <w:sz w:val="24"/>
          <w:szCs w:val="24"/>
        </w:rPr>
      </w:pPr>
    </w:p>
    <w:p w:rsidR="00FB091C" w:rsidRPr="00FB091C" w:rsidRDefault="00FB091C" w:rsidP="00FB091C">
      <w:pPr>
        <w:ind w:left="567"/>
        <w:rPr>
          <w:bCs/>
          <w:sz w:val="24"/>
          <w:szCs w:val="24"/>
        </w:rPr>
      </w:pPr>
      <w:r w:rsidRPr="00FB091C">
        <w:rPr>
          <w:bCs/>
          <w:sz w:val="24"/>
          <w:szCs w:val="24"/>
        </w:rPr>
        <w:t>Lægemiddelform: Granulat</w:t>
      </w:r>
    </w:p>
    <w:p w:rsidR="00FB091C" w:rsidRPr="00FB091C" w:rsidRDefault="00FB091C" w:rsidP="00FB091C">
      <w:pPr>
        <w:ind w:left="567"/>
        <w:rPr>
          <w:sz w:val="24"/>
          <w:szCs w:val="24"/>
        </w:rPr>
      </w:pPr>
      <w:r w:rsidRPr="00FB091C">
        <w:rPr>
          <w:bCs/>
          <w:sz w:val="24"/>
          <w:szCs w:val="24"/>
        </w:rPr>
        <w:t xml:space="preserve">Styrke: 40 mg/g </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2.</w:t>
      </w:r>
      <w:r w:rsidRPr="00FB091C">
        <w:rPr>
          <w:sz w:val="24"/>
          <w:szCs w:val="24"/>
        </w:rPr>
        <w:tab/>
        <w:t>KVALITATIV OG KVANTITATIV SAMMENSÆTNING</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t>Hvert g indeholder</w:t>
      </w:r>
    </w:p>
    <w:p w:rsidR="00FB091C" w:rsidRPr="00FB091C" w:rsidRDefault="00FB091C" w:rsidP="00FB091C">
      <w:pPr>
        <w:ind w:left="567"/>
        <w:rPr>
          <w:sz w:val="24"/>
          <w:szCs w:val="24"/>
        </w:rPr>
      </w:pPr>
    </w:p>
    <w:p w:rsidR="00FB091C" w:rsidRPr="00FB091C" w:rsidRDefault="00FB091C" w:rsidP="00FB091C">
      <w:pPr>
        <w:ind w:left="567"/>
        <w:rPr>
          <w:b/>
          <w:sz w:val="24"/>
          <w:szCs w:val="24"/>
        </w:rPr>
      </w:pPr>
      <w:r w:rsidRPr="00FB091C">
        <w:rPr>
          <w:b/>
          <w:sz w:val="24"/>
          <w:szCs w:val="24"/>
        </w:rPr>
        <w:t>Aktivt stof:</w:t>
      </w:r>
    </w:p>
    <w:p w:rsidR="00FB091C" w:rsidRPr="00FB091C" w:rsidRDefault="00FB091C" w:rsidP="00FB091C">
      <w:pPr>
        <w:tabs>
          <w:tab w:val="left" w:pos="3402"/>
        </w:tabs>
        <w:ind w:left="567"/>
        <w:rPr>
          <w:sz w:val="24"/>
          <w:szCs w:val="24"/>
        </w:rPr>
      </w:pPr>
      <w:proofErr w:type="spellStart"/>
      <w:r w:rsidRPr="00FB091C">
        <w:rPr>
          <w:sz w:val="24"/>
          <w:szCs w:val="24"/>
        </w:rPr>
        <w:t>Fenbendazol</w:t>
      </w:r>
      <w:proofErr w:type="spellEnd"/>
      <w:r w:rsidRPr="00FB091C">
        <w:rPr>
          <w:sz w:val="24"/>
          <w:szCs w:val="24"/>
        </w:rPr>
        <w:t xml:space="preserve"> </w:t>
      </w:r>
      <w:r w:rsidRPr="00FB091C">
        <w:rPr>
          <w:sz w:val="24"/>
          <w:szCs w:val="24"/>
        </w:rPr>
        <w:tab/>
        <w:t>40 mg</w:t>
      </w:r>
    </w:p>
    <w:p w:rsidR="00FB091C" w:rsidRPr="00FB091C" w:rsidRDefault="00FB091C" w:rsidP="00FB091C">
      <w:pPr>
        <w:ind w:left="567"/>
        <w:rPr>
          <w:sz w:val="24"/>
          <w:szCs w:val="24"/>
        </w:rPr>
      </w:pPr>
    </w:p>
    <w:p w:rsidR="00FB091C" w:rsidRPr="00FB091C" w:rsidRDefault="00FB091C" w:rsidP="00FB091C">
      <w:pPr>
        <w:ind w:left="567"/>
        <w:rPr>
          <w:sz w:val="24"/>
          <w:szCs w:val="24"/>
        </w:rPr>
      </w:pPr>
      <w:r w:rsidRPr="00FB091C">
        <w:rPr>
          <w:b/>
          <w:sz w:val="24"/>
          <w:szCs w:val="24"/>
        </w:rPr>
        <w:t>Hjælpestoffer:</w:t>
      </w:r>
    </w:p>
    <w:p w:rsidR="00FB091C" w:rsidRPr="00FB091C" w:rsidRDefault="00FB091C" w:rsidP="00FB091C">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FB091C" w:rsidRPr="00FB091C" w:rsidTr="00FB091C">
        <w:tc>
          <w:tcPr>
            <w:tcW w:w="4518" w:type="dxa"/>
            <w:shd w:val="clear" w:color="auto" w:fill="auto"/>
            <w:vAlign w:val="center"/>
          </w:tcPr>
          <w:p w:rsidR="00FB091C" w:rsidRPr="00FB091C" w:rsidRDefault="00FB091C" w:rsidP="00634AE0">
            <w:pPr>
              <w:spacing w:before="60" w:after="60"/>
              <w:rPr>
                <w:b/>
                <w:bCs/>
                <w:iCs/>
                <w:sz w:val="24"/>
                <w:szCs w:val="24"/>
              </w:rPr>
            </w:pPr>
            <w:r w:rsidRPr="00FB091C">
              <w:rPr>
                <w:b/>
                <w:bCs/>
                <w:iCs/>
                <w:sz w:val="24"/>
                <w:szCs w:val="24"/>
              </w:rPr>
              <w:t>Kvalitativ sammensætning af hjælpestoffer og andre bestanddele</w:t>
            </w:r>
          </w:p>
        </w:tc>
      </w:tr>
      <w:tr w:rsidR="00FB091C" w:rsidRPr="00FB091C" w:rsidTr="00FB091C">
        <w:tc>
          <w:tcPr>
            <w:tcW w:w="4518" w:type="dxa"/>
            <w:shd w:val="clear" w:color="auto" w:fill="auto"/>
            <w:vAlign w:val="center"/>
          </w:tcPr>
          <w:p w:rsidR="00FB091C" w:rsidRPr="00FB091C" w:rsidRDefault="00FB091C" w:rsidP="00634AE0">
            <w:pPr>
              <w:spacing w:before="60" w:after="60"/>
              <w:ind w:left="567" w:hanging="567"/>
              <w:rPr>
                <w:iCs/>
                <w:sz w:val="24"/>
                <w:szCs w:val="24"/>
              </w:rPr>
            </w:pPr>
            <w:r w:rsidRPr="00FB091C">
              <w:rPr>
                <w:iCs/>
                <w:sz w:val="24"/>
                <w:szCs w:val="24"/>
              </w:rPr>
              <w:t>Majsstivelse</w:t>
            </w:r>
          </w:p>
        </w:tc>
      </w:tr>
      <w:tr w:rsidR="00FB091C" w:rsidRPr="00FB091C" w:rsidTr="00FB091C">
        <w:tc>
          <w:tcPr>
            <w:tcW w:w="4518" w:type="dxa"/>
            <w:shd w:val="clear" w:color="auto" w:fill="auto"/>
            <w:vAlign w:val="center"/>
          </w:tcPr>
          <w:p w:rsidR="00FB091C" w:rsidRPr="00FB091C" w:rsidRDefault="00FB091C" w:rsidP="00634AE0">
            <w:pPr>
              <w:spacing w:before="60" w:after="60"/>
              <w:rPr>
                <w:iCs/>
                <w:sz w:val="24"/>
                <w:szCs w:val="24"/>
              </w:rPr>
            </w:pPr>
            <w:proofErr w:type="spellStart"/>
            <w:r w:rsidRPr="00FB091C">
              <w:rPr>
                <w:iCs/>
                <w:sz w:val="24"/>
                <w:szCs w:val="24"/>
              </w:rPr>
              <w:t>Pregelatineret</w:t>
            </w:r>
            <w:proofErr w:type="spellEnd"/>
            <w:r w:rsidRPr="00FB091C">
              <w:rPr>
                <w:iCs/>
                <w:sz w:val="24"/>
                <w:szCs w:val="24"/>
              </w:rPr>
              <w:t xml:space="preserve"> stivelse</w:t>
            </w:r>
          </w:p>
        </w:tc>
      </w:tr>
    </w:tbl>
    <w:p w:rsidR="00FB091C" w:rsidRPr="00FB091C" w:rsidRDefault="00FB091C" w:rsidP="00FB091C">
      <w:pPr>
        <w:rPr>
          <w:sz w:val="24"/>
          <w:szCs w:val="24"/>
        </w:rPr>
      </w:pPr>
    </w:p>
    <w:p w:rsidR="00FB091C" w:rsidRPr="00FB091C" w:rsidRDefault="00FB091C" w:rsidP="00FB091C">
      <w:pPr>
        <w:ind w:firstLine="567"/>
        <w:rPr>
          <w:sz w:val="24"/>
          <w:szCs w:val="24"/>
        </w:rPr>
      </w:pPr>
      <w:r w:rsidRPr="00FB091C">
        <w:rPr>
          <w:sz w:val="24"/>
          <w:szCs w:val="24"/>
        </w:rPr>
        <w:t>Råhvidt til lysegult granulat.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w:t>
      </w:r>
      <w:r w:rsidRPr="00FB091C">
        <w:rPr>
          <w:sz w:val="24"/>
          <w:szCs w:val="24"/>
        </w:rPr>
        <w:tab/>
        <w:t>KLINISKE OPLYSNINGER</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3.1</w:t>
      </w:r>
      <w:r w:rsidRPr="00FB091C">
        <w:rPr>
          <w:sz w:val="24"/>
          <w:szCs w:val="24"/>
        </w:rPr>
        <w:tab/>
        <w:t>Dyrearter, som lægemidlet er beregnet til</w:t>
      </w:r>
    </w:p>
    <w:p w:rsidR="00FB091C" w:rsidRPr="00FB091C" w:rsidRDefault="00FB091C" w:rsidP="00FB091C">
      <w:pPr>
        <w:rPr>
          <w:sz w:val="24"/>
          <w:szCs w:val="24"/>
        </w:rPr>
      </w:pPr>
    </w:p>
    <w:p w:rsidR="00FB091C" w:rsidRPr="00FB091C" w:rsidRDefault="00FB091C" w:rsidP="00FB091C">
      <w:pPr>
        <w:ind w:firstLine="567"/>
        <w:rPr>
          <w:sz w:val="24"/>
          <w:szCs w:val="24"/>
        </w:rPr>
      </w:pPr>
      <w:r w:rsidRPr="00FB091C">
        <w:rPr>
          <w:sz w:val="24"/>
          <w:szCs w:val="24"/>
        </w:rPr>
        <w:t>Svin.</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3.2</w:t>
      </w:r>
      <w:r w:rsidRPr="00FB091C">
        <w:rPr>
          <w:sz w:val="24"/>
          <w:szCs w:val="24"/>
        </w:rPr>
        <w:tab/>
        <w:t>Terapeutiske indikationer for hver dyreart, som lægemidlet er beregnet til</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lastRenderedPageBreak/>
        <w:t xml:space="preserve">Behandling af svin inficeret med </w:t>
      </w:r>
      <w:proofErr w:type="spellStart"/>
      <w:r w:rsidRPr="00FB091C">
        <w:rPr>
          <w:i/>
          <w:iCs/>
          <w:sz w:val="24"/>
          <w:szCs w:val="24"/>
        </w:rPr>
        <w:t>Ascaris</w:t>
      </w:r>
      <w:proofErr w:type="spellEnd"/>
      <w:r w:rsidRPr="00FB091C">
        <w:rPr>
          <w:i/>
          <w:iCs/>
          <w:sz w:val="24"/>
          <w:szCs w:val="24"/>
        </w:rPr>
        <w:t xml:space="preserve"> </w:t>
      </w:r>
      <w:proofErr w:type="spellStart"/>
      <w:r w:rsidRPr="00FB091C">
        <w:rPr>
          <w:i/>
          <w:iCs/>
          <w:sz w:val="24"/>
          <w:szCs w:val="24"/>
        </w:rPr>
        <w:t>suum</w:t>
      </w:r>
      <w:proofErr w:type="spellEnd"/>
      <w:r w:rsidRPr="00FB091C">
        <w:rPr>
          <w:i/>
          <w:iCs/>
          <w:sz w:val="24"/>
          <w:szCs w:val="24"/>
        </w:rPr>
        <w:t xml:space="preserve"> </w:t>
      </w:r>
      <w:r w:rsidRPr="00FB091C">
        <w:rPr>
          <w:sz w:val="24"/>
          <w:szCs w:val="24"/>
        </w:rPr>
        <w:t xml:space="preserve">(voksne, </w:t>
      </w:r>
      <w:proofErr w:type="spellStart"/>
      <w:r w:rsidRPr="00FB091C">
        <w:rPr>
          <w:sz w:val="24"/>
          <w:szCs w:val="24"/>
        </w:rPr>
        <w:t>intestinale</w:t>
      </w:r>
      <w:proofErr w:type="spellEnd"/>
      <w:r w:rsidRPr="00FB091C">
        <w:rPr>
          <w:sz w:val="24"/>
          <w:szCs w:val="24"/>
        </w:rPr>
        <w:t xml:space="preserve"> og migrerende larvestadier) som er modtagelige for </w:t>
      </w:r>
      <w:proofErr w:type="spellStart"/>
      <w:r w:rsidRPr="00FB091C">
        <w:rPr>
          <w:sz w:val="24"/>
          <w:szCs w:val="24"/>
        </w:rPr>
        <w:t>fenbendazol</w:t>
      </w:r>
      <w:proofErr w:type="spellEnd"/>
      <w:r w:rsidRPr="00FB091C">
        <w:rPr>
          <w:sz w:val="24"/>
          <w:szCs w:val="24"/>
        </w:rPr>
        <w: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3.3</w:t>
      </w:r>
      <w:r w:rsidRPr="00FB091C">
        <w:rPr>
          <w:sz w:val="24"/>
          <w:szCs w:val="24"/>
        </w:rPr>
        <w:tab/>
        <w:t>Kontraindikationer</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bCs/>
          <w:sz w:val="24"/>
          <w:szCs w:val="24"/>
        </w:rPr>
        <w:t xml:space="preserve">Må ikke anvendes i tilfælde af overfølsomhed over for det aktive stof, andre </w:t>
      </w:r>
      <w:proofErr w:type="spellStart"/>
      <w:r w:rsidRPr="00FB091C">
        <w:rPr>
          <w:bCs/>
          <w:sz w:val="24"/>
          <w:szCs w:val="24"/>
        </w:rPr>
        <w:t>benzimidazoler</w:t>
      </w:r>
      <w:proofErr w:type="spellEnd"/>
      <w:r w:rsidRPr="00FB091C">
        <w:rPr>
          <w:bCs/>
          <w:sz w:val="24"/>
          <w:szCs w:val="24"/>
        </w:rPr>
        <w:t xml:space="preserve"> eller over for et eller flere af hjælpestofferne.</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3.4</w:t>
      </w:r>
      <w:r w:rsidRPr="00FB091C">
        <w:rPr>
          <w:sz w:val="24"/>
          <w:szCs w:val="24"/>
        </w:rPr>
        <w:tab/>
        <w:t>Særlige advarsler</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t>Der skal udvises forsigtighed for at forhindre følgende praksis, fordi de øger risikoen for udvikling af resistens og i sidste ende kan resultere i ineffektiv behandling:</w:t>
      </w:r>
    </w:p>
    <w:p w:rsidR="00FB091C" w:rsidRPr="00FB091C" w:rsidRDefault="00FB091C" w:rsidP="00FB091C">
      <w:pPr>
        <w:ind w:left="567"/>
        <w:rPr>
          <w:sz w:val="24"/>
          <w:szCs w:val="24"/>
        </w:rPr>
      </w:pPr>
    </w:p>
    <w:p w:rsidR="00FB091C" w:rsidRPr="00FB091C" w:rsidRDefault="00FB091C" w:rsidP="00FB091C">
      <w:pPr>
        <w:numPr>
          <w:ilvl w:val="0"/>
          <w:numId w:val="4"/>
        </w:numPr>
        <w:tabs>
          <w:tab w:val="clear" w:pos="1620"/>
        </w:tabs>
        <w:ind w:left="1701" w:hanging="567"/>
        <w:rPr>
          <w:sz w:val="24"/>
          <w:szCs w:val="24"/>
        </w:rPr>
      </w:pPr>
      <w:r w:rsidRPr="00FB091C">
        <w:rPr>
          <w:sz w:val="24"/>
          <w:szCs w:val="24"/>
        </w:rPr>
        <w:t xml:space="preserve">For hyppig og gentagen anvendelse af </w:t>
      </w:r>
      <w:proofErr w:type="spellStart"/>
      <w:r w:rsidRPr="00FB091C">
        <w:rPr>
          <w:sz w:val="24"/>
          <w:szCs w:val="24"/>
        </w:rPr>
        <w:t>anthelmintika</w:t>
      </w:r>
      <w:proofErr w:type="spellEnd"/>
      <w:r w:rsidRPr="00FB091C">
        <w:rPr>
          <w:sz w:val="24"/>
          <w:szCs w:val="24"/>
        </w:rPr>
        <w:t xml:space="preserve"> fra samme klasse i en længere periode.</w:t>
      </w:r>
    </w:p>
    <w:p w:rsidR="00FB091C" w:rsidRPr="00FB091C" w:rsidRDefault="00FB091C" w:rsidP="00FB091C">
      <w:pPr>
        <w:numPr>
          <w:ilvl w:val="0"/>
          <w:numId w:val="4"/>
        </w:numPr>
        <w:tabs>
          <w:tab w:val="clear" w:pos="1620"/>
        </w:tabs>
        <w:ind w:left="1701" w:hanging="567"/>
        <w:rPr>
          <w:sz w:val="24"/>
          <w:szCs w:val="24"/>
        </w:rPr>
      </w:pPr>
      <w:r w:rsidRPr="00FB091C">
        <w:rPr>
          <w:sz w:val="24"/>
          <w:szCs w:val="24"/>
        </w:rPr>
        <w:t>Underdosering, der kan skyldes underestimering af legemsvægt, forkert administration af veterinærlægemidlet eller manglende kalibrering af doseringsudstyr (hvis relevant).</w:t>
      </w:r>
    </w:p>
    <w:p w:rsidR="00FB091C" w:rsidRPr="00FB091C" w:rsidRDefault="00FB091C" w:rsidP="00FB091C">
      <w:pPr>
        <w:ind w:left="1701" w:hanging="567"/>
        <w:rPr>
          <w:sz w:val="24"/>
          <w:szCs w:val="24"/>
        </w:rPr>
      </w:pPr>
    </w:p>
    <w:p w:rsidR="00FB091C" w:rsidRPr="00FB091C" w:rsidRDefault="00FB091C" w:rsidP="00FB091C">
      <w:pPr>
        <w:ind w:left="567"/>
        <w:rPr>
          <w:sz w:val="24"/>
          <w:szCs w:val="24"/>
        </w:rPr>
      </w:pPr>
      <w:r w:rsidRPr="00FB091C">
        <w:rPr>
          <w:sz w:val="24"/>
          <w:szCs w:val="24"/>
        </w:rPr>
        <w:t xml:space="preserve">Formodede kliniske tilfælde af resistens over for </w:t>
      </w:r>
      <w:proofErr w:type="spellStart"/>
      <w:r w:rsidRPr="00FB091C">
        <w:rPr>
          <w:sz w:val="24"/>
          <w:szCs w:val="24"/>
        </w:rPr>
        <w:t>anthelmintika</w:t>
      </w:r>
      <w:proofErr w:type="spellEnd"/>
      <w:r w:rsidRPr="00FB091C">
        <w:rPr>
          <w:sz w:val="24"/>
          <w:szCs w:val="24"/>
        </w:rPr>
        <w:t xml:space="preserve"> bør undersøges nærmere ved hjælp af relevante test (fx “</w:t>
      </w:r>
      <w:proofErr w:type="spellStart"/>
      <w:r w:rsidRPr="00FB091C">
        <w:rPr>
          <w:sz w:val="24"/>
          <w:szCs w:val="24"/>
        </w:rPr>
        <w:t>Faecal</w:t>
      </w:r>
      <w:proofErr w:type="spellEnd"/>
      <w:r w:rsidRPr="00FB091C">
        <w:rPr>
          <w:sz w:val="24"/>
          <w:szCs w:val="24"/>
        </w:rPr>
        <w:t xml:space="preserve"> </w:t>
      </w:r>
      <w:proofErr w:type="spellStart"/>
      <w:r w:rsidRPr="00FB091C">
        <w:rPr>
          <w:sz w:val="24"/>
          <w:szCs w:val="24"/>
        </w:rPr>
        <w:t>Egg</w:t>
      </w:r>
      <w:proofErr w:type="spellEnd"/>
      <w:r w:rsidRPr="00FB091C">
        <w:rPr>
          <w:sz w:val="24"/>
          <w:szCs w:val="24"/>
        </w:rPr>
        <w:t xml:space="preserve"> Count </w:t>
      </w:r>
      <w:proofErr w:type="spellStart"/>
      <w:r w:rsidRPr="00FB091C">
        <w:rPr>
          <w:sz w:val="24"/>
          <w:szCs w:val="24"/>
        </w:rPr>
        <w:t>Reduction</w:t>
      </w:r>
      <w:proofErr w:type="spellEnd"/>
      <w:r w:rsidRPr="00FB091C">
        <w:rPr>
          <w:sz w:val="24"/>
          <w:szCs w:val="24"/>
        </w:rPr>
        <w:t xml:space="preserve"> Test”). Hvis resultatet af testen/testene kraftigt tyder på resistens over for et bestemt </w:t>
      </w:r>
      <w:proofErr w:type="spellStart"/>
      <w:r w:rsidRPr="00FB091C">
        <w:rPr>
          <w:sz w:val="24"/>
          <w:szCs w:val="24"/>
        </w:rPr>
        <w:t>anthelmintika</w:t>
      </w:r>
      <w:proofErr w:type="spellEnd"/>
      <w:r w:rsidRPr="00FB091C">
        <w:rPr>
          <w:sz w:val="24"/>
          <w:szCs w:val="24"/>
        </w:rPr>
        <w:t xml:space="preserve">, bør der anvendes et </w:t>
      </w:r>
      <w:proofErr w:type="spellStart"/>
      <w:r w:rsidRPr="00FB091C">
        <w:rPr>
          <w:sz w:val="24"/>
          <w:szCs w:val="24"/>
        </w:rPr>
        <w:t>anthelmintika</w:t>
      </w:r>
      <w:proofErr w:type="spellEnd"/>
      <w:r w:rsidRPr="00FB091C">
        <w:rPr>
          <w:sz w:val="24"/>
          <w:szCs w:val="24"/>
        </w:rPr>
        <w:t xml:space="preserve"> fra en anden farmakologisk klasse og med en anden virkningsmekanisme.</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3.5</w:t>
      </w:r>
      <w:r w:rsidRPr="00FB091C">
        <w:rPr>
          <w:sz w:val="24"/>
          <w:szCs w:val="24"/>
        </w:rPr>
        <w:tab/>
        <w:t>Særlige forholdsregler vedrørende brugen</w:t>
      </w:r>
    </w:p>
    <w:p w:rsidR="00FB091C" w:rsidRPr="00FB091C" w:rsidRDefault="00FB091C" w:rsidP="00FB091C">
      <w:pPr>
        <w:rPr>
          <w:sz w:val="24"/>
          <w:szCs w:val="24"/>
        </w:rPr>
      </w:pPr>
    </w:p>
    <w:p w:rsidR="00FB091C" w:rsidRPr="00FB091C" w:rsidRDefault="00FB091C" w:rsidP="00FB091C">
      <w:pPr>
        <w:ind w:left="567"/>
        <w:rPr>
          <w:sz w:val="24"/>
          <w:szCs w:val="24"/>
          <w:u w:val="single"/>
        </w:rPr>
      </w:pPr>
      <w:r w:rsidRPr="00FB091C">
        <w:rPr>
          <w:sz w:val="24"/>
          <w:szCs w:val="24"/>
          <w:u w:val="single"/>
        </w:rPr>
        <w:t>Særlige forholdsregler vedrørende sikker brug hos de dyrearter, som lægemidlet er beregnet til:</w:t>
      </w:r>
    </w:p>
    <w:p w:rsidR="00FB091C" w:rsidRPr="00FB091C" w:rsidRDefault="00FB091C" w:rsidP="00FB091C">
      <w:pPr>
        <w:ind w:left="567"/>
        <w:rPr>
          <w:sz w:val="24"/>
          <w:szCs w:val="24"/>
        </w:rPr>
      </w:pPr>
    </w:p>
    <w:p w:rsidR="00FB091C" w:rsidRPr="00FB091C" w:rsidRDefault="00FB091C" w:rsidP="00FB091C">
      <w:pPr>
        <w:ind w:left="567"/>
        <w:rPr>
          <w:sz w:val="24"/>
          <w:szCs w:val="24"/>
        </w:rPr>
      </w:pPr>
      <w:r w:rsidRPr="00FB091C">
        <w:rPr>
          <w:sz w:val="24"/>
          <w:szCs w:val="24"/>
        </w:rPr>
        <w:t>Ikke relevant.</w:t>
      </w:r>
    </w:p>
    <w:p w:rsidR="00FB091C" w:rsidRPr="00FB091C" w:rsidRDefault="00FB091C" w:rsidP="00FB091C">
      <w:pPr>
        <w:ind w:left="567"/>
        <w:rPr>
          <w:sz w:val="24"/>
          <w:szCs w:val="24"/>
        </w:rPr>
      </w:pPr>
    </w:p>
    <w:p w:rsidR="00FB091C" w:rsidRPr="00FB091C" w:rsidRDefault="00FB091C" w:rsidP="00FB091C">
      <w:pPr>
        <w:ind w:left="567"/>
        <w:rPr>
          <w:sz w:val="24"/>
          <w:szCs w:val="24"/>
          <w:u w:val="single"/>
        </w:rPr>
      </w:pPr>
      <w:r w:rsidRPr="00FB091C">
        <w:rPr>
          <w:sz w:val="24"/>
          <w:szCs w:val="24"/>
          <w:u w:val="single"/>
        </w:rPr>
        <w:t>Særlige forholdsregler for personer, der administrerer veterinærlægemidlet til dyr:</w:t>
      </w:r>
    </w:p>
    <w:p w:rsidR="00FB091C" w:rsidRPr="00FB091C" w:rsidRDefault="00FB091C" w:rsidP="00FB091C">
      <w:pPr>
        <w:ind w:left="567"/>
        <w:rPr>
          <w:sz w:val="24"/>
          <w:szCs w:val="24"/>
        </w:rPr>
      </w:pPr>
    </w:p>
    <w:p w:rsidR="00FB091C" w:rsidRPr="00FB091C" w:rsidRDefault="00FB091C" w:rsidP="00FB091C">
      <w:pPr>
        <w:ind w:left="567"/>
        <w:rPr>
          <w:sz w:val="24"/>
          <w:szCs w:val="24"/>
        </w:rPr>
      </w:pPr>
      <w:r w:rsidRPr="00FB091C">
        <w:rPr>
          <w:sz w:val="24"/>
          <w:szCs w:val="24"/>
        </w:rPr>
        <w:t xml:space="preserve">Embryotoksisk effekt kan ikke udelukkes. Gravide kvinder, der håndterer veterinærlægemidlet, bør udvise ekstra forsigtighed. </w:t>
      </w:r>
    </w:p>
    <w:p w:rsidR="00FB091C" w:rsidRPr="00FB091C" w:rsidRDefault="00FB091C" w:rsidP="00FB091C">
      <w:pPr>
        <w:ind w:left="567"/>
        <w:rPr>
          <w:sz w:val="24"/>
          <w:szCs w:val="24"/>
        </w:rPr>
      </w:pPr>
    </w:p>
    <w:p w:rsidR="00FB091C" w:rsidRPr="00FB091C" w:rsidRDefault="00FB091C" w:rsidP="00FB091C">
      <w:pPr>
        <w:ind w:left="567"/>
        <w:rPr>
          <w:sz w:val="24"/>
          <w:szCs w:val="24"/>
        </w:rPr>
      </w:pPr>
      <w:r w:rsidRPr="00FB091C">
        <w:rPr>
          <w:sz w:val="24"/>
          <w:szCs w:val="24"/>
        </w:rPr>
        <w:t xml:space="preserve">Dette </w:t>
      </w:r>
      <w:r w:rsidRPr="00FB091C">
        <w:rPr>
          <w:bCs/>
          <w:iCs/>
          <w:sz w:val="24"/>
          <w:szCs w:val="24"/>
        </w:rPr>
        <w:t xml:space="preserve">veterinærlægemiddel </w:t>
      </w:r>
      <w:r w:rsidRPr="00FB091C">
        <w:rPr>
          <w:sz w:val="24"/>
          <w:szCs w:val="24"/>
        </w:rPr>
        <w:t>kan være toksisk for mennesker efter indtagelse.</w:t>
      </w:r>
    </w:p>
    <w:p w:rsidR="00FB091C" w:rsidRPr="00FB091C" w:rsidRDefault="00FB091C" w:rsidP="00FB091C">
      <w:pPr>
        <w:ind w:left="567"/>
        <w:rPr>
          <w:sz w:val="24"/>
          <w:szCs w:val="24"/>
        </w:rPr>
      </w:pPr>
    </w:p>
    <w:p w:rsidR="00FB091C" w:rsidRPr="00FB091C" w:rsidRDefault="00FB091C" w:rsidP="00FB091C">
      <w:pPr>
        <w:ind w:left="567"/>
        <w:rPr>
          <w:sz w:val="24"/>
          <w:szCs w:val="24"/>
        </w:rPr>
      </w:pPr>
      <w:r w:rsidRPr="00FB091C">
        <w:rPr>
          <w:sz w:val="24"/>
          <w:szCs w:val="24"/>
        </w:rPr>
        <w:t xml:space="preserve">Utilsigtet indtagelse af dette </w:t>
      </w:r>
      <w:r w:rsidRPr="00FB091C">
        <w:rPr>
          <w:bCs/>
          <w:iCs/>
          <w:sz w:val="24"/>
          <w:szCs w:val="24"/>
        </w:rPr>
        <w:t xml:space="preserve">veterinærlægemiddel </w:t>
      </w:r>
      <w:r w:rsidRPr="00FB091C">
        <w:rPr>
          <w:sz w:val="24"/>
          <w:szCs w:val="24"/>
        </w:rPr>
        <w:t>bør undgås.</w:t>
      </w:r>
    </w:p>
    <w:p w:rsidR="00FB091C" w:rsidRPr="00FB091C" w:rsidRDefault="00FB091C" w:rsidP="00FB091C">
      <w:pPr>
        <w:ind w:left="567"/>
        <w:rPr>
          <w:sz w:val="24"/>
          <w:szCs w:val="24"/>
        </w:rPr>
      </w:pPr>
    </w:p>
    <w:p w:rsidR="00FB091C" w:rsidRPr="00FB091C" w:rsidRDefault="00FB091C" w:rsidP="00FB091C">
      <w:pPr>
        <w:ind w:left="567"/>
        <w:rPr>
          <w:sz w:val="24"/>
          <w:szCs w:val="24"/>
        </w:rPr>
      </w:pPr>
      <w:bookmarkStart w:id="1" w:name="_Hlk156329048"/>
      <w:r w:rsidRPr="00FB091C">
        <w:rPr>
          <w:sz w:val="24"/>
          <w:szCs w:val="24"/>
        </w:rPr>
        <w:t>I tilfælde af utilsigtet indtagelse ved hændeligt uheld skal munden skylles med rigelige mængder rent vand, der skal straks søges lægehjælp, og indlægssedlen eller etiketten bør vises til lægen.</w:t>
      </w:r>
      <w:bookmarkEnd w:id="1"/>
    </w:p>
    <w:p w:rsidR="00FB091C" w:rsidRPr="00FB091C" w:rsidRDefault="00FB091C" w:rsidP="00FB091C">
      <w:pPr>
        <w:ind w:left="567"/>
        <w:rPr>
          <w:sz w:val="24"/>
          <w:szCs w:val="24"/>
        </w:rPr>
      </w:pPr>
    </w:p>
    <w:p w:rsidR="00FB091C" w:rsidRPr="00FB091C" w:rsidRDefault="00FB091C" w:rsidP="00FB091C">
      <w:pPr>
        <w:ind w:left="567"/>
        <w:rPr>
          <w:bCs/>
          <w:sz w:val="24"/>
          <w:szCs w:val="24"/>
        </w:rPr>
      </w:pPr>
      <w:r w:rsidRPr="00FB091C">
        <w:rPr>
          <w:sz w:val="24"/>
          <w:szCs w:val="24"/>
        </w:rPr>
        <w:t xml:space="preserve">Dette </w:t>
      </w:r>
      <w:r w:rsidRPr="00FB091C">
        <w:rPr>
          <w:bCs/>
          <w:iCs/>
          <w:sz w:val="24"/>
          <w:szCs w:val="24"/>
        </w:rPr>
        <w:t xml:space="preserve">veterinærlægemiddel </w:t>
      </w:r>
      <w:r w:rsidRPr="00FB091C">
        <w:rPr>
          <w:sz w:val="24"/>
          <w:szCs w:val="24"/>
        </w:rPr>
        <w:t xml:space="preserve">kan forårsage øjenirritation og </w:t>
      </w:r>
      <w:proofErr w:type="spellStart"/>
      <w:r w:rsidRPr="00FB091C">
        <w:rPr>
          <w:sz w:val="24"/>
          <w:szCs w:val="24"/>
        </w:rPr>
        <w:t>hudsensibillisering</w:t>
      </w:r>
      <w:proofErr w:type="spellEnd"/>
      <w:r w:rsidRPr="00FB091C">
        <w:rPr>
          <w:sz w:val="24"/>
          <w:szCs w:val="24"/>
        </w:rPr>
        <w:t>.</w:t>
      </w:r>
    </w:p>
    <w:p w:rsidR="00FB091C" w:rsidRPr="00FB091C" w:rsidRDefault="00FB091C" w:rsidP="00FB091C">
      <w:pPr>
        <w:ind w:left="567"/>
        <w:rPr>
          <w:bCs/>
          <w:sz w:val="24"/>
          <w:szCs w:val="24"/>
        </w:rPr>
      </w:pPr>
    </w:p>
    <w:p w:rsidR="00FB091C" w:rsidRPr="00FB091C" w:rsidRDefault="00FB091C" w:rsidP="00FB091C">
      <w:pPr>
        <w:ind w:left="567"/>
        <w:rPr>
          <w:bCs/>
          <w:sz w:val="24"/>
          <w:szCs w:val="24"/>
        </w:rPr>
      </w:pPr>
      <w:r w:rsidRPr="00FB091C">
        <w:rPr>
          <w:bCs/>
          <w:sz w:val="24"/>
          <w:szCs w:val="24"/>
        </w:rPr>
        <w:t>Undgå kontakt med hud og/eller øjne.</w:t>
      </w:r>
    </w:p>
    <w:p w:rsidR="00FB091C" w:rsidRPr="00FB091C" w:rsidRDefault="00FB091C" w:rsidP="00FB091C">
      <w:pPr>
        <w:ind w:left="567"/>
        <w:rPr>
          <w:bCs/>
          <w:sz w:val="24"/>
          <w:szCs w:val="24"/>
        </w:rPr>
      </w:pPr>
      <w:r w:rsidRPr="00FB091C">
        <w:rPr>
          <w:bCs/>
          <w:sz w:val="24"/>
          <w:szCs w:val="24"/>
        </w:rPr>
        <w:t xml:space="preserve"> </w:t>
      </w:r>
    </w:p>
    <w:p w:rsidR="00FB091C" w:rsidRPr="00FB091C" w:rsidRDefault="00FB091C" w:rsidP="00FB091C">
      <w:pPr>
        <w:ind w:left="567"/>
        <w:rPr>
          <w:bCs/>
          <w:sz w:val="24"/>
          <w:szCs w:val="24"/>
        </w:rPr>
      </w:pPr>
      <w:r w:rsidRPr="00FB091C">
        <w:rPr>
          <w:bCs/>
          <w:sz w:val="24"/>
          <w:szCs w:val="24"/>
        </w:rPr>
        <w:t xml:space="preserve">Personligt beskyttelsesudstyr i form af beskyttelsesbriller, tætte handsker samt en engangshalvmaske-respirator, der overholder europæisk standard EN149, eller en </w:t>
      </w:r>
      <w:r w:rsidRPr="00FB091C">
        <w:rPr>
          <w:bCs/>
          <w:sz w:val="24"/>
          <w:szCs w:val="24"/>
        </w:rPr>
        <w:lastRenderedPageBreak/>
        <w:t>flergangsrespirator, der overholder europæisk standard EN 140, påmonteret et filter, der overholder EN 143</w:t>
      </w:r>
      <w:r w:rsidRPr="00FB091C">
        <w:rPr>
          <w:sz w:val="24"/>
          <w:szCs w:val="24"/>
        </w:rPr>
        <w:t xml:space="preserve"> </w:t>
      </w:r>
      <w:r w:rsidRPr="00FB091C">
        <w:rPr>
          <w:bCs/>
          <w:sz w:val="24"/>
          <w:szCs w:val="24"/>
        </w:rPr>
        <w:t>bør anvendes ved håndtering af veterinærlægemidlet.</w:t>
      </w:r>
    </w:p>
    <w:p w:rsidR="00FB091C" w:rsidRPr="00FB091C" w:rsidRDefault="00FB091C" w:rsidP="00FB091C">
      <w:pPr>
        <w:rPr>
          <w:bCs/>
          <w:sz w:val="24"/>
          <w:szCs w:val="24"/>
        </w:rPr>
      </w:pPr>
    </w:p>
    <w:p w:rsidR="00FB091C" w:rsidRPr="00FB091C" w:rsidRDefault="00FB091C" w:rsidP="00FB091C">
      <w:pPr>
        <w:ind w:left="567"/>
        <w:rPr>
          <w:bCs/>
          <w:sz w:val="24"/>
          <w:szCs w:val="24"/>
        </w:rPr>
      </w:pPr>
      <w:r w:rsidRPr="00FB091C">
        <w:rPr>
          <w:bCs/>
          <w:sz w:val="24"/>
          <w:szCs w:val="24"/>
        </w:rPr>
        <w:t>I tilfælde af kontakt med huden og/eller øjne skylles øjeblikkeligt med rigelige mængder vand.</w:t>
      </w:r>
    </w:p>
    <w:p w:rsidR="00FB091C" w:rsidRPr="00FB091C" w:rsidRDefault="00FB091C" w:rsidP="00FB091C">
      <w:pPr>
        <w:tabs>
          <w:tab w:val="left" w:pos="851"/>
          <w:tab w:val="left" w:pos="8222"/>
        </w:tabs>
        <w:ind w:left="567"/>
        <w:rPr>
          <w:sz w:val="24"/>
          <w:szCs w:val="24"/>
        </w:rPr>
      </w:pPr>
    </w:p>
    <w:p w:rsidR="00FB091C" w:rsidRPr="00FB091C" w:rsidRDefault="00FB091C" w:rsidP="00FB091C">
      <w:pPr>
        <w:ind w:left="567"/>
        <w:rPr>
          <w:bCs/>
          <w:sz w:val="24"/>
          <w:szCs w:val="24"/>
        </w:rPr>
      </w:pPr>
      <w:r w:rsidRPr="00FB091C">
        <w:rPr>
          <w:bCs/>
          <w:sz w:val="24"/>
          <w:szCs w:val="24"/>
        </w:rPr>
        <w:t xml:space="preserve">Vask hænder efter brug. </w:t>
      </w:r>
    </w:p>
    <w:p w:rsidR="00FB091C" w:rsidRPr="00FB091C" w:rsidRDefault="00FB091C" w:rsidP="00FB091C">
      <w:pPr>
        <w:ind w:left="567"/>
        <w:rPr>
          <w:sz w:val="24"/>
          <w:szCs w:val="24"/>
        </w:rPr>
      </w:pPr>
    </w:p>
    <w:p w:rsidR="00FB091C" w:rsidRPr="00FB091C" w:rsidRDefault="00FB091C" w:rsidP="00FB091C">
      <w:pPr>
        <w:ind w:left="567"/>
        <w:rPr>
          <w:sz w:val="24"/>
          <w:szCs w:val="24"/>
          <w:u w:val="single"/>
        </w:rPr>
      </w:pPr>
      <w:r w:rsidRPr="00FB091C">
        <w:rPr>
          <w:sz w:val="24"/>
          <w:szCs w:val="24"/>
          <w:u w:val="single"/>
        </w:rPr>
        <w:t>Særlige forholdsregler vedrørende beskyttelse af miljøet:</w:t>
      </w:r>
    </w:p>
    <w:p w:rsidR="00FB091C" w:rsidRPr="00FB091C" w:rsidRDefault="00FB091C" w:rsidP="00FB091C">
      <w:pPr>
        <w:ind w:left="567"/>
        <w:rPr>
          <w:sz w:val="24"/>
          <w:szCs w:val="24"/>
        </w:rPr>
      </w:pPr>
      <w:r w:rsidRPr="00FB091C">
        <w:rPr>
          <w:bCs/>
          <w:sz w:val="24"/>
          <w:szCs w:val="24"/>
        </w:rPr>
        <w:t>Dette veterinærlægemiddel må ikke udledes i vandløb, da det kan være farligt for fisk og andre organismer i vandet.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3.6</w:t>
      </w:r>
      <w:r w:rsidRPr="00FB091C">
        <w:rPr>
          <w:sz w:val="24"/>
          <w:szCs w:val="24"/>
        </w:rPr>
        <w:tab/>
        <w:t>Bivirkninger</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t>Ingen kendte.</w:t>
      </w:r>
    </w:p>
    <w:p w:rsidR="00FB091C" w:rsidRPr="00FB091C" w:rsidRDefault="00FB091C" w:rsidP="00FB091C">
      <w:pPr>
        <w:ind w:left="567"/>
        <w:rPr>
          <w:sz w:val="24"/>
          <w:szCs w:val="24"/>
        </w:rPr>
      </w:pPr>
    </w:p>
    <w:p w:rsidR="00FB091C" w:rsidRPr="00FB091C" w:rsidRDefault="00FB091C" w:rsidP="00FB091C">
      <w:pPr>
        <w:ind w:left="567"/>
        <w:rPr>
          <w:sz w:val="24"/>
          <w:szCs w:val="24"/>
        </w:rPr>
      </w:pPr>
      <w:bookmarkStart w:id="2" w:name="_Hlk66891708"/>
      <w:r w:rsidRPr="00FB091C">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indlægssedlen for de relevante kontaktoplysninger.</w:t>
      </w:r>
    </w:p>
    <w:bookmarkEnd w:id="2"/>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3.7</w:t>
      </w:r>
      <w:r w:rsidRPr="00FB091C">
        <w:rPr>
          <w:sz w:val="24"/>
          <w:szCs w:val="24"/>
        </w:rPr>
        <w:tab/>
        <w:t>Anvendelse under drægtighed, laktation eller æglægning</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u w:val="single"/>
        </w:rPr>
        <w:t>Drægtighed og laktation</w:t>
      </w:r>
      <w:r w:rsidRPr="00FB091C">
        <w:rPr>
          <w:sz w:val="24"/>
          <w:szCs w:val="24"/>
        </w:rPr>
        <w:t>:</w:t>
      </w:r>
    </w:p>
    <w:p w:rsidR="00FB091C" w:rsidRPr="00FB091C" w:rsidRDefault="00FB091C" w:rsidP="00FB091C">
      <w:pPr>
        <w:ind w:left="567"/>
        <w:rPr>
          <w:bCs/>
          <w:sz w:val="24"/>
          <w:szCs w:val="24"/>
        </w:rPr>
      </w:pPr>
      <w:r w:rsidRPr="00FB091C">
        <w:rPr>
          <w:sz w:val="24"/>
          <w:szCs w:val="24"/>
        </w:rPr>
        <w:t>Kan anvendes under drægtighed.</w:t>
      </w:r>
      <w:r w:rsidRPr="00FB091C">
        <w:rPr>
          <w:bCs/>
          <w:sz w:val="24"/>
          <w:szCs w:val="24"/>
        </w:rPr>
        <w:t xml:space="preserve"> </w:t>
      </w:r>
    </w:p>
    <w:p w:rsidR="00FB091C" w:rsidRPr="00FB091C" w:rsidRDefault="00FB091C" w:rsidP="00FB091C">
      <w:pPr>
        <w:ind w:left="567"/>
        <w:rPr>
          <w:bCs/>
          <w:sz w:val="24"/>
          <w:szCs w:val="24"/>
        </w:rPr>
      </w:pPr>
    </w:p>
    <w:p w:rsidR="00FB091C" w:rsidRPr="00FB091C" w:rsidRDefault="00FB091C" w:rsidP="00FB091C">
      <w:pPr>
        <w:ind w:left="567"/>
        <w:rPr>
          <w:bCs/>
          <w:sz w:val="24"/>
          <w:szCs w:val="24"/>
        </w:rPr>
      </w:pPr>
      <w:r w:rsidRPr="00FB091C">
        <w:rPr>
          <w:bCs/>
          <w:sz w:val="24"/>
          <w:szCs w:val="24"/>
        </w:rPr>
        <w:t>Veterinærlægemidlets sikkerhed under diegivning er ikke fastlagt. Må kun anvendes i overensstemmelse med den ansvarlige dyrlæges vurdering af benefit/</w:t>
      </w:r>
      <w:proofErr w:type="spellStart"/>
      <w:r w:rsidRPr="00FB091C">
        <w:rPr>
          <w:bCs/>
          <w:sz w:val="24"/>
          <w:szCs w:val="24"/>
        </w:rPr>
        <w:t>risk</w:t>
      </w:r>
      <w:proofErr w:type="spellEnd"/>
      <w:r w:rsidRPr="00FB091C">
        <w:rPr>
          <w:bCs/>
          <w:sz w:val="24"/>
          <w:szCs w:val="24"/>
        </w:rPr>
        <w:t>-forholdet.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3.8</w:t>
      </w:r>
      <w:r w:rsidRPr="00FB091C">
        <w:rPr>
          <w:sz w:val="24"/>
          <w:szCs w:val="24"/>
        </w:rPr>
        <w:tab/>
        <w:t>Interaktion med andre lægemidler og andre former for interaktion</w:t>
      </w:r>
    </w:p>
    <w:p w:rsidR="00FB091C" w:rsidRPr="00FB091C" w:rsidRDefault="00FB091C" w:rsidP="00FB091C">
      <w:pPr>
        <w:rPr>
          <w:sz w:val="24"/>
          <w:szCs w:val="24"/>
        </w:rPr>
      </w:pPr>
    </w:p>
    <w:p w:rsidR="00FB091C" w:rsidRPr="00FB091C" w:rsidRDefault="00FB091C" w:rsidP="00FB091C">
      <w:pPr>
        <w:tabs>
          <w:tab w:val="left" w:pos="540"/>
        </w:tabs>
        <w:rPr>
          <w:b/>
          <w:sz w:val="24"/>
          <w:szCs w:val="24"/>
        </w:rPr>
      </w:pPr>
      <w:r>
        <w:rPr>
          <w:bCs/>
          <w:sz w:val="24"/>
          <w:szCs w:val="24"/>
        </w:rPr>
        <w:tab/>
      </w:r>
      <w:r w:rsidRPr="00FB091C">
        <w:rPr>
          <w:bCs/>
          <w:sz w:val="24"/>
          <w:szCs w:val="24"/>
        </w:rPr>
        <w:t xml:space="preserve">Det kan ikke udelukkes, at </w:t>
      </w:r>
      <w:proofErr w:type="spellStart"/>
      <w:r w:rsidRPr="00FB091C">
        <w:rPr>
          <w:bCs/>
          <w:sz w:val="24"/>
          <w:szCs w:val="24"/>
        </w:rPr>
        <w:t>fenbendazol</w:t>
      </w:r>
      <w:proofErr w:type="spellEnd"/>
      <w:r w:rsidRPr="00FB091C">
        <w:rPr>
          <w:bCs/>
          <w:sz w:val="24"/>
          <w:szCs w:val="24"/>
        </w:rPr>
        <w:t xml:space="preserve"> forværrer paracetamols </w:t>
      </w:r>
      <w:proofErr w:type="spellStart"/>
      <w:r w:rsidRPr="00FB091C">
        <w:rPr>
          <w:bCs/>
          <w:sz w:val="24"/>
          <w:szCs w:val="24"/>
        </w:rPr>
        <w:t>hepatotoksicitet</w:t>
      </w:r>
      <w:proofErr w:type="spellEnd"/>
      <w:r w:rsidRPr="00FB091C">
        <w:rPr>
          <w:bCs/>
          <w:sz w:val="24"/>
          <w:szCs w:val="24"/>
        </w:rPr>
        <w: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3.9</w:t>
      </w:r>
      <w:r w:rsidRPr="00FB091C">
        <w:rPr>
          <w:sz w:val="24"/>
          <w:szCs w:val="24"/>
        </w:rPr>
        <w:tab/>
        <w:t>Administrationsveje og dosering</w:t>
      </w:r>
    </w:p>
    <w:p w:rsidR="00FB091C" w:rsidRPr="00FB091C" w:rsidRDefault="00FB091C" w:rsidP="00FB091C">
      <w:pPr>
        <w:rPr>
          <w:sz w:val="24"/>
          <w:szCs w:val="24"/>
        </w:rPr>
      </w:pPr>
    </w:p>
    <w:p w:rsidR="00FB091C" w:rsidRPr="00FB091C" w:rsidRDefault="00FB091C" w:rsidP="00FB091C">
      <w:pPr>
        <w:tabs>
          <w:tab w:val="left" w:pos="-589"/>
          <w:tab w:val="left" w:pos="510"/>
          <w:tab w:val="left" w:pos="540"/>
          <w:tab w:val="left" w:pos="1440"/>
        </w:tabs>
        <w:ind w:left="510"/>
        <w:rPr>
          <w:sz w:val="24"/>
          <w:szCs w:val="24"/>
        </w:rPr>
      </w:pPr>
      <w:r w:rsidRPr="00FB091C">
        <w:rPr>
          <w:sz w:val="24"/>
          <w:szCs w:val="24"/>
        </w:rPr>
        <w:t>Til oral anvendelse.</w:t>
      </w:r>
    </w:p>
    <w:p w:rsidR="00FB091C" w:rsidRPr="00FB091C" w:rsidRDefault="00FB091C" w:rsidP="00FB091C">
      <w:pPr>
        <w:tabs>
          <w:tab w:val="left" w:pos="-589"/>
          <w:tab w:val="left" w:pos="510"/>
          <w:tab w:val="left" w:pos="540"/>
          <w:tab w:val="left" w:pos="1440"/>
        </w:tabs>
        <w:ind w:left="510"/>
        <w:rPr>
          <w:sz w:val="24"/>
          <w:szCs w:val="24"/>
        </w:rPr>
      </w:pPr>
    </w:p>
    <w:p w:rsidR="00FB091C" w:rsidRPr="00FB091C" w:rsidRDefault="00FB091C" w:rsidP="00FB091C">
      <w:pPr>
        <w:tabs>
          <w:tab w:val="left" w:pos="-589"/>
          <w:tab w:val="left" w:pos="510"/>
          <w:tab w:val="left" w:pos="540"/>
          <w:tab w:val="left" w:pos="1440"/>
        </w:tabs>
        <w:ind w:left="510"/>
        <w:rPr>
          <w:sz w:val="24"/>
          <w:szCs w:val="24"/>
        </w:rPr>
      </w:pPr>
      <w:r w:rsidRPr="00FB091C">
        <w:rPr>
          <w:bCs/>
          <w:iCs/>
          <w:sz w:val="24"/>
          <w:szCs w:val="24"/>
        </w:rPr>
        <w:t xml:space="preserve">Veterinærlægemiddel </w:t>
      </w:r>
      <w:r w:rsidRPr="00FB091C">
        <w:rPr>
          <w:sz w:val="24"/>
          <w:szCs w:val="24"/>
        </w:rPr>
        <w:t>bør kun anvendes til behandling af individuelle svin på gårde, hvor et lille antal svin skal behandles.</w:t>
      </w:r>
    </w:p>
    <w:p w:rsidR="00FB091C" w:rsidRPr="00FB091C" w:rsidRDefault="00FB091C" w:rsidP="00FB091C">
      <w:pPr>
        <w:tabs>
          <w:tab w:val="left" w:pos="-589"/>
          <w:tab w:val="left" w:pos="510"/>
          <w:tab w:val="left" w:pos="540"/>
          <w:tab w:val="left" w:pos="1440"/>
        </w:tabs>
        <w:ind w:left="510"/>
        <w:rPr>
          <w:sz w:val="24"/>
          <w:szCs w:val="24"/>
        </w:rPr>
      </w:pPr>
    </w:p>
    <w:p w:rsidR="00FB091C" w:rsidRPr="00FB091C" w:rsidRDefault="00FB091C" w:rsidP="00FB091C">
      <w:pPr>
        <w:tabs>
          <w:tab w:val="left" w:pos="-589"/>
          <w:tab w:val="left" w:pos="510"/>
          <w:tab w:val="left" w:pos="540"/>
          <w:tab w:val="left" w:pos="1440"/>
        </w:tabs>
        <w:ind w:left="510"/>
        <w:rPr>
          <w:sz w:val="24"/>
          <w:szCs w:val="24"/>
        </w:rPr>
      </w:pPr>
      <w:r w:rsidRPr="00FB091C">
        <w:rPr>
          <w:sz w:val="24"/>
          <w:szCs w:val="24"/>
        </w:rPr>
        <w:t xml:space="preserve">Blandes i en lille del (20%) af den daglige foderration og indgives før resten af foderet tilbydes. </w:t>
      </w:r>
    </w:p>
    <w:p w:rsidR="00FB091C" w:rsidRPr="00FB091C" w:rsidRDefault="00FB091C" w:rsidP="00FB091C">
      <w:pPr>
        <w:tabs>
          <w:tab w:val="left" w:pos="-589"/>
          <w:tab w:val="left" w:pos="510"/>
          <w:tab w:val="left" w:pos="540"/>
          <w:tab w:val="left" w:pos="1440"/>
        </w:tabs>
        <w:ind w:left="510"/>
        <w:rPr>
          <w:sz w:val="24"/>
          <w:szCs w:val="24"/>
        </w:rPr>
      </w:pPr>
    </w:p>
    <w:p w:rsidR="00FB091C" w:rsidRPr="00FB091C" w:rsidRDefault="00FB091C" w:rsidP="00FB091C">
      <w:pPr>
        <w:tabs>
          <w:tab w:val="left" w:pos="-589"/>
          <w:tab w:val="left" w:pos="510"/>
          <w:tab w:val="left" w:pos="540"/>
          <w:tab w:val="left" w:pos="1440"/>
        </w:tabs>
        <w:ind w:left="510"/>
        <w:rPr>
          <w:sz w:val="24"/>
          <w:szCs w:val="24"/>
        </w:rPr>
      </w:pPr>
      <w:r w:rsidRPr="00FB091C">
        <w:rPr>
          <w:sz w:val="24"/>
          <w:szCs w:val="24"/>
        </w:rPr>
        <w:t>Det behandlede foder skal tilberedes dagligt, umiddelbart før det gives til dyrene.</w:t>
      </w:r>
    </w:p>
    <w:p w:rsidR="00FB091C" w:rsidRPr="00FB091C" w:rsidRDefault="00FB091C" w:rsidP="00FB091C">
      <w:pPr>
        <w:tabs>
          <w:tab w:val="left" w:pos="-589"/>
          <w:tab w:val="left" w:pos="510"/>
          <w:tab w:val="left" w:pos="540"/>
          <w:tab w:val="left" w:pos="1440"/>
        </w:tabs>
        <w:ind w:left="510"/>
        <w:rPr>
          <w:sz w:val="24"/>
          <w:szCs w:val="24"/>
        </w:rPr>
      </w:pPr>
    </w:p>
    <w:p w:rsidR="00FB091C" w:rsidRPr="00FB091C" w:rsidRDefault="00FB091C" w:rsidP="00FB091C">
      <w:pPr>
        <w:tabs>
          <w:tab w:val="left" w:pos="-589"/>
          <w:tab w:val="left" w:pos="510"/>
          <w:tab w:val="left" w:pos="540"/>
          <w:tab w:val="left" w:pos="1440"/>
        </w:tabs>
        <w:ind w:left="510"/>
        <w:rPr>
          <w:sz w:val="24"/>
          <w:szCs w:val="24"/>
        </w:rPr>
      </w:pPr>
      <w:r w:rsidRPr="00FB091C">
        <w:rPr>
          <w:sz w:val="24"/>
          <w:szCs w:val="24"/>
        </w:rPr>
        <w:t>Svin, der skal behandles, bør adskilles fra andre dyr og behandles individuelt.</w:t>
      </w:r>
    </w:p>
    <w:p w:rsidR="00FB091C" w:rsidRPr="00FB091C" w:rsidRDefault="00FB091C" w:rsidP="00FB091C">
      <w:pPr>
        <w:tabs>
          <w:tab w:val="left" w:pos="-589"/>
          <w:tab w:val="left" w:pos="510"/>
          <w:tab w:val="left" w:pos="540"/>
          <w:tab w:val="left" w:pos="1440"/>
        </w:tabs>
        <w:ind w:left="510"/>
        <w:rPr>
          <w:sz w:val="24"/>
          <w:szCs w:val="24"/>
        </w:rPr>
      </w:pPr>
    </w:p>
    <w:p w:rsidR="00FB091C" w:rsidRPr="00FB091C" w:rsidRDefault="00FB091C" w:rsidP="00FB091C">
      <w:pPr>
        <w:tabs>
          <w:tab w:val="left" w:pos="-589"/>
          <w:tab w:val="left" w:pos="510"/>
          <w:tab w:val="left" w:pos="540"/>
          <w:tab w:val="left" w:pos="1440"/>
        </w:tabs>
        <w:ind w:left="510"/>
        <w:rPr>
          <w:sz w:val="24"/>
          <w:szCs w:val="24"/>
        </w:rPr>
      </w:pPr>
      <w:r w:rsidRPr="00FB091C">
        <w:rPr>
          <w:sz w:val="24"/>
          <w:szCs w:val="24"/>
        </w:rPr>
        <w:t>Kan anvendes til svin efter en af de følgende doseringsregler:</w:t>
      </w:r>
    </w:p>
    <w:p w:rsidR="00FB091C" w:rsidRPr="00FB091C" w:rsidRDefault="00FB091C" w:rsidP="00FB091C">
      <w:pPr>
        <w:pStyle w:val="Listeafsnit"/>
        <w:numPr>
          <w:ilvl w:val="0"/>
          <w:numId w:val="5"/>
        </w:numPr>
        <w:tabs>
          <w:tab w:val="clear" w:pos="2007"/>
          <w:tab w:val="left" w:pos="-589"/>
        </w:tabs>
        <w:ind w:left="1503" w:hanging="426"/>
        <w:rPr>
          <w:sz w:val="24"/>
          <w:szCs w:val="24"/>
        </w:rPr>
      </w:pPr>
      <w:r w:rsidRPr="00FB091C">
        <w:rPr>
          <w:sz w:val="24"/>
          <w:szCs w:val="24"/>
        </w:rPr>
        <w:t xml:space="preserve">Enkel dosis på </w:t>
      </w:r>
      <w:r w:rsidRPr="00FB091C">
        <w:rPr>
          <w:bCs/>
          <w:iCs/>
          <w:sz w:val="24"/>
          <w:szCs w:val="24"/>
        </w:rPr>
        <w:t xml:space="preserve">5 mg </w:t>
      </w:r>
      <w:proofErr w:type="spellStart"/>
      <w:r w:rsidRPr="00FB091C">
        <w:rPr>
          <w:bCs/>
          <w:iCs/>
          <w:sz w:val="24"/>
          <w:szCs w:val="24"/>
        </w:rPr>
        <w:t>fenbendazol</w:t>
      </w:r>
      <w:proofErr w:type="spellEnd"/>
      <w:r w:rsidRPr="00FB091C">
        <w:rPr>
          <w:bCs/>
          <w:iCs/>
          <w:sz w:val="24"/>
          <w:szCs w:val="24"/>
        </w:rPr>
        <w:t xml:space="preserve"> (svarende til 125 mg veterinærlægemiddel) pr. kg legemsvægt (voksne, </w:t>
      </w:r>
      <w:proofErr w:type="spellStart"/>
      <w:r w:rsidRPr="00FB091C">
        <w:rPr>
          <w:bCs/>
          <w:iCs/>
          <w:sz w:val="24"/>
          <w:szCs w:val="24"/>
        </w:rPr>
        <w:t>intestinale</w:t>
      </w:r>
      <w:proofErr w:type="spellEnd"/>
      <w:r w:rsidRPr="00FB091C">
        <w:rPr>
          <w:bCs/>
          <w:iCs/>
          <w:sz w:val="24"/>
          <w:szCs w:val="24"/>
        </w:rPr>
        <w:t xml:space="preserve"> og migrerende larvestadier);</w:t>
      </w:r>
    </w:p>
    <w:p w:rsidR="00FB091C" w:rsidRPr="00FB091C" w:rsidRDefault="00FB091C" w:rsidP="00FB091C">
      <w:pPr>
        <w:pStyle w:val="Listeafsnit"/>
        <w:numPr>
          <w:ilvl w:val="0"/>
          <w:numId w:val="5"/>
        </w:numPr>
        <w:tabs>
          <w:tab w:val="clear" w:pos="2007"/>
          <w:tab w:val="left" w:pos="-589"/>
        </w:tabs>
        <w:ind w:left="1503" w:hanging="426"/>
        <w:rPr>
          <w:sz w:val="24"/>
          <w:szCs w:val="24"/>
        </w:rPr>
      </w:pPr>
      <w:r w:rsidRPr="00FB091C">
        <w:rPr>
          <w:bCs/>
          <w:iCs/>
          <w:sz w:val="24"/>
          <w:szCs w:val="24"/>
        </w:rPr>
        <w:lastRenderedPageBreak/>
        <w:t xml:space="preserve">0,72 mg </w:t>
      </w:r>
      <w:proofErr w:type="spellStart"/>
      <w:r w:rsidRPr="00FB091C">
        <w:rPr>
          <w:bCs/>
          <w:iCs/>
          <w:sz w:val="24"/>
          <w:szCs w:val="24"/>
        </w:rPr>
        <w:t>fenbendazol</w:t>
      </w:r>
      <w:proofErr w:type="spellEnd"/>
      <w:r w:rsidRPr="00FB091C">
        <w:rPr>
          <w:bCs/>
          <w:iCs/>
          <w:sz w:val="24"/>
          <w:szCs w:val="24"/>
        </w:rPr>
        <w:t xml:space="preserve"> (svarende til 18 mg veterinærlægemiddel) pr. kg legemsvægt pr. dag i 7 på hinanden følgende dage (</w:t>
      </w:r>
      <w:proofErr w:type="spellStart"/>
      <w:r w:rsidRPr="00FB091C">
        <w:rPr>
          <w:bCs/>
          <w:iCs/>
          <w:sz w:val="24"/>
          <w:szCs w:val="24"/>
        </w:rPr>
        <w:t>intestinale</w:t>
      </w:r>
      <w:proofErr w:type="spellEnd"/>
      <w:r w:rsidRPr="00FB091C">
        <w:rPr>
          <w:bCs/>
          <w:iCs/>
          <w:sz w:val="24"/>
          <w:szCs w:val="24"/>
        </w:rPr>
        <w:t xml:space="preserve"> og voksne larvestadier);</w:t>
      </w:r>
    </w:p>
    <w:p w:rsidR="00FB091C" w:rsidRPr="00FB091C" w:rsidRDefault="00FB091C" w:rsidP="00FB091C">
      <w:pPr>
        <w:pStyle w:val="Listeafsnit"/>
        <w:numPr>
          <w:ilvl w:val="0"/>
          <w:numId w:val="5"/>
        </w:numPr>
        <w:tabs>
          <w:tab w:val="clear" w:pos="2007"/>
          <w:tab w:val="left" w:pos="-589"/>
        </w:tabs>
        <w:ind w:left="1503" w:hanging="426"/>
        <w:rPr>
          <w:sz w:val="24"/>
          <w:szCs w:val="24"/>
        </w:rPr>
      </w:pPr>
      <w:r w:rsidRPr="00FB091C">
        <w:rPr>
          <w:bCs/>
          <w:iCs/>
          <w:sz w:val="24"/>
          <w:szCs w:val="24"/>
        </w:rPr>
        <w:t xml:space="preserve">0,36 mg </w:t>
      </w:r>
      <w:proofErr w:type="spellStart"/>
      <w:r w:rsidRPr="00FB091C">
        <w:rPr>
          <w:bCs/>
          <w:iCs/>
          <w:sz w:val="24"/>
          <w:szCs w:val="24"/>
        </w:rPr>
        <w:t>fenbendazol</w:t>
      </w:r>
      <w:proofErr w:type="spellEnd"/>
      <w:r w:rsidRPr="00FB091C">
        <w:rPr>
          <w:bCs/>
          <w:iCs/>
          <w:sz w:val="24"/>
          <w:szCs w:val="24"/>
        </w:rPr>
        <w:t xml:space="preserve"> (svarende til 9 mg veterinærlægemiddel) pr. kg legemsvægt pr. dag i 14 på hinanden følgende dage (</w:t>
      </w:r>
      <w:proofErr w:type="spellStart"/>
      <w:r w:rsidRPr="00FB091C">
        <w:rPr>
          <w:bCs/>
          <w:iCs/>
          <w:sz w:val="24"/>
          <w:szCs w:val="24"/>
        </w:rPr>
        <w:t>intestinale</w:t>
      </w:r>
      <w:proofErr w:type="spellEnd"/>
      <w:r w:rsidRPr="00FB091C">
        <w:rPr>
          <w:bCs/>
          <w:iCs/>
          <w:sz w:val="24"/>
          <w:szCs w:val="24"/>
        </w:rPr>
        <w:t xml:space="preserve"> og voksne larvestadier).</w:t>
      </w:r>
    </w:p>
    <w:p w:rsidR="00FB091C" w:rsidRPr="00FB091C" w:rsidRDefault="00FB091C" w:rsidP="00FB091C">
      <w:pPr>
        <w:tabs>
          <w:tab w:val="left" w:pos="-589"/>
          <w:tab w:val="left" w:pos="510"/>
          <w:tab w:val="left" w:pos="540"/>
          <w:tab w:val="left" w:pos="1440"/>
        </w:tabs>
        <w:ind w:left="510"/>
        <w:rPr>
          <w:sz w:val="24"/>
          <w:szCs w:val="24"/>
        </w:rPr>
      </w:pPr>
    </w:p>
    <w:p w:rsidR="00FB091C" w:rsidRPr="00FB091C" w:rsidRDefault="00FB091C" w:rsidP="00FB091C">
      <w:pPr>
        <w:tabs>
          <w:tab w:val="left" w:pos="540"/>
        </w:tabs>
        <w:ind w:left="510"/>
        <w:rPr>
          <w:bCs/>
          <w:sz w:val="24"/>
          <w:szCs w:val="24"/>
        </w:rPr>
      </w:pPr>
      <w:r w:rsidRPr="00FB091C">
        <w:rPr>
          <w:bCs/>
          <w:sz w:val="24"/>
          <w:szCs w:val="24"/>
        </w:rPr>
        <w:t>For at sikre korrekt dosering bør legemsvægten beregnes så nøjagtigt som muligt.</w:t>
      </w:r>
    </w:p>
    <w:p w:rsidR="00FB091C" w:rsidRPr="00FB091C" w:rsidRDefault="00FB091C" w:rsidP="00FB091C">
      <w:pPr>
        <w:tabs>
          <w:tab w:val="left" w:pos="-589"/>
          <w:tab w:val="left" w:pos="510"/>
          <w:tab w:val="left" w:pos="540"/>
          <w:tab w:val="left" w:pos="1440"/>
        </w:tabs>
        <w:ind w:left="510"/>
        <w:rPr>
          <w:iCs/>
          <w:sz w:val="24"/>
          <w:szCs w:val="24"/>
        </w:rPr>
      </w:pPr>
    </w:p>
    <w:p w:rsidR="00FB091C" w:rsidRPr="00FB091C" w:rsidRDefault="00FB091C" w:rsidP="00FB091C">
      <w:pPr>
        <w:tabs>
          <w:tab w:val="left" w:pos="-589"/>
          <w:tab w:val="left" w:pos="510"/>
          <w:tab w:val="left" w:pos="540"/>
          <w:tab w:val="left" w:pos="1440"/>
        </w:tabs>
        <w:ind w:left="510"/>
        <w:rPr>
          <w:iCs/>
          <w:sz w:val="24"/>
          <w:szCs w:val="24"/>
        </w:rPr>
      </w:pPr>
      <w:r w:rsidRPr="00FB091C">
        <w:rPr>
          <w:iCs/>
          <w:sz w:val="24"/>
          <w:szCs w:val="24"/>
        </w:rPr>
        <w:t xml:space="preserve">Indtagelsen af medicineret foder afhænger af dyrenes kliniske tilstand. For at opnå den korrekte dosering kan det være nødvendigt at justere koncentrationen af </w:t>
      </w:r>
      <w:proofErr w:type="spellStart"/>
      <w:r w:rsidRPr="00FB091C">
        <w:rPr>
          <w:iCs/>
          <w:sz w:val="24"/>
          <w:szCs w:val="24"/>
        </w:rPr>
        <w:t>fenbendazol</w:t>
      </w:r>
      <w:proofErr w:type="spellEnd"/>
      <w:r w:rsidRPr="00FB091C">
        <w:rPr>
          <w:iCs/>
          <w:sz w:val="24"/>
          <w:szCs w:val="24"/>
        </w:rPr>
        <w:t xml:space="preserve"> i overensstemmelse hermed.</w:t>
      </w:r>
    </w:p>
    <w:p w:rsidR="00FB091C" w:rsidRPr="00FB091C" w:rsidRDefault="00FB091C" w:rsidP="00FB091C">
      <w:pPr>
        <w:tabs>
          <w:tab w:val="left" w:pos="-589"/>
          <w:tab w:val="left" w:pos="510"/>
          <w:tab w:val="left" w:pos="540"/>
          <w:tab w:val="left" w:pos="1440"/>
        </w:tabs>
        <w:ind w:left="510"/>
        <w:rPr>
          <w:iCs/>
          <w:sz w:val="24"/>
          <w:szCs w:val="24"/>
        </w:rPr>
      </w:pPr>
    </w:p>
    <w:p w:rsidR="00FB091C" w:rsidRPr="00FB091C" w:rsidRDefault="00FB091C" w:rsidP="00FB091C">
      <w:pPr>
        <w:tabs>
          <w:tab w:val="left" w:pos="-589"/>
          <w:tab w:val="left" w:pos="510"/>
          <w:tab w:val="left" w:pos="540"/>
          <w:tab w:val="left" w:pos="1440"/>
        </w:tabs>
        <w:ind w:left="510"/>
        <w:rPr>
          <w:iCs/>
          <w:sz w:val="24"/>
          <w:szCs w:val="24"/>
        </w:rPr>
      </w:pPr>
      <w:r w:rsidRPr="00FB091C">
        <w:rPr>
          <w:iCs/>
          <w:sz w:val="24"/>
          <w:szCs w:val="24"/>
        </w:rPr>
        <w:t>Det anbefales at anvende hensigtsmæssigt kalibreret måleudstyr.</w:t>
      </w:r>
    </w:p>
    <w:p w:rsidR="00FB091C" w:rsidRPr="00FB091C" w:rsidRDefault="00FB091C" w:rsidP="00FB091C">
      <w:pPr>
        <w:tabs>
          <w:tab w:val="left" w:pos="-589"/>
          <w:tab w:val="left" w:pos="510"/>
          <w:tab w:val="left" w:pos="540"/>
          <w:tab w:val="left" w:pos="1440"/>
        </w:tabs>
        <w:ind w:left="510"/>
        <w:rPr>
          <w:iCs/>
          <w:sz w:val="24"/>
          <w:szCs w:val="24"/>
        </w:rPr>
      </w:pPr>
    </w:p>
    <w:p w:rsidR="00FB091C" w:rsidRPr="00FB091C" w:rsidRDefault="00FB091C" w:rsidP="00FB091C">
      <w:pPr>
        <w:tabs>
          <w:tab w:val="left" w:pos="-589"/>
          <w:tab w:val="left" w:pos="510"/>
          <w:tab w:val="left" w:pos="540"/>
          <w:tab w:val="left" w:pos="1440"/>
        </w:tabs>
        <w:ind w:left="510"/>
        <w:rPr>
          <w:iCs/>
          <w:sz w:val="24"/>
          <w:szCs w:val="24"/>
        </w:rPr>
      </w:pPr>
      <w:r w:rsidRPr="00FB091C">
        <w:rPr>
          <w:iCs/>
          <w:sz w:val="24"/>
          <w:szCs w:val="24"/>
        </w:rPr>
        <w:t xml:space="preserve">Delvist konsumeret foder bør destrueres sammen med andre foderrester og bør ikke gives til andre dyr. </w:t>
      </w:r>
    </w:p>
    <w:p w:rsidR="00FB091C" w:rsidRPr="00FB091C" w:rsidRDefault="00FB091C" w:rsidP="00FB091C">
      <w:pPr>
        <w:rPr>
          <w:b/>
          <w:sz w:val="24"/>
          <w:szCs w:val="24"/>
        </w:rPr>
      </w:pPr>
    </w:p>
    <w:p w:rsidR="00FB091C" w:rsidRPr="00FB091C" w:rsidRDefault="00FB091C" w:rsidP="00FB091C">
      <w:pPr>
        <w:pStyle w:val="Style1"/>
        <w:rPr>
          <w:sz w:val="24"/>
          <w:szCs w:val="24"/>
        </w:rPr>
      </w:pPr>
      <w:r w:rsidRPr="00FB091C">
        <w:rPr>
          <w:sz w:val="24"/>
          <w:szCs w:val="24"/>
        </w:rPr>
        <w:t>3.10</w:t>
      </w:r>
      <w:r w:rsidRPr="00FB091C">
        <w:rPr>
          <w:sz w:val="24"/>
          <w:szCs w:val="24"/>
        </w:rPr>
        <w:tab/>
        <w:t>Symptomer på overdosering (og, hvis relevant, nødforanstaltninger og modgift)</w:t>
      </w:r>
    </w:p>
    <w:p w:rsidR="00FB091C" w:rsidRPr="00FB091C" w:rsidRDefault="00FB091C" w:rsidP="00FB091C">
      <w:pPr>
        <w:ind w:left="567"/>
        <w:rPr>
          <w:sz w:val="24"/>
          <w:szCs w:val="24"/>
        </w:rPr>
      </w:pPr>
    </w:p>
    <w:p w:rsidR="00FB091C" w:rsidRPr="00FB091C" w:rsidRDefault="00FB091C" w:rsidP="00FB091C">
      <w:pPr>
        <w:ind w:left="567"/>
        <w:rPr>
          <w:bCs/>
          <w:sz w:val="24"/>
          <w:szCs w:val="24"/>
        </w:rPr>
      </w:pPr>
      <w:r w:rsidRPr="00FB091C">
        <w:rPr>
          <w:bCs/>
          <w:iCs/>
          <w:sz w:val="24"/>
          <w:szCs w:val="24"/>
        </w:rPr>
        <w:t xml:space="preserve">Veterinærlægemidlet </w:t>
      </w:r>
      <w:r w:rsidRPr="00FB091C">
        <w:rPr>
          <w:bCs/>
          <w:sz w:val="24"/>
          <w:szCs w:val="24"/>
        </w:rPr>
        <w:t xml:space="preserve">administreret som en enkeltdosis på 25 mg </w:t>
      </w:r>
      <w:proofErr w:type="spellStart"/>
      <w:r w:rsidRPr="00FB091C">
        <w:rPr>
          <w:bCs/>
          <w:sz w:val="24"/>
          <w:szCs w:val="24"/>
        </w:rPr>
        <w:t>fenbendazol</w:t>
      </w:r>
      <w:proofErr w:type="spellEnd"/>
      <w:r w:rsidRPr="00FB091C">
        <w:rPr>
          <w:bCs/>
          <w:sz w:val="24"/>
          <w:szCs w:val="24"/>
        </w:rPr>
        <w:t>/kg i tre på hinanden følgende dage viste ingen kliniske bivirkninger hos svin.</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3.11</w:t>
      </w:r>
      <w:r w:rsidRPr="00FB091C">
        <w:rPr>
          <w:sz w:val="24"/>
          <w:szCs w:val="24"/>
        </w:rPr>
        <w:tab/>
        <w:t>Særlige begrænsninger og betingelser for anvendelse, herunder begrænsninger for anvendelsen af antimikrobielle og antiparasitære veterinærlægemidler for at begrænse risikoen for udvikling af resistens</w:t>
      </w:r>
    </w:p>
    <w:p w:rsidR="00FB091C" w:rsidRPr="00FB091C" w:rsidRDefault="00FB091C" w:rsidP="00FB091C">
      <w:pPr>
        <w:rPr>
          <w:sz w:val="24"/>
          <w:szCs w:val="24"/>
        </w:rPr>
      </w:pPr>
    </w:p>
    <w:p w:rsidR="00FB091C" w:rsidRPr="00FB091C" w:rsidRDefault="00FB091C" w:rsidP="00FB091C">
      <w:pPr>
        <w:ind w:firstLine="567"/>
        <w:rPr>
          <w:sz w:val="24"/>
          <w:szCs w:val="24"/>
        </w:rPr>
      </w:pPr>
      <w:r w:rsidRPr="00FB091C">
        <w:rPr>
          <w:sz w:val="24"/>
          <w:szCs w:val="24"/>
        </w:rPr>
        <w:t>Ikke relevant.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3.12</w:t>
      </w:r>
      <w:r w:rsidRPr="00FB091C">
        <w:rPr>
          <w:sz w:val="24"/>
          <w:szCs w:val="24"/>
        </w:rPr>
        <w:tab/>
        <w:t>Tilbageholdelsestid(er)</w:t>
      </w:r>
    </w:p>
    <w:p w:rsidR="00FB091C" w:rsidRPr="00FB091C" w:rsidRDefault="00FB091C" w:rsidP="00FB091C">
      <w:pPr>
        <w:rPr>
          <w:sz w:val="24"/>
          <w:szCs w:val="24"/>
        </w:rPr>
      </w:pPr>
    </w:p>
    <w:p w:rsidR="00FB091C" w:rsidRPr="00FB091C" w:rsidRDefault="00FB091C" w:rsidP="00FB091C">
      <w:pPr>
        <w:ind w:firstLine="567"/>
        <w:rPr>
          <w:sz w:val="24"/>
          <w:szCs w:val="24"/>
        </w:rPr>
      </w:pPr>
      <w:r w:rsidRPr="00FB091C">
        <w:rPr>
          <w:sz w:val="24"/>
          <w:szCs w:val="24"/>
        </w:rPr>
        <w:t>Slagtning: 4 dage.</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4.</w:t>
      </w:r>
      <w:r w:rsidRPr="00FB091C">
        <w:rPr>
          <w:sz w:val="24"/>
          <w:szCs w:val="24"/>
        </w:rPr>
        <w:tab/>
        <w:t>FARMAKOLOGISKE OPLYSNINGER</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4.1</w:t>
      </w:r>
      <w:r w:rsidRPr="00FB091C">
        <w:rPr>
          <w:sz w:val="24"/>
          <w:szCs w:val="24"/>
        </w:rPr>
        <w:tab/>
      </w:r>
      <w:proofErr w:type="spellStart"/>
      <w:r w:rsidRPr="00FB091C">
        <w:rPr>
          <w:sz w:val="24"/>
          <w:szCs w:val="24"/>
        </w:rPr>
        <w:t>ATCvet</w:t>
      </w:r>
      <w:proofErr w:type="spellEnd"/>
      <w:r w:rsidRPr="00FB091C">
        <w:rPr>
          <w:sz w:val="24"/>
          <w:szCs w:val="24"/>
        </w:rPr>
        <w:t>-kode:</w:t>
      </w:r>
    </w:p>
    <w:p w:rsidR="00FB091C" w:rsidRPr="00FB091C" w:rsidRDefault="00FB091C" w:rsidP="00FB091C">
      <w:pPr>
        <w:rPr>
          <w:sz w:val="24"/>
          <w:szCs w:val="24"/>
        </w:rPr>
      </w:pPr>
    </w:p>
    <w:p w:rsidR="00FB091C" w:rsidRPr="00FB091C" w:rsidRDefault="00FB091C" w:rsidP="00FB091C">
      <w:pPr>
        <w:tabs>
          <w:tab w:val="left" w:pos="567"/>
        </w:tabs>
        <w:rPr>
          <w:sz w:val="24"/>
          <w:szCs w:val="24"/>
        </w:rPr>
      </w:pPr>
      <w:r>
        <w:rPr>
          <w:sz w:val="24"/>
          <w:szCs w:val="24"/>
        </w:rPr>
        <w:tab/>
      </w:r>
      <w:r w:rsidRPr="00FB091C">
        <w:rPr>
          <w:sz w:val="24"/>
          <w:szCs w:val="24"/>
        </w:rPr>
        <w:t>QP 52 AC 13.</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4.2</w:t>
      </w:r>
      <w:r w:rsidRPr="00FB091C">
        <w:rPr>
          <w:sz w:val="24"/>
          <w:szCs w:val="24"/>
        </w:rPr>
        <w:tab/>
      </w:r>
      <w:proofErr w:type="spellStart"/>
      <w:r w:rsidRPr="00FB091C">
        <w:rPr>
          <w:sz w:val="24"/>
          <w:szCs w:val="24"/>
        </w:rPr>
        <w:t>Farmakodynamiske</w:t>
      </w:r>
      <w:proofErr w:type="spellEnd"/>
      <w:r w:rsidRPr="00FB091C">
        <w:rPr>
          <w:sz w:val="24"/>
          <w:szCs w:val="24"/>
        </w:rPr>
        <w:t xml:space="preserve"> oplysninger</w:t>
      </w:r>
    </w:p>
    <w:p w:rsidR="00FB091C" w:rsidRPr="00FB091C" w:rsidRDefault="00FB091C" w:rsidP="00FB091C">
      <w:pPr>
        <w:rPr>
          <w:sz w:val="24"/>
          <w:szCs w:val="24"/>
        </w:rPr>
      </w:pPr>
    </w:p>
    <w:p w:rsidR="00FB091C" w:rsidRPr="00FB091C" w:rsidRDefault="00FB091C" w:rsidP="00FB091C">
      <w:pPr>
        <w:tabs>
          <w:tab w:val="left" w:pos="540"/>
        </w:tabs>
        <w:ind w:left="540"/>
        <w:rPr>
          <w:bCs/>
          <w:sz w:val="24"/>
          <w:szCs w:val="24"/>
        </w:rPr>
      </w:pPr>
      <w:proofErr w:type="spellStart"/>
      <w:r w:rsidRPr="00FB091C">
        <w:rPr>
          <w:bCs/>
          <w:sz w:val="24"/>
          <w:szCs w:val="24"/>
        </w:rPr>
        <w:t>Fenbendazol</w:t>
      </w:r>
      <w:proofErr w:type="spellEnd"/>
      <w:r w:rsidRPr="00FB091C">
        <w:rPr>
          <w:bCs/>
          <w:sz w:val="24"/>
          <w:szCs w:val="24"/>
        </w:rPr>
        <w:t xml:space="preserve"> er et </w:t>
      </w:r>
      <w:proofErr w:type="spellStart"/>
      <w:r w:rsidRPr="00FB091C">
        <w:rPr>
          <w:bCs/>
          <w:sz w:val="24"/>
          <w:szCs w:val="24"/>
        </w:rPr>
        <w:t>anthelmintikum</w:t>
      </w:r>
      <w:proofErr w:type="spellEnd"/>
      <w:r w:rsidRPr="00FB091C">
        <w:rPr>
          <w:bCs/>
          <w:sz w:val="24"/>
          <w:szCs w:val="24"/>
        </w:rPr>
        <w:t xml:space="preserve">, som tilhører </w:t>
      </w:r>
      <w:proofErr w:type="spellStart"/>
      <w:r w:rsidRPr="00FB091C">
        <w:rPr>
          <w:bCs/>
          <w:sz w:val="24"/>
          <w:szCs w:val="24"/>
        </w:rPr>
        <w:t>benzimidazol</w:t>
      </w:r>
      <w:proofErr w:type="spellEnd"/>
      <w:r w:rsidRPr="00FB091C">
        <w:rPr>
          <w:bCs/>
          <w:sz w:val="24"/>
          <w:szCs w:val="24"/>
        </w:rPr>
        <w:t>-</w:t>
      </w:r>
      <w:proofErr w:type="spellStart"/>
      <w:r w:rsidRPr="00FB091C">
        <w:rPr>
          <w:bCs/>
          <w:sz w:val="24"/>
          <w:szCs w:val="24"/>
        </w:rPr>
        <w:t>carbamat</w:t>
      </w:r>
      <w:proofErr w:type="spellEnd"/>
      <w:r w:rsidRPr="00FB091C">
        <w:rPr>
          <w:bCs/>
          <w:sz w:val="24"/>
          <w:szCs w:val="24"/>
        </w:rPr>
        <w:t xml:space="preserve">-gruppen. Det virker ved at forstyrre </w:t>
      </w:r>
      <w:proofErr w:type="spellStart"/>
      <w:r w:rsidRPr="00FB091C">
        <w:rPr>
          <w:bCs/>
          <w:sz w:val="24"/>
          <w:szCs w:val="24"/>
        </w:rPr>
        <w:t>nematodens</w:t>
      </w:r>
      <w:proofErr w:type="spellEnd"/>
      <w:r w:rsidRPr="00FB091C">
        <w:rPr>
          <w:bCs/>
          <w:sz w:val="24"/>
          <w:szCs w:val="24"/>
        </w:rPr>
        <w:t xml:space="preserve"> energimetabolisme.</w:t>
      </w:r>
    </w:p>
    <w:p w:rsidR="00FB091C" w:rsidRPr="00FB091C" w:rsidRDefault="00FB091C" w:rsidP="00FB091C">
      <w:pPr>
        <w:tabs>
          <w:tab w:val="left" w:pos="540"/>
        </w:tabs>
        <w:ind w:left="540"/>
        <w:rPr>
          <w:bCs/>
          <w:sz w:val="24"/>
          <w:szCs w:val="24"/>
        </w:rPr>
      </w:pPr>
    </w:p>
    <w:p w:rsidR="00FB091C" w:rsidRPr="00FB091C" w:rsidRDefault="00FB091C" w:rsidP="00FB091C">
      <w:pPr>
        <w:tabs>
          <w:tab w:val="left" w:pos="540"/>
        </w:tabs>
        <w:ind w:left="540"/>
        <w:rPr>
          <w:sz w:val="24"/>
          <w:szCs w:val="24"/>
        </w:rPr>
      </w:pPr>
      <w:proofErr w:type="spellStart"/>
      <w:r w:rsidRPr="00FB091C">
        <w:rPr>
          <w:sz w:val="24"/>
          <w:szCs w:val="24"/>
        </w:rPr>
        <w:t>Fenbendazol</w:t>
      </w:r>
      <w:proofErr w:type="spellEnd"/>
      <w:r w:rsidRPr="00FB091C">
        <w:rPr>
          <w:sz w:val="24"/>
          <w:szCs w:val="24"/>
        </w:rPr>
        <w:t xml:space="preserve"> hæmmer polymeriseringen af </w:t>
      </w:r>
      <w:proofErr w:type="spellStart"/>
      <w:r w:rsidRPr="00FB091C">
        <w:rPr>
          <w:sz w:val="24"/>
          <w:szCs w:val="24"/>
        </w:rPr>
        <w:t>tubulin</w:t>
      </w:r>
      <w:proofErr w:type="spellEnd"/>
      <w:r w:rsidRPr="00FB091C">
        <w:rPr>
          <w:sz w:val="24"/>
          <w:szCs w:val="24"/>
        </w:rPr>
        <w:t xml:space="preserve"> til </w:t>
      </w:r>
      <w:proofErr w:type="spellStart"/>
      <w:r w:rsidRPr="00FB091C">
        <w:rPr>
          <w:sz w:val="24"/>
          <w:szCs w:val="24"/>
        </w:rPr>
        <w:t>mikrotubuli</w:t>
      </w:r>
      <w:proofErr w:type="spellEnd"/>
      <w:r w:rsidRPr="00FB091C">
        <w:rPr>
          <w:sz w:val="24"/>
          <w:szCs w:val="24"/>
        </w:rPr>
        <w:t xml:space="preserve">. Dette forstyrrer vigtige strukturelle og funktionelle egenskaber i cellerne hos indvoldsorme, </w:t>
      </w:r>
      <w:proofErr w:type="spellStart"/>
      <w:r w:rsidRPr="00FB091C">
        <w:rPr>
          <w:sz w:val="24"/>
          <w:szCs w:val="24"/>
        </w:rPr>
        <w:t>såsom</w:t>
      </w:r>
      <w:proofErr w:type="spellEnd"/>
      <w:r w:rsidRPr="00FB091C">
        <w:rPr>
          <w:sz w:val="24"/>
          <w:szCs w:val="24"/>
        </w:rPr>
        <w:t xml:space="preserve"> dannelse af </w:t>
      </w:r>
      <w:proofErr w:type="spellStart"/>
      <w:r w:rsidRPr="00FB091C">
        <w:rPr>
          <w:sz w:val="24"/>
          <w:szCs w:val="24"/>
        </w:rPr>
        <w:t>cytoskelettet</w:t>
      </w:r>
      <w:proofErr w:type="spellEnd"/>
      <w:r w:rsidRPr="00FB091C">
        <w:rPr>
          <w:sz w:val="24"/>
          <w:szCs w:val="24"/>
        </w:rPr>
        <w:t xml:space="preserve">, dannelse af det </w:t>
      </w:r>
      <w:proofErr w:type="spellStart"/>
      <w:r w:rsidRPr="00FB091C">
        <w:rPr>
          <w:sz w:val="24"/>
          <w:szCs w:val="24"/>
        </w:rPr>
        <w:t>mitotiske</w:t>
      </w:r>
      <w:proofErr w:type="spellEnd"/>
      <w:r w:rsidRPr="00FB091C">
        <w:rPr>
          <w:sz w:val="24"/>
          <w:szCs w:val="24"/>
        </w:rPr>
        <w:t xml:space="preserve"> spindel og optagelse og intracellulær transport af næringsstoffer og metaboliske produkter. </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4.3</w:t>
      </w:r>
      <w:r w:rsidRPr="00FB091C">
        <w:rPr>
          <w:sz w:val="24"/>
          <w:szCs w:val="24"/>
        </w:rPr>
        <w:tab/>
      </w:r>
      <w:proofErr w:type="spellStart"/>
      <w:r w:rsidRPr="00FB091C">
        <w:rPr>
          <w:sz w:val="24"/>
          <w:szCs w:val="24"/>
        </w:rPr>
        <w:t>Farmakokinetiske</w:t>
      </w:r>
      <w:proofErr w:type="spellEnd"/>
      <w:r w:rsidRPr="00FB091C">
        <w:rPr>
          <w:sz w:val="24"/>
          <w:szCs w:val="24"/>
        </w:rPr>
        <w:t xml:space="preserve"> oplysninger</w:t>
      </w:r>
    </w:p>
    <w:p w:rsidR="00FB091C" w:rsidRPr="00FB091C" w:rsidRDefault="00FB091C" w:rsidP="00FB091C">
      <w:pPr>
        <w:rPr>
          <w:sz w:val="24"/>
          <w:szCs w:val="24"/>
        </w:rPr>
      </w:pPr>
    </w:p>
    <w:p w:rsidR="00FB091C" w:rsidRPr="00FB091C" w:rsidRDefault="00FB091C" w:rsidP="00FB091C">
      <w:pPr>
        <w:tabs>
          <w:tab w:val="left" w:pos="851"/>
        </w:tabs>
        <w:ind w:left="567"/>
        <w:rPr>
          <w:sz w:val="24"/>
          <w:szCs w:val="24"/>
        </w:rPr>
      </w:pPr>
      <w:r w:rsidRPr="00FB091C">
        <w:rPr>
          <w:sz w:val="24"/>
          <w:szCs w:val="24"/>
        </w:rPr>
        <w:t xml:space="preserve">Efter oral administration absorberes </w:t>
      </w:r>
      <w:proofErr w:type="spellStart"/>
      <w:r w:rsidRPr="00FB091C">
        <w:rPr>
          <w:sz w:val="24"/>
          <w:szCs w:val="24"/>
        </w:rPr>
        <w:t>fenbendazol</w:t>
      </w:r>
      <w:proofErr w:type="spellEnd"/>
      <w:r w:rsidRPr="00FB091C">
        <w:rPr>
          <w:sz w:val="24"/>
          <w:szCs w:val="24"/>
        </w:rPr>
        <w:t xml:space="preserve"> kun delvist og </w:t>
      </w:r>
      <w:proofErr w:type="spellStart"/>
      <w:r w:rsidRPr="00FB091C">
        <w:rPr>
          <w:sz w:val="24"/>
          <w:szCs w:val="24"/>
        </w:rPr>
        <w:t>metaboliseres</w:t>
      </w:r>
      <w:proofErr w:type="spellEnd"/>
      <w:r w:rsidRPr="00FB091C">
        <w:rPr>
          <w:sz w:val="24"/>
          <w:szCs w:val="24"/>
        </w:rPr>
        <w:t xml:space="preserve"> efterfølgende i leveren. Efter intravenøs administration af en dosis på 1 mg/kg til svin var </w:t>
      </w:r>
      <w:proofErr w:type="spellStart"/>
      <w:r w:rsidRPr="00FB091C">
        <w:rPr>
          <w:sz w:val="24"/>
          <w:szCs w:val="24"/>
        </w:rPr>
        <w:t>clearance</w:t>
      </w:r>
      <w:proofErr w:type="spellEnd"/>
      <w:r w:rsidRPr="00FB091C">
        <w:rPr>
          <w:sz w:val="24"/>
          <w:szCs w:val="24"/>
        </w:rPr>
        <w:t xml:space="preserve"> af </w:t>
      </w:r>
      <w:proofErr w:type="spellStart"/>
      <w:r w:rsidRPr="00FB091C">
        <w:rPr>
          <w:sz w:val="24"/>
          <w:szCs w:val="24"/>
        </w:rPr>
        <w:lastRenderedPageBreak/>
        <w:t>fenbendazol</w:t>
      </w:r>
      <w:proofErr w:type="spellEnd"/>
      <w:r w:rsidRPr="00FB091C">
        <w:rPr>
          <w:sz w:val="24"/>
          <w:szCs w:val="24"/>
        </w:rPr>
        <w:t xml:space="preserve"> i serum 1,36 l/t/kg, fordelingsvolumen ved </w:t>
      </w:r>
      <w:proofErr w:type="spellStart"/>
      <w:r w:rsidRPr="00FB091C">
        <w:rPr>
          <w:sz w:val="24"/>
          <w:szCs w:val="24"/>
        </w:rPr>
        <w:t>steady</w:t>
      </w:r>
      <w:proofErr w:type="spellEnd"/>
      <w:r w:rsidRPr="00FB091C">
        <w:rPr>
          <w:sz w:val="24"/>
          <w:szCs w:val="24"/>
        </w:rPr>
        <w:t xml:space="preserve"> </w:t>
      </w:r>
      <w:proofErr w:type="spellStart"/>
      <w:r w:rsidRPr="00FB091C">
        <w:rPr>
          <w:sz w:val="24"/>
          <w:szCs w:val="24"/>
        </w:rPr>
        <w:t>state</w:t>
      </w:r>
      <w:proofErr w:type="spellEnd"/>
      <w:r w:rsidRPr="00FB091C">
        <w:rPr>
          <w:sz w:val="24"/>
          <w:szCs w:val="24"/>
        </w:rPr>
        <w:t xml:space="preserve"> var 3,35 l/kg og den gennemsnitlige residenstid var 2,63 timer. Efter oral administration af en dosis på 5 mg/kg var den maksimale plasmakoncentration af </w:t>
      </w:r>
      <w:proofErr w:type="spellStart"/>
      <w:r w:rsidRPr="00FB091C">
        <w:rPr>
          <w:sz w:val="24"/>
          <w:szCs w:val="24"/>
        </w:rPr>
        <w:t>fenbendazol</w:t>
      </w:r>
      <w:proofErr w:type="spellEnd"/>
      <w:r w:rsidRPr="00FB091C">
        <w:rPr>
          <w:sz w:val="24"/>
          <w:szCs w:val="24"/>
        </w:rPr>
        <w:t xml:space="preserve"> 0,07µg/ml, </w:t>
      </w:r>
      <w:proofErr w:type="spellStart"/>
      <w:r w:rsidRPr="00FB091C">
        <w:rPr>
          <w:sz w:val="24"/>
          <w:szCs w:val="24"/>
        </w:rPr>
        <w:t>T</w:t>
      </w:r>
      <w:r w:rsidRPr="00FB091C">
        <w:rPr>
          <w:sz w:val="24"/>
          <w:szCs w:val="24"/>
          <w:vertAlign w:val="subscript"/>
        </w:rPr>
        <w:t>max</w:t>
      </w:r>
      <w:proofErr w:type="spellEnd"/>
      <w:r w:rsidRPr="00FB091C">
        <w:rPr>
          <w:sz w:val="24"/>
          <w:szCs w:val="24"/>
          <w:vertAlign w:val="subscript"/>
        </w:rPr>
        <w:t xml:space="preserve"> </w:t>
      </w:r>
      <w:r w:rsidRPr="00FB091C">
        <w:rPr>
          <w:sz w:val="24"/>
          <w:szCs w:val="24"/>
        </w:rPr>
        <w:t xml:space="preserve">var 3,75 timer og den gennemsnitlige residenstid var 15,15 timer. Biotilgængeligheden var 27,1 %. </w:t>
      </w:r>
      <w:proofErr w:type="spellStart"/>
      <w:r w:rsidRPr="00FB091C">
        <w:rPr>
          <w:sz w:val="24"/>
          <w:szCs w:val="24"/>
        </w:rPr>
        <w:t>Oxfendazol</w:t>
      </w:r>
      <w:proofErr w:type="spellEnd"/>
      <w:r w:rsidRPr="00FB091C">
        <w:rPr>
          <w:sz w:val="24"/>
          <w:szCs w:val="24"/>
        </w:rPr>
        <w:t xml:space="preserve"> er hovedmetabolitten i plasma dvs. 2/3 af det samlede AUC.</w:t>
      </w:r>
    </w:p>
    <w:p w:rsidR="00FB091C" w:rsidRPr="00FB091C" w:rsidRDefault="00FB091C" w:rsidP="00FB091C">
      <w:pPr>
        <w:tabs>
          <w:tab w:val="left" w:pos="851"/>
        </w:tabs>
        <w:rPr>
          <w:sz w:val="24"/>
          <w:szCs w:val="24"/>
        </w:rPr>
      </w:pPr>
    </w:p>
    <w:p w:rsidR="00FB091C" w:rsidRPr="00FB091C" w:rsidRDefault="00FB091C" w:rsidP="00FB091C">
      <w:pPr>
        <w:tabs>
          <w:tab w:val="left" w:pos="851"/>
        </w:tabs>
        <w:ind w:left="567"/>
        <w:rPr>
          <w:sz w:val="24"/>
          <w:szCs w:val="24"/>
        </w:rPr>
      </w:pPr>
      <w:proofErr w:type="spellStart"/>
      <w:r w:rsidRPr="00FB091C">
        <w:rPr>
          <w:sz w:val="24"/>
          <w:szCs w:val="24"/>
        </w:rPr>
        <w:t>Fenbendazol</w:t>
      </w:r>
      <w:proofErr w:type="spellEnd"/>
      <w:r w:rsidRPr="00FB091C">
        <w:rPr>
          <w:sz w:val="24"/>
          <w:szCs w:val="24"/>
        </w:rPr>
        <w:t xml:space="preserve"> og dets metabolitter fordeles til hele kroppen, idet de højeste koncentrationer opnås i leveren.</w:t>
      </w:r>
    </w:p>
    <w:p w:rsidR="00FB091C" w:rsidRPr="00FB091C" w:rsidRDefault="00FB091C" w:rsidP="00FB091C">
      <w:pPr>
        <w:tabs>
          <w:tab w:val="left" w:pos="851"/>
        </w:tabs>
        <w:ind w:left="567"/>
        <w:rPr>
          <w:sz w:val="24"/>
          <w:szCs w:val="24"/>
        </w:rPr>
      </w:pPr>
    </w:p>
    <w:p w:rsidR="00FB091C" w:rsidRPr="00FB091C" w:rsidRDefault="00FB091C" w:rsidP="00FB091C">
      <w:pPr>
        <w:tabs>
          <w:tab w:val="left" w:pos="851"/>
        </w:tabs>
        <w:ind w:left="567"/>
        <w:rPr>
          <w:sz w:val="24"/>
          <w:szCs w:val="24"/>
        </w:rPr>
      </w:pPr>
      <w:r w:rsidRPr="00FB091C">
        <w:rPr>
          <w:sz w:val="24"/>
          <w:szCs w:val="24"/>
        </w:rPr>
        <w:t xml:space="preserve">Udskillelsen af </w:t>
      </w:r>
      <w:proofErr w:type="spellStart"/>
      <w:r w:rsidRPr="00FB091C">
        <w:rPr>
          <w:sz w:val="24"/>
          <w:szCs w:val="24"/>
        </w:rPr>
        <w:t>fenbendazol</w:t>
      </w:r>
      <w:proofErr w:type="spellEnd"/>
      <w:r w:rsidRPr="00FB091C">
        <w:rPr>
          <w:sz w:val="24"/>
          <w:szCs w:val="24"/>
        </w:rPr>
        <w:t xml:space="preserve"> og dets metabolitter sker primært via fæces (&gt;90 %) og i mindre grad via urin og mælk.</w:t>
      </w:r>
    </w:p>
    <w:p w:rsidR="00FB091C" w:rsidRPr="00FB091C" w:rsidRDefault="00FB091C" w:rsidP="00FB091C">
      <w:pPr>
        <w:tabs>
          <w:tab w:val="left" w:pos="851"/>
        </w:tabs>
        <w:ind w:left="567"/>
        <w:rPr>
          <w:sz w:val="24"/>
          <w:szCs w:val="24"/>
        </w:rPr>
      </w:pPr>
    </w:p>
    <w:p w:rsidR="00FB091C" w:rsidRPr="00FB091C" w:rsidRDefault="00FB091C" w:rsidP="00FB091C">
      <w:pPr>
        <w:tabs>
          <w:tab w:val="left" w:pos="851"/>
        </w:tabs>
        <w:ind w:left="567"/>
        <w:rPr>
          <w:b/>
          <w:sz w:val="24"/>
          <w:szCs w:val="24"/>
        </w:rPr>
      </w:pPr>
      <w:proofErr w:type="spellStart"/>
      <w:r w:rsidRPr="00FB091C">
        <w:rPr>
          <w:sz w:val="24"/>
          <w:szCs w:val="24"/>
        </w:rPr>
        <w:t>Fenbendazol</w:t>
      </w:r>
      <w:proofErr w:type="spellEnd"/>
      <w:r w:rsidRPr="00FB091C">
        <w:rPr>
          <w:sz w:val="24"/>
          <w:szCs w:val="24"/>
        </w:rPr>
        <w:t xml:space="preserve"> </w:t>
      </w:r>
      <w:proofErr w:type="spellStart"/>
      <w:r w:rsidRPr="00FB091C">
        <w:rPr>
          <w:sz w:val="24"/>
          <w:szCs w:val="24"/>
        </w:rPr>
        <w:t>metaboliseres</w:t>
      </w:r>
      <w:proofErr w:type="spellEnd"/>
      <w:r w:rsidRPr="00FB091C">
        <w:rPr>
          <w:sz w:val="24"/>
          <w:szCs w:val="24"/>
        </w:rPr>
        <w:t xml:space="preserve"> til dets </w:t>
      </w:r>
      <w:proofErr w:type="spellStart"/>
      <w:r w:rsidRPr="00FB091C">
        <w:rPr>
          <w:sz w:val="24"/>
          <w:szCs w:val="24"/>
        </w:rPr>
        <w:t>sulfoxid</w:t>
      </w:r>
      <w:proofErr w:type="spellEnd"/>
      <w:r w:rsidRPr="00FB091C">
        <w:rPr>
          <w:sz w:val="24"/>
          <w:szCs w:val="24"/>
        </w:rPr>
        <w:t xml:space="preserve"> og derefter til </w:t>
      </w:r>
      <w:proofErr w:type="spellStart"/>
      <w:r w:rsidRPr="00FB091C">
        <w:rPr>
          <w:sz w:val="24"/>
          <w:szCs w:val="24"/>
        </w:rPr>
        <w:t>sulfon</w:t>
      </w:r>
      <w:proofErr w:type="spellEnd"/>
      <w:r w:rsidRPr="00FB091C">
        <w:rPr>
          <w:sz w:val="24"/>
          <w:szCs w:val="24"/>
        </w:rPr>
        <w:t xml:space="preserve"> og </w:t>
      </w:r>
      <w:proofErr w:type="spellStart"/>
      <w:r w:rsidRPr="00FB091C">
        <w:rPr>
          <w:sz w:val="24"/>
          <w:szCs w:val="24"/>
        </w:rPr>
        <w:t>aminer</w:t>
      </w:r>
      <w:proofErr w:type="spellEnd"/>
      <w:r w:rsidRPr="00FB091C">
        <w:rPr>
          <w:sz w:val="24"/>
          <w:szCs w:val="24"/>
        </w:rPr>
        <w: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5.</w:t>
      </w:r>
      <w:r w:rsidRPr="00FB091C">
        <w:rPr>
          <w:sz w:val="24"/>
          <w:szCs w:val="24"/>
        </w:rPr>
        <w:tab/>
        <w:t>FARMACEUTISKE OPLYSNINGER</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5.1</w:t>
      </w:r>
      <w:r w:rsidRPr="00FB091C">
        <w:rPr>
          <w:sz w:val="24"/>
          <w:szCs w:val="24"/>
        </w:rPr>
        <w:tab/>
        <w:t>Væsentlige uforligeligheder</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t>Da der ikke foreligger undersøgelser vedrørende eventuelle uforligeligheder, bør dette veterinærlægemiddel ikke blandes med andre veterinærlægemidler.</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5.2</w:t>
      </w:r>
      <w:r w:rsidRPr="00FB091C">
        <w:rPr>
          <w:sz w:val="24"/>
          <w:szCs w:val="24"/>
        </w:rPr>
        <w:tab/>
        <w:t>Opbevaringstid</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t xml:space="preserve">Opbevaringstid for veterinærlægemidlet i salgspakning: </w:t>
      </w:r>
      <w:r w:rsidRPr="00FB091C">
        <w:rPr>
          <w:color w:val="000000"/>
          <w:sz w:val="24"/>
          <w:szCs w:val="24"/>
        </w:rPr>
        <w:t>2 år.</w:t>
      </w:r>
    </w:p>
    <w:p w:rsidR="00FB091C" w:rsidRPr="00FB091C" w:rsidRDefault="00FB091C" w:rsidP="00FB091C">
      <w:pPr>
        <w:ind w:left="567"/>
        <w:rPr>
          <w:sz w:val="24"/>
          <w:szCs w:val="24"/>
        </w:rPr>
      </w:pPr>
      <w:r w:rsidRPr="00FB091C">
        <w:rPr>
          <w:sz w:val="24"/>
          <w:szCs w:val="24"/>
        </w:rPr>
        <w:t>Opbevaringstid efter første åbning af den indre emballage: 3 måneder.</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5.3</w:t>
      </w:r>
      <w:r w:rsidRPr="00FB091C">
        <w:rPr>
          <w:sz w:val="24"/>
          <w:szCs w:val="24"/>
        </w:rPr>
        <w:tab/>
        <w:t>Særlige forholdsregler vedrørende opbevaring</w:t>
      </w:r>
    </w:p>
    <w:p w:rsidR="00FB091C" w:rsidRPr="00FB091C" w:rsidRDefault="00FB091C" w:rsidP="00FB091C">
      <w:pPr>
        <w:rPr>
          <w:bCs/>
          <w:sz w:val="24"/>
          <w:szCs w:val="24"/>
        </w:rPr>
      </w:pPr>
    </w:p>
    <w:p w:rsidR="00FB091C" w:rsidRPr="00FB091C" w:rsidRDefault="00FB091C" w:rsidP="00FB091C">
      <w:pPr>
        <w:pStyle w:val="Style5"/>
        <w:ind w:left="567"/>
        <w:rPr>
          <w:bCs/>
          <w:sz w:val="24"/>
          <w:szCs w:val="24"/>
        </w:rPr>
      </w:pPr>
      <w:bookmarkStart w:id="3" w:name="_Hlk156333426"/>
      <w:r w:rsidRPr="00FB091C">
        <w:rPr>
          <w:bCs/>
          <w:sz w:val="24"/>
          <w:szCs w:val="24"/>
        </w:rPr>
        <w:t>Veterinærlægemidlet i</w:t>
      </w:r>
      <w:bookmarkEnd w:id="3"/>
      <w:r w:rsidRPr="00FB091C">
        <w:rPr>
          <w:bCs/>
          <w:sz w:val="24"/>
          <w:szCs w:val="24"/>
        </w:rPr>
        <w:t xml:space="preserve"> salgspakning: Der er ingen særlige krav vedrørende opbevaringsforhold for dette veterinærlægemiddel.</w:t>
      </w:r>
    </w:p>
    <w:p w:rsidR="00FB091C" w:rsidRPr="00FB091C" w:rsidRDefault="00FB091C" w:rsidP="00FB091C">
      <w:pPr>
        <w:pStyle w:val="Style5"/>
        <w:ind w:left="567"/>
        <w:rPr>
          <w:bCs/>
          <w:sz w:val="24"/>
          <w:szCs w:val="24"/>
        </w:rPr>
      </w:pPr>
    </w:p>
    <w:p w:rsidR="00FB091C" w:rsidRPr="00FB091C" w:rsidRDefault="00FB091C" w:rsidP="00FB091C">
      <w:pPr>
        <w:pStyle w:val="Style5"/>
        <w:ind w:left="567"/>
        <w:rPr>
          <w:sz w:val="24"/>
          <w:szCs w:val="24"/>
        </w:rPr>
      </w:pPr>
      <w:r w:rsidRPr="00FB091C">
        <w:rPr>
          <w:bCs/>
          <w:sz w:val="24"/>
          <w:szCs w:val="24"/>
        </w:rPr>
        <w:t>Efter første åbning af den indre emballage: Må ikke opbevares over 25 °C.</w:t>
      </w:r>
    </w:p>
    <w:p w:rsidR="00FB091C" w:rsidRPr="00FB091C" w:rsidRDefault="00FB091C" w:rsidP="00FB091C">
      <w:pPr>
        <w:rPr>
          <w:sz w:val="24"/>
          <w:szCs w:val="24"/>
          <w:lang w:val="nl-BE"/>
        </w:rPr>
      </w:pPr>
    </w:p>
    <w:p w:rsidR="00FB091C" w:rsidRPr="00FB091C" w:rsidRDefault="00FB091C" w:rsidP="00FB091C">
      <w:pPr>
        <w:pStyle w:val="Style1"/>
        <w:rPr>
          <w:sz w:val="24"/>
          <w:szCs w:val="24"/>
        </w:rPr>
      </w:pPr>
      <w:r w:rsidRPr="00FB091C">
        <w:rPr>
          <w:sz w:val="24"/>
          <w:szCs w:val="24"/>
        </w:rPr>
        <w:t>5.4</w:t>
      </w:r>
      <w:r w:rsidRPr="00FB091C">
        <w:rPr>
          <w:sz w:val="24"/>
          <w:szCs w:val="24"/>
        </w:rPr>
        <w:tab/>
        <w:t>Den indre emballages art og indhold</w:t>
      </w:r>
    </w:p>
    <w:p w:rsidR="00FB091C" w:rsidRPr="00FB091C" w:rsidRDefault="00FB091C" w:rsidP="00FB091C">
      <w:pPr>
        <w:rPr>
          <w:sz w:val="24"/>
          <w:szCs w:val="24"/>
        </w:rPr>
      </w:pPr>
    </w:p>
    <w:p w:rsidR="00FB091C" w:rsidRPr="00FB091C" w:rsidRDefault="00FB091C" w:rsidP="00FB091C">
      <w:pPr>
        <w:ind w:left="567"/>
        <w:rPr>
          <w:sz w:val="24"/>
          <w:szCs w:val="24"/>
        </w:rPr>
      </w:pPr>
      <w:proofErr w:type="spellStart"/>
      <w:r w:rsidRPr="00FB091C">
        <w:rPr>
          <w:bCs/>
          <w:sz w:val="24"/>
          <w:szCs w:val="24"/>
        </w:rPr>
        <w:t>P</w:t>
      </w:r>
      <w:r w:rsidRPr="00FB091C">
        <w:rPr>
          <w:sz w:val="24"/>
          <w:szCs w:val="24"/>
        </w:rPr>
        <w:t>olyethylen</w:t>
      </w:r>
      <w:proofErr w:type="spellEnd"/>
      <w:r w:rsidRPr="00FB091C">
        <w:rPr>
          <w:sz w:val="24"/>
          <w:szCs w:val="24"/>
        </w:rPr>
        <w:t>/aluminiumsfolie/</w:t>
      </w:r>
      <w:proofErr w:type="spellStart"/>
      <w:r w:rsidRPr="00FB091C">
        <w:rPr>
          <w:sz w:val="24"/>
          <w:szCs w:val="24"/>
        </w:rPr>
        <w:t>polyethylenterephthalat</w:t>
      </w:r>
      <w:proofErr w:type="spellEnd"/>
      <w:r w:rsidRPr="00FB091C">
        <w:rPr>
          <w:sz w:val="24"/>
          <w:szCs w:val="24"/>
        </w:rPr>
        <w:t>, lynlåspose.</w:t>
      </w:r>
    </w:p>
    <w:p w:rsidR="00FB091C" w:rsidRPr="00FB091C" w:rsidRDefault="00FB091C" w:rsidP="00FB091C">
      <w:pPr>
        <w:ind w:left="567"/>
        <w:rPr>
          <w:sz w:val="24"/>
          <w:szCs w:val="24"/>
        </w:rPr>
      </w:pPr>
    </w:p>
    <w:p w:rsidR="00FB091C" w:rsidRPr="00FB091C" w:rsidRDefault="00FB091C" w:rsidP="00FB091C">
      <w:pPr>
        <w:ind w:left="567"/>
        <w:rPr>
          <w:b/>
          <w:sz w:val="24"/>
          <w:szCs w:val="24"/>
        </w:rPr>
      </w:pPr>
      <w:r w:rsidRPr="00FB091C">
        <w:rPr>
          <w:sz w:val="24"/>
          <w:szCs w:val="24"/>
        </w:rPr>
        <w:t xml:space="preserve">Pakningsstørrelser: 250 g, 500 g og 1 kg. </w:t>
      </w:r>
    </w:p>
    <w:p w:rsidR="00FB091C" w:rsidRPr="00FB091C" w:rsidRDefault="00FB091C" w:rsidP="00FB091C">
      <w:pPr>
        <w:ind w:left="567"/>
        <w:rPr>
          <w:sz w:val="24"/>
          <w:szCs w:val="24"/>
        </w:rPr>
      </w:pPr>
    </w:p>
    <w:p w:rsidR="00FB091C" w:rsidRPr="00FB091C" w:rsidRDefault="00FB091C" w:rsidP="00FB091C">
      <w:pPr>
        <w:ind w:left="567"/>
        <w:rPr>
          <w:sz w:val="24"/>
          <w:szCs w:val="24"/>
        </w:rPr>
      </w:pPr>
      <w:r w:rsidRPr="00FB091C">
        <w:rPr>
          <w:sz w:val="24"/>
          <w:szCs w:val="24"/>
        </w:rPr>
        <w:t>Ikke alle pakningsstørrelser er nødvendigvis markedsført.</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5.5</w:t>
      </w:r>
      <w:r w:rsidRPr="00FB091C">
        <w:rPr>
          <w:sz w:val="24"/>
          <w:szCs w:val="24"/>
        </w:rPr>
        <w:tab/>
        <w:t>Særlige forholdsregler vedrørende bortskaffelse af ubrugte veterinærlægemidler eller affaldsmaterialer fra brugen heraf</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t>Lægemidler må ikke bortskaffes sammen med spildevand eller husholdningsaffald.</w:t>
      </w:r>
    </w:p>
    <w:p w:rsidR="00FB091C" w:rsidRPr="00FB091C" w:rsidRDefault="00FB091C" w:rsidP="00FB091C">
      <w:pPr>
        <w:ind w:left="567"/>
        <w:rPr>
          <w:sz w:val="24"/>
          <w:szCs w:val="24"/>
        </w:rPr>
      </w:pPr>
    </w:p>
    <w:p w:rsidR="00FB091C" w:rsidRPr="00FB091C" w:rsidRDefault="00FB091C" w:rsidP="00FB091C">
      <w:pPr>
        <w:ind w:left="567"/>
        <w:rPr>
          <w:i/>
          <w:sz w:val="24"/>
          <w:szCs w:val="24"/>
        </w:rPr>
      </w:pPr>
      <w:r w:rsidRPr="00FB091C">
        <w:rPr>
          <w:sz w:val="24"/>
          <w:szCs w:val="24"/>
        </w:rPr>
        <w:t xml:space="preserve">Dette veterinærlægemiddel må ikke udledes i vandløb, da </w:t>
      </w:r>
      <w:proofErr w:type="spellStart"/>
      <w:r w:rsidRPr="00FB091C">
        <w:rPr>
          <w:sz w:val="24"/>
          <w:szCs w:val="24"/>
        </w:rPr>
        <w:t>fenbendazol</w:t>
      </w:r>
      <w:proofErr w:type="spellEnd"/>
      <w:r w:rsidRPr="00FB091C">
        <w:rPr>
          <w:sz w:val="24"/>
          <w:szCs w:val="24"/>
        </w:rPr>
        <w:t xml:space="preserve"> kan være farligt for fisk og andre vandorganismer.</w:t>
      </w:r>
    </w:p>
    <w:p w:rsidR="00FB091C" w:rsidRPr="00FB091C" w:rsidRDefault="00FB091C" w:rsidP="00FB091C">
      <w:pPr>
        <w:rPr>
          <w:sz w:val="24"/>
          <w:szCs w:val="24"/>
        </w:rPr>
      </w:pPr>
    </w:p>
    <w:p w:rsidR="00FB091C" w:rsidRPr="00FB091C" w:rsidRDefault="00FB091C" w:rsidP="00FB091C">
      <w:pPr>
        <w:ind w:left="567"/>
        <w:rPr>
          <w:sz w:val="24"/>
          <w:szCs w:val="24"/>
        </w:rPr>
      </w:pPr>
      <w:r w:rsidRPr="00FB091C">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6.</w:t>
      </w:r>
      <w:r w:rsidRPr="00FB091C">
        <w:rPr>
          <w:sz w:val="24"/>
          <w:szCs w:val="24"/>
        </w:rPr>
        <w:tab/>
        <w:t>NAVN PÅ INDEHAVEREN AF MARKEDSFØRINGSTILLADELSEN</w:t>
      </w:r>
    </w:p>
    <w:p w:rsidR="00FB091C" w:rsidRPr="00FB091C" w:rsidRDefault="00FB091C" w:rsidP="00FB091C">
      <w:pPr>
        <w:rPr>
          <w:sz w:val="24"/>
          <w:szCs w:val="24"/>
        </w:rPr>
      </w:pPr>
    </w:p>
    <w:p w:rsidR="00FB091C" w:rsidRPr="00FB091C" w:rsidRDefault="00FB091C" w:rsidP="00FB091C">
      <w:pPr>
        <w:tabs>
          <w:tab w:val="left" w:pos="-589"/>
          <w:tab w:val="left" w:pos="0"/>
          <w:tab w:val="left" w:pos="851"/>
          <w:tab w:val="left" w:pos="1440"/>
        </w:tabs>
        <w:ind w:left="567"/>
        <w:rPr>
          <w:sz w:val="24"/>
          <w:szCs w:val="24"/>
        </w:rPr>
      </w:pPr>
      <w:proofErr w:type="spellStart"/>
      <w:r w:rsidRPr="00FB091C">
        <w:rPr>
          <w:sz w:val="24"/>
          <w:szCs w:val="24"/>
        </w:rPr>
        <w:t>Huvepharma</w:t>
      </w:r>
      <w:proofErr w:type="spellEnd"/>
      <w:r w:rsidRPr="00FB091C">
        <w:rPr>
          <w:sz w:val="24"/>
          <w:szCs w:val="24"/>
        </w:rPr>
        <w:t xml:space="preserve"> NV</w:t>
      </w:r>
    </w:p>
    <w:p w:rsidR="00FB091C" w:rsidRPr="00FB091C" w:rsidRDefault="00FB091C" w:rsidP="00FB091C">
      <w:pPr>
        <w:tabs>
          <w:tab w:val="left" w:pos="-589"/>
          <w:tab w:val="left" w:pos="0"/>
          <w:tab w:val="left" w:pos="851"/>
          <w:tab w:val="left" w:pos="1440"/>
        </w:tabs>
        <w:ind w:left="567"/>
        <w:rPr>
          <w:sz w:val="24"/>
          <w:szCs w:val="24"/>
        </w:rPr>
      </w:pPr>
      <w:proofErr w:type="spellStart"/>
      <w:r w:rsidRPr="00FB091C">
        <w:rPr>
          <w:sz w:val="24"/>
          <w:szCs w:val="24"/>
        </w:rPr>
        <w:t>Uitbreidingstraat</w:t>
      </w:r>
      <w:proofErr w:type="spellEnd"/>
      <w:r w:rsidRPr="00FB091C">
        <w:rPr>
          <w:sz w:val="24"/>
          <w:szCs w:val="24"/>
        </w:rPr>
        <w:t xml:space="preserve"> 80</w:t>
      </w:r>
    </w:p>
    <w:p w:rsidR="00FB091C" w:rsidRPr="00FB091C" w:rsidRDefault="00FB091C" w:rsidP="00FB091C">
      <w:pPr>
        <w:tabs>
          <w:tab w:val="left" w:pos="-589"/>
          <w:tab w:val="left" w:pos="0"/>
          <w:tab w:val="left" w:pos="851"/>
          <w:tab w:val="left" w:pos="1440"/>
        </w:tabs>
        <w:ind w:left="567"/>
        <w:rPr>
          <w:sz w:val="24"/>
          <w:szCs w:val="24"/>
        </w:rPr>
      </w:pPr>
      <w:r w:rsidRPr="00FB091C">
        <w:rPr>
          <w:sz w:val="24"/>
          <w:szCs w:val="24"/>
        </w:rPr>
        <w:t>2600 Antwerpen</w:t>
      </w:r>
    </w:p>
    <w:p w:rsidR="00FB091C" w:rsidRPr="00FB091C" w:rsidRDefault="00FB091C" w:rsidP="00FB091C">
      <w:pPr>
        <w:tabs>
          <w:tab w:val="left" w:pos="-589"/>
          <w:tab w:val="left" w:pos="0"/>
          <w:tab w:val="left" w:pos="851"/>
          <w:tab w:val="left" w:pos="1440"/>
        </w:tabs>
        <w:ind w:left="567"/>
        <w:rPr>
          <w:sz w:val="24"/>
          <w:szCs w:val="24"/>
        </w:rPr>
      </w:pPr>
      <w:r w:rsidRPr="00FB091C">
        <w:rPr>
          <w:sz w:val="24"/>
          <w:szCs w:val="24"/>
        </w:rPr>
        <w:t>Belgien</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7.</w:t>
      </w:r>
      <w:r w:rsidRPr="00FB091C">
        <w:rPr>
          <w:sz w:val="24"/>
          <w:szCs w:val="24"/>
        </w:rPr>
        <w:tab/>
        <w:t>MARKEDSFØRINGSTILLADELSESNUMMER (-NUMRE)</w:t>
      </w:r>
    </w:p>
    <w:p w:rsidR="00FB091C" w:rsidRPr="00FB091C" w:rsidRDefault="00FB091C" w:rsidP="00FB091C">
      <w:pPr>
        <w:rPr>
          <w:sz w:val="24"/>
          <w:szCs w:val="24"/>
        </w:rPr>
      </w:pPr>
    </w:p>
    <w:p w:rsidR="00FB091C" w:rsidRPr="00FB091C" w:rsidRDefault="00FB091C" w:rsidP="00FB091C">
      <w:pPr>
        <w:ind w:firstLine="567"/>
        <w:rPr>
          <w:sz w:val="24"/>
          <w:szCs w:val="24"/>
        </w:rPr>
      </w:pPr>
      <w:r w:rsidRPr="00FB091C">
        <w:rPr>
          <w:sz w:val="24"/>
          <w:szCs w:val="24"/>
        </w:rPr>
        <w:t>54241</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8.</w:t>
      </w:r>
      <w:r w:rsidRPr="00FB091C">
        <w:rPr>
          <w:sz w:val="24"/>
          <w:szCs w:val="24"/>
        </w:rPr>
        <w:tab/>
        <w:t>DATO FOR FØRSTE TILLADELSE</w:t>
      </w:r>
    </w:p>
    <w:p w:rsidR="00FB091C" w:rsidRPr="00FB091C" w:rsidRDefault="00FB091C" w:rsidP="00FB091C">
      <w:pPr>
        <w:rPr>
          <w:sz w:val="24"/>
          <w:szCs w:val="24"/>
        </w:rPr>
      </w:pPr>
    </w:p>
    <w:p w:rsidR="00FB091C" w:rsidRPr="00FB091C" w:rsidRDefault="00FB091C" w:rsidP="00FB091C">
      <w:pPr>
        <w:ind w:firstLine="567"/>
        <w:rPr>
          <w:sz w:val="24"/>
          <w:szCs w:val="24"/>
        </w:rPr>
      </w:pPr>
      <w:r w:rsidRPr="00FB091C">
        <w:rPr>
          <w:sz w:val="24"/>
          <w:szCs w:val="24"/>
        </w:rPr>
        <w:t>4. august 2015</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9.</w:t>
      </w:r>
      <w:r w:rsidRPr="00FB091C">
        <w:rPr>
          <w:sz w:val="24"/>
          <w:szCs w:val="24"/>
        </w:rPr>
        <w:tab/>
        <w:t>DATO FOR SENESTE ÆNDRING AF PRODUKTRESUMÉET</w:t>
      </w:r>
    </w:p>
    <w:p w:rsidR="00FB091C" w:rsidRPr="00FB091C" w:rsidRDefault="00FB091C" w:rsidP="00FB091C">
      <w:pPr>
        <w:rPr>
          <w:sz w:val="24"/>
          <w:szCs w:val="24"/>
        </w:rPr>
      </w:pPr>
    </w:p>
    <w:p w:rsidR="00FB091C" w:rsidRPr="00FB091C" w:rsidRDefault="00FB091C" w:rsidP="00FB091C">
      <w:pPr>
        <w:ind w:firstLine="567"/>
        <w:rPr>
          <w:sz w:val="24"/>
          <w:szCs w:val="24"/>
        </w:rPr>
      </w:pPr>
      <w:r>
        <w:rPr>
          <w:sz w:val="24"/>
          <w:szCs w:val="24"/>
        </w:rPr>
        <w:t>19. februar 2025</w:t>
      </w:r>
    </w:p>
    <w:p w:rsidR="00FB091C" w:rsidRPr="00FB091C" w:rsidRDefault="00FB091C" w:rsidP="00FB091C">
      <w:pPr>
        <w:rPr>
          <w:sz w:val="24"/>
          <w:szCs w:val="24"/>
        </w:rPr>
      </w:pPr>
    </w:p>
    <w:p w:rsidR="00FB091C" w:rsidRPr="00FB091C" w:rsidRDefault="00FB091C" w:rsidP="00FB091C">
      <w:pPr>
        <w:pStyle w:val="Style1"/>
        <w:rPr>
          <w:sz w:val="24"/>
          <w:szCs w:val="24"/>
        </w:rPr>
      </w:pPr>
      <w:r w:rsidRPr="00FB091C">
        <w:rPr>
          <w:sz w:val="24"/>
          <w:szCs w:val="24"/>
        </w:rPr>
        <w:t>10.</w:t>
      </w:r>
      <w:r w:rsidRPr="00FB091C">
        <w:rPr>
          <w:sz w:val="24"/>
          <w:szCs w:val="24"/>
        </w:rPr>
        <w:tab/>
        <w:t>KLASSIFICERING AF VETERINÆRLÆGEMIDLER</w:t>
      </w:r>
    </w:p>
    <w:p w:rsidR="00FB091C" w:rsidRPr="00FB091C" w:rsidRDefault="00FB091C" w:rsidP="00FB091C">
      <w:pPr>
        <w:rPr>
          <w:sz w:val="24"/>
          <w:szCs w:val="24"/>
        </w:rPr>
      </w:pPr>
    </w:p>
    <w:p w:rsidR="00FB091C" w:rsidRPr="00FB091C" w:rsidRDefault="00FB091C" w:rsidP="00FB091C">
      <w:pPr>
        <w:ind w:firstLine="567"/>
        <w:rPr>
          <w:sz w:val="24"/>
          <w:szCs w:val="24"/>
        </w:rPr>
      </w:pPr>
      <w:r w:rsidRPr="00FB091C">
        <w:rPr>
          <w:sz w:val="24"/>
          <w:szCs w:val="24"/>
        </w:rPr>
        <w:t>BP</w:t>
      </w:r>
    </w:p>
    <w:p w:rsidR="00FB091C" w:rsidRPr="00FB091C" w:rsidRDefault="00FB091C" w:rsidP="00FB091C">
      <w:pPr>
        <w:rPr>
          <w:sz w:val="24"/>
          <w:szCs w:val="24"/>
        </w:rPr>
      </w:pPr>
    </w:p>
    <w:p w:rsidR="00FB091C" w:rsidRPr="00FB091C" w:rsidRDefault="00FB091C" w:rsidP="00FB091C">
      <w:pPr>
        <w:ind w:left="567"/>
        <w:rPr>
          <w:sz w:val="24"/>
          <w:szCs w:val="24"/>
        </w:rPr>
      </w:pPr>
      <w:bookmarkStart w:id="4" w:name="_Hlk73467306"/>
      <w:r w:rsidRPr="00FB091C">
        <w:rPr>
          <w:sz w:val="24"/>
          <w:szCs w:val="24"/>
        </w:rPr>
        <w:t>Der findes detaljerede oplysninger om dette veterinærlægemiddel i EU-lægemiddeldatabasen (</w:t>
      </w:r>
      <w:hyperlink r:id="rId8" w:history="1">
        <w:r w:rsidRPr="00FB091C">
          <w:rPr>
            <w:rStyle w:val="Hyperlink"/>
            <w:sz w:val="24"/>
            <w:szCs w:val="24"/>
          </w:rPr>
          <w:t>https://medicines.health.europa.eu/veterinary</w:t>
        </w:r>
      </w:hyperlink>
      <w:r w:rsidRPr="00FB091C">
        <w:rPr>
          <w:sz w:val="24"/>
          <w:szCs w:val="24"/>
        </w:rPr>
        <w:t>).</w:t>
      </w:r>
    </w:p>
    <w:bookmarkEnd w:id="4"/>
    <w:p w:rsidR="0003527F" w:rsidRPr="00FB091C" w:rsidRDefault="0003527F" w:rsidP="00FB091C">
      <w:pPr>
        <w:tabs>
          <w:tab w:val="left" w:pos="8222"/>
        </w:tabs>
        <w:ind w:left="851" w:hanging="851"/>
        <w:rPr>
          <w:sz w:val="24"/>
          <w:szCs w:val="24"/>
        </w:rPr>
      </w:pPr>
    </w:p>
    <w:sectPr w:rsidR="0003527F" w:rsidRPr="00FB091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FB5" w:rsidRDefault="00C82FB5">
      <w:r>
        <w:separator/>
      </w:r>
    </w:p>
  </w:endnote>
  <w:endnote w:type="continuationSeparator" w:id="0">
    <w:p w:rsidR="00C82FB5" w:rsidRDefault="00C8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C7D08">
      <w:rPr>
        <w:i/>
        <w:noProof/>
        <w:snapToGrid w:val="0"/>
        <w:sz w:val="18"/>
      </w:rPr>
      <w:t>Pigfen, granulat 40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C7D08">
      <w:rPr>
        <w:i/>
        <w:noProof/>
        <w:snapToGrid w:val="0"/>
        <w:sz w:val="18"/>
      </w:rPr>
      <w:t>Pigfen, granulat 40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FB5" w:rsidRDefault="00C82FB5">
      <w:r>
        <w:separator/>
      </w:r>
    </w:p>
  </w:footnote>
  <w:footnote w:type="continuationSeparator" w:id="0">
    <w:p w:rsidR="00C82FB5" w:rsidRDefault="00C8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047DF"/>
    <w:multiLevelType w:val="hybridMultilevel"/>
    <w:tmpl w:val="0ED2D156"/>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42044F4A"/>
    <w:multiLevelType w:val="hybridMultilevel"/>
    <w:tmpl w:val="3C7CAAC4"/>
    <w:lvl w:ilvl="0" w:tplc="4A96ABA0">
      <w:start w:val="1"/>
      <w:numFmt w:val="bullet"/>
      <w:lvlText w:val="-"/>
      <w:lvlJc w:val="left"/>
      <w:pPr>
        <w:tabs>
          <w:tab w:val="num" w:pos="2007"/>
        </w:tabs>
        <w:ind w:left="2007" w:hanging="340"/>
      </w:pPr>
      <w:rPr>
        <w:rFonts w:ascii="Cambria" w:hAnsi="Cambria"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B5"/>
    <w:rsid w:val="0003527F"/>
    <w:rsid w:val="00040B5E"/>
    <w:rsid w:val="00065C7D"/>
    <w:rsid w:val="000C6CD4"/>
    <w:rsid w:val="001577E4"/>
    <w:rsid w:val="00174258"/>
    <w:rsid w:val="001858CA"/>
    <w:rsid w:val="001C4AEF"/>
    <w:rsid w:val="001D3CC5"/>
    <w:rsid w:val="00322BDE"/>
    <w:rsid w:val="00406EE7"/>
    <w:rsid w:val="00407013"/>
    <w:rsid w:val="004A62CC"/>
    <w:rsid w:val="00565A74"/>
    <w:rsid w:val="005B0036"/>
    <w:rsid w:val="005F5831"/>
    <w:rsid w:val="00662012"/>
    <w:rsid w:val="00666B01"/>
    <w:rsid w:val="006B1539"/>
    <w:rsid w:val="006C7D08"/>
    <w:rsid w:val="006D4B41"/>
    <w:rsid w:val="006F5621"/>
    <w:rsid w:val="00702AC1"/>
    <w:rsid w:val="007E2A00"/>
    <w:rsid w:val="008010F2"/>
    <w:rsid w:val="009202AE"/>
    <w:rsid w:val="00932676"/>
    <w:rsid w:val="009B0C01"/>
    <w:rsid w:val="009D66C6"/>
    <w:rsid w:val="00A96525"/>
    <w:rsid w:val="00AE29E5"/>
    <w:rsid w:val="00AE5757"/>
    <w:rsid w:val="00B25EB8"/>
    <w:rsid w:val="00BC634B"/>
    <w:rsid w:val="00BF2AE0"/>
    <w:rsid w:val="00C479BF"/>
    <w:rsid w:val="00C82FB5"/>
    <w:rsid w:val="00C9350F"/>
    <w:rsid w:val="00CA1FC8"/>
    <w:rsid w:val="00CE4A86"/>
    <w:rsid w:val="00D567AA"/>
    <w:rsid w:val="00DA6FAB"/>
    <w:rsid w:val="00DD6D71"/>
    <w:rsid w:val="00DF32BE"/>
    <w:rsid w:val="00E14F0A"/>
    <w:rsid w:val="00EB5778"/>
    <w:rsid w:val="00EE5253"/>
    <w:rsid w:val="00F379C1"/>
    <w:rsid w:val="00FA66E4"/>
    <w:rsid w:val="00FB091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FCD16-BE7E-408F-A8E2-2DCA66C9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82FB5"/>
    <w:pPr>
      <w:ind w:left="720"/>
      <w:contextualSpacing/>
    </w:pPr>
  </w:style>
  <w:style w:type="character" w:styleId="Hyperlink">
    <w:name w:val="Hyperlink"/>
    <w:rsid w:val="00FB091C"/>
    <w:rPr>
      <w:color w:val="0000FF"/>
      <w:u w:val="single"/>
    </w:rPr>
  </w:style>
  <w:style w:type="paragraph" w:customStyle="1" w:styleId="Style1">
    <w:name w:val="Style1"/>
    <w:basedOn w:val="Normal"/>
    <w:qFormat/>
    <w:rsid w:val="00FB091C"/>
    <w:pPr>
      <w:tabs>
        <w:tab w:val="left" w:pos="0"/>
      </w:tabs>
      <w:ind w:left="567" w:hanging="567"/>
    </w:pPr>
    <w:rPr>
      <w:b/>
      <w:sz w:val="22"/>
      <w:szCs w:val="22"/>
    </w:rPr>
  </w:style>
  <w:style w:type="paragraph" w:customStyle="1" w:styleId="Style5">
    <w:name w:val="Style5"/>
    <w:basedOn w:val="Normal"/>
    <w:qFormat/>
    <w:rsid w:val="00FB091C"/>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751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632833037">
      <w:bodyDiv w:val="1"/>
      <w:marLeft w:val="0"/>
      <w:marRight w:val="0"/>
      <w:marTop w:val="0"/>
      <w:marBottom w:val="0"/>
      <w:divBdr>
        <w:top w:val="none" w:sz="0" w:space="0" w:color="auto"/>
        <w:left w:val="none" w:sz="0" w:space="0" w:color="auto"/>
        <w:bottom w:val="none" w:sz="0" w:space="0" w:color="auto"/>
        <w:right w:val="none" w:sz="0" w:space="0" w:color="auto"/>
      </w:divBdr>
    </w:div>
    <w:div w:id="1023555292">
      <w:bodyDiv w:val="1"/>
      <w:marLeft w:val="0"/>
      <w:marRight w:val="0"/>
      <w:marTop w:val="0"/>
      <w:marBottom w:val="0"/>
      <w:divBdr>
        <w:top w:val="none" w:sz="0" w:space="0" w:color="auto"/>
        <w:left w:val="none" w:sz="0" w:space="0" w:color="auto"/>
        <w:bottom w:val="none" w:sz="0" w:space="0" w:color="auto"/>
        <w:right w:val="none" w:sz="0" w:space="0" w:color="auto"/>
      </w:divBdr>
    </w:div>
    <w:div w:id="1080324796">
      <w:bodyDiv w:val="1"/>
      <w:marLeft w:val="0"/>
      <w:marRight w:val="0"/>
      <w:marTop w:val="0"/>
      <w:marBottom w:val="0"/>
      <w:divBdr>
        <w:top w:val="none" w:sz="0" w:space="0" w:color="auto"/>
        <w:left w:val="none" w:sz="0" w:space="0" w:color="auto"/>
        <w:bottom w:val="none" w:sz="0" w:space="0" w:color="auto"/>
        <w:right w:val="none" w:sz="0" w:space="0" w:color="auto"/>
      </w:divBdr>
    </w:div>
    <w:div w:id="17852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8103</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2023080983 QRD9</dc:description>
  <cp:lastModifiedBy>Alexandra Wæver</cp:lastModifiedBy>
  <cp:revision>2</cp:revision>
  <dcterms:created xsi:type="dcterms:W3CDTF">2025-02-19T10:14:00Z</dcterms:created>
  <dcterms:modified xsi:type="dcterms:W3CDTF">2025-02-19T10:14:00Z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