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EA" w:rsidRDefault="00A74DFA" w:rsidP="00933AEA">
      <w:pPr>
        <w:pStyle w:val="Overskrift3"/>
      </w:pPr>
      <w:r w:rsidRPr="00B158D7">
        <w:rPr>
          <w:noProof/>
        </w:rPr>
        <w:drawing>
          <wp:inline distT="0" distB="0" distL="0" distR="0" wp14:anchorId="7C0C92BC" wp14:editId="0966262B">
            <wp:extent cx="2425700" cy="685800"/>
            <wp:effectExtent l="0" t="0" r="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EA" w:rsidRDefault="00933AEA" w:rsidP="00933AEA">
      <w:pPr>
        <w:pStyle w:val="Overskrift3"/>
      </w:pPr>
    </w:p>
    <w:p w:rsidR="00933AEA" w:rsidRPr="004152B6" w:rsidRDefault="00933AEA" w:rsidP="00933AEA"/>
    <w:p w:rsidR="00A74DFA" w:rsidRPr="005434DC" w:rsidRDefault="000D3250" w:rsidP="00A74DFA">
      <w:pPr>
        <w:pStyle w:val="Titel"/>
        <w:jc w:val="right"/>
      </w:pPr>
      <w:r>
        <w:t>23. april 2020</w:t>
      </w:r>
    </w:p>
    <w:p w:rsidR="00933AEA" w:rsidRDefault="00933AEA" w:rsidP="00933AEA">
      <w:pPr>
        <w:tabs>
          <w:tab w:val="left" w:pos="6804"/>
        </w:tabs>
        <w:jc w:val="right"/>
      </w:pPr>
      <w:r>
        <w:t xml:space="preserve"> </w:t>
      </w:r>
    </w:p>
    <w:p w:rsidR="00933AEA" w:rsidRDefault="00933AEA" w:rsidP="00933AEA">
      <w:pPr>
        <w:tabs>
          <w:tab w:val="left" w:pos="8222"/>
        </w:tabs>
      </w:pPr>
    </w:p>
    <w:p w:rsidR="00933AEA" w:rsidRDefault="00933AEA" w:rsidP="00933AEA">
      <w:pPr>
        <w:tabs>
          <w:tab w:val="left" w:pos="8222"/>
        </w:tabs>
        <w:jc w:val="center"/>
        <w:rPr>
          <w:b/>
        </w:rPr>
      </w:pPr>
      <w:r>
        <w:rPr>
          <w:b/>
        </w:rPr>
        <w:t>PRODUKTRESUMÉ</w:t>
      </w:r>
    </w:p>
    <w:p w:rsidR="00933AEA" w:rsidRDefault="00933AEA" w:rsidP="00933AEA">
      <w:pPr>
        <w:tabs>
          <w:tab w:val="left" w:pos="8222"/>
        </w:tabs>
        <w:jc w:val="center"/>
        <w:rPr>
          <w:b/>
        </w:rPr>
      </w:pPr>
    </w:p>
    <w:p w:rsidR="00933AEA" w:rsidRDefault="00933AEA" w:rsidP="00933AEA">
      <w:pPr>
        <w:tabs>
          <w:tab w:val="left" w:pos="8222"/>
        </w:tabs>
        <w:jc w:val="center"/>
        <w:rPr>
          <w:b/>
        </w:rPr>
      </w:pPr>
      <w:r>
        <w:rPr>
          <w:b/>
        </w:rPr>
        <w:t>for</w:t>
      </w:r>
    </w:p>
    <w:p w:rsidR="00933AEA" w:rsidRDefault="00933AEA" w:rsidP="00933AEA">
      <w:pPr>
        <w:tabs>
          <w:tab w:val="left" w:pos="8222"/>
        </w:tabs>
        <w:jc w:val="center"/>
        <w:rPr>
          <w:b/>
        </w:rPr>
      </w:pPr>
    </w:p>
    <w:p w:rsidR="00933AEA" w:rsidRDefault="00A74DFA" w:rsidP="00933AEA">
      <w:pPr>
        <w:tabs>
          <w:tab w:val="left" w:pos="8222"/>
        </w:tabs>
        <w:jc w:val="center"/>
        <w:rPr>
          <w:b/>
        </w:rPr>
      </w:pPr>
      <w:proofErr w:type="spellStart"/>
      <w:r>
        <w:rPr>
          <w:b/>
        </w:rPr>
        <w:t>Porcilis</w:t>
      </w:r>
      <w:proofErr w:type="spellEnd"/>
      <w:r>
        <w:rPr>
          <w:b/>
        </w:rPr>
        <w:t xml:space="preserve"> ERY+PARVO (</w:t>
      </w:r>
      <w:proofErr w:type="spellStart"/>
      <w:r w:rsidRPr="00A74DFA">
        <w:rPr>
          <w:b/>
        </w:rPr>
        <w:t>PharmaMénta</w:t>
      </w:r>
      <w:proofErr w:type="spellEnd"/>
      <w:r>
        <w:rPr>
          <w:b/>
        </w:rPr>
        <w:t>)</w:t>
      </w:r>
    </w:p>
    <w:p w:rsidR="00933AEA" w:rsidRDefault="00933AEA" w:rsidP="00933AEA">
      <w:pPr>
        <w:tabs>
          <w:tab w:val="left" w:pos="8222"/>
        </w:tabs>
        <w:rPr>
          <w:b/>
        </w:rPr>
      </w:pPr>
    </w:p>
    <w:p w:rsidR="00933AEA" w:rsidRDefault="00933AEA" w:rsidP="00933AEA">
      <w:pPr>
        <w:tabs>
          <w:tab w:val="left" w:pos="8222"/>
        </w:tabs>
        <w:rPr>
          <w:b/>
        </w:rPr>
      </w:pPr>
    </w:p>
    <w:p w:rsidR="00933AEA" w:rsidRPr="0043567B" w:rsidRDefault="00933AEA" w:rsidP="00933AEA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D.SP.NR</w:t>
      </w:r>
    </w:p>
    <w:p w:rsidR="00933AEA" w:rsidRPr="002A28D4" w:rsidRDefault="00933AEA" w:rsidP="00933AEA">
      <w:pPr>
        <w:tabs>
          <w:tab w:val="left" w:pos="851"/>
          <w:tab w:val="left" w:pos="8222"/>
        </w:tabs>
      </w:pPr>
      <w:r>
        <w:tab/>
        <w:t>9902</w:t>
      </w:r>
    </w:p>
    <w:p w:rsidR="00933AEA" w:rsidRDefault="00933AEA" w:rsidP="00933AEA">
      <w:pPr>
        <w:tabs>
          <w:tab w:val="left" w:pos="851"/>
          <w:tab w:val="left" w:pos="8222"/>
        </w:tabs>
        <w:rPr>
          <w:b/>
        </w:rPr>
      </w:pPr>
    </w:p>
    <w:p w:rsidR="00933AEA" w:rsidRPr="0043567B" w:rsidRDefault="00933AEA" w:rsidP="00933AEA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VETERINÆRLÆGEMIDLETS NAVN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</w:r>
      <w:proofErr w:type="spellStart"/>
      <w:r w:rsidR="00A74DFA">
        <w:t>Porcilis</w:t>
      </w:r>
      <w:proofErr w:type="spellEnd"/>
      <w:r w:rsidR="00A74DFA">
        <w:t xml:space="preserve"> ERY+PARVO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43567B" w:rsidRDefault="00933AEA" w:rsidP="00933AEA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KVALITATIV OG KVANTITATIV SAMMENSÆTNING</w:t>
      </w:r>
    </w:p>
    <w:p w:rsidR="00933AEA" w:rsidRDefault="00933AEA" w:rsidP="00933AEA">
      <w:pPr>
        <w:tabs>
          <w:tab w:val="left" w:pos="851"/>
          <w:tab w:val="left" w:pos="8222"/>
        </w:tabs>
        <w:ind w:left="855"/>
      </w:pPr>
      <w:r>
        <w:t>1 dosis = 2 ml indeholder:</w:t>
      </w:r>
    </w:p>
    <w:p w:rsidR="00933AEA" w:rsidRDefault="00933AEA" w:rsidP="00933AEA">
      <w:pPr>
        <w:numPr>
          <w:ilvl w:val="0"/>
          <w:numId w:val="4"/>
        </w:numPr>
      </w:pPr>
      <w:r>
        <w:t xml:space="preserve">Inaktiveret </w:t>
      </w:r>
      <w:proofErr w:type="spellStart"/>
      <w:r>
        <w:t>Porcin</w:t>
      </w:r>
      <w:proofErr w:type="spellEnd"/>
      <w:r>
        <w:t xml:space="preserve"> </w:t>
      </w:r>
      <w:proofErr w:type="spellStart"/>
      <w:r>
        <w:t>parvovirus</w:t>
      </w:r>
      <w:proofErr w:type="spellEnd"/>
      <w:r>
        <w:t xml:space="preserve"> stamme </w:t>
      </w:r>
      <w:proofErr w:type="gramStart"/>
      <w:r>
        <w:t>014 :</w:t>
      </w:r>
      <w:proofErr w:type="gramEnd"/>
      <w:r>
        <w:t xml:space="preserve"> </w:t>
      </w:r>
      <w:r>
        <w:rPr>
          <w:u w:val="single"/>
        </w:rPr>
        <w:t>&gt;</w:t>
      </w:r>
      <w:r>
        <w:t xml:space="preserve"> 552 ELISA-enheder/ml som bestemt i det færdige produkt ved antigen masse ELISA</w:t>
      </w:r>
    </w:p>
    <w:p w:rsidR="00933AEA" w:rsidRPr="008610B6" w:rsidRDefault="00933AEA" w:rsidP="00933AEA">
      <w:pPr>
        <w:numPr>
          <w:ilvl w:val="0"/>
          <w:numId w:val="4"/>
        </w:numPr>
        <w:tabs>
          <w:tab w:val="left" w:pos="851"/>
          <w:tab w:val="left" w:pos="1276"/>
        </w:tabs>
        <w:rPr>
          <w:szCs w:val="24"/>
        </w:rPr>
      </w:pPr>
      <w:r w:rsidRPr="00FC6542">
        <w:rPr>
          <w:szCs w:val="24"/>
        </w:rPr>
        <w:t xml:space="preserve">Inaktiveret </w:t>
      </w:r>
      <w:proofErr w:type="spellStart"/>
      <w:r>
        <w:rPr>
          <w:szCs w:val="24"/>
        </w:rPr>
        <w:t>lysat</w:t>
      </w:r>
      <w:proofErr w:type="spellEnd"/>
      <w:r>
        <w:rPr>
          <w:szCs w:val="24"/>
        </w:rPr>
        <w:t xml:space="preserve"> af </w:t>
      </w:r>
      <w:r w:rsidRPr="00FC6542">
        <w:rPr>
          <w:i/>
          <w:szCs w:val="24"/>
        </w:rPr>
        <w:t xml:space="preserve">E. </w:t>
      </w:r>
      <w:proofErr w:type="spellStart"/>
      <w:r w:rsidRPr="00FC6542">
        <w:rPr>
          <w:i/>
          <w:szCs w:val="24"/>
        </w:rPr>
        <w:t>rhusiopathiae</w:t>
      </w:r>
      <w:proofErr w:type="spellEnd"/>
      <w:r w:rsidRPr="00FC6542">
        <w:rPr>
          <w:szCs w:val="24"/>
        </w:rPr>
        <w:t xml:space="preserve"> stamme M2 (</w:t>
      </w:r>
      <w:proofErr w:type="spellStart"/>
      <w:r w:rsidRPr="00FC6542">
        <w:rPr>
          <w:szCs w:val="24"/>
        </w:rPr>
        <w:t>serotype</w:t>
      </w:r>
      <w:proofErr w:type="spellEnd"/>
      <w:r w:rsidRPr="00FC6542">
        <w:rPr>
          <w:szCs w:val="24"/>
        </w:rPr>
        <w:t xml:space="preserve"> 2)</w:t>
      </w:r>
      <w:proofErr w:type="gramStart"/>
      <w:r w:rsidRPr="00FC6542">
        <w:rPr>
          <w:szCs w:val="24"/>
        </w:rPr>
        <w:t xml:space="preserve">: </w:t>
      </w:r>
      <w:r w:rsidRPr="008610B6">
        <w:rPr>
          <w:szCs w:val="24"/>
        </w:rPr>
        <w:t>)</w:t>
      </w:r>
      <w:proofErr w:type="gramEnd"/>
      <w:r w:rsidRPr="008610B6">
        <w:rPr>
          <w:szCs w:val="24"/>
        </w:rPr>
        <w:t xml:space="preserve">: </w:t>
      </w:r>
      <w:r w:rsidRPr="008610B6">
        <w:rPr>
          <w:szCs w:val="24"/>
          <w:u w:val="single"/>
        </w:rPr>
        <w:t>&gt;</w:t>
      </w:r>
      <w:r w:rsidRPr="008610B6">
        <w:rPr>
          <w:szCs w:val="24"/>
        </w:rPr>
        <w:t xml:space="preserve"> 1 </w:t>
      </w:r>
      <w:proofErr w:type="spellStart"/>
      <w:r w:rsidRPr="008610B6">
        <w:rPr>
          <w:szCs w:val="24"/>
        </w:rPr>
        <w:t>ppd</w:t>
      </w:r>
      <w:proofErr w:type="spellEnd"/>
      <w:r w:rsidRPr="008610B6">
        <w:rPr>
          <w:szCs w:val="24"/>
        </w:rPr>
        <w:t>*</w:t>
      </w:r>
    </w:p>
    <w:p w:rsidR="00933AEA" w:rsidRPr="008610B6" w:rsidRDefault="00933AEA" w:rsidP="00933AEA">
      <w:pPr>
        <w:rPr>
          <w:szCs w:val="24"/>
          <w:lang w:val="en-US"/>
        </w:rPr>
      </w:pPr>
      <w:r w:rsidRPr="008610B6">
        <w:rPr>
          <w:szCs w:val="24"/>
        </w:rPr>
        <w:t xml:space="preserve">              </w:t>
      </w:r>
      <w:r>
        <w:rPr>
          <w:szCs w:val="24"/>
        </w:rPr>
        <w:t xml:space="preserve">      </w:t>
      </w:r>
      <w:r w:rsidRPr="008610B6">
        <w:rPr>
          <w:szCs w:val="24"/>
        </w:rPr>
        <w:t xml:space="preserve"> </w:t>
      </w:r>
      <w:r w:rsidRPr="008610B6">
        <w:rPr>
          <w:szCs w:val="24"/>
          <w:lang w:val="en-US"/>
        </w:rPr>
        <w:t>*(</w:t>
      </w:r>
      <w:proofErr w:type="spellStart"/>
      <w:r w:rsidRPr="008610B6">
        <w:rPr>
          <w:szCs w:val="24"/>
          <w:lang w:val="en-US"/>
        </w:rPr>
        <w:t>ppd</w:t>
      </w:r>
      <w:proofErr w:type="spellEnd"/>
      <w:r w:rsidRPr="008610B6">
        <w:rPr>
          <w:szCs w:val="24"/>
          <w:lang w:val="en-US"/>
        </w:rPr>
        <w:t xml:space="preserve"> = pig protective dose) </w:t>
      </w:r>
      <w:proofErr w:type="spellStart"/>
      <w:r w:rsidRPr="008610B6">
        <w:rPr>
          <w:szCs w:val="24"/>
          <w:lang w:val="en-US"/>
        </w:rPr>
        <w:t>iflg</w:t>
      </w:r>
      <w:proofErr w:type="spellEnd"/>
      <w:r w:rsidRPr="008610B6">
        <w:rPr>
          <w:szCs w:val="24"/>
          <w:lang w:val="en-US"/>
        </w:rPr>
        <w:t>. Ph. Eur. Potency test</w:t>
      </w:r>
    </w:p>
    <w:p w:rsidR="00933AEA" w:rsidRPr="00B3735C" w:rsidRDefault="00933AEA" w:rsidP="00933AEA">
      <w:pPr>
        <w:tabs>
          <w:tab w:val="left" w:pos="851"/>
          <w:tab w:val="left" w:pos="8222"/>
        </w:tabs>
        <w:ind w:left="851" w:hanging="851"/>
        <w:rPr>
          <w:lang w:val="en-GB"/>
        </w:rPr>
      </w:pPr>
    </w:p>
    <w:p w:rsidR="00933AEA" w:rsidRPr="00A74DFA" w:rsidRDefault="00933AEA" w:rsidP="00933AEA">
      <w:pPr>
        <w:rPr>
          <w:b/>
        </w:rPr>
      </w:pPr>
      <w:r w:rsidRPr="00B3735C">
        <w:rPr>
          <w:b/>
          <w:lang w:val="en-GB"/>
        </w:rPr>
        <w:t xml:space="preserve">              </w:t>
      </w:r>
      <w:proofErr w:type="spellStart"/>
      <w:r w:rsidRPr="00A74DFA">
        <w:rPr>
          <w:b/>
        </w:rPr>
        <w:t>Adjuvans</w:t>
      </w:r>
      <w:proofErr w:type="spellEnd"/>
      <w:r w:rsidRPr="00A74DFA">
        <w:rPr>
          <w:b/>
        </w:rPr>
        <w:t>:</w:t>
      </w:r>
    </w:p>
    <w:p w:rsidR="00933AEA" w:rsidRPr="00336B23" w:rsidRDefault="00933AEA" w:rsidP="00933AEA">
      <w:r w:rsidRPr="00A74DFA">
        <w:rPr>
          <w:b/>
        </w:rPr>
        <w:t xml:space="preserve">      </w:t>
      </w:r>
      <w:r w:rsidRPr="00A74DFA">
        <w:t xml:space="preserve">        </w:t>
      </w:r>
      <w:r w:rsidRPr="00336B23">
        <w:t>dl-</w:t>
      </w:r>
      <w:r w:rsidRPr="00336B23">
        <w:sym w:font="Symbol" w:char="F061"/>
      </w:r>
      <w:r>
        <w:t>-</w:t>
      </w:r>
      <w:proofErr w:type="spellStart"/>
      <w:r>
        <w:t>tocopherolacetat</w:t>
      </w:r>
      <w:proofErr w:type="spellEnd"/>
      <w:r>
        <w:tab/>
        <w:t>150 mg</w:t>
      </w:r>
    </w:p>
    <w:p w:rsidR="00933AEA" w:rsidRDefault="00933AEA" w:rsidP="00933AEA"/>
    <w:p w:rsidR="00933AEA" w:rsidRDefault="00933AEA" w:rsidP="00933AEA">
      <w:pPr>
        <w:rPr>
          <w:b/>
        </w:rPr>
      </w:pPr>
      <w:r>
        <w:rPr>
          <w:b/>
        </w:rPr>
        <w:t xml:space="preserve">              Hjælpestof: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 xml:space="preserve">              Formaldehyd:                       0,02% + 0,05%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Default="00933AEA" w:rsidP="00933AEA">
      <w:r>
        <w:t xml:space="preserve">              Se afsnit 6.1 for en fuldstændig fortegnelse over hjælpestoffer.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43567B" w:rsidRDefault="00933AEA" w:rsidP="00933AEA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LÆGEMIDDELFORM</w:t>
      </w:r>
    </w:p>
    <w:p w:rsidR="00933AEA" w:rsidRPr="00B47187" w:rsidRDefault="00933AEA" w:rsidP="00933AEA">
      <w:pPr>
        <w:tabs>
          <w:tab w:val="left" w:pos="851"/>
          <w:tab w:val="left" w:pos="8222"/>
        </w:tabs>
        <w:ind w:left="855"/>
      </w:pPr>
      <w:r>
        <w:t>Injektionsvæske, suspension</w:t>
      </w:r>
      <w:r w:rsidR="00A74DFA">
        <w:t xml:space="preserve"> (</w:t>
      </w:r>
      <w:proofErr w:type="spellStart"/>
      <w:r w:rsidR="00A74DFA" w:rsidRPr="00A74DFA">
        <w:t>PharmaMénta</w:t>
      </w:r>
      <w:proofErr w:type="spellEnd"/>
      <w:r w:rsidR="00A74DFA">
        <w:t>)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Default="00933AEA" w:rsidP="00933AEA">
      <w:pPr>
        <w:numPr>
          <w:ilvl w:val="0"/>
          <w:numId w:val="1"/>
        </w:numPr>
        <w:tabs>
          <w:tab w:val="left" w:pos="8222"/>
        </w:tabs>
        <w:rPr>
          <w:b/>
        </w:rPr>
      </w:pPr>
      <w:r>
        <w:rPr>
          <w:b/>
        </w:rPr>
        <w:t>KLINISKE OPLYSNINGER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43567B" w:rsidRDefault="00933AEA" w:rsidP="00933AEA">
      <w:pPr>
        <w:tabs>
          <w:tab w:val="left" w:pos="851"/>
          <w:tab w:val="left" w:pos="8222"/>
        </w:tabs>
        <w:rPr>
          <w:b/>
          <w:u w:val="single"/>
        </w:rPr>
      </w:pPr>
      <w:r w:rsidRPr="0043567B">
        <w:rPr>
          <w:b/>
        </w:rPr>
        <w:t>4.1</w:t>
      </w:r>
      <w:r w:rsidRPr="0043567B">
        <w:rPr>
          <w:b/>
        </w:rPr>
        <w:tab/>
        <w:t>Dyrearter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  <w:t xml:space="preserve">Svin (søer, polte og </w:t>
      </w:r>
      <w:proofErr w:type="spellStart"/>
      <w:r>
        <w:t>gylte</w:t>
      </w:r>
      <w:proofErr w:type="spellEnd"/>
      <w:r>
        <w:t>).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43567B" w:rsidRDefault="00933AEA" w:rsidP="00933AEA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rPr>
          <w:b/>
        </w:rPr>
      </w:pPr>
      <w:r w:rsidRPr="0043567B">
        <w:rPr>
          <w:b/>
        </w:rPr>
        <w:t>Terapeutiske indikationer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 xml:space="preserve">Til aktiv immunisering af søer, polte og </w:t>
      </w:r>
      <w:proofErr w:type="spellStart"/>
      <w:r>
        <w:t>gylte</w:t>
      </w:r>
      <w:proofErr w:type="spellEnd"/>
      <w:r>
        <w:t xml:space="preserve"> for at forebygge rødsyge forårsaget af alle relevante </w:t>
      </w:r>
      <w:proofErr w:type="spellStart"/>
      <w:r>
        <w:rPr>
          <w:i/>
        </w:rPr>
        <w:t>Erysipelothrix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rhusiopathiae</w:t>
      </w:r>
      <w:proofErr w:type="spellEnd"/>
      <w:r>
        <w:rPr>
          <w:i/>
        </w:rPr>
        <w:t xml:space="preserve"> </w:t>
      </w:r>
      <w:r>
        <w:t>(</w:t>
      </w:r>
      <w:proofErr w:type="spellStart"/>
      <w:r>
        <w:t>serotype</w:t>
      </w:r>
      <w:proofErr w:type="spellEnd"/>
      <w:r>
        <w:t xml:space="preserve"> 1 og 2) bakterier, og for at beskytte mod smitsom fosterdød forårsaget af </w:t>
      </w:r>
      <w:proofErr w:type="spellStart"/>
      <w:r>
        <w:t>porcint</w:t>
      </w:r>
      <w:proofErr w:type="spellEnd"/>
      <w:r>
        <w:t xml:space="preserve"> </w:t>
      </w:r>
      <w:proofErr w:type="spellStart"/>
      <w:r>
        <w:t>parvovirus</w:t>
      </w:r>
      <w:proofErr w:type="spellEnd"/>
      <w:r>
        <w:t xml:space="preserve"> infektioner.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lastRenderedPageBreak/>
        <w:tab/>
        <w:t xml:space="preserve">E. </w:t>
      </w:r>
      <w:proofErr w:type="spellStart"/>
      <w:r>
        <w:t>rhusiopathiae</w:t>
      </w:r>
      <w:proofErr w:type="spellEnd"/>
      <w:r>
        <w:t>: Indtræden af immunitet: 3 uger.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 xml:space="preserve">                            Varighed af immunitet: 6 måneder.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PPV: Varighed af immunitet: 12 måneder.</w:t>
      </w:r>
      <w:r>
        <w:tab/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43567B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rPr>
          <w:b/>
        </w:rPr>
      </w:pPr>
      <w:r w:rsidRPr="0043567B">
        <w:rPr>
          <w:b/>
        </w:rPr>
        <w:t>4.3</w:t>
      </w:r>
      <w:r w:rsidRPr="0043567B">
        <w:rPr>
          <w:b/>
        </w:rPr>
        <w:tab/>
        <w:t>Kontraindikationer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Ingen.</w:t>
      </w: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</w:p>
    <w:p w:rsidR="00933AEA" w:rsidRPr="0043567B" w:rsidRDefault="00933AEA" w:rsidP="00933AEA">
      <w:pPr>
        <w:tabs>
          <w:tab w:val="left" w:pos="851"/>
          <w:tab w:val="left" w:pos="8222"/>
        </w:tabs>
        <w:rPr>
          <w:b/>
        </w:rPr>
      </w:pPr>
      <w:r w:rsidRPr="0043567B">
        <w:rPr>
          <w:b/>
        </w:rPr>
        <w:t>4.4</w:t>
      </w:r>
      <w:r w:rsidRPr="0043567B">
        <w:rPr>
          <w:b/>
        </w:rPr>
        <w:tab/>
        <w:t>Særlige advarsler for hver dyreart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  <w:t>Ingen.</w:t>
      </w: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222"/>
        </w:tabs>
        <w:jc w:val="both"/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4.5</w:t>
      </w:r>
      <w:r w:rsidRPr="00E71A53">
        <w:rPr>
          <w:b/>
        </w:rPr>
        <w:tab/>
        <w:t>Særlige forsigtighedsregler vedrørende brugen</w:t>
      </w:r>
    </w:p>
    <w:p w:rsidR="00933AEA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ab/>
      </w: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>
        <w:rPr>
          <w:b/>
        </w:rPr>
        <w:tab/>
      </w:r>
      <w:r w:rsidRPr="00E71A53">
        <w:rPr>
          <w:b/>
        </w:rPr>
        <w:t>Særlige forsigtighedsregler for dyret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Kun raske dyr bør vaccineres.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>
        <w:tab/>
      </w:r>
      <w:r w:rsidRPr="00E71A53">
        <w:rPr>
          <w:b/>
        </w:rPr>
        <w:t>Særlige forsigtighedsregler for personer, der administrerer lægemidlet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  <w:t>I tilfælde af selvinjektion ved hændeligt uheld skal der straks søges lægehjælp, og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  <w:t>indlægssedlen eller etiketten bør vises til lægen.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>
        <w:tab/>
      </w:r>
      <w:r w:rsidRPr="00E71A53">
        <w:rPr>
          <w:b/>
        </w:rPr>
        <w:t>Andre forsigtighedsregler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  <w:t>-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4.6</w:t>
      </w:r>
      <w:r w:rsidRPr="00E71A53">
        <w:rPr>
          <w:b/>
        </w:rPr>
        <w:tab/>
        <w:t>Bivirkninger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 xml:space="preserve">Efter vaccination kan iagttages let, forbigående stigning i kropstemperatur (0,5 °C) i op til 24 timer samt </w:t>
      </w:r>
      <w:proofErr w:type="spellStart"/>
      <w:r>
        <w:t>lokalreaktion</w:t>
      </w:r>
      <w:proofErr w:type="spellEnd"/>
      <w:r>
        <w:t xml:space="preserve"> (Ø 1 – 10 mm) i op til 8 dage. Desuden kan let nedstemthed ses hos en begrænset del af dyrene. I meget sjældne tilfælde kan der opstå allergiske reaktioner.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>
        <w:rPr>
          <w:b/>
        </w:rPr>
        <w:t>4.7</w:t>
      </w:r>
      <w:r>
        <w:rPr>
          <w:b/>
        </w:rPr>
        <w:tab/>
        <w:t>Drægtighed, diegivning eller</w:t>
      </w:r>
      <w:r w:rsidRPr="00E71A53">
        <w:rPr>
          <w:b/>
        </w:rPr>
        <w:t xml:space="preserve"> æglægning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Kan anvendes.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4.8</w:t>
      </w:r>
      <w:r w:rsidRPr="00E71A53">
        <w:rPr>
          <w:b/>
        </w:rPr>
        <w:tab/>
        <w:t>Interaktion med andre lægemidler og andre former for interaktion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</w:r>
      <w:proofErr w:type="spellStart"/>
      <w:r>
        <w:t>Immunsuppresive</w:t>
      </w:r>
      <w:proofErr w:type="spellEnd"/>
      <w:r>
        <w:t xml:space="preserve"> lægemidler må ikke anvendes inden og efter vaccinationen.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4.9</w:t>
      </w:r>
      <w:r w:rsidRPr="00E71A53">
        <w:rPr>
          <w:b/>
        </w:rPr>
        <w:tab/>
        <w:t>Dosering og indgivelsesmåde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 xml:space="preserve">Vaccinen skal have stuetemperatur (15 – 25 </w:t>
      </w:r>
      <w:r>
        <w:sym w:font="Symbol" w:char="F0B0"/>
      </w:r>
      <w:r>
        <w:t xml:space="preserve">C) før vaccination påbegyndes. 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Omrystes grundigt før brug.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Anvend sterile sprøjter og nåle.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Dosering: 2 ml, som indgives dybt intramuskulært bag øret.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</w:r>
      <w:r>
        <w:rPr>
          <w:b/>
        </w:rPr>
        <w:t>Basisvaccination</w:t>
      </w:r>
      <w:r>
        <w:t xml:space="preserve">, 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rPr>
          <w:b/>
        </w:rPr>
        <w:tab/>
      </w:r>
      <w:r>
        <w:t xml:space="preserve">Polte bør vaccineres mod smitsom fosterdød før første løbning. Vaccination senest 2 uger før løbning giver beskyttelse i de to følgende drægtighedsperioder. For beskyttelse imod rødsyge anbefales yderligere vaccination med monovalent rødsygevaccine 4 uger før eller 4 uger efter vaccination med </w:t>
      </w:r>
      <w:proofErr w:type="spellStart"/>
      <w:r w:rsidR="00A74DFA">
        <w:t>Porcilis</w:t>
      </w:r>
      <w:proofErr w:type="spellEnd"/>
      <w:r w:rsidR="00A74DFA">
        <w:t xml:space="preserve"> ERY+PARVO</w:t>
      </w:r>
      <w:r>
        <w:t xml:space="preserve"> På grund af mulig </w:t>
      </w:r>
      <w:r w:rsidRPr="00D30BC3">
        <w:t>interferens</w:t>
      </w:r>
      <w:r>
        <w:t xml:space="preserve"> med </w:t>
      </w:r>
      <w:proofErr w:type="spellStart"/>
      <w:r>
        <w:t>maternelle</w:t>
      </w:r>
      <w:proofErr w:type="spellEnd"/>
      <w:r>
        <w:t xml:space="preserve"> antistoffer skal dyrene være 6 måneder før vaccination for at sikre virkning mod smitsom fosterdød.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</w:r>
      <w:r>
        <w:rPr>
          <w:b/>
        </w:rPr>
        <w:t>Revaccination</w:t>
      </w:r>
      <w:r>
        <w:t xml:space="preserve">, </w:t>
      </w:r>
      <w:proofErr w:type="spellStart"/>
      <w:r w:rsidR="00A74DFA">
        <w:t>Porcilis</w:t>
      </w:r>
      <w:proofErr w:type="spellEnd"/>
      <w:r w:rsidR="00A74DFA">
        <w:t xml:space="preserve"> ERY+PARVO</w:t>
      </w:r>
      <w:r>
        <w:t xml:space="preserve"> gives én gang årligt suppleret med vaccination med monovalent rødsygevaccine 6 måneder efter vaccinationen med </w:t>
      </w:r>
      <w:proofErr w:type="spellStart"/>
      <w:r w:rsidR="00A74DFA">
        <w:t>Porcilis</w:t>
      </w:r>
      <w:proofErr w:type="spellEnd"/>
      <w:r w:rsidR="00A74DFA">
        <w:t xml:space="preserve"> ERY+PARVO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4.10</w:t>
      </w:r>
      <w:r w:rsidRPr="00E71A53">
        <w:rPr>
          <w:b/>
        </w:rPr>
        <w:tab/>
        <w:t>Overdosering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Ingen særlige symptomer ved dobbelt dosis udover de i pkt. 4.6 nævnte.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71A53" w:rsidRDefault="00933AEA" w:rsidP="00933AEA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4.11</w:t>
      </w:r>
      <w:r w:rsidRPr="00E71A53">
        <w:rPr>
          <w:b/>
        </w:rPr>
        <w:tab/>
        <w:t>Tilbageholdelsestid</w:t>
      </w:r>
    </w:p>
    <w:p w:rsidR="00933AEA" w:rsidRDefault="00933AEA" w:rsidP="00933AEA">
      <w:pPr>
        <w:tabs>
          <w:tab w:val="left" w:pos="851"/>
          <w:tab w:val="left" w:pos="2268"/>
          <w:tab w:val="left" w:pos="2552"/>
          <w:tab w:val="left" w:pos="8222"/>
        </w:tabs>
        <w:ind w:left="851" w:hanging="851"/>
      </w:pPr>
      <w:r>
        <w:tab/>
        <w:t>Slagtning: 0 døgn.</w:t>
      </w: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</w:p>
    <w:p w:rsidR="00933AEA" w:rsidRDefault="00933AEA" w:rsidP="00A74DFA">
      <w:pPr>
        <w:numPr>
          <w:ilvl w:val="0"/>
          <w:numId w:val="1"/>
        </w:numPr>
        <w:tabs>
          <w:tab w:val="left" w:pos="8222"/>
        </w:tabs>
        <w:rPr>
          <w:b/>
        </w:rPr>
      </w:pPr>
      <w:r>
        <w:rPr>
          <w:b/>
        </w:rPr>
        <w:t>IMMUNOLOGISKE OPLYSNINGER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 xml:space="preserve">              ATC-</w:t>
      </w:r>
      <w:proofErr w:type="spellStart"/>
      <w:r>
        <w:t>vetkode</w:t>
      </w:r>
      <w:proofErr w:type="spellEnd"/>
      <w:r>
        <w:t>: QI 09 AL 01</w:t>
      </w:r>
    </w:p>
    <w:p w:rsidR="00933AEA" w:rsidRDefault="00933AEA" w:rsidP="00933AEA">
      <w:pPr>
        <w:tabs>
          <w:tab w:val="left" w:pos="8222"/>
        </w:tabs>
      </w:pPr>
    </w:p>
    <w:p w:rsidR="00933AEA" w:rsidRPr="00281305" w:rsidRDefault="00933AEA" w:rsidP="00933AEA">
      <w:pPr>
        <w:tabs>
          <w:tab w:val="left" w:pos="851"/>
          <w:tab w:val="left" w:pos="8222"/>
        </w:tabs>
        <w:rPr>
          <w:b/>
        </w:rPr>
      </w:pPr>
      <w:r w:rsidRPr="00281305">
        <w:rPr>
          <w:b/>
        </w:rPr>
        <w:t>5.1</w:t>
      </w:r>
      <w:r w:rsidRPr="00281305">
        <w:rPr>
          <w:b/>
        </w:rPr>
        <w:tab/>
        <w:t>Immunologiske egenskaber</w:t>
      </w: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  <w:r>
        <w:tab/>
        <w:t>Den ak</w:t>
      </w:r>
      <w:r w:rsidRPr="008610B6">
        <w:t xml:space="preserve">tive substans er et </w:t>
      </w:r>
      <w:proofErr w:type="spellStart"/>
      <w:r w:rsidRPr="008610B6">
        <w:t>lysat</w:t>
      </w:r>
      <w:proofErr w:type="spellEnd"/>
      <w:r w:rsidRPr="008610B6">
        <w:t xml:space="preserve"> af </w:t>
      </w:r>
      <w:r>
        <w:rPr>
          <w:i/>
        </w:rPr>
        <w:t xml:space="preserve">E. </w:t>
      </w:r>
      <w:proofErr w:type="spellStart"/>
      <w:r>
        <w:rPr>
          <w:i/>
        </w:rPr>
        <w:t>rhusiopathiae</w:t>
      </w:r>
      <w:proofErr w:type="spellEnd"/>
      <w:r>
        <w:t xml:space="preserve"> stamme M2 (</w:t>
      </w:r>
      <w:proofErr w:type="spellStart"/>
      <w:r>
        <w:t>serotype</w:t>
      </w:r>
      <w:proofErr w:type="spellEnd"/>
      <w:r>
        <w:t xml:space="preserve"> 2) og inaktiveret </w:t>
      </w:r>
      <w:proofErr w:type="spellStart"/>
      <w:r>
        <w:t>parvovirus</w:t>
      </w:r>
      <w:proofErr w:type="spellEnd"/>
      <w:r>
        <w:t xml:space="preserve"> stamme 014</w:t>
      </w:r>
    </w:p>
    <w:p w:rsidR="00933AEA" w:rsidRPr="008610B6" w:rsidRDefault="00933AEA" w:rsidP="00933AEA">
      <w:pPr>
        <w:pStyle w:val="spc2"/>
        <w:tabs>
          <w:tab w:val="left" w:pos="0"/>
        </w:tabs>
        <w:ind w:left="851"/>
        <w:rPr>
          <w:sz w:val="24"/>
          <w:szCs w:val="24"/>
          <w:lang w:val="da-DK"/>
        </w:rPr>
      </w:pPr>
      <w:r w:rsidRPr="008610B6">
        <w:rPr>
          <w:sz w:val="24"/>
          <w:szCs w:val="24"/>
          <w:lang w:val="da-DK"/>
        </w:rPr>
        <w:t xml:space="preserve">Anvendes til aktiv immunisering af polte, </w:t>
      </w:r>
      <w:proofErr w:type="spellStart"/>
      <w:r w:rsidRPr="008610B6">
        <w:rPr>
          <w:sz w:val="24"/>
          <w:szCs w:val="24"/>
          <w:lang w:val="da-DK"/>
        </w:rPr>
        <w:t>gylte</w:t>
      </w:r>
      <w:proofErr w:type="spellEnd"/>
      <w:r w:rsidRPr="008610B6">
        <w:rPr>
          <w:sz w:val="24"/>
          <w:szCs w:val="24"/>
          <w:lang w:val="da-DK"/>
        </w:rPr>
        <w:t xml:space="preserve"> og søer, som en hjælp til kontrol af rødsyge hos svin og for at beskytte embryoer og </w:t>
      </w:r>
      <w:r>
        <w:rPr>
          <w:sz w:val="24"/>
          <w:szCs w:val="24"/>
          <w:lang w:val="da-DK"/>
        </w:rPr>
        <w:t>fostre</w:t>
      </w:r>
      <w:r w:rsidRPr="008610B6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mod infek</w:t>
      </w:r>
      <w:r w:rsidRPr="008610B6">
        <w:rPr>
          <w:sz w:val="24"/>
          <w:szCs w:val="24"/>
          <w:lang w:val="da-DK"/>
        </w:rPr>
        <w:t xml:space="preserve">tion med </w:t>
      </w:r>
      <w:proofErr w:type="spellStart"/>
      <w:r w:rsidRPr="008610B6">
        <w:rPr>
          <w:sz w:val="24"/>
          <w:szCs w:val="24"/>
          <w:lang w:val="da-DK"/>
        </w:rPr>
        <w:t>porcint</w:t>
      </w:r>
      <w:proofErr w:type="spellEnd"/>
      <w:r w:rsidRPr="008610B6">
        <w:rPr>
          <w:sz w:val="24"/>
          <w:szCs w:val="24"/>
          <w:lang w:val="da-DK"/>
        </w:rPr>
        <w:t xml:space="preserve"> </w:t>
      </w:r>
      <w:proofErr w:type="spellStart"/>
      <w:r w:rsidRPr="008610B6">
        <w:rPr>
          <w:sz w:val="24"/>
          <w:szCs w:val="24"/>
          <w:lang w:val="da-DK"/>
        </w:rPr>
        <w:t>parvovirus</w:t>
      </w:r>
      <w:proofErr w:type="spellEnd"/>
      <w:r w:rsidRPr="008610B6">
        <w:rPr>
          <w:sz w:val="24"/>
          <w:szCs w:val="24"/>
          <w:lang w:val="da-DK"/>
        </w:rPr>
        <w:t xml:space="preserve">. Antigenerne er </w:t>
      </w:r>
      <w:proofErr w:type="spellStart"/>
      <w:r w:rsidRPr="008610B6">
        <w:rPr>
          <w:sz w:val="24"/>
          <w:szCs w:val="24"/>
          <w:lang w:val="da-DK"/>
        </w:rPr>
        <w:t>indkorporeret</w:t>
      </w:r>
      <w:proofErr w:type="spellEnd"/>
      <w:r w:rsidRPr="008610B6">
        <w:rPr>
          <w:sz w:val="24"/>
          <w:szCs w:val="24"/>
          <w:lang w:val="da-DK"/>
        </w:rPr>
        <w:t xml:space="preserve"> i en vandig </w:t>
      </w:r>
      <w:proofErr w:type="spellStart"/>
      <w:r w:rsidRPr="008610B6">
        <w:rPr>
          <w:sz w:val="24"/>
          <w:szCs w:val="24"/>
          <w:lang w:val="da-DK"/>
        </w:rPr>
        <w:t>tocopherol</w:t>
      </w:r>
      <w:proofErr w:type="spellEnd"/>
      <w:r w:rsidRPr="008610B6">
        <w:rPr>
          <w:sz w:val="24"/>
          <w:szCs w:val="24"/>
          <w:lang w:val="da-DK"/>
        </w:rPr>
        <w:t xml:space="preserve"> baseret </w:t>
      </w:r>
      <w:proofErr w:type="spellStart"/>
      <w:r w:rsidRPr="008610B6">
        <w:rPr>
          <w:sz w:val="24"/>
          <w:szCs w:val="24"/>
          <w:lang w:val="da-DK"/>
        </w:rPr>
        <w:t>adjuvans</w:t>
      </w:r>
      <w:proofErr w:type="spellEnd"/>
      <w:r w:rsidRPr="008610B6">
        <w:rPr>
          <w:sz w:val="24"/>
          <w:szCs w:val="24"/>
          <w:lang w:val="da-DK"/>
        </w:rPr>
        <w:t>, med det formål at fremme en langvarig stimulation af immunsystemet.</w:t>
      </w: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</w:p>
    <w:p w:rsidR="00933AEA" w:rsidRPr="00281305" w:rsidRDefault="00933AEA" w:rsidP="00933AEA">
      <w:pPr>
        <w:tabs>
          <w:tab w:val="left" w:pos="851"/>
          <w:tab w:val="left" w:pos="8222"/>
        </w:tabs>
        <w:rPr>
          <w:b/>
        </w:rPr>
      </w:pPr>
      <w:r w:rsidRPr="00281305">
        <w:rPr>
          <w:b/>
        </w:rPr>
        <w:t>5.2</w:t>
      </w:r>
      <w:r w:rsidRPr="00281305">
        <w:rPr>
          <w:b/>
        </w:rPr>
        <w:tab/>
        <w:t>Miljømæssige forhold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-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Default="00933AEA" w:rsidP="00933AEA">
      <w:pPr>
        <w:numPr>
          <w:ilvl w:val="0"/>
          <w:numId w:val="1"/>
        </w:numPr>
        <w:tabs>
          <w:tab w:val="left" w:pos="8222"/>
        </w:tabs>
        <w:rPr>
          <w:b/>
        </w:rPr>
      </w:pPr>
      <w:r>
        <w:rPr>
          <w:b/>
        </w:rPr>
        <w:t>FARMACEUTISKE OPLYSNINGER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F39EF" w:rsidRDefault="00933AEA" w:rsidP="00933AEA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Hjælpestoffer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dl-</w:t>
      </w:r>
      <w:r>
        <w:sym w:font="Symbol" w:char="F061"/>
      </w:r>
      <w:r>
        <w:t>-</w:t>
      </w:r>
      <w:proofErr w:type="spellStart"/>
      <w:r>
        <w:t>tocopherolacetat</w:t>
      </w:r>
      <w:proofErr w:type="spellEnd"/>
      <w:r>
        <w:t xml:space="preserve">. </w:t>
      </w:r>
      <w:proofErr w:type="spellStart"/>
      <w:r>
        <w:t>Pol</w:t>
      </w:r>
      <w:r w:rsidR="000D3250">
        <w:t>y</w:t>
      </w:r>
      <w:r>
        <w:t>sorbat</w:t>
      </w:r>
      <w:proofErr w:type="spellEnd"/>
      <w:r>
        <w:t xml:space="preserve"> 80. Tris(</w:t>
      </w:r>
      <w:proofErr w:type="spellStart"/>
      <w:r>
        <w:t>hydroxymethyl</w:t>
      </w:r>
      <w:proofErr w:type="spellEnd"/>
      <w:r>
        <w:t>)</w:t>
      </w:r>
      <w:proofErr w:type="spellStart"/>
      <w:r>
        <w:t>aminomethan</w:t>
      </w:r>
      <w:proofErr w:type="spellEnd"/>
      <w:r>
        <w:t xml:space="preserve">. </w:t>
      </w:r>
      <w:proofErr w:type="spellStart"/>
      <w:r>
        <w:t>Natriumchlorid</w:t>
      </w:r>
      <w:proofErr w:type="spellEnd"/>
      <w:r>
        <w:t xml:space="preserve">. Formaldehyd. </w:t>
      </w:r>
      <w:proofErr w:type="spellStart"/>
      <w:r>
        <w:t>Simethicon</w:t>
      </w:r>
      <w:proofErr w:type="spellEnd"/>
      <w:r>
        <w:t>. Vand til injektionsvæsker.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F39EF" w:rsidRDefault="00933AEA" w:rsidP="00933AEA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Uforligeligheder</w:t>
      </w:r>
    </w:p>
    <w:p w:rsidR="00933AEA" w:rsidRDefault="00933AEA" w:rsidP="00933AEA">
      <w:pPr>
        <w:tabs>
          <w:tab w:val="left" w:pos="851"/>
          <w:tab w:val="left" w:pos="8222"/>
        </w:tabs>
        <w:ind w:left="855"/>
      </w:pPr>
      <w:r>
        <w:t>Må ikke blandes med andre vacciner eller immunologiske produkter.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F39EF" w:rsidRDefault="00933AEA" w:rsidP="00933AEA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Opbevaringstid</w:t>
      </w:r>
    </w:p>
    <w:p w:rsidR="00933AEA" w:rsidRDefault="00933AEA" w:rsidP="00933AEA">
      <w:pPr>
        <w:tabs>
          <w:tab w:val="left" w:pos="851"/>
          <w:tab w:val="left" w:pos="8222"/>
        </w:tabs>
        <w:ind w:left="855"/>
      </w:pPr>
      <w:r>
        <w:t>24 måneder.</w:t>
      </w:r>
    </w:p>
    <w:p w:rsidR="00933AEA" w:rsidRDefault="00933AEA" w:rsidP="00933AEA">
      <w:pPr>
        <w:tabs>
          <w:tab w:val="left" w:pos="851"/>
          <w:tab w:val="left" w:pos="2268"/>
          <w:tab w:val="left" w:pos="2552"/>
          <w:tab w:val="left" w:pos="8222"/>
        </w:tabs>
        <w:ind w:left="855"/>
      </w:pPr>
      <w:r>
        <w:t>Efter anbrud:</w:t>
      </w:r>
      <w:r w:rsidR="00E2372C">
        <w:t xml:space="preserve"> </w:t>
      </w:r>
      <w:r>
        <w:t>10 timer</w:t>
      </w:r>
      <w:r w:rsidR="00A74DFA">
        <w:t xml:space="preserve"> ved 2-8</w:t>
      </w:r>
      <w:r w:rsidR="00A74DFA" w:rsidRPr="00A74DFA">
        <w:t>°C.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F39EF" w:rsidRDefault="00933AEA" w:rsidP="00933AEA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Særlige opbevaringsforhold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  <w:t>Opbevares ved 2-8 °C. Må ikke fryses. Beskyttes mod lys.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EF39EF" w:rsidRDefault="00933AEA" w:rsidP="00933AEA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Emballage</w:t>
      </w:r>
    </w:p>
    <w:p w:rsidR="00933AEA" w:rsidRDefault="00933AEA" w:rsidP="00933AEA">
      <w:pPr>
        <w:tabs>
          <w:tab w:val="left" w:pos="851"/>
          <w:tab w:val="left" w:pos="8222"/>
        </w:tabs>
        <w:ind w:left="855"/>
      </w:pPr>
      <w:r>
        <w:t>PET-flaske</w:t>
      </w:r>
      <w:r w:rsidR="000D3250">
        <w:t xml:space="preserve"> (hætteglas)</w:t>
      </w:r>
      <w:r w:rsidR="00A74DFA">
        <w:t>.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58605D" w:rsidRDefault="00933AEA" w:rsidP="00933AEA">
      <w:pPr>
        <w:tabs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t>6.6</w:t>
      </w:r>
      <w:r w:rsidRPr="0058605D">
        <w:rPr>
          <w:b/>
        </w:rPr>
        <w:tab/>
        <w:t>Særlige forholdsregler ved bortskaffelse af rester af lægemidlet eller affald</w:t>
      </w:r>
    </w:p>
    <w:p w:rsidR="00933AEA" w:rsidRDefault="00933AEA" w:rsidP="00933AEA">
      <w:pPr>
        <w:tabs>
          <w:tab w:val="left" w:pos="851"/>
          <w:tab w:val="left" w:pos="8222"/>
        </w:tabs>
        <w:ind w:left="855"/>
      </w:pPr>
      <w:r>
        <w:t>Beholder og evt. restindhold tilbageleveres til apotek/leverandør eller til kommunal modtageordning.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 xml:space="preserve"> </w:t>
      </w: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Default="000D3250" w:rsidP="00933AEA">
      <w:pPr>
        <w:tabs>
          <w:tab w:val="left" w:pos="851"/>
          <w:tab w:val="left" w:pos="8222"/>
        </w:tabs>
        <w:ind w:left="851" w:hanging="851"/>
      </w:pPr>
    </w:p>
    <w:p w:rsidR="000D3250" w:rsidRPr="00C0642C" w:rsidRDefault="000D3250" w:rsidP="00933AEA">
      <w:pPr>
        <w:tabs>
          <w:tab w:val="left" w:pos="851"/>
          <w:tab w:val="left" w:pos="8222"/>
        </w:tabs>
        <w:ind w:left="851" w:hanging="851"/>
      </w:pPr>
      <w:bookmarkStart w:id="0" w:name="_GoBack"/>
      <w:bookmarkEnd w:id="0"/>
    </w:p>
    <w:p w:rsidR="00933AEA" w:rsidRPr="0058605D" w:rsidRDefault="00933AEA" w:rsidP="00933AEA">
      <w:pPr>
        <w:tabs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lastRenderedPageBreak/>
        <w:t>7.</w:t>
      </w:r>
      <w:r w:rsidRPr="0058605D">
        <w:rPr>
          <w:b/>
        </w:rPr>
        <w:tab/>
        <w:t>INDEHAVER AF MARKEDSFØRINGSTILLADELSEN</w:t>
      </w:r>
    </w:p>
    <w:p w:rsidR="00933AEA" w:rsidRDefault="00A74DFA" w:rsidP="00077A34">
      <w:pPr>
        <w:tabs>
          <w:tab w:val="left" w:pos="2851"/>
          <w:tab w:val="left" w:pos="4569"/>
          <w:tab w:val="left" w:pos="5738"/>
        </w:tabs>
        <w:ind w:left="851"/>
      </w:pPr>
      <w:proofErr w:type="spellStart"/>
      <w:r w:rsidRPr="00A74DFA">
        <w:t>PharmaMénta</w:t>
      </w:r>
      <w:proofErr w:type="spellEnd"/>
      <w:r w:rsidRPr="00A74DFA">
        <w:t xml:space="preserve"> ApS</w:t>
      </w:r>
    </w:p>
    <w:p w:rsidR="00A74DFA" w:rsidRDefault="00A74DFA" w:rsidP="00077A34">
      <w:pPr>
        <w:tabs>
          <w:tab w:val="left" w:pos="2851"/>
          <w:tab w:val="left" w:pos="4569"/>
          <w:tab w:val="left" w:pos="5738"/>
        </w:tabs>
        <w:ind w:left="851"/>
      </w:pPr>
      <w:r w:rsidRPr="00A74DFA">
        <w:t>Håndværkervej 32</w:t>
      </w:r>
    </w:p>
    <w:p w:rsidR="00A74DFA" w:rsidRDefault="00A74DFA" w:rsidP="00077A34">
      <w:pPr>
        <w:tabs>
          <w:tab w:val="left" w:pos="2851"/>
          <w:tab w:val="left" w:pos="4569"/>
          <w:tab w:val="left" w:pos="5738"/>
        </w:tabs>
        <w:ind w:left="851"/>
      </w:pPr>
      <w:r>
        <w:t>6710 Esbjerg</w:t>
      </w:r>
    </w:p>
    <w:p w:rsidR="00077A34" w:rsidRDefault="00077A34" w:rsidP="00933AEA">
      <w:pPr>
        <w:tabs>
          <w:tab w:val="left" w:pos="2851"/>
          <w:tab w:val="left" w:pos="4569"/>
          <w:tab w:val="left" w:pos="5738"/>
        </w:tabs>
        <w:ind w:left="851" w:hanging="851"/>
      </w:pPr>
    </w:p>
    <w:p w:rsidR="00933AEA" w:rsidRPr="0058605D" w:rsidRDefault="00933AEA" w:rsidP="00933AEA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t>MARKEDSFØRINGSTILLADELSESNUMMER</w:t>
      </w:r>
    </w:p>
    <w:p w:rsidR="00933AEA" w:rsidRDefault="00933AEA" w:rsidP="00933AEA">
      <w:pPr>
        <w:tabs>
          <w:tab w:val="left" w:pos="851"/>
          <w:tab w:val="left" w:pos="8222"/>
        </w:tabs>
      </w:pPr>
      <w:r>
        <w:tab/>
      </w:r>
      <w:r w:rsidR="00077A34" w:rsidRPr="00077A34">
        <w:t>63718</w:t>
      </w:r>
    </w:p>
    <w:p w:rsidR="00933AEA" w:rsidRDefault="00933AEA" w:rsidP="00933AEA">
      <w:pPr>
        <w:tabs>
          <w:tab w:val="left" w:pos="851"/>
          <w:tab w:val="left" w:pos="8222"/>
        </w:tabs>
      </w:pPr>
    </w:p>
    <w:p w:rsidR="00933AEA" w:rsidRPr="0058605D" w:rsidRDefault="00933AEA" w:rsidP="00933AEA">
      <w:pPr>
        <w:tabs>
          <w:tab w:val="left" w:pos="851"/>
          <w:tab w:val="left" w:pos="8222"/>
        </w:tabs>
        <w:rPr>
          <w:b/>
        </w:rPr>
      </w:pPr>
      <w:r w:rsidRPr="0058605D">
        <w:rPr>
          <w:b/>
        </w:rPr>
        <w:t>9.</w:t>
      </w:r>
      <w:r w:rsidRPr="0058605D">
        <w:rPr>
          <w:b/>
        </w:rPr>
        <w:tab/>
        <w:t>DATO FOR FØRSTE MARKEDSFØRINGSTILLADELSE</w:t>
      </w:r>
    </w:p>
    <w:p w:rsidR="00933AEA" w:rsidRDefault="00A74DFA" w:rsidP="00933AEA">
      <w:pPr>
        <w:tabs>
          <w:tab w:val="left" w:pos="851"/>
          <w:tab w:val="left" w:pos="8222"/>
        </w:tabs>
        <w:ind w:left="855"/>
      </w:pPr>
      <w:r>
        <w:t>12. marts 2020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Pr="0058605D" w:rsidRDefault="00933AEA" w:rsidP="00933AEA">
      <w:pPr>
        <w:tabs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t>10.</w:t>
      </w:r>
      <w:r w:rsidRPr="0058605D">
        <w:rPr>
          <w:b/>
        </w:rPr>
        <w:tab/>
        <w:t>DATO FOR ÆNDRING AF TEKSTEN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  <w:r>
        <w:tab/>
      </w:r>
      <w:r w:rsidR="000D3250">
        <w:t>23. april 2020</w:t>
      </w:r>
    </w:p>
    <w:p w:rsidR="00933AEA" w:rsidRDefault="00933AEA" w:rsidP="00933AEA">
      <w:pPr>
        <w:tabs>
          <w:tab w:val="left" w:pos="851"/>
          <w:tab w:val="left" w:pos="8222"/>
        </w:tabs>
        <w:ind w:left="851" w:hanging="851"/>
      </w:pPr>
    </w:p>
    <w:p w:rsidR="00933AEA" w:rsidRPr="0058605D" w:rsidRDefault="00933AEA" w:rsidP="00933AEA">
      <w:pPr>
        <w:tabs>
          <w:tab w:val="left" w:pos="851"/>
          <w:tab w:val="left" w:pos="8222"/>
        </w:tabs>
        <w:rPr>
          <w:b/>
        </w:rPr>
      </w:pPr>
      <w:r w:rsidRPr="0058605D">
        <w:rPr>
          <w:b/>
        </w:rPr>
        <w:t>11</w:t>
      </w:r>
      <w:r>
        <w:rPr>
          <w:b/>
        </w:rPr>
        <w:t>.</w:t>
      </w:r>
      <w:r w:rsidRPr="0058605D">
        <w:rPr>
          <w:b/>
        </w:rPr>
        <w:tab/>
        <w:t>UDLEVERINGSBESTEMMELSE</w:t>
      </w:r>
    </w:p>
    <w:p w:rsidR="00933AE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5"/>
      </w:pPr>
      <w:r>
        <w:t>BP</w:t>
      </w:r>
    </w:p>
    <w:p w:rsidR="00933AEA" w:rsidRPr="009B316A" w:rsidRDefault="00933AEA" w:rsidP="00933AEA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</w:p>
    <w:p w:rsidR="00933AEA" w:rsidRDefault="00933AEA" w:rsidP="00933AEA">
      <w:pPr>
        <w:tabs>
          <w:tab w:val="left" w:pos="8222"/>
        </w:tabs>
      </w:pPr>
    </w:p>
    <w:p w:rsidR="00933AEA" w:rsidRPr="0068321E" w:rsidRDefault="00933AEA" w:rsidP="00933AEA"/>
    <w:p w:rsidR="0003527F" w:rsidRPr="00933AEA" w:rsidRDefault="0003527F" w:rsidP="00933AEA"/>
    <w:sectPr w:rsidR="0003527F" w:rsidRPr="00933AEA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AEA" w:rsidRDefault="00933AEA">
      <w:r>
        <w:separator/>
      </w:r>
    </w:p>
  </w:endnote>
  <w:endnote w:type="continuationSeparator" w:id="0">
    <w:p w:rsidR="00933AEA" w:rsidRDefault="0093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C4118">
      <w:rPr>
        <w:i/>
        <w:noProof/>
        <w:snapToGrid w:val="0"/>
        <w:sz w:val="18"/>
      </w:rPr>
      <w:t>Porcilis ERY+PARVO (PharmaMenta), injektionsvæske suspension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33AEA">
      <w:rPr>
        <w:i/>
        <w:noProof/>
        <w:snapToGrid w:val="0"/>
        <w:sz w:val="18"/>
      </w:rPr>
      <w:t>Dokument607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AEA" w:rsidRDefault="00933AEA">
      <w:r>
        <w:separator/>
      </w:r>
    </w:p>
  </w:footnote>
  <w:footnote w:type="continuationSeparator" w:id="0">
    <w:p w:rsidR="00933AEA" w:rsidRDefault="0093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42261"/>
    <w:multiLevelType w:val="hybridMultilevel"/>
    <w:tmpl w:val="0F3A6636"/>
    <w:lvl w:ilvl="0" w:tplc="52A26BA4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EA"/>
    <w:rsid w:val="0003527F"/>
    <w:rsid w:val="00065C7D"/>
    <w:rsid w:val="00077A34"/>
    <w:rsid w:val="000C6CD4"/>
    <w:rsid w:val="000D3250"/>
    <w:rsid w:val="001577E4"/>
    <w:rsid w:val="001858CA"/>
    <w:rsid w:val="001C4AEF"/>
    <w:rsid w:val="001D3CC5"/>
    <w:rsid w:val="00322BDE"/>
    <w:rsid w:val="00323532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A345F"/>
    <w:rsid w:val="007E2A00"/>
    <w:rsid w:val="008010F2"/>
    <w:rsid w:val="009202AE"/>
    <w:rsid w:val="00932676"/>
    <w:rsid w:val="00933AEA"/>
    <w:rsid w:val="009D66C6"/>
    <w:rsid w:val="00A74DFA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2372C"/>
    <w:rsid w:val="00EB5778"/>
    <w:rsid w:val="00EE5253"/>
    <w:rsid w:val="00FA66E4"/>
    <w:rsid w:val="00FC4118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77A78"/>
  <w15:chartTrackingRefBased/>
  <w15:docId w15:val="{2B736530-1CA6-4643-A7E1-8C8F6E4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933AEA"/>
    <w:pPr>
      <w:keepNext/>
      <w:tabs>
        <w:tab w:val="left" w:pos="851"/>
        <w:tab w:val="left" w:pos="8222"/>
      </w:tabs>
      <w:ind w:left="855"/>
      <w:outlineLvl w:val="1"/>
    </w:pPr>
    <w:rPr>
      <w:sz w:val="24"/>
      <w:u w:val="single"/>
      <w:lang w:eastAsia="da-DK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uiPriority w:val="99"/>
    <w:rsid w:val="00FA66E4"/>
    <w:rPr>
      <w:sz w:val="24"/>
    </w:rPr>
  </w:style>
  <w:style w:type="character" w:customStyle="1" w:styleId="Overskrift2Tegn">
    <w:name w:val="Overskrift 2 Tegn"/>
    <w:basedOn w:val="Standardskrifttypeiafsnit"/>
    <w:link w:val="Overskrift2"/>
    <w:rsid w:val="00933AEA"/>
    <w:rPr>
      <w:sz w:val="24"/>
      <w:u w:val="single"/>
    </w:rPr>
  </w:style>
  <w:style w:type="paragraph" w:customStyle="1" w:styleId="spc2">
    <w:name w:val="spc2"/>
    <w:basedOn w:val="Normal"/>
    <w:rsid w:val="00933AEA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ind w:left="567"/>
    </w:pPr>
    <w:rPr>
      <w:sz w:val="22"/>
      <w:lang w:val="en-US"/>
    </w:rPr>
  </w:style>
  <w:style w:type="paragraph" w:styleId="Titel">
    <w:name w:val="Title"/>
    <w:basedOn w:val="Normal"/>
    <w:link w:val="TitelTegn"/>
    <w:qFormat/>
    <w:rsid w:val="00A74DFA"/>
    <w:pPr>
      <w:jc w:val="center"/>
    </w:pPr>
    <w:rPr>
      <w:b/>
      <w:sz w:val="24"/>
      <w:lang w:eastAsia="da-DK"/>
    </w:rPr>
  </w:style>
  <w:style w:type="character" w:customStyle="1" w:styleId="TitelTegn">
    <w:name w:val="Titel Tegn"/>
    <w:basedOn w:val="Standardskrifttypeiafsnit"/>
    <w:link w:val="Titel"/>
    <w:rsid w:val="00A74DF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4</TotalTime>
  <Pages>4</Pages>
  <Words>616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 og ANMR</dc:creator>
  <cp:keywords/>
  <dc:description>2019120314 - Nyt PI-SPC. rettelse i 6.1. og 6.5 23-04-2020</dc:description>
  <cp:lastModifiedBy>Annette Malmros</cp:lastModifiedBy>
  <cp:revision>3</cp:revision>
  <dcterms:created xsi:type="dcterms:W3CDTF">2020-04-23T09:13:00Z</dcterms:created>
  <dcterms:modified xsi:type="dcterms:W3CDTF">2020-04-23T09:17:00Z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</Properties>
</file>