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2447E" w:rsidRDefault="00E2447E" w:rsidP="00E2447E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7A6F60">
        <w:fldChar w:fldCharType="begin"/>
      </w:r>
      <w:r w:rsidR="007A6F60">
        <w:instrText xml:space="preserve"> INCLUDEPICTURE  "cid:image004.jpg@01D117E9.E5553340" \* MERGEFORMATINET </w:instrText>
      </w:r>
      <w:r w:rsidR="007A6F60">
        <w:fldChar w:fldCharType="separate"/>
      </w:r>
      <w:r w:rsidR="00486EF4">
        <w:fldChar w:fldCharType="begin"/>
      </w:r>
      <w:r w:rsidR="00486EF4">
        <w:instrText xml:space="preserve"> INCLUDEPICTURE  "cid:image004.jpg@01D117E9.E5553340" \* MERGEFORMATINET </w:instrText>
      </w:r>
      <w:r w:rsidR="00486EF4">
        <w:fldChar w:fldCharType="separate"/>
      </w:r>
      <w:r w:rsidR="005A27DF">
        <w:fldChar w:fldCharType="begin"/>
      </w:r>
      <w:r w:rsidR="005A27DF">
        <w:instrText xml:space="preserve"> </w:instrText>
      </w:r>
      <w:r w:rsidR="005A27DF">
        <w:instrText>INCLUDEPICTURE  "cid:image004.jpg@01</w:instrText>
      </w:r>
      <w:r w:rsidR="005A27DF">
        <w:instrText>D117E9.E5553340" \* MERGEFORMATINET</w:instrText>
      </w:r>
      <w:r w:rsidR="005A27DF">
        <w:instrText xml:space="preserve"> </w:instrText>
      </w:r>
      <w:r w:rsidR="005A27DF">
        <w:fldChar w:fldCharType="separate"/>
      </w:r>
      <w:r w:rsidR="000F34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5A27DF">
        <w:fldChar w:fldCharType="end"/>
      </w:r>
      <w:r w:rsidR="00486EF4">
        <w:fldChar w:fldCharType="end"/>
      </w:r>
      <w:r w:rsidR="007A6F6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2447E" w:rsidRDefault="00E2447E" w:rsidP="00E2447E">
      <w:pPr>
        <w:tabs>
          <w:tab w:val="left" w:pos="6804"/>
        </w:tabs>
        <w:rPr>
          <w:b/>
        </w:rPr>
      </w:pPr>
    </w:p>
    <w:p w:rsidR="00E2447E" w:rsidRPr="00486EF4" w:rsidRDefault="005A27DF" w:rsidP="00E2447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E2447E" w:rsidRPr="00486EF4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april</w:t>
      </w:r>
      <w:r w:rsidR="00E2447E" w:rsidRPr="00486EF4">
        <w:rPr>
          <w:b/>
          <w:sz w:val="24"/>
          <w:szCs w:val="24"/>
        </w:rPr>
        <w:t xml:space="preserve"> 20</w:t>
      </w:r>
      <w:r w:rsidR="00486EF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Procamidor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E2447E" w:rsidRDefault="00E2447E" w:rsidP="00E2447E">
      <w:pPr>
        <w:tabs>
          <w:tab w:val="left" w:pos="8222"/>
        </w:tabs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0.</w:t>
      </w:r>
      <w:r w:rsidRPr="00FC2491">
        <w:rPr>
          <w:b/>
          <w:sz w:val="24"/>
          <w:szCs w:val="24"/>
        </w:rPr>
        <w:tab/>
        <w:t>D.SP.NR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28882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1.</w:t>
      </w:r>
      <w:r w:rsidRPr="00FC2491">
        <w:rPr>
          <w:b/>
          <w:sz w:val="24"/>
          <w:szCs w:val="24"/>
        </w:rPr>
        <w:tab/>
        <w:t>VETERINÆRLÆGEMIDLETS NAVN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Procamidor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Vet</w:t>
      </w:r>
      <w:proofErr w:type="spellEnd"/>
      <w:r w:rsidRPr="00FC2491">
        <w:rPr>
          <w:sz w:val="24"/>
          <w:szCs w:val="24"/>
        </w:rPr>
        <w:t>.</w:t>
      </w:r>
    </w:p>
    <w:p w:rsidR="00E2447E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2.</w:t>
      </w:r>
      <w:r w:rsidRPr="00FC2491">
        <w:rPr>
          <w:b/>
          <w:sz w:val="24"/>
          <w:szCs w:val="24"/>
        </w:rPr>
        <w:tab/>
        <w:t>KVALITATIV OG KVANTITATIV SAMMENSÆTNING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1 ml indeholder: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C2491">
        <w:rPr>
          <w:b/>
          <w:sz w:val="24"/>
          <w:szCs w:val="24"/>
        </w:rPr>
        <w:t>Aktivt stof:</w:t>
      </w:r>
    </w:p>
    <w:p w:rsidR="00E2447E" w:rsidRPr="00FC2491" w:rsidRDefault="00E2447E" w:rsidP="00E2447E">
      <w:pPr>
        <w:ind w:left="851" w:hanging="851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proofErr w:type="spellStart"/>
      <w:r w:rsidRPr="00FC2491">
        <w:rPr>
          <w:iCs/>
          <w:sz w:val="24"/>
          <w:szCs w:val="24"/>
        </w:rPr>
        <w:t>Procainhydrochlorid</w:t>
      </w:r>
      <w:proofErr w:type="spellEnd"/>
      <w:r>
        <w:rPr>
          <w:iCs/>
          <w:sz w:val="24"/>
          <w:szCs w:val="24"/>
        </w:rPr>
        <w:t xml:space="preserve"> </w:t>
      </w:r>
      <w:r w:rsidRPr="00FC2491">
        <w:rPr>
          <w:iCs/>
          <w:sz w:val="24"/>
          <w:szCs w:val="24"/>
        </w:rPr>
        <w:t>20 mg</w:t>
      </w:r>
      <w:r>
        <w:rPr>
          <w:iCs/>
          <w:sz w:val="24"/>
          <w:szCs w:val="24"/>
        </w:rPr>
        <w:t xml:space="preserve"> </w:t>
      </w:r>
      <w:r w:rsidRPr="00FC2491">
        <w:rPr>
          <w:iCs/>
          <w:sz w:val="24"/>
          <w:szCs w:val="24"/>
        </w:rPr>
        <w:t xml:space="preserve">(svarende til 17,3 mg </w:t>
      </w:r>
      <w:proofErr w:type="spellStart"/>
      <w:r w:rsidRPr="00FC2491">
        <w:rPr>
          <w:iCs/>
          <w:sz w:val="24"/>
          <w:szCs w:val="24"/>
        </w:rPr>
        <w:t>procain</w:t>
      </w:r>
      <w:proofErr w:type="spellEnd"/>
      <w:r w:rsidRPr="00FC2491">
        <w:rPr>
          <w:iCs/>
          <w:sz w:val="24"/>
          <w:szCs w:val="24"/>
        </w:rPr>
        <w:t>)</w:t>
      </w:r>
    </w:p>
    <w:p w:rsidR="00E2447E" w:rsidRPr="00FC2491" w:rsidRDefault="00E2447E" w:rsidP="00E2447E">
      <w:pPr>
        <w:ind w:left="851" w:hanging="851"/>
        <w:rPr>
          <w:iCs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C2491">
        <w:rPr>
          <w:b/>
          <w:sz w:val="24"/>
          <w:szCs w:val="24"/>
        </w:rPr>
        <w:t>Hjælpestoffer: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Natriummethylparahydroxybenzoat</w:t>
      </w:r>
      <w:proofErr w:type="spellEnd"/>
      <w:r w:rsidRPr="00FC2491">
        <w:rPr>
          <w:sz w:val="24"/>
          <w:szCs w:val="24"/>
        </w:rPr>
        <w:t xml:space="preserve"> (E219)</w:t>
      </w:r>
      <w:r w:rsidRPr="00FC2491">
        <w:rPr>
          <w:sz w:val="24"/>
          <w:szCs w:val="24"/>
        </w:rPr>
        <w:tab/>
        <w:t>1,14 mg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Natriummetabisulfit</w:t>
      </w:r>
      <w:proofErr w:type="spellEnd"/>
      <w:r w:rsidRPr="00FC2491">
        <w:rPr>
          <w:sz w:val="24"/>
          <w:szCs w:val="24"/>
        </w:rPr>
        <w:t xml:space="preserve"> (E223)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1,00 mg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Alle hjælpestoffer er anført under pkt. 6.1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3.</w:t>
      </w:r>
      <w:r w:rsidRPr="00FC2491">
        <w:rPr>
          <w:b/>
          <w:sz w:val="24"/>
          <w:szCs w:val="24"/>
        </w:rPr>
        <w:tab/>
        <w:t>LÆGEMIDDELFORM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Injektionsvæske, opløsning.</w:t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Klar, farveløs til let gullig opløsning.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</w:t>
      </w:r>
      <w:r w:rsidRPr="00FC2491">
        <w:rPr>
          <w:b/>
          <w:sz w:val="24"/>
          <w:szCs w:val="24"/>
        </w:rPr>
        <w:tab/>
        <w:t>KLINISKE OPLYSNINGER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  <w:u w:val="single"/>
        </w:rPr>
      </w:pPr>
      <w:r w:rsidRPr="00FC2491">
        <w:rPr>
          <w:b/>
          <w:sz w:val="24"/>
          <w:szCs w:val="24"/>
        </w:rPr>
        <w:t>4.1</w:t>
      </w:r>
      <w:r w:rsidRPr="00FC2491">
        <w:rPr>
          <w:b/>
          <w:sz w:val="24"/>
          <w:szCs w:val="24"/>
        </w:rPr>
        <w:tab/>
        <w:t>Dyrearter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Hest, kvæg, svin, får, hund og kat.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C2491">
        <w:rPr>
          <w:b/>
          <w:szCs w:val="24"/>
        </w:rPr>
        <w:t>4.2</w:t>
      </w:r>
      <w:r w:rsidRPr="00FC2491">
        <w:rPr>
          <w:b/>
          <w:szCs w:val="24"/>
        </w:rPr>
        <w:tab/>
        <w:t>Terapeutiske indikationer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Anvendes til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Infiltrationsanæstesi hos heste, kvæg, svin, får, hunde og katte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Ledningsanæstesi hos hunde og katte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hos kvæg, får, svin og hunde</w:t>
      </w:r>
    </w:p>
    <w:p w:rsidR="00E2447E" w:rsidRDefault="00E2447E" w:rsidP="00E2447E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C2491">
        <w:rPr>
          <w:b/>
          <w:szCs w:val="24"/>
        </w:rPr>
        <w:t>4.3</w:t>
      </w:r>
      <w:r w:rsidRPr="00FC2491">
        <w:rPr>
          <w:b/>
          <w:szCs w:val="24"/>
        </w:rPr>
        <w:tab/>
        <w:t>Kontraindikationer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anvendes: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ved </w:t>
      </w:r>
      <w:proofErr w:type="spellStart"/>
      <w:r w:rsidRPr="00FC2491">
        <w:rPr>
          <w:sz w:val="24"/>
          <w:szCs w:val="24"/>
        </w:rPr>
        <w:t>shocktilstande</w:t>
      </w:r>
      <w:proofErr w:type="spellEnd"/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til dyr med </w:t>
      </w:r>
      <w:proofErr w:type="spellStart"/>
      <w:r w:rsidRPr="00FC2491">
        <w:rPr>
          <w:sz w:val="24"/>
          <w:szCs w:val="24"/>
        </w:rPr>
        <w:t>kardiovaskulære</w:t>
      </w:r>
      <w:proofErr w:type="spellEnd"/>
      <w:r w:rsidRPr="00FC2491">
        <w:rPr>
          <w:sz w:val="24"/>
          <w:szCs w:val="24"/>
        </w:rPr>
        <w:t xml:space="preserve"> lidelser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til dyr i behandling med sulfonamider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til dyr i behandling med </w:t>
      </w:r>
      <w:proofErr w:type="spellStart"/>
      <w:r w:rsidRPr="00FC2491">
        <w:rPr>
          <w:sz w:val="24"/>
          <w:szCs w:val="24"/>
        </w:rPr>
        <w:t>phenothiaziner</w:t>
      </w:r>
      <w:proofErr w:type="spellEnd"/>
      <w:r w:rsidRPr="00FC2491">
        <w:rPr>
          <w:sz w:val="24"/>
          <w:szCs w:val="24"/>
        </w:rPr>
        <w:t xml:space="preserve"> (se også pkt</w:t>
      </w:r>
      <w:r>
        <w:rPr>
          <w:sz w:val="24"/>
          <w:szCs w:val="24"/>
        </w:rPr>
        <w:t>.</w:t>
      </w:r>
      <w:r w:rsidRPr="00FC2491">
        <w:rPr>
          <w:sz w:val="24"/>
          <w:szCs w:val="24"/>
        </w:rPr>
        <w:t xml:space="preserve"> 4.8)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i inflammatoriske vævsforandringer ved indgivelsesstedet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 i tilfælde af overfølsomhed over for det aktive stof, eller over for et eller flere af hjælpestofferne.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 i tilfælde af overfølsomhed over for lokale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af estertypen eller i tilfælde af mulig allergisk krydsreaktion over for derivater af p-aminobenzoesyre og sulfonamider.</w:t>
      </w:r>
      <w:r>
        <w:rPr>
          <w:sz w:val="24"/>
          <w:szCs w:val="24"/>
        </w:rPr>
        <w:br/>
      </w:r>
      <w:r w:rsidRPr="00FC2491">
        <w:rPr>
          <w:sz w:val="24"/>
          <w:szCs w:val="24"/>
          <w:lang w:eastAsia="en-GB"/>
        </w:rPr>
        <w:t xml:space="preserve">Må ikke administreres </w:t>
      </w:r>
      <w:proofErr w:type="spellStart"/>
      <w:r w:rsidRPr="00FC2491">
        <w:rPr>
          <w:sz w:val="24"/>
          <w:szCs w:val="24"/>
          <w:lang w:eastAsia="en-GB"/>
        </w:rPr>
        <w:t>intraartikulært</w:t>
      </w:r>
      <w:proofErr w:type="spellEnd"/>
      <w:r w:rsidRPr="00FC2491">
        <w:rPr>
          <w:sz w:val="24"/>
          <w:szCs w:val="24"/>
          <w:lang w:eastAsia="en-GB"/>
        </w:rPr>
        <w:t>.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4.4</w:t>
      </w:r>
      <w:r w:rsidRPr="00FC2491">
        <w:rPr>
          <w:b/>
          <w:sz w:val="24"/>
          <w:szCs w:val="24"/>
        </w:rPr>
        <w:tab/>
        <w:t>Særlige advarsler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enkelte tilfælde kan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injektion af et </w:t>
      </w:r>
      <w:proofErr w:type="spellStart"/>
      <w:r w:rsidRPr="00FC2491">
        <w:rPr>
          <w:sz w:val="24"/>
          <w:szCs w:val="24"/>
        </w:rPr>
        <w:t>lokalanæstetikum</w:t>
      </w:r>
      <w:proofErr w:type="spellEnd"/>
      <w:r w:rsidRPr="00FC2491">
        <w:rPr>
          <w:sz w:val="24"/>
          <w:szCs w:val="24"/>
        </w:rPr>
        <w:t xml:space="preserve"> medføre utilstrækkelig anæstesi hos kvæg.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Mulige årsager kan være ufuldstændigt lukkede </w:t>
      </w:r>
      <w:proofErr w:type="spellStart"/>
      <w:r w:rsidRPr="00FC2491">
        <w:rPr>
          <w:sz w:val="24"/>
          <w:szCs w:val="24"/>
        </w:rPr>
        <w:t>intervertebrale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foramen</w:t>
      </w:r>
      <w:proofErr w:type="spellEnd"/>
      <w:r w:rsidRPr="00FC2491">
        <w:rPr>
          <w:sz w:val="24"/>
          <w:szCs w:val="24"/>
        </w:rPr>
        <w:t xml:space="preserve">, hvilket tillader, at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forsvinder ind i </w:t>
      </w:r>
      <w:proofErr w:type="spellStart"/>
      <w:r w:rsidRPr="00FC2491">
        <w:rPr>
          <w:sz w:val="24"/>
          <w:szCs w:val="24"/>
        </w:rPr>
        <w:t>peritonealhulen</w:t>
      </w:r>
      <w:proofErr w:type="spellEnd"/>
      <w:r w:rsidRPr="00FC2491">
        <w:rPr>
          <w:sz w:val="24"/>
          <w:szCs w:val="24"/>
        </w:rPr>
        <w:t xml:space="preserve">. Signifikant ophobning af fedt ved indgivelsesstedet kan også være årsag til utilstrækkelig anæstesi på grund af en nedsat diffusion af det lokale </w:t>
      </w:r>
      <w:proofErr w:type="spellStart"/>
      <w:r w:rsidRPr="00FC2491">
        <w:rPr>
          <w:sz w:val="24"/>
          <w:szCs w:val="24"/>
        </w:rPr>
        <w:t>anæstetikum</w:t>
      </w:r>
      <w:proofErr w:type="spellEnd"/>
      <w:r w:rsidRPr="00FC2491">
        <w:rPr>
          <w:sz w:val="24"/>
          <w:szCs w:val="24"/>
        </w:rPr>
        <w:t xml:space="preserve"> ind i det </w:t>
      </w:r>
      <w:proofErr w:type="spellStart"/>
      <w:r w:rsidRPr="00FC2491">
        <w:rPr>
          <w:sz w:val="24"/>
          <w:szCs w:val="24"/>
        </w:rPr>
        <w:t>epidurale</w:t>
      </w:r>
      <w:proofErr w:type="spellEnd"/>
      <w:r w:rsidRPr="00FC2491">
        <w:rPr>
          <w:sz w:val="24"/>
          <w:szCs w:val="24"/>
        </w:rPr>
        <w:t xml:space="preserve"> rum. 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4.5</w:t>
      </w:r>
      <w:r w:rsidRPr="00FC2491">
        <w:rPr>
          <w:b/>
          <w:sz w:val="24"/>
          <w:szCs w:val="24"/>
        </w:rPr>
        <w:tab/>
        <w:t>Særlige forsigtighedsregler vedrørende brugen</w:t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ab/>
        <w:t>Særlige forsigtighedsregler for dyret</w:t>
      </w:r>
    </w:p>
    <w:p w:rsidR="00E2447E" w:rsidRPr="00436F1E" w:rsidRDefault="00E2447E" w:rsidP="00E2447E">
      <w:pPr>
        <w:ind w:left="851"/>
        <w:rPr>
          <w:sz w:val="24"/>
          <w:szCs w:val="24"/>
          <w:lang w:eastAsia="en-GB"/>
        </w:rPr>
      </w:pPr>
      <w:r w:rsidRPr="00436F1E">
        <w:rPr>
          <w:sz w:val="24"/>
          <w:szCs w:val="24"/>
          <w:lang w:eastAsia="en-GB"/>
        </w:rPr>
        <w:t xml:space="preserve">Dette veterinærlægemiddel indeholder ingen </w:t>
      </w:r>
      <w:proofErr w:type="spellStart"/>
      <w:r w:rsidRPr="00436F1E">
        <w:rPr>
          <w:sz w:val="24"/>
          <w:szCs w:val="24"/>
          <w:lang w:eastAsia="en-GB"/>
        </w:rPr>
        <w:t>vasokonstriktorer</w:t>
      </w:r>
      <w:proofErr w:type="spellEnd"/>
      <w:r w:rsidRPr="00436F1E">
        <w:rPr>
          <w:sz w:val="24"/>
          <w:szCs w:val="24"/>
          <w:lang w:eastAsia="en-GB"/>
        </w:rPr>
        <w:t xml:space="preserve"> og derfor er virkningstiden kort.</w:t>
      </w:r>
    </w:p>
    <w:p w:rsidR="00E2447E" w:rsidRPr="00586E5D" w:rsidRDefault="00E2447E" w:rsidP="00E2447E">
      <w:pPr>
        <w:ind w:left="851" w:hanging="851"/>
        <w:rPr>
          <w:sz w:val="24"/>
          <w:szCs w:val="24"/>
        </w:rPr>
      </w:pPr>
      <w:r w:rsidRPr="00586E5D">
        <w:rPr>
          <w:sz w:val="24"/>
          <w:szCs w:val="24"/>
        </w:rPr>
        <w:tab/>
        <w:t xml:space="preserve">For at undgå en </w:t>
      </w:r>
      <w:proofErr w:type="spellStart"/>
      <w:r w:rsidRPr="00586E5D">
        <w:rPr>
          <w:sz w:val="24"/>
          <w:szCs w:val="24"/>
        </w:rPr>
        <w:t>intravaskulær</w:t>
      </w:r>
      <w:proofErr w:type="spellEnd"/>
      <w:r w:rsidRPr="00586E5D">
        <w:rPr>
          <w:sz w:val="24"/>
          <w:szCs w:val="24"/>
        </w:rPr>
        <w:t xml:space="preserve"> injektion, verificeres korrekt placering </w:t>
      </w:r>
      <w:r>
        <w:rPr>
          <w:sz w:val="24"/>
          <w:szCs w:val="24"/>
        </w:rPr>
        <w:t xml:space="preserve">af sprøjten </w:t>
      </w:r>
      <w:r w:rsidRPr="00586E5D">
        <w:rPr>
          <w:sz w:val="24"/>
          <w:szCs w:val="24"/>
        </w:rPr>
        <w:t>ved aspiration.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Ved </w:t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skal korrekt placering af dyrets hoved sikres.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Som ved andre </w:t>
      </w:r>
      <w:r>
        <w:rPr>
          <w:sz w:val="24"/>
          <w:szCs w:val="24"/>
        </w:rPr>
        <w:t>lokal-</w:t>
      </w:r>
      <w:proofErr w:type="spellStart"/>
      <w:r>
        <w:rPr>
          <w:sz w:val="24"/>
          <w:szCs w:val="24"/>
        </w:rPr>
        <w:t>an</w:t>
      </w:r>
      <w:r w:rsidRPr="00FC2491">
        <w:rPr>
          <w:sz w:val="24"/>
          <w:szCs w:val="24"/>
        </w:rPr>
        <w:t>æstetika</w:t>
      </w:r>
      <w:proofErr w:type="spellEnd"/>
      <w:r w:rsidRPr="00FC2491">
        <w:rPr>
          <w:sz w:val="24"/>
          <w:szCs w:val="24"/>
        </w:rPr>
        <w:t xml:space="preserve"> bør forsigtighed udvises ved anvendelse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til dyr, der lider af epilepsi, kardiale ledningsforstyrrelser, bradykardi, </w:t>
      </w:r>
      <w:proofErr w:type="spellStart"/>
      <w:r w:rsidRPr="00FC2491">
        <w:rPr>
          <w:sz w:val="24"/>
          <w:szCs w:val="24"/>
        </w:rPr>
        <w:t>hypovolæmisk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shock</w:t>
      </w:r>
      <w:proofErr w:type="spellEnd"/>
      <w:r w:rsidRPr="00FC2491">
        <w:rPr>
          <w:sz w:val="24"/>
          <w:szCs w:val="24"/>
        </w:rPr>
        <w:t>, ændringer i åndedræts- og nyrefunktionen.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b/>
          <w:sz w:val="24"/>
          <w:szCs w:val="24"/>
        </w:rPr>
        <w:t>Særlige forsigtighedsregler for personer, der administrerer lægemidlet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 xml:space="preserve">Direkte hudkontakt med injektionsvæsken bør undgås.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Personer med kendt overfølsomhed over for </w:t>
      </w:r>
      <w:proofErr w:type="spellStart"/>
      <w:r w:rsidRPr="00FC2491">
        <w:rPr>
          <w:sz w:val="24"/>
          <w:szCs w:val="24"/>
        </w:rPr>
        <w:t>procainhydrochlorid</w:t>
      </w:r>
      <w:proofErr w:type="spellEnd"/>
      <w:r w:rsidRPr="00FC2491">
        <w:rPr>
          <w:sz w:val="24"/>
          <w:szCs w:val="24"/>
        </w:rPr>
        <w:t xml:space="preserve"> bør undgå kontakt med veterinærlægemidlet. </w:t>
      </w:r>
    </w:p>
    <w:p w:rsidR="00E2447E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kontakt med huden </w:t>
      </w:r>
      <w:r>
        <w:rPr>
          <w:sz w:val="24"/>
          <w:szCs w:val="24"/>
        </w:rPr>
        <w:t xml:space="preserve">eller øjnene </w:t>
      </w:r>
      <w:r w:rsidRPr="00FC2491">
        <w:rPr>
          <w:sz w:val="24"/>
          <w:szCs w:val="24"/>
        </w:rPr>
        <w:t>ved hændeligt uheld bør</w:t>
      </w:r>
      <w:r>
        <w:rPr>
          <w:sz w:val="24"/>
          <w:szCs w:val="24"/>
        </w:rPr>
        <w:t xml:space="preserve"> der straks</w:t>
      </w:r>
      <w:r w:rsidRPr="00FC2491">
        <w:rPr>
          <w:sz w:val="24"/>
          <w:szCs w:val="24"/>
        </w:rPr>
        <w:t xml:space="preserve"> skylles med rigeligt vand. I tilfælde af irritation skal der straks søges lægehjælp. 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I tilfælde af selvinjektion ved hændeligt uheld skal der straks søges læge</w:t>
      </w:r>
      <w:r>
        <w:rPr>
          <w:sz w:val="24"/>
          <w:szCs w:val="24"/>
        </w:rPr>
        <w:t>hjælp</w:t>
      </w:r>
      <w:r w:rsidRPr="00FC2491">
        <w:rPr>
          <w:sz w:val="24"/>
          <w:szCs w:val="24"/>
        </w:rPr>
        <w:t xml:space="preserve">, og indlægssedlen eller etiketten </w:t>
      </w:r>
      <w:r>
        <w:rPr>
          <w:sz w:val="24"/>
          <w:szCs w:val="24"/>
        </w:rPr>
        <w:t xml:space="preserve">bør </w:t>
      </w:r>
      <w:r w:rsidRPr="00FC2491">
        <w:rPr>
          <w:sz w:val="24"/>
          <w:szCs w:val="24"/>
        </w:rPr>
        <w:t>vises til lægen.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b/>
          <w:sz w:val="24"/>
          <w:szCs w:val="24"/>
        </w:rPr>
        <w:t>Andre forsigtighedsregler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>
        <w:rPr>
          <w:sz w:val="24"/>
          <w:szCs w:val="24"/>
        </w:rPr>
        <w:t>-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4.6</w:t>
      </w:r>
      <w:r w:rsidRPr="00FC2491">
        <w:rPr>
          <w:b/>
          <w:sz w:val="24"/>
          <w:szCs w:val="24"/>
        </w:rPr>
        <w:tab/>
        <w:t>Bivirkninger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kan medføre hypotension. De medfølgende symptomer ses oftere under </w:t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end under infiltrationsanæstesi.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(rastløshed, </w:t>
      </w:r>
      <w:proofErr w:type="spellStart"/>
      <w:r w:rsidRPr="00FC2491">
        <w:rPr>
          <w:sz w:val="24"/>
          <w:szCs w:val="24"/>
        </w:rPr>
        <w:t>tremor</w:t>
      </w:r>
      <w:proofErr w:type="spellEnd"/>
      <w:r w:rsidRPr="00FC2491">
        <w:rPr>
          <w:sz w:val="24"/>
          <w:szCs w:val="24"/>
        </w:rPr>
        <w:t xml:space="preserve">, kramper) kan lejlighedsvis ses efter administration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>, især hos heste.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Allergiske reaktioner over for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er almindelige, i sjældne tilfælde er </w:t>
      </w:r>
      <w:proofErr w:type="spellStart"/>
      <w:r w:rsidRPr="00FC2491">
        <w:rPr>
          <w:sz w:val="24"/>
          <w:szCs w:val="24"/>
        </w:rPr>
        <w:t>anafylaktiske</w:t>
      </w:r>
      <w:proofErr w:type="spellEnd"/>
      <w:r w:rsidRPr="00FC2491">
        <w:rPr>
          <w:sz w:val="24"/>
          <w:szCs w:val="24"/>
        </w:rPr>
        <w:t xml:space="preserve"> reaktioner observeret.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Krydsallergi mellem lokale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af estertypen er kendt.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utilsigtet </w:t>
      </w:r>
      <w:proofErr w:type="spellStart"/>
      <w:r w:rsidRPr="00FC2491">
        <w:rPr>
          <w:sz w:val="24"/>
          <w:szCs w:val="24"/>
        </w:rPr>
        <w:t>intravaskulær</w:t>
      </w:r>
      <w:proofErr w:type="spellEnd"/>
      <w:r w:rsidRPr="00FC2491">
        <w:rPr>
          <w:sz w:val="24"/>
          <w:szCs w:val="24"/>
        </w:rPr>
        <w:t xml:space="preserve"> injektion forekommer toksiske reaktioner hyppigt. Disse viser sig som en </w:t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(rastløshed, </w:t>
      </w:r>
      <w:proofErr w:type="spellStart"/>
      <w:r w:rsidRPr="00FC2491">
        <w:rPr>
          <w:sz w:val="24"/>
          <w:szCs w:val="24"/>
        </w:rPr>
        <w:t>tremor</w:t>
      </w:r>
      <w:proofErr w:type="spellEnd"/>
      <w:r w:rsidRPr="00FC2491">
        <w:rPr>
          <w:sz w:val="24"/>
          <w:szCs w:val="24"/>
        </w:rPr>
        <w:t xml:space="preserve"> og kramper) efterfulgt af depression; død er resultatet af paralyse af åndedrætsfunktionen. I tilfælde af </w:t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bør der administreres kortidsvirkende barbiturater, samt midler, der gør urinen sur for at understøtte </w:t>
      </w:r>
      <w:proofErr w:type="spellStart"/>
      <w:r w:rsidRPr="00FC2491">
        <w:rPr>
          <w:sz w:val="24"/>
          <w:szCs w:val="24"/>
        </w:rPr>
        <w:t>renal</w:t>
      </w:r>
      <w:proofErr w:type="spellEnd"/>
      <w:r w:rsidRPr="00FC2491">
        <w:rPr>
          <w:sz w:val="24"/>
          <w:szCs w:val="24"/>
        </w:rPr>
        <w:t xml:space="preserve"> udskillelse. </w:t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allergiske reaktioner kan der gives antihistaminer eller </w:t>
      </w:r>
      <w:proofErr w:type="spellStart"/>
      <w:r w:rsidRPr="00FC2491">
        <w:rPr>
          <w:sz w:val="24"/>
          <w:szCs w:val="24"/>
        </w:rPr>
        <w:t>kortikosteroider</w:t>
      </w:r>
      <w:proofErr w:type="spellEnd"/>
      <w:r w:rsidRPr="00FC2491">
        <w:rPr>
          <w:sz w:val="24"/>
          <w:szCs w:val="24"/>
        </w:rPr>
        <w:t xml:space="preserve">. Allergisk </w:t>
      </w:r>
      <w:proofErr w:type="spellStart"/>
      <w:r w:rsidRPr="00FC2491">
        <w:rPr>
          <w:sz w:val="24"/>
          <w:szCs w:val="24"/>
        </w:rPr>
        <w:t>shock</w:t>
      </w:r>
      <w:proofErr w:type="spellEnd"/>
      <w:r w:rsidRPr="00FC2491">
        <w:rPr>
          <w:sz w:val="24"/>
          <w:szCs w:val="24"/>
        </w:rPr>
        <w:t xml:space="preserve"> behandles med adrenalin.</w:t>
      </w:r>
    </w:p>
    <w:p w:rsidR="00E2447E" w:rsidRDefault="00E2447E" w:rsidP="00E2447E">
      <w:pPr>
        <w:ind w:left="851" w:hanging="851"/>
        <w:rPr>
          <w:sz w:val="24"/>
          <w:szCs w:val="24"/>
        </w:rPr>
      </w:pPr>
    </w:p>
    <w:p w:rsidR="00E2447E" w:rsidRPr="00A814B7" w:rsidRDefault="00E2447E" w:rsidP="00E2447E">
      <w:pPr>
        <w:ind w:left="851"/>
        <w:rPr>
          <w:szCs w:val="22"/>
        </w:rPr>
      </w:pPr>
      <w:r w:rsidRPr="006C76C4">
        <w:rPr>
          <w:szCs w:val="22"/>
        </w:rPr>
        <w:t>Hyppigheden af bivirkninger er defineret som</w:t>
      </w:r>
      <w:r w:rsidRPr="00A814B7">
        <w:rPr>
          <w:szCs w:val="22"/>
        </w:rPr>
        <w:t>: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Meget almindelig (</w:t>
      </w:r>
      <w:r>
        <w:rPr>
          <w:szCs w:val="22"/>
        </w:rPr>
        <w:t>flere</w:t>
      </w:r>
      <w:r w:rsidRPr="00A814B7">
        <w:rPr>
          <w:szCs w:val="22"/>
        </w:rPr>
        <w:t xml:space="preserve"> end 1 ud af 10 </w:t>
      </w:r>
      <w:r>
        <w:rPr>
          <w:szCs w:val="22"/>
        </w:rPr>
        <w:t xml:space="preserve">behandlede </w:t>
      </w:r>
      <w:r w:rsidRPr="00A814B7">
        <w:rPr>
          <w:szCs w:val="22"/>
        </w:rPr>
        <w:t>dyr, der viser bivirkninger i løbet af en</w:t>
      </w:r>
    </w:p>
    <w:p w:rsidR="00E2447E" w:rsidRPr="00A814B7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 xml:space="preserve"> </w:t>
      </w:r>
      <w:r>
        <w:rPr>
          <w:szCs w:val="22"/>
        </w:rPr>
        <w:t xml:space="preserve"> </w:t>
      </w:r>
      <w:r w:rsidRPr="00A814B7">
        <w:rPr>
          <w:szCs w:val="22"/>
        </w:rPr>
        <w:t>behandling)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Almindelige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</w:t>
      </w:r>
      <w:r>
        <w:rPr>
          <w:szCs w:val="22"/>
        </w:rPr>
        <w:t xml:space="preserve"> 10 dyr af 100 behandlede dyr)</w:t>
      </w:r>
    </w:p>
    <w:p w:rsidR="00E2447E" w:rsidRDefault="00E2447E" w:rsidP="00E2447E">
      <w:pPr>
        <w:ind w:left="851"/>
        <w:rPr>
          <w:szCs w:val="22"/>
        </w:rPr>
      </w:pPr>
      <w:r>
        <w:rPr>
          <w:szCs w:val="22"/>
        </w:rPr>
        <w:t>- Ikke almindelige</w:t>
      </w:r>
      <w:r w:rsidRPr="00A814B7">
        <w:rPr>
          <w:szCs w:val="22"/>
        </w:rPr>
        <w:t xml:space="preserve">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</w:t>
      </w:r>
      <w:r>
        <w:rPr>
          <w:szCs w:val="22"/>
        </w:rPr>
        <w:t>af</w:t>
      </w:r>
      <w:r w:rsidRPr="00A814B7">
        <w:rPr>
          <w:szCs w:val="22"/>
        </w:rPr>
        <w:t xml:space="preserve"> 1.000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Sjældne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A814B7">
        <w:rPr>
          <w:szCs w:val="22"/>
        </w:rPr>
        <w:t>- Meget sjælden (</w:t>
      </w:r>
      <w:r>
        <w:rPr>
          <w:szCs w:val="22"/>
        </w:rPr>
        <w:t>færre</w:t>
      </w:r>
      <w:r w:rsidRPr="00A814B7">
        <w:rPr>
          <w:szCs w:val="22"/>
        </w:rPr>
        <w:t xml:space="preserve"> end 1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</w:t>
      </w:r>
      <w:r>
        <w:rPr>
          <w:szCs w:val="22"/>
        </w:rPr>
        <w:t>, herunder isolerede rapporter)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b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4.7</w:t>
      </w:r>
      <w:r w:rsidRPr="00FC2491">
        <w:rPr>
          <w:b/>
          <w:sz w:val="24"/>
          <w:szCs w:val="24"/>
        </w:rPr>
        <w:tab/>
        <w:t>Drægtighed, diegivning eller æglægning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</w:t>
      </w:r>
      <w:r>
        <w:rPr>
          <w:sz w:val="24"/>
          <w:szCs w:val="24"/>
        </w:rPr>
        <w:t>krydser</w:t>
      </w:r>
      <w:r w:rsidRPr="00FC2491">
        <w:rPr>
          <w:sz w:val="24"/>
          <w:szCs w:val="24"/>
        </w:rPr>
        <w:t xml:space="preserve"> placentabarrieren og udskilles i mælken. </w:t>
      </w:r>
      <w:r>
        <w:t xml:space="preserve">Må kun anvendes i overensstemmelse med den ansvarlige dyrlæges vurdering af </w:t>
      </w:r>
      <w:proofErr w:type="spellStart"/>
      <w:r>
        <w:t>risk</w:t>
      </w:r>
      <w:proofErr w:type="spellEnd"/>
      <w:r>
        <w:t>/benefit-forholdet.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4.8</w:t>
      </w:r>
      <w:r w:rsidRPr="00FC2491">
        <w:rPr>
          <w:b/>
          <w:sz w:val="24"/>
          <w:szCs w:val="24"/>
        </w:rPr>
        <w:tab/>
        <w:t>Interaktion med andre lægemidler og andre former for interaktion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er kontraindiceret, hvis </w:t>
      </w:r>
      <w:proofErr w:type="spellStart"/>
      <w:r w:rsidRPr="00FC2491">
        <w:rPr>
          <w:sz w:val="24"/>
          <w:szCs w:val="24"/>
        </w:rPr>
        <w:t>phenothiaziner</w:t>
      </w:r>
      <w:proofErr w:type="spellEnd"/>
      <w:r w:rsidRPr="00FC2491">
        <w:rPr>
          <w:sz w:val="24"/>
          <w:szCs w:val="24"/>
        </w:rPr>
        <w:t xml:space="preserve"> anvendes samtidig som beroligende midler (da de forværrer </w:t>
      </w:r>
      <w:proofErr w:type="spellStart"/>
      <w:r w:rsidRPr="00FC2491">
        <w:rPr>
          <w:sz w:val="24"/>
          <w:szCs w:val="24"/>
        </w:rPr>
        <w:t>procains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hypotensive</w:t>
      </w:r>
      <w:proofErr w:type="spellEnd"/>
      <w:r w:rsidRPr="00FC2491">
        <w:rPr>
          <w:sz w:val="24"/>
          <w:szCs w:val="24"/>
        </w:rPr>
        <w:t xml:space="preserve"> virkning).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Ved administrationsstedet for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er den antibakterielle virkning svækket.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forlænger virkningen af </w:t>
      </w:r>
      <w:proofErr w:type="spellStart"/>
      <w:r w:rsidRPr="00FC2491">
        <w:rPr>
          <w:sz w:val="24"/>
          <w:szCs w:val="24"/>
        </w:rPr>
        <w:t>muskelrelaksantia</w:t>
      </w:r>
      <w:proofErr w:type="spellEnd"/>
      <w:r w:rsidRPr="00FC2491">
        <w:rPr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øger virkningen af </w:t>
      </w:r>
      <w:proofErr w:type="spellStart"/>
      <w:r w:rsidRPr="00FC2491">
        <w:rPr>
          <w:sz w:val="24"/>
          <w:szCs w:val="24"/>
        </w:rPr>
        <w:t>antiarytmika</w:t>
      </w:r>
      <w:proofErr w:type="spellEnd"/>
      <w:r w:rsidRPr="00FC2491">
        <w:rPr>
          <w:sz w:val="24"/>
          <w:szCs w:val="24"/>
        </w:rPr>
        <w:t xml:space="preserve">, f.eks. </w:t>
      </w:r>
      <w:proofErr w:type="spellStart"/>
      <w:r w:rsidRPr="00FC2491">
        <w:rPr>
          <w:sz w:val="24"/>
          <w:szCs w:val="24"/>
        </w:rPr>
        <w:t>procainamid</w:t>
      </w:r>
      <w:proofErr w:type="spellEnd"/>
      <w:r w:rsidRPr="00FC2491">
        <w:rPr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4.9</w:t>
      </w:r>
      <w:r w:rsidRPr="00FC2491">
        <w:rPr>
          <w:b/>
          <w:sz w:val="24"/>
          <w:szCs w:val="24"/>
        </w:rPr>
        <w:tab/>
        <w:t>Dosering og indgivelsesmåde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Til subkutan, perineural og epidural administration.</w:t>
      </w:r>
    </w:p>
    <w:p w:rsidR="00E2447E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For v</w:t>
      </w:r>
      <w:r w:rsidRPr="00FC2491">
        <w:rPr>
          <w:noProof/>
          <w:sz w:val="24"/>
          <w:szCs w:val="24"/>
        </w:rPr>
        <w:t>irkningens indsættelse og varighed, se pkt</w:t>
      </w:r>
      <w:r>
        <w:rPr>
          <w:noProof/>
          <w:sz w:val="24"/>
          <w:szCs w:val="24"/>
        </w:rPr>
        <w:t>.</w:t>
      </w:r>
      <w:r w:rsidRPr="00FC2491">
        <w:rPr>
          <w:noProof/>
          <w:sz w:val="24"/>
          <w:szCs w:val="24"/>
        </w:rPr>
        <w:t xml:space="preserve"> 5.1.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tab/>
      </w:r>
      <w:r w:rsidRPr="00FC2491">
        <w:rPr>
          <w:b/>
          <w:noProof/>
          <w:sz w:val="24"/>
          <w:szCs w:val="24"/>
        </w:rPr>
        <w:t>1. Infiltrationsanæstesi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Subkutan injektion i eller omkring operationsstedet.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  <w:u w:val="single"/>
        </w:rPr>
        <w:t>Hest, kvæg, svin, får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5 - 20 ml (dvs. 100 - 400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Hund og kat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1 - 5 ml (dvs. 20 - 100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b/>
          <w:noProof/>
          <w:sz w:val="24"/>
          <w:szCs w:val="24"/>
        </w:rPr>
      </w:pPr>
      <w:r w:rsidRPr="00FC2491">
        <w:rPr>
          <w:b/>
          <w:noProof/>
          <w:sz w:val="24"/>
          <w:szCs w:val="24"/>
        </w:rPr>
        <w:t>2. Ledningsanæstesi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Injektion på højde med en nerveforgrening.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lastRenderedPageBreak/>
        <w:t>Hund og kat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2 - 5 ml (dvs. 40 – 100 mg procainhydrochloride)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b/>
          <w:noProof/>
          <w:sz w:val="24"/>
          <w:szCs w:val="24"/>
        </w:rPr>
        <w:t>3. Epiduralanæstesi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Injektion i det epidurale rum.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Kvæg: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Sakral- eller posterior epiduralanæstesi:</w:t>
      </w:r>
    </w:p>
    <w:p w:rsidR="00E2447E" w:rsidRPr="00FC2491" w:rsidRDefault="00E2447E" w:rsidP="00E2447E">
      <w:pPr>
        <w:numPr>
          <w:ilvl w:val="0"/>
          <w:numId w:val="5"/>
        </w:numPr>
        <w:ind w:left="851" w:firstLine="0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Operationer på halen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Kalv: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5 ml (dvs. 100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Ungdyr: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7,5 ml (dvs. 150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 xml:space="preserve">Ko eller tyr: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>10 ml (dvs.  200 mg procainhydrochlorid)</w:t>
      </w:r>
      <w:r w:rsidRPr="00F443B1">
        <w:rPr>
          <w:noProof/>
          <w:sz w:val="24"/>
          <w:szCs w:val="24"/>
        </w:rPr>
        <w:br/>
      </w:r>
    </w:p>
    <w:p w:rsidR="00E2447E" w:rsidRPr="00F443B1" w:rsidRDefault="00E2447E" w:rsidP="00E2447E">
      <w:pPr>
        <w:numPr>
          <w:ilvl w:val="0"/>
          <w:numId w:val="5"/>
        </w:numPr>
        <w:ind w:left="1276" w:hanging="425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Mindre indgreb ved fødselshjælp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Kvie: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12 ml (dvs. 240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Ko: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15 ml (dvs. 300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Anterior epiduralanæstesi:</w:t>
      </w:r>
    </w:p>
    <w:p w:rsidR="00E2447E" w:rsidRPr="00F443B1" w:rsidRDefault="00E2447E" w:rsidP="00E2447E">
      <w:pPr>
        <w:numPr>
          <w:ilvl w:val="0"/>
          <w:numId w:val="5"/>
        </w:numPr>
        <w:ind w:left="1276" w:hanging="425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Undersøgelse og operation af penis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Kalv: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15 ml (dvs. 300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Ungdyr: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30 ml (dvs. 600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Tyr: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40 ml (dvs. 800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Ved denne dosis vil dyrene evt. lægge sig.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Får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Sakral- eller posterior epiduralanæstesi: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3 - 5 ml (dvs. 60 - 100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Anterior epiduralanæstesi: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Højst</w:t>
      </w:r>
      <w:r w:rsidRPr="00FC2491">
        <w:rPr>
          <w:noProof/>
          <w:sz w:val="24"/>
          <w:szCs w:val="24"/>
        </w:rPr>
        <w:tab/>
        <w:t>15 ml (dvs. 300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Svin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1 ml (dvs. 20 mg procainhydrochlorid) pr. 4,5 kg kropsvægt, højst 20 ml (dvs.400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Hund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2 ml (dvs. 40 mg procainhydrochlorid) pr. 5 kg kropsvægt.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 xml:space="preserve">Gummiproppen </w:t>
      </w:r>
      <w:r>
        <w:rPr>
          <w:sz w:val="24"/>
          <w:szCs w:val="24"/>
        </w:rPr>
        <w:t>må</w:t>
      </w:r>
      <w:r w:rsidRPr="00FC2491">
        <w:rPr>
          <w:sz w:val="24"/>
          <w:szCs w:val="24"/>
        </w:rPr>
        <w:t xml:space="preserve"> højst perforeres 25 gange.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4.10</w:t>
      </w:r>
      <w:r w:rsidRPr="00FC2491">
        <w:rPr>
          <w:b/>
          <w:sz w:val="24"/>
          <w:szCs w:val="24"/>
        </w:rPr>
        <w:tab/>
        <w:t>Overdosering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Symptomer i forbindelse med en overdosering korrelerer med symptomer, som forekommer efter utilsigtet </w:t>
      </w:r>
      <w:proofErr w:type="spellStart"/>
      <w:r w:rsidRPr="00FC2491">
        <w:rPr>
          <w:sz w:val="24"/>
          <w:szCs w:val="24"/>
        </w:rPr>
        <w:t>intravaskulær</w:t>
      </w:r>
      <w:proofErr w:type="spellEnd"/>
      <w:r w:rsidRPr="00FC2491">
        <w:rPr>
          <w:sz w:val="24"/>
          <w:szCs w:val="24"/>
        </w:rPr>
        <w:t xml:space="preserve"> injektion som beskrevet i pkt</w:t>
      </w:r>
      <w:r>
        <w:rPr>
          <w:sz w:val="24"/>
          <w:szCs w:val="24"/>
        </w:rPr>
        <w:t>.</w:t>
      </w:r>
      <w:r w:rsidRPr="00FC2491">
        <w:rPr>
          <w:sz w:val="24"/>
          <w:szCs w:val="24"/>
        </w:rPr>
        <w:t xml:space="preserve"> 4.6.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4.11</w:t>
      </w:r>
      <w:r w:rsidRPr="00FC2491">
        <w:rPr>
          <w:b/>
          <w:sz w:val="24"/>
          <w:szCs w:val="24"/>
        </w:rPr>
        <w:tab/>
        <w:t>Tilbageholdelsestid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</w:p>
    <w:p w:rsidR="00E2447E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  <w:u w:val="single"/>
        </w:rPr>
        <w:t>Kvæg, får og hest</w:t>
      </w:r>
      <w:r w:rsidRPr="00FC2491">
        <w:rPr>
          <w:sz w:val="24"/>
          <w:szCs w:val="24"/>
        </w:rPr>
        <w:t xml:space="preserve">: 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Slagtning: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døgn.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Mælk: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timer.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  <w:u w:val="single"/>
        </w:rPr>
        <w:lastRenderedPageBreak/>
        <w:t>Svin: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Slagtning: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døgn.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</w:t>
      </w:r>
      <w:r w:rsidRPr="00FC2491">
        <w:rPr>
          <w:b/>
          <w:sz w:val="24"/>
          <w:szCs w:val="24"/>
        </w:rPr>
        <w:tab/>
        <w:t>FARMAKOLOGISKE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 w:rsidRPr="00FC2491">
        <w:rPr>
          <w:sz w:val="24"/>
          <w:szCs w:val="24"/>
        </w:rPr>
        <w:t>armakoterapeutisk</w:t>
      </w:r>
      <w:proofErr w:type="spellEnd"/>
      <w:r w:rsidRPr="00FC2491">
        <w:rPr>
          <w:sz w:val="24"/>
          <w:szCs w:val="24"/>
        </w:rPr>
        <w:t xml:space="preserve"> gruppe: </w:t>
      </w:r>
      <w:proofErr w:type="spellStart"/>
      <w:r w:rsidRPr="00FC2491">
        <w:rPr>
          <w:sz w:val="24"/>
          <w:szCs w:val="24"/>
        </w:rPr>
        <w:t>Lokalanæsteti</w:t>
      </w:r>
      <w:r>
        <w:rPr>
          <w:sz w:val="24"/>
          <w:szCs w:val="24"/>
        </w:rPr>
        <w:t>c</w:t>
      </w:r>
      <w:r w:rsidRPr="00FC2491">
        <w:rPr>
          <w:sz w:val="24"/>
          <w:szCs w:val="24"/>
        </w:rPr>
        <w:t>a</w:t>
      </w:r>
      <w:proofErr w:type="spellEnd"/>
      <w:r w:rsidRPr="00FC2491">
        <w:rPr>
          <w:sz w:val="24"/>
          <w:szCs w:val="24"/>
        </w:rPr>
        <w:t xml:space="preserve">, aminobenzoesyre-estere. </w:t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ATCvet</w:t>
      </w:r>
      <w:proofErr w:type="spellEnd"/>
      <w:r w:rsidRPr="00FC2491">
        <w:rPr>
          <w:sz w:val="24"/>
          <w:szCs w:val="24"/>
        </w:rPr>
        <w:t xml:space="preserve"> kode: QN01BA02.</w:t>
      </w:r>
    </w:p>
    <w:p w:rsidR="00E2447E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tabs>
          <w:tab w:val="left" w:pos="851"/>
        </w:tabs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5.1</w:t>
      </w:r>
      <w:r w:rsidRPr="00FC2491">
        <w:rPr>
          <w:b/>
          <w:sz w:val="24"/>
          <w:szCs w:val="24"/>
        </w:rPr>
        <w:tab/>
      </w:r>
      <w:proofErr w:type="spellStart"/>
      <w:r w:rsidRPr="00FC2491">
        <w:rPr>
          <w:b/>
          <w:sz w:val="24"/>
          <w:szCs w:val="24"/>
        </w:rPr>
        <w:t>Farmakodynamiske</w:t>
      </w:r>
      <w:proofErr w:type="spellEnd"/>
      <w:r w:rsidRPr="00FC2491">
        <w:rPr>
          <w:b/>
          <w:sz w:val="24"/>
          <w:szCs w:val="24"/>
        </w:rPr>
        <w:t xml:space="preserve">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Procaine</w:t>
      </w:r>
      <w:proofErr w:type="spellEnd"/>
      <w:r w:rsidRPr="00FC2491">
        <w:rPr>
          <w:sz w:val="24"/>
          <w:szCs w:val="24"/>
        </w:rPr>
        <w:t xml:space="preserve"> er et syntetisk lokalt virkende </w:t>
      </w:r>
      <w:proofErr w:type="spellStart"/>
      <w:r w:rsidRPr="00FC2491">
        <w:rPr>
          <w:sz w:val="24"/>
          <w:szCs w:val="24"/>
        </w:rPr>
        <w:t>anæstetikum</w:t>
      </w:r>
      <w:proofErr w:type="spellEnd"/>
      <w:r w:rsidRPr="00FC2491">
        <w:rPr>
          <w:sz w:val="24"/>
          <w:szCs w:val="24"/>
        </w:rPr>
        <w:t xml:space="preserve"> af estertypen. Mere specifikt er det en ester af </w:t>
      </w:r>
      <w:proofErr w:type="spellStart"/>
      <w:r w:rsidRPr="00FC2491">
        <w:rPr>
          <w:sz w:val="24"/>
          <w:szCs w:val="24"/>
        </w:rPr>
        <w:t>paraaminobenzoesyre</w:t>
      </w:r>
      <w:proofErr w:type="spellEnd"/>
      <w:r w:rsidRPr="00FC2491">
        <w:rPr>
          <w:sz w:val="24"/>
          <w:szCs w:val="24"/>
        </w:rPr>
        <w:t xml:space="preserve">, som er den </w:t>
      </w:r>
      <w:proofErr w:type="spellStart"/>
      <w:r w:rsidRPr="00FC2491">
        <w:rPr>
          <w:sz w:val="24"/>
          <w:szCs w:val="24"/>
        </w:rPr>
        <w:t>lipofile</w:t>
      </w:r>
      <w:proofErr w:type="spellEnd"/>
      <w:r w:rsidRPr="00FC2491">
        <w:rPr>
          <w:sz w:val="24"/>
          <w:szCs w:val="24"/>
        </w:rPr>
        <w:t xml:space="preserve"> del af dette molekyle.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stabiliserer cellemembranen, hvilket medfører en reduktion af nervecellens membranpermeabilitet og dermed til reduceret diffusion af natrium- og </w:t>
      </w:r>
      <w:proofErr w:type="spellStart"/>
      <w:r w:rsidRPr="00FC2491">
        <w:rPr>
          <w:sz w:val="24"/>
          <w:szCs w:val="24"/>
        </w:rPr>
        <w:t>kaliumioner</w:t>
      </w:r>
      <w:proofErr w:type="spellEnd"/>
      <w:r w:rsidRPr="00FC2491">
        <w:rPr>
          <w:sz w:val="24"/>
          <w:szCs w:val="24"/>
        </w:rPr>
        <w:t>. Dette medfører en blokade af virkningspotentialet og hæmmer derved nerveimpulsen. Denne hæmning fører til reversibel lokalanæstesi.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Neuroner udviser variable følsomheder over for lokalanæstesi, hvilket afhænger af </w:t>
      </w:r>
      <w:proofErr w:type="spellStart"/>
      <w:r w:rsidRPr="00FC2491">
        <w:rPr>
          <w:sz w:val="24"/>
          <w:szCs w:val="24"/>
        </w:rPr>
        <w:t>myelinskedernes</w:t>
      </w:r>
      <w:proofErr w:type="spellEnd"/>
      <w:r w:rsidRPr="00FC2491">
        <w:rPr>
          <w:sz w:val="24"/>
          <w:szCs w:val="24"/>
        </w:rPr>
        <w:t xml:space="preserve"> tykkelse; neuroner, som ikke er dækket af </w:t>
      </w:r>
      <w:proofErr w:type="spellStart"/>
      <w:r w:rsidRPr="00FC2491">
        <w:rPr>
          <w:sz w:val="24"/>
          <w:szCs w:val="24"/>
        </w:rPr>
        <w:t>myelinskeder</w:t>
      </w:r>
      <w:proofErr w:type="spellEnd"/>
      <w:r w:rsidRPr="00FC2491">
        <w:rPr>
          <w:sz w:val="24"/>
          <w:szCs w:val="24"/>
        </w:rPr>
        <w:t xml:space="preserve">, er mest følsomme og bedøves hurtigere end neuroner, der har tykke </w:t>
      </w:r>
      <w:proofErr w:type="spellStart"/>
      <w:r w:rsidRPr="00FC2491">
        <w:rPr>
          <w:sz w:val="24"/>
          <w:szCs w:val="24"/>
        </w:rPr>
        <w:t>myelinskeder</w:t>
      </w:r>
      <w:proofErr w:type="spellEnd"/>
      <w:r w:rsidRPr="00FC2491">
        <w:rPr>
          <w:sz w:val="24"/>
          <w:szCs w:val="24"/>
        </w:rPr>
        <w:t xml:space="preserve">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Den lokalbedøvende virkning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ses efter 5-10 minutter efter subkutan administration (15-20 minutter efter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injektion). Virkningsvarigheden er kort (højst 30-60 minutter). Indsættelse af den anæstetiske virkning er også afhængig af dyreart og dyrets alder.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Foruden dets lokale anæstetiske virkning har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desuden </w:t>
      </w:r>
      <w:proofErr w:type="spellStart"/>
      <w:r w:rsidRPr="00FC2491">
        <w:rPr>
          <w:sz w:val="24"/>
          <w:szCs w:val="24"/>
        </w:rPr>
        <w:t>vasodilativ</w:t>
      </w:r>
      <w:proofErr w:type="spellEnd"/>
      <w:r w:rsidRPr="00FC2491">
        <w:rPr>
          <w:sz w:val="24"/>
          <w:szCs w:val="24"/>
        </w:rPr>
        <w:t xml:space="preserve"> og </w:t>
      </w:r>
      <w:proofErr w:type="spellStart"/>
      <w:r w:rsidRPr="00FC2491">
        <w:rPr>
          <w:sz w:val="24"/>
          <w:szCs w:val="24"/>
        </w:rPr>
        <w:t>antihypertensiv</w:t>
      </w:r>
      <w:proofErr w:type="spellEnd"/>
      <w:r w:rsidRPr="00FC2491">
        <w:rPr>
          <w:sz w:val="24"/>
          <w:szCs w:val="24"/>
        </w:rPr>
        <w:t xml:space="preserve"> virkning.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5.2</w:t>
      </w:r>
      <w:r w:rsidRPr="00FC2491">
        <w:rPr>
          <w:b/>
          <w:sz w:val="24"/>
          <w:szCs w:val="24"/>
        </w:rPr>
        <w:tab/>
      </w:r>
      <w:proofErr w:type="spellStart"/>
      <w:r w:rsidRPr="00FC2491">
        <w:rPr>
          <w:b/>
          <w:sz w:val="24"/>
          <w:szCs w:val="24"/>
        </w:rPr>
        <w:t>Farmakokinetiske</w:t>
      </w:r>
      <w:proofErr w:type="spellEnd"/>
      <w:r w:rsidRPr="00FC2491">
        <w:rPr>
          <w:b/>
          <w:sz w:val="24"/>
          <w:szCs w:val="24"/>
        </w:rPr>
        <w:t xml:space="preserve">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Efter parenteral administration absorberes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meget hurtigt i blodcirkulationen, især på grund af dets </w:t>
      </w:r>
      <w:proofErr w:type="spellStart"/>
      <w:r w:rsidRPr="00FC2491">
        <w:rPr>
          <w:sz w:val="24"/>
          <w:szCs w:val="24"/>
        </w:rPr>
        <w:t>vasodilaterende</w:t>
      </w:r>
      <w:proofErr w:type="spellEnd"/>
      <w:r w:rsidRPr="00FC2491">
        <w:rPr>
          <w:sz w:val="24"/>
          <w:szCs w:val="24"/>
        </w:rPr>
        <w:t xml:space="preserve"> egenskaber. Blandt andre faktorer afhænger absorptionen af </w:t>
      </w:r>
      <w:proofErr w:type="spellStart"/>
      <w:r w:rsidRPr="00FC2491">
        <w:rPr>
          <w:sz w:val="24"/>
          <w:szCs w:val="24"/>
        </w:rPr>
        <w:t>vaskularisering</w:t>
      </w:r>
      <w:proofErr w:type="spellEnd"/>
      <w:r w:rsidRPr="00FC2491">
        <w:rPr>
          <w:sz w:val="24"/>
          <w:szCs w:val="24"/>
        </w:rPr>
        <w:t xml:space="preserve"> ved indgivelsesstedet.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Virkningsvarighed er relativ kort på grund af hydrolyse af serum-</w:t>
      </w:r>
      <w:proofErr w:type="spellStart"/>
      <w:r w:rsidRPr="00FC2491">
        <w:rPr>
          <w:sz w:val="24"/>
          <w:szCs w:val="24"/>
        </w:rPr>
        <w:t>cholinesterase</w:t>
      </w:r>
      <w:proofErr w:type="spellEnd"/>
      <w:r w:rsidRPr="00FC2491">
        <w:rPr>
          <w:sz w:val="24"/>
          <w:szCs w:val="24"/>
        </w:rPr>
        <w:t xml:space="preserve">. Ved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administration sker resorptionen langsommere.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viser kun lav plasma-proteinbinding (2%).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C2491">
        <w:rPr>
          <w:bCs/>
          <w:sz w:val="24"/>
          <w:szCs w:val="24"/>
        </w:rPr>
        <w:t xml:space="preserve">På grund af relativt lav fedtopløselighed er diffusionen til væv lav.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passerer dog blod-hjernebarrieren og diffunderer ind i </w:t>
      </w:r>
      <w:proofErr w:type="spellStart"/>
      <w:r w:rsidRPr="00FC2491">
        <w:rPr>
          <w:bCs/>
          <w:sz w:val="24"/>
          <w:szCs w:val="24"/>
        </w:rPr>
        <w:t>føtalt</w:t>
      </w:r>
      <w:proofErr w:type="spellEnd"/>
      <w:r w:rsidRPr="00FC2491">
        <w:rPr>
          <w:bCs/>
          <w:sz w:val="24"/>
          <w:szCs w:val="24"/>
        </w:rPr>
        <w:t xml:space="preserve"> plasma.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hydrolyseres hurtigt og næsten fuldstændigt til </w:t>
      </w:r>
      <w:proofErr w:type="spellStart"/>
      <w:r w:rsidRPr="00FC2491">
        <w:rPr>
          <w:bCs/>
          <w:sz w:val="24"/>
          <w:szCs w:val="24"/>
        </w:rPr>
        <w:t>paraaminobenzoesyre</w:t>
      </w:r>
      <w:proofErr w:type="spellEnd"/>
      <w:r w:rsidRPr="00FC2491">
        <w:rPr>
          <w:bCs/>
          <w:sz w:val="24"/>
          <w:szCs w:val="24"/>
        </w:rPr>
        <w:t xml:space="preserve"> og </w:t>
      </w:r>
      <w:proofErr w:type="spellStart"/>
      <w:r w:rsidRPr="00FC2491">
        <w:rPr>
          <w:bCs/>
          <w:sz w:val="24"/>
          <w:szCs w:val="24"/>
        </w:rPr>
        <w:t>diethylaminoethanol</w:t>
      </w:r>
      <w:proofErr w:type="spellEnd"/>
      <w:r w:rsidRPr="00FC2491">
        <w:rPr>
          <w:bCs/>
          <w:sz w:val="24"/>
          <w:szCs w:val="24"/>
        </w:rPr>
        <w:t xml:space="preserve"> af </w:t>
      </w:r>
      <w:proofErr w:type="spellStart"/>
      <w:r w:rsidRPr="00FC2491">
        <w:rPr>
          <w:bCs/>
          <w:sz w:val="24"/>
          <w:szCs w:val="24"/>
        </w:rPr>
        <w:t>pseudocholinesterase</w:t>
      </w:r>
      <w:proofErr w:type="spellEnd"/>
      <w:r w:rsidRPr="00FC2491">
        <w:rPr>
          <w:bCs/>
          <w:sz w:val="24"/>
          <w:szCs w:val="24"/>
        </w:rPr>
        <w:t xml:space="preserve">, der forekommer naturligt i plasma, </w:t>
      </w:r>
      <w:proofErr w:type="spellStart"/>
      <w:r w:rsidRPr="00FC2491">
        <w:rPr>
          <w:bCs/>
          <w:sz w:val="24"/>
          <w:szCs w:val="24"/>
        </w:rPr>
        <w:t>mikrosomale</w:t>
      </w:r>
      <w:proofErr w:type="spellEnd"/>
      <w:r w:rsidRPr="00FC2491">
        <w:rPr>
          <w:bCs/>
          <w:sz w:val="24"/>
          <w:szCs w:val="24"/>
        </w:rPr>
        <w:t xml:space="preserve"> rum i lever og andre væv. </w:t>
      </w:r>
      <w:proofErr w:type="spellStart"/>
      <w:r w:rsidRPr="00FC2491">
        <w:rPr>
          <w:bCs/>
          <w:sz w:val="24"/>
          <w:szCs w:val="24"/>
        </w:rPr>
        <w:t>Paraaminobenzoesyre</w:t>
      </w:r>
      <w:proofErr w:type="spellEnd"/>
      <w:r w:rsidRPr="00FC2491">
        <w:rPr>
          <w:bCs/>
          <w:sz w:val="24"/>
          <w:szCs w:val="24"/>
        </w:rPr>
        <w:t xml:space="preserve">, som hæmmer sulfonamiders virkning, udskilles via nyrerne som </w:t>
      </w:r>
      <w:proofErr w:type="spellStart"/>
      <w:r w:rsidRPr="00FC2491">
        <w:rPr>
          <w:bCs/>
          <w:sz w:val="24"/>
          <w:szCs w:val="24"/>
        </w:rPr>
        <w:t>glukoronsyrekonjugat</w:t>
      </w:r>
      <w:proofErr w:type="spellEnd"/>
      <w:r w:rsidRPr="00FC2491">
        <w:rPr>
          <w:bCs/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Diethylaminoethanol</w:t>
      </w:r>
      <w:proofErr w:type="spellEnd"/>
      <w:r w:rsidRPr="00FC2491">
        <w:rPr>
          <w:bCs/>
          <w:sz w:val="24"/>
          <w:szCs w:val="24"/>
        </w:rPr>
        <w:t>, der er en aktiv metabolit, omsættes i leveren.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Metabolisering</w:t>
      </w:r>
      <w:proofErr w:type="spellEnd"/>
      <w:r w:rsidRPr="00FC2491">
        <w:rPr>
          <w:bCs/>
          <w:sz w:val="24"/>
          <w:szCs w:val="24"/>
        </w:rPr>
        <w:t xml:space="preserve"> af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varierer efter dyreart: hos katte udgør </w:t>
      </w:r>
      <w:proofErr w:type="spellStart"/>
      <w:r w:rsidRPr="00FC2491">
        <w:rPr>
          <w:bCs/>
          <w:sz w:val="24"/>
          <w:szCs w:val="24"/>
        </w:rPr>
        <w:t>metabolisering</w:t>
      </w:r>
      <w:proofErr w:type="spellEnd"/>
      <w:r w:rsidRPr="00FC2491">
        <w:rPr>
          <w:bCs/>
          <w:sz w:val="24"/>
          <w:szCs w:val="24"/>
        </w:rPr>
        <w:t xml:space="preserve"> via leveren 40 %, mens </w:t>
      </w:r>
      <w:proofErr w:type="spellStart"/>
      <w:r w:rsidRPr="00FC2491">
        <w:rPr>
          <w:bCs/>
          <w:sz w:val="24"/>
          <w:szCs w:val="24"/>
        </w:rPr>
        <w:t>serumesterase</w:t>
      </w:r>
      <w:proofErr w:type="spellEnd"/>
      <w:r w:rsidRPr="00FC2491">
        <w:rPr>
          <w:bCs/>
          <w:sz w:val="24"/>
          <w:szCs w:val="24"/>
        </w:rPr>
        <w:t xml:space="preserve"> hos visse hunderacer, f. eks mynder, er meget svag.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udskilles hurtigt og fuldstændigt via nyrerne i form af dens metabolitter. Plasmahalveringstiden er kort:1-1,5 timer. </w:t>
      </w:r>
      <w:proofErr w:type="spellStart"/>
      <w:r w:rsidRPr="00FC2491">
        <w:rPr>
          <w:bCs/>
          <w:sz w:val="24"/>
          <w:szCs w:val="24"/>
        </w:rPr>
        <w:t>Renal</w:t>
      </w:r>
      <w:proofErr w:type="spellEnd"/>
      <w:r w:rsidRPr="00FC2491">
        <w:rPr>
          <w:bCs/>
          <w:sz w:val="24"/>
          <w:szCs w:val="24"/>
        </w:rPr>
        <w:t xml:space="preserve"> udskillelse afhænger af urinens pH-værdi: Udskillelse er hurtigere ved en sur pH-værdi, end ved en basisk pH-værdi.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5.3</w:t>
      </w:r>
      <w:r w:rsidRPr="00FC2491">
        <w:rPr>
          <w:b/>
          <w:sz w:val="24"/>
          <w:szCs w:val="24"/>
        </w:rPr>
        <w:tab/>
        <w:t>Miljømæssige forhold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-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Default="00E2447E" w:rsidP="00E244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</w:t>
      </w:r>
      <w:r w:rsidRPr="00FC2491">
        <w:rPr>
          <w:b/>
          <w:sz w:val="24"/>
          <w:szCs w:val="24"/>
        </w:rPr>
        <w:tab/>
        <w:t>FARMACEUTISKE OPLYSNINGER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6.1</w:t>
      </w:r>
      <w:r w:rsidRPr="00FC2491">
        <w:rPr>
          <w:b/>
          <w:sz w:val="24"/>
          <w:szCs w:val="24"/>
        </w:rPr>
        <w:tab/>
        <w:t>Hjælpestoffer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Natriummethylparahydroxybenzoat</w:t>
      </w:r>
      <w:proofErr w:type="spellEnd"/>
      <w:r w:rsidRPr="00FC2491">
        <w:rPr>
          <w:sz w:val="24"/>
          <w:szCs w:val="24"/>
        </w:rPr>
        <w:t xml:space="preserve"> (E219)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Natriummetabisulfit</w:t>
      </w:r>
      <w:proofErr w:type="spellEnd"/>
      <w:r w:rsidRPr="00FC2491">
        <w:rPr>
          <w:sz w:val="24"/>
          <w:szCs w:val="24"/>
        </w:rPr>
        <w:t xml:space="preserve"> (E223)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Natriumedetat</w:t>
      </w:r>
      <w:proofErr w:type="spellEnd"/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Natriumchlorid</w:t>
      </w:r>
      <w:proofErr w:type="spellEnd"/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Saltsyre (til justering af pH)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Vand til injektionsvæsker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6.2</w:t>
      </w:r>
      <w:r w:rsidRPr="00FC2491">
        <w:rPr>
          <w:b/>
          <w:sz w:val="24"/>
          <w:szCs w:val="24"/>
        </w:rPr>
        <w:tab/>
        <w:t>Uforligeligheder</w:t>
      </w:r>
    </w:p>
    <w:p w:rsidR="00E2447E" w:rsidRPr="006C2148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Pr="006C2148">
        <w:rPr>
          <w:sz w:val="24"/>
          <w:szCs w:val="24"/>
        </w:rPr>
        <w:t>Da der ikke foreligger undersøgelser vedrørende eventuelle uforligeligheder, bør dette lægemiddel til dyr ikke blandes med andre lægemidler.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6.3</w:t>
      </w:r>
      <w:r w:rsidRPr="00FC2491">
        <w:rPr>
          <w:b/>
          <w:sz w:val="24"/>
          <w:szCs w:val="24"/>
        </w:rPr>
        <w:tab/>
        <w:t>Opbevaringstid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I salgspakning: 2 år.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Efter første åbning af den indre emballage: 28 dage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6.4</w:t>
      </w:r>
      <w:r w:rsidRPr="00FC2491">
        <w:rPr>
          <w:b/>
          <w:sz w:val="24"/>
          <w:szCs w:val="24"/>
        </w:rPr>
        <w:tab/>
        <w:t>Særlige opbevaringsforhold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noProof/>
          <w:sz w:val="24"/>
          <w:szCs w:val="24"/>
        </w:rPr>
        <w:t>Opbevares i original yderpakning for at beskytte mod lys.</w:t>
      </w:r>
    </w:p>
    <w:p w:rsidR="00E2447E" w:rsidRPr="00FC2491" w:rsidDel="0058362A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Efter åbning</w:t>
      </w:r>
      <w:r>
        <w:rPr>
          <w:noProof/>
          <w:sz w:val="24"/>
          <w:szCs w:val="24"/>
        </w:rPr>
        <w:t>: M</w:t>
      </w:r>
      <w:r w:rsidRPr="00FC2491">
        <w:rPr>
          <w:noProof/>
          <w:sz w:val="24"/>
          <w:szCs w:val="24"/>
        </w:rPr>
        <w:t>å ikke opbevares ved temperaturer over 25°C.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6.5</w:t>
      </w:r>
      <w:r w:rsidRPr="00FC2491">
        <w:rPr>
          <w:b/>
          <w:sz w:val="24"/>
          <w:szCs w:val="24"/>
        </w:rPr>
        <w:tab/>
        <w:t>Emballage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Ph.Eur</w:t>
      </w:r>
      <w:proofErr w:type="spellEnd"/>
      <w:r w:rsidRPr="00FC2491">
        <w:rPr>
          <w:sz w:val="24"/>
          <w:szCs w:val="24"/>
        </w:rPr>
        <w:t xml:space="preserve">. type II klar hætteglas, med </w:t>
      </w:r>
      <w:proofErr w:type="spellStart"/>
      <w:r w:rsidRPr="00FC2491">
        <w:rPr>
          <w:sz w:val="24"/>
          <w:szCs w:val="24"/>
        </w:rPr>
        <w:t>bromobutyl</w:t>
      </w:r>
      <w:proofErr w:type="spellEnd"/>
      <w:r w:rsidRPr="00FC2491">
        <w:rPr>
          <w:sz w:val="24"/>
          <w:szCs w:val="24"/>
        </w:rPr>
        <w:t xml:space="preserve"> gummiprop </w:t>
      </w:r>
      <w:proofErr w:type="spellStart"/>
      <w:r w:rsidRPr="00FC2491">
        <w:rPr>
          <w:sz w:val="24"/>
          <w:szCs w:val="24"/>
        </w:rPr>
        <w:t>Ph.Eur</w:t>
      </w:r>
      <w:proofErr w:type="spellEnd"/>
      <w:r w:rsidRPr="00FC2491">
        <w:rPr>
          <w:sz w:val="24"/>
          <w:szCs w:val="24"/>
        </w:rPr>
        <w:t>. type I og aluminiumshætte.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Pakningsstørrelser: 1 x 100 ml, 10 x 100 ml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Pr="00FC2491">
        <w:rPr>
          <w:sz w:val="24"/>
          <w:szCs w:val="24"/>
        </w:rPr>
        <w:t>kke alle pakningsstørrelser er nødvendigvis markedsført.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6.6</w:t>
      </w:r>
      <w:r w:rsidRPr="00FC2491">
        <w:rPr>
          <w:b/>
          <w:sz w:val="24"/>
          <w:szCs w:val="24"/>
        </w:rPr>
        <w:tab/>
        <w:t>Særlige forholdsregler ved bortskaffelse af rester af lægemidlet eller affald</w:t>
      </w:r>
    </w:p>
    <w:p w:rsidR="00E2447E" w:rsidRPr="00FC2491" w:rsidRDefault="00E2447E" w:rsidP="00E2447E">
      <w:pPr>
        <w:ind w:left="851" w:right="-318" w:hanging="851"/>
        <w:rPr>
          <w:i/>
          <w:sz w:val="24"/>
          <w:szCs w:val="24"/>
        </w:rPr>
      </w:pPr>
      <w:r w:rsidRPr="00FC2491">
        <w:rPr>
          <w:sz w:val="24"/>
          <w:szCs w:val="24"/>
        </w:rPr>
        <w:tab/>
        <w:t>Ikke anvendt veterinærlægemidler samt affald heraf bør destrueres i henhold til lokale retningslinjer.</w:t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7.</w:t>
      </w:r>
      <w:r w:rsidRPr="00FC2491">
        <w:rPr>
          <w:b/>
          <w:sz w:val="24"/>
          <w:szCs w:val="24"/>
        </w:rPr>
        <w:tab/>
        <w:t>INDEHAVER AF MARKEDSFØRINGSTILLADELSEN</w:t>
      </w:r>
    </w:p>
    <w:p w:rsidR="005A27DF" w:rsidRPr="006317AB" w:rsidRDefault="005A27DF" w:rsidP="005A27DF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VetViva</w:t>
      </w:r>
      <w:proofErr w:type="spellEnd"/>
      <w:r w:rsidRPr="006317AB">
        <w:rPr>
          <w:sz w:val="24"/>
          <w:szCs w:val="24"/>
          <w:lang w:val="en-US"/>
        </w:rPr>
        <w:t xml:space="preserve"> Richter GmbH</w:t>
      </w:r>
    </w:p>
    <w:p w:rsidR="005A27DF" w:rsidRPr="006317AB" w:rsidRDefault="005A27DF" w:rsidP="005A27DF">
      <w:pPr>
        <w:ind w:left="851"/>
        <w:rPr>
          <w:sz w:val="24"/>
          <w:szCs w:val="24"/>
          <w:lang w:val="en-US"/>
        </w:rPr>
      </w:pPr>
      <w:proofErr w:type="spellStart"/>
      <w:r w:rsidRPr="006317AB">
        <w:rPr>
          <w:sz w:val="24"/>
          <w:szCs w:val="24"/>
          <w:lang w:val="en-US"/>
        </w:rPr>
        <w:t>Durisolstrasse</w:t>
      </w:r>
      <w:proofErr w:type="spellEnd"/>
      <w:r w:rsidRPr="006317AB">
        <w:rPr>
          <w:sz w:val="24"/>
          <w:szCs w:val="24"/>
          <w:lang w:val="en-US"/>
        </w:rPr>
        <w:t xml:space="preserve"> 14</w:t>
      </w:r>
    </w:p>
    <w:p w:rsidR="005A27DF" w:rsidRDefault="005A27DF" w:rsidP="005A27DF">
      <w:pPr>
        <w:ind w:left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>4600 Wels</w:t>
      </w:r>
    </w:p>
    <w:p w:rsidR="005A27DF" w:rsidRPr="006317AB" w:rsidRDefault="005A27DF" w:rsidP="005A27DF">
      <w:pPr>
        <w:ind w:left="851" w:hanging="851"/>
        <w:rPr>
          <w:sz w:val="24"/>
          <w:szCs w:val="24"/>
          <w:lang w:val="en-US"/>
        </w:rPr>
      </w:pPr>
      <w:r w:rsidRPr="006317AB">
        <w:rPr>
          <w:sz w:val="24"/>
          <w:szCs w:val="24"/>
          <w:lang w:val="en-US"/>
        </w:rPr>
        <w:tab/>
      </w:r>
      <w:proofErr w:type="spellStart"/>
      <w:r w:rsidRPr="006317AB">
        <w:rPr>
          <w:sz w:val="24"/>
          <w:szCs w:val="24"/>
          <w:lang w:val="en-US"/>
        </w:rPr>
        <w:t>Østrig</w:t>
      </w:r>
      <w:proofErr w:type="spellEnd"/>
    </w:p>
    <w:p w:rsidR="00E2447E" w:rsidRPr="005A27DF" w:rsidRDefault="00E2447E" w:rsidP="005A27DF">
      <w:pPr>
        <w:ind w:left="851" w:right="-318" w:hanging="851"/>
        <w:rPr>
          <w:sz w:val="24"/>
          <w:szCs w:val="24"/>
          <w:lang w:val="en-US"/>
        </w:rPr>
      </w:pPr>
    </w:p>
    <w:p w:rsidR="00E2447E" w:rsidRDefault="00E2447E" w:rsidP="00E2447E">
      <w:pPr>
        <w:ind w:left="851" w:right="-318" w:hanging="851"/>
        <w:rPr>
          <w:b/>
          <w:sz w:val="24"/>
          <w:szCs w:val="24"/>
        </w:rPr>
      </w:pPr>
      <w:r w:rsidRPr="005A27DF">
        <w:rPr>
          <w:sz w:val="24"/>
          <w:szCs w:val="24"/>
          <w:lang w:val="en-US"/>
        </w:rPr>
        <w:tab/>
      </w:r>
      <w:r>
        <w:rPr>
          <w:b/>
          <w:sz w:val="24"/>
          <w:szCs w:val="24"/>
        </w:rPr>
        <w:t>Repræsentant</w:t>
      </w:r>
    </w:p>
    <w:p w:rsidR="00E2447E" w:rsidRDefault="00E2447E" w:rsidP="00E2447E">
      <w:pPr>
        <w:ind w:left="851" w:right="-318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Salfarm</w:t>
      </w:r>
      <w:proofErr w:type="spellEnd"/>
      <w:r>
        <w:rPr>
          <w:sz w:val="24"/>
          <w:szCs w:val="24"/>
        </w:rPr>
        <w:t xml:space="preserve"> Danmark A/S</w:t>
      </w:r>
    </w:p>
    <w:p w:rsidR="00486EF4" w:rsidRPr="00151292" w:rsidRDefault="00E2447E" w:rsidP="00486EF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86EF4" w:rsidRPr="00151292">
        <w:rPr>
          <w:sz w:val="24"/>
          <w:szCs w:val="24"/>
        </w:rPr>
        <w:t>Nordager 19</w:t>
      </w:r>
    </w:p>
    <w:p w:rsidR="00486EF4" w:rsidRDefault="00486EF4" w:rsidP="00486EF4">
      <w:pPr>
        <w:ind w:left="851"/>
        <w:rPr>
          <w:sz w:val="24"/>
          <w:szCs w:val="24"/>
        </w:rPr>
      </w:pPr>
      <w:r w:rsidRPr="00151292">
        <w:rPr>
          <w:sz w:val="24"/>
          <w:szCs w:val="24"/>
        </w:rPr>
        <w:t>6000 Kolding</w:t>
      </w:r>
    </w:p>
    <w:p w:rsidR="00E2447E" w:rsidRPr="00FC2491" w:rsidRDefault="00E2447E" w:rsidP="00486EF4">
      <w:pPr>
        <w:ind w:left="851" w:right="-318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8.</w:t>
      </w:r>
      <w:r w:rsidRPr="00FC2491">
        <w:rPr>
          <w:b/>
          <w:sz w:val="24"/>
          <w:szCs w:val="24"/>
        </w:rPr>
        <w:tab/>
        <w:t>MARKEDSFØRINGSTILLADELSESNUMMER (NUMRE)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52924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9.</w:t>
      </w:r>
      <w:r w:rsidRPr="00FC2491">
        <w:rPr>
          <w:b/>
          <w:sz w:val="24"/>
          <w:szCs w:val="24"/>
        </w:rPr>
        <w:tab/>
        <w:t>DATO FOR FØRSTE MARKEDSFØRINGSTILLADELSE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28. oktober 2013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lastRenderedPageBreak/>
        <w:t>10.</w:t>
      </w:r>
      <w:r w:rsidRPr="00FC2491">
        <w:rPr>
          <w:b/>
          <w:sz w:val="24"/>
          <w:szCs w:val="24"/>
        </w:rPr>
        <w:tab/>
        <w:t>DATO FOR ÆNDRING AF TEKSTEN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="005A27DF">
        <w:rPr>
          <w:sz w:val="24"/>
          <w:szCs w:val="24"/>
        </w:rPr>
        <w:t>20. april 2023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11.</w:t>
      </w:r>
      <w:r w:rsidRPr="00FC2491">
        <w:rPr>
          <w:b/>
          <w:sz w:val="24"/>
          <w:szCs w:val="24"/>
        </w:rPr>
        <w:tab/>
        <w:t>UDLEVERINGSBESTEMMELSE</w:t>
      </w:r>
    </w:p>
    <w:p w:rsidR="00E2447E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C2491">
        <w:rPr>
          <w:szCs w:val="24"/>
        </w:rPr>
        <w:tab/>
        <w:t>BPK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2447E" w:rsidRPr="00A073B2" w:rsidRDefault="00E2447E" w:rsidP="00E2447E"/>
    <w:p w:rsidR="0003527F" w:rsidRPr="00E2447E" w:rsidRDefault="0003527F" w:rsidP="00E2447E"/>
    <w:sectPr w:rsidR="0003527F" w:rsidRPr="00E2447E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E" w:rsidRDefault="00E2447E">
      <w:r>
        <w:separator/>
      </w:r>
    </w:p>
  </w:endnote>
  <w:endnote w:type="continuationSeparator" w:id="0">
    <w:p w:rsidR="00E2447E" w:rsidRDefault="00E2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2A05E4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2A05E4">
      <w:rPr>
        <w:i/>
        <w:snapToGrid w:val="0"/>
        <w:sz w:val="18"/>
      </w:rPr>
      <w:t>Procamidor</w:t>
    </w:r>
    <w:proofErr w:type="spellEnd"/>
    <w:r w:rsidRPr="002A05E4">
      <w:rPr>
        <w:i/>
        <w:snapToGrid w:val="0"/>
        <w:sz w:val="18"/>
      </w:rPr>
      <w:t xml:space="preserve"> </w:t>
    </w:r>
    <w:proofErr w:type="spellStart"/>
    <w:r w:rsidRPr="002A05E4">
      <w:rPr>
        <w:i/>
        <w:snapToGrid w:val="0"/>
        <w:sz w:val="18"/>
      </w:rPr>
      <w:t>Vet</w:t>
    </w:r>
    <w:proofErr w:type="spellEnd"/>
    <w:r w:rsidRPr="002A05E4">
      <w:rPr>
        <w:i/>
        <w:snapToGrid w:val="0"/>
        <w:sz w:val="18"/>
      </w:rPr>
      <w:t>., injektionsvæske, opløsning 20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2447E">
      <w:rPr>
        <w:i/>
        <w:noProof/>
        <w:snapToGrid w:val="0"/>
        <w:sz w:val="18"/>
      </w:rPr>
      <w:t>Dokument632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E" w:rsidRDefault="00E2447E">
      <w:r>
        <w:separator/>
      </w:r>
    </w:p>
  </w:footnote>
  <w:footnote w:type="continuationSeparator" w:id="0">
    <w:p w:rsidR="00E2447E" w:rsidRDefault="00E2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5C1"/>
    <w:multiLevelType w:val="hybridMultilevel"/>
    <w:tmpl w:val="FAA653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6FF3"/>
    <w:multiLevelType w:val="hybridMultilevel"/>
    <w:tmpl w:val="4BD8293A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8992A5B"/>
    <w:multiLevelType w:val="hybridMultilevel"/>
    <w:tmpl w:val="535C442E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E"/>
    <w:rsid w:val="0003527F"/>
    <w:rsid w:val="00041FA6"/>
    <w:rsid w:val="00065C7D"/>
    <w:rsid w:val="000C6CD4"/>
    <w:rsid w:val="000F34A7"/>
    <w:rsid w:val="001577E4"/>
    <w:rsid w:val="001858CA"/>
    <w:rsid w:val="001C4AEF"/>
    <w:rsid w:val="001D3CC5"/>
    <w:rsid w:val="002A05E4"/>
    <w:rsid w:val="00322BDE"/>
    <w:rsid w:val="00406EE7"/>
    <w:rsid w:val="00407013"/>
    <w:rsid w:val="0047401B"/>
    <w:rsid w:val="00486EF4"/>
    <w:rsid w:val="004A62CC"/>
    <w:rsid w:val="00565A74"/>
    <w:rsid w:val="005A27DF"/>
    <w:rsid w:val="005B0036"/>
    <w:rsid w:val="005F5831"/>
    <w:rsid w:val="00662012"/>
    <w:rsid w:val="00666B01"/>
    <w:rsid w:val="006B1539"/>
    <w:rsid w:val="006D4B41"/>
    <w:rsid w:val="006F5621"/>
    <w:rsid w:val="007A6F60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2447E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6050813"/>
  <w15:chartTrackingRefBased/>
  <w15:docId w15:val="{481A78EA-A4F4-42D2-918C-59EBB32B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E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7</Pages>
  <Words>1440</Words>
  <Characters>10063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2022122512_x000d_
Skift af MAH fra Richter Pharma AG</dc:description>
  <cp:lastModifiedBy>Marianne Ott Jensen</cp:lastModifiedBy>
  <cp:revision>3</cp:revision>
  <dcterms:created xsi:type="dcterms:W3CDTF">2023-04-20T08:40:00Z</dcterms:created>
  <dcterms:modified xsi:type="dcterms:W3CDTF">2023-04-20T08:41:00Z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