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0036" w:rsidRPr="008F49E1" w:rsidRDefault="005B0036" w:rsidP="005B0036">
      <w:pPr>
        <w:rPr>
          <w:sz w:val="24"/>
          <w:szCs w:val="24"/>
        </w:rPr>
      </w:pPr>
      <w:r w:rsidRPr="005B0036">
        <w:rPr>
          <w:noProof/>
          <w:sz w:val="24"/>
          <w:szCs w:val="24"/>
          <w:lang w:eastAsia="da-DK"/>
        </w:rPr>
        <w:drawing>
          <wp:inline distT="0" distB="0" distL="0" distR="0" wp14:anchorId="417F1A69" wp14:editId="578A875D">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C479BF" w:rsidRDefault="00C479BF" w:rsidP="005B0036">
      <w:pPr>
        <w:rPr>
          <w:sz w:val="24"/>
          <w:szCs w:val="24"/>
        </w:rPr>
      </w:pPr>
    </w:p>
    <w:p w:rsidR="00C479BF" w:rsidRPr="00C20AF7" w:rsidRDefault="00C479BF" w:rsidP="005B0036">
      <w:pPr>
        <w:rPr>
          <w:sz w:val="24"/>
          <w:szCs w:val="24"/>
        </w:rPr>
      </w:pPr>
    </w:p>
    <w:p w:rsidR="005B0036" w:rsidRPr="00406EE7" w:rsidRDefault="005B0036" w:rsidP="005B0036">
      <w:pPr>
        <w:tabs>
          <w:tab w:val="right" w:pos="9356"/>
        </w:tabs>
        <w:rPr>
          <w:b/>
          <w:sz w:val="24"/>
          <w:szCs w:val="24"/>
        </w:rPr>
      </w:pPr>
      <w:r>
        <w:rPr>
          <w:b/>
          <w:sz w:val="24"/>
          <w:szCs w:val="24"/>
        </w:rPr>
        <w:tab/>
      </w:r>
      <w:r w:rsidR="001E12D3">
        <w:rPr>
          <w:b/>
          <w:sz w:val="24"/>
          <w:szCs w:val="24"/>
        </w:rPr>
        <w:t>12. juli 2022</w:t>
      </w:r>
    </w:p>
    <w:p w:rsidR="005B0036" w:rsidRPr="00406EE7" w:rsidRDefault="005B0036" w:rsidP="005B0036">
      <w:pPr>
        <w:rPr>
          <w:sz w:val="24"/>
          <w:szCs w:val="24"/>
        </w:rPr>
      </w:pPr>
    </w:p>
    <w:p w:rsidR="00C479BF" w:rsidRDefault="00C479BF" w:rsidP="005B0036">
      <w:pPr>
        <w:tabs>
          <w:tab w:val="left" w:pos="8222"/>
        </w:tabs>
        <w:jc w:val="center"/>
        <w:rPr>
          <w:b/>
          <w:sz w:val="24"/>
          <w:szCs w:val="24"/>
        </w:rPr>
      </w:pPr>
    </w:p>
    <w:p w:rsidR="005B0036" w:rsidRPr="00406EE7" w:rsidRDefault="005B0036" w:rsidP="005B0036">
      <w:pPr>
        <w:tabs>
          <w:tab w:val="left" w:pos="8222"/>
        </w:tabs>
        <w:jc w:val="center"/>
        <w:rPr>
          <w:b/>
          <w:sz w:val="24"/>
          <w:szCs w:val="24"/>
        </w:rPr>
      </w:pPr>
      <w:r w:rsidRPr="00406EE7">
        <w:rPr>
          <w:b/>
          <w:sz w:val="24"/>
          <w:szCs w:val="24"/>
        </w:rPr>
        <w:t>PRODUKTRESUMÉ</w:t>
      </w:r>
    </w:p>
    <w:p w:rsidR="005B0036" w:rsidRPr="00406EE7" w:rsidRDefault="005B0036" w:rsidP="005B0036">
      <w:pPr>
        <w:tabs>
          <w:tab w:val="left" w:pos="8222"/>
        </w:tabs>
        <w:jc w:val="center"/>
        <w:rPr>
          <w:b/>
          <w:sz w:val="24"/>
          <w:szCs w:val="24"/>
        </w:rPr>
      </w:pPr>
    </w:p>
    <w:p w:rsidR="005B0036" w:rsidRPr="00406EE7" w:rsidRDefault="005B0036" w:rsidP="005B0036">
      <w:pPr>
        <w:tabs>
          <w:tab w:val="left" w:pos="8222"/>
        </w:tabs>
        <w:jc w:val="center"/>
        <w:rPr>
          <w:b/>
          <w:sz w:val="24"/>
          <w:szCs w:val="24"/>
        </w:rPr>
      </w:pPr>
      <w:r w:rsidRPr="00406EE7">
        <w:rPr>
          <w:b/>
          <w:sz w:val="24"/>
          <w:szCs w:val="24"/>
        </w:rPr>
        <w:t>for</w:t>
      </w:r>
    </w:p>
    <w:p w:rsidR="005B0036" w:rsidRPr="00406EE7" w:rsidRDefault="005B0036" w:rsidP="005B0036">
      <w:pPr>
        <w:tabs>
          <w:tab w:val="left" w:pos="8222"/>
        </w:tabs>
        <w:jc w:val="center"/>
        <w:rPr>
          <w:b/>
          <w:sz w:val="24"/>
          <w:szCs w:val="24"/>
        </w:rPr>
      </w:pPr>
    </w:p>
    <w:p w:rsidR="005B0036" w:rsidRPr="00565A74" w:rsidRDefault="009C0368" w:rsidP="005B0036">
      <w:pPr>
        <w:tabs>
          <w:tab w:val="left" w:pos="8222"/>
        </w:tabs>
        <w:jc w:val="center"/>
        <w:rPr>
          <w:b/>
          <w:sz w:val="24"/>
          <w:szCs w:val="24"/>
        </w:rPr>
      </w:pPr>
      <w:r>
        <w:rPr>
          <w:b/>
          <w:sz w:val="24"/>
          <w:szCs w:val="24"/>
        </w:rPr>
        <w:t>Promased, oral gel</w:t>
      </w:r>
    </w:p>
    <w:p w:rsidR="005B0036" w:rsidRPr="00406EE7" w:rsidRDefault="005B0036" w:rsidP="005B0036">
      <w:pPr>
        <w:tabs>
          <w:tab w:val="left" w:pos="8222"/>
        </w:tabs>
        <w:jc w:val="both"/>
        <w:rPr>
          <w:sz w:val="24"/>
          <w:szCs w:val="24"/>
        </w:rPr>
      </w:pPr>
    </w:p>
    <w:p w:rsidR="005B0036" w:rsidRPr="00406EE7" w:rsidRDefault="005B0036" w:rsidP="005B0036">
      <w:pPr>
        <w:tabs>
          <w:tab w:val="left" w:pos="8222"/>
        </w:tabs>
        <w:jc w:val="both"/>
        <w:rPr>
          <w:sz w:val="24"/>
          <w:szCs w:val="24"/>
        </w:rPr>
      </w:pPr>
    </w:p>
    <w:p w:rsidR="005B0036" w:rsidRPr="00406EE7" w:rsidRDefault="005B0036" w:rsidP="005B0036">
      <w:pPr>
        <w:tabs>
          <w:tab w:val="left" w:pos="8222"/>
        </w:tabs>
        <w:ind w:left="851" w:hanging="851"/>
        <w:rPr>
          <w:b/>
          <w:sz w:val="24"/>
          <w:szCs w:val="24"/>
        </w:rPr>
      </w:pPr>
      <w:r w:rsidRPr="00406EE7">
        <w:rPr>
          <w:b/>
          <w:sz w:val="24"/>
          <w:szCs w:val="24"/>
        </w:rPr>
        <w:t>0.</w:t>
      </w:r>
      <w:r w:rsidRPr="00406EE7">
        <w:rPr>
          <w:b/>
          <w:sz w:val="24"/>
          <w:szCs w:val="24"/>
        </w:rPr>
        <w:tab/>
        <w:t>D.SP.NR</w:t>
      </w:r>
      <w:r>
        <w:rPr>
          <w:b/>
          <w:sz w:val="24"/>
          <w:szCs w:val="24"/>
        </w:rPr>
        <w:t>.</w:t>
      </w:r>
    </w:p>
    <w:p w:rsidR="005B0036" w:rsidRPr="00406EE7" w:rsidRDefault="009C0368" w:rsidP="005B0036">
      <w:pPr>
        <w:tabs>
          <w:tab w:val="left" w:pos="8222"/>
        </w:tabs>
        <w:ind w:left="851"/>
        <w:rPr>
          <w:sz w:val="24"/>
          <w:szCs w:val="24"/>
        </w:rPr>
      </w:pPr>
      <w:r>
        <w:rPr>
          <w:sz w:val="24"/>
          <w:szCs w:val="24"/>
        </w:rPr>
        <w:t>32851</w:t>
      </w:r>
    </w:p>
    <w:p w:rsidR="005B0036" w:rsidRPr="00406EE7" w:rsidRDefault="005B0036" w:rsidP="005B0036">
      <w:pPr>
        <w:tabs>
          <w:tab w:val="left" w:pos="8222"/>
        </w:tabs>
        <w:ind w:left="851"/>
        <w:rPr>
          <w:sz w:val="24"/>
          <w:szCs w:val="24"/>
        </w:rPr>
      </w:pPr>
    </w:p>
    <w:p w:rsidR="005B0036" w:rsidRPr="00406EE7" w:rsidRDefault="005B0036" w:rsidP="005B0036">
      <w:pPr>
        <w:tabs>
          <w:tab w:val="left" w:pos="8222"/>
        </w:tabs>
        <w:ind w:left="851" w:hanging="851"/>
        <w:rPr>
          <w:b/>
          <w:sz w:val="24"/>
          <w:szCs w:val="24"/>
        </w:rPr>
      </w:pPr>
      <w:r w:rsidRPr="00406EE7">
        <w:rPr>
          <w:b/>
          <w:sz w:val="24"/>
          <w:szCs w:val="24"/>
        </w:rPr>
        <w:t>1.</w:t>
      </w:r>
      <w:r w:rsidRPr="00406EE7">
        <w:rPr>
          <w:b/>
          <w:sz w:val="24"/>
          <w:szCs w:val="24"/>
        </w:rPr>
        <w:tab/>
        <w:t>VETERINÆRLÆGEMIDLETS NAVN</w:t>
      </w:r>
    </w:p>
    <w:p w:rsidR="005B0036" w:rsidRPr="00406EE7" w:rsidRDefault="009C0368" w:rsidP="005B0036">
      <w:pPr>
        <w:tabs>
          <w:tab w:val="left" w:pos="8222"/>
        </w:tabs>
        <w:ind w:left="851"/>
        <w:rPr>
          <w:sz w:val="24"/>
          <w:szCs w:val="24"/>
        </w:rPr>
      </w:pPr>
      <w:r>
        <w:rPr>
          <w:sz w:val="24"/>
          <w:szCs w:val="24"/>
        </w:rPr>
        <w:t>Promased</w:t>
      </w:r>
    </w:p>
    <w:p w:rsidR="005B0036" w:rsidRPr="00406EE7" w:rsidRDefault="005B0036" w:rsidP="005B0036">
      <w:pPr>
        <w:tabs>
          <w:tab w:val="left" w:pos="8222"/>
        </w:tabs>
        <w:ind w:left="851"/>
        <w:rPr>
          <w:sz w:val="24"/>
          <w:szCs w:val="24"/>
        </w:rPr>
      </w:pPr>
    </w:p>
    <w:p w:rsidR="005B0036" w:rsidRPr="00406EE7" w:rsidRDefault="005B0036" w:rsidP="005B0036">
      <w:pPr>
        <w:tabs>
          <w:tab w:val="left" w:pos="8222"/>
        </w:tabs>
        <w:ind w:left="851" w:hanging="851"/>
        <w:rPr>
          <w:b/>
          <w:sz w:val="24"/>
          <w:szCs w:val="24"/>
        </w:rPr>
      </w:pPr>
      <w:r w:rsidRPr="00406EE7">
        <w:rPr>
          <w:b/>
          <w:sz w:val="24"/>
          <w:szCs w:val="24"/>
        </w:rPr>
        <w:t>2.</w:t>
      </w:r>
      <w:r w:rsidRPr="00406EE7">
        <w:rPr>
          <w:b/>
          <w:sz w:val="24"/>
          <w:szCs w:val="24"/>
        </w:rPr>
        <w:tab/>
        <w:t>KVALITATIV OG KVANTITATIV SAMMENSÆTNING</w:t>
      </w:r>
    </w:p>
    <w:p w:rsidR="00A41DAC" w:rsidRPr="00A41DAC" w:rsidRDefault="00A41DAC" w:rsidP="00A41DAC">
      <w:pPr>
        <w:tabs>
          <w:tab w:val="left" w:pos="8222"/>
        </w:tabs>
        <w:ind w:left="851"/>
        <w:rPr>
          <w:sz w:val="24"/>
          <w:szCs w:val="24"/>
        </w:rPr>
      </w:pPr>
      <w:bookmarkStart w:id="0" w:name="_Hlk102122425"/>
      <w:r w:rsidRPr="00A41DAC">
        <w:rPr>
          <w:sz w:val="24"/>
          <w:szCs w:val="24"/>
        </w:rPr>
        <w:t>Hver ml indeholder:</w:t>
      </w:r>
    </w:p>
    <w:p w:rsidR="00A41DAC" w:rsidRPr="00A41DAC" w:rsidRDefault="00A41DAC" w:rsidP="00A41DAC">
      <w:pPr>
        <w:tabs>
          <w:tab w:val="left" w:pos="8222"/>
        </w:tabs>
        <w:ind w:left="851"/>
        <w:rPr>
          <w:b/>
          <w:sz w:val="24"/>
          <w:szCs w:val="24"/>
        </w:rPr>
      </w:pPr>
    </w:p>
    <w:p w:rsidR="00A41DAC" w:rsidRPr="00A41DAC" w:rsidRDefault="00A41DAC" w:rsidP="00A41DAC">
      <w:pPr>
        <w:tabs>
          <w:tab w:val="left" w:pos="8222"/>
        </w:tabs>
        <w:ind w:left="851"/>
        <w:rPr>
          <w:sz w:val="24"/>
          <w:szCs w:val="24"/>
          <w:u w:val="single"/>
        </w:rPr>
      </w:pPr>
      <w:r w:rsidRPr="00A41DAC">
        <w:rPr>
          <w:sz w:val="24"/>
          <w:szCs w:val="24"/>
          <w:u w:val="single"/>
        </w:rPr>
        <w:t>Aktivt stof</w:t>
      </w:r>
    </w:p>
    <w:p w:rsidR="00A41DAC" w:rsidRPr="00A41DAC" w:rsidRDefault="00A41DAC" w:rsidP="006126D0">
      <w:pPr>
        <w:tabs>
          <w:tab w:val="left" w:pos="5245"/>
          <w:tab w:val="left" w:pos="8222"/>
        </w:tabs>
        <w:ind w:left="851"/>
        <w:rPr>
          <w:iCs/>
          <w:sz w:val="24"/>
          <w:szCs w:val="24"/>
        </w:rPr>
      </w:pPr>
      <w:r w:rsidRPr="00A41DAC">
        <w:rPr>
          <w:iCs/>
          <w:sz w:val="24"/>
          <w:szCs w:val="24"/>
        </w:rPr>
        <w:t>Acepromazin</w:t>
      </w:r>
      <w:r w:rsidR="006126D0">
        <w:rPr>
          <w:iCs/>
          <w:sz w:val="24"/>
          <w:szCs w:val="24"/>
        </w:rPr>
        <w:tab/>
      </w:r>
      <w:r w:rsidRPr="00A41DAC">
        <w:rPr>
          <w:iCs/>
          <w:sz w:val="24"/>
          <w:szCs w:val="24"/>
        </w:rPr>
        <w:t>35,0 mg</w:t>
      </w:r>
    </w:p>
    <w:p w:rsidR="00A41DAC" w:rsidRPr="00A41DAC" w:rsidRDefault="00A41DAC" w:rsidP="00A41DAC">
      <w:pPr>
        <w:tabs>
          <w:tab w:val="left" w:pos="8222"/>
        </w:tabs>
        <w:ind w:left="851"/>
        <w:rPr>
          <w:iCs/>
          <w:sz w:val="24"/>
          <w:szCs w:val="24"/>
        </w:rPr>
      </w:pPr>
      <w:r w:rsidRPr="00A41DAC">
        <w:rPr>
          <w:iCs/>
          <w:sz w:val="24"/>
          <w:szCs w:val="24"/>
        </w:rPr>
        <w:t>(svarende til 47,5 mg acepromazinmaleat)</w:t>
      </w:r>
    </w:p>
    <w:bookmarkEnd w:id="0"/>
    <w:p w:rsidR="00A41DAC" w:rsidRPr="00A41DAC" w:rsidRDefault="00A41DAC" w:rsidP="00A41DAC">
      <w:pPr>
        <w:tabs>
          <w:tab w:val="left" w:pos="8222"/>
        </w:tabs>
        <w:ind w:left="851"/>
        <w:rPr>
          <w:sz w:val="24"/>
          <w:szCs w:val="24"/>
        </w:rPr>
      </w:pPr>
    </w:p>
    <w:p w:rsidR="00A41DAC" w:rsidRPr="00A41DAC" w:rsidRDefault="00A41DAC" w:rsidP="00A41DAC">
      <w:pPr>
        <w:tabs>
          <w:tab w:val="left" w:pos="8222"/>
        </w:tabs>
        <w:ind w:left="851"/>
        <w:rPr>
          <w:sz w:val="24"/>
          <w:szCs w:val="24"/>
          <w:u w:val="single"/>
        </w:rPr>
      </w:pPr>
      <w:r w:rsidRPr="00A41DAC">
        <w:rPr>
          <w:sz w:val="24"/>
          <w:szCs w:val="24"/>
          <w:u w:val="single"/>
        </w:rPr>
        <w:t>Hjælpestoffer</w:t>
      </w:r>
    </w:p>
    <w:p w:rsidR="00A41DAC" w:rsidRPr="00A41DAC" w:rsidRDefault="00A41DAC" w:rsidP="006126D0">
      <w:pPr>
        <w:tabs>
          <w:tab w:val="left" w:pos="5245"/>
          <w:tab w:val="left" w:pos="8222"/>
        </w:tabs>
        <w:ind w:left="851"/>
        <w:rPr>
          <w:iCs/>
          <w:sz w:val="24"/>
          <w:szCs w:val="24"/>
        </w:rPr>
      </w:pPr>
      <w:r w:rsidRPr="00A41DAC">
        <w:rPr>
          <w:iCs/>
          <w:sz w:val="24"/>
          <w:szCs w:val="24"/>
        </w:rPr>
        <w:t>Methylparahydroxybenzoat (E218)</w:t>
      </w:r>
      <w:r w:rsidRPr="00A41DAC">
        <w:rPr>
          <w:iCs/>
          <w:sz w:val="24"/>
          <w:szCs w:val="24"/>
        </w:rPr>
        <w:tab/>
        <w:t>0,65 mg</w:t>
      </w:r>
    </w:p>
    <w:p w:rsidR="00A41DAC" w:rsidRPr="00A41DAC" w:rsidRDefault="00A41DAC" w:rsidP="006126D0">
      <w:pPr>
        <w:tabs>
          <w:tab w:val="left" w:pos="5245"/>
          <w:tab w:val="left" w:pos="8222"/>
        </w:tabs>
        <w:ind w:left="851"/>
        <w:rPr>
          <w:iCs/>
          <w:sz w:val="24"/>
          <w:szCs w:val="24"/>
        </w:rPr>
      </w:pPr>
      <w:r w:rsidRPr="00A41DAC">
        <w:rPr>
          <w:iCs/>
          <w:sz w:val="24"/>
          <w:szCs w:val="24"/>
        </w:rPr>
        <w:t>Propylparahydroxybenzoat</w:t>
      </w:r>
      <w:r w:rsidRPr="00A41DAC">
        <w:rPr>
          <w:iCs/>
          <w:sz w:val="24"/>
          <w:szCs w:val="24"/>
        </w:rPr>
        <w:tab/>
        <w:t>0,35 mg</w:t>
      </w:r>
    </w:p>
    <w:p w:rsidR="00A41DAC" w:rsidRPr="00A41DAC" w:rsidRDefault="00A41DAC" w:rsidP="00A41DAC">
      <w:pPr>
        <w:tabs>
          <w:tab w:val="left" w:pos="8222"/>
        </w:tabs>
        <w:ind w:left="851"/>
        <w:rPr>
          <w:sz w:val="24"/>
          <w:szCs w:val="24"/>
        </w:rPr>
      </w:pPr>
    </w:p>
    <w:p w:rsidR="00A41DAC" w:rsidRPr="00A41DAC" w:rsidRDefault="00A41DAC" w:rsidP="00A41DAC">
      <w:pPr>
        <w:tabs>
          <w:tab w:val="left" w:pos="8222"/>
        </w:tabs>
        <w:ind w:left="851"/>
        <w:rPr>
          <w:sz w:val="24"/>
          <w:szCs w:val="24"/>
        </w:rPr>
      </w:pPr>
      <w:r w:rsidRPr="00A41DAC">
        <w:rPr>
          <w:sz w:val="24"/>
          <w:szCs w:val="24"/>
        </w:rPr>
        <w:t>Alle hjælpestoffer er anført under pkt. 6.1</w:t>
      </w:r>
      <w:r w:rsidR="006126D0">
        <w:rPr>
          <w:sz w:val="24"/>
          <w:szCs w:val="24"/>
        </w:rPr>
        <w:t>.</w:t>
      </w:r>
    </w:p>
    <w:p w:rsidR="005B0036" w:rsidRPr="00406EE7" w:rsidRDefault="005B0036" w:rsidP="005B0036">
      <w:pPr>
        <w:tabs>
          <w:tab w:val="left" w:pos="8222"/>
        </w:tabs>
        <w:ind w:left="851"/>
        <w:rPr>
          <w:sz w:val="24"/>
          <w:szCs w:val="24"/>
        </w:rPr>
      </w:pPr>
    </w:p>
    <w:p w:rsidR="005B0036" w:rsidRPr="00406EE7" w:rsidRDefault="005B0036" w:rsidP="005B0036">
      <w:pPr>
        <w:tabs>
          <w:tab w:val="left" w:pos="8222"/>
        </w:tabs>
        <w:ind w:left="851" w:hanging="851"/>
        <w:rPr>
          <w:b/>
          <w:sz w:val="24"/>
          <w:szCs w:val="24"/>
        </w:rPr>
      </w:pPr>
      <w:r w:rsidRPr="00406EE7">
        <w:rPr>
          <w:b/>
          <w:sz w:val="24"/>
          <w:szCs w:val="24"/>
        </w:rPr>
        <w:t>3.</w:t>
      </w:r>
      <w:r w:rsidRPr="00406EE7">
        <w:rPr>
          <w:b/>
          <w:sz w:val="24"/>
          <w:szCs w:val="24"/>
        </w:rPr>
        <w:tab/>
        <w:t>LÆGEMIDDELFORM</w:t>
      </w:r>
    </w:p>
    <w:p w:rsidR="005B0036" w:rsidRDefault="006126D0" w:rsidP="005B0036">
      <w:pPr>
        <w:tabs>
          <w:tab w:val="left" w:pos="8222"/>
        </w:tabs>
        <w:ind w:left="851"/>
        <w:rPr>
          <w:sz w:val="24"/>
          <w:szCs w:val="24"/>
        </w:rPr>
      </w:pPr>
      <w:r>
        <w:rPr>
          <w:sz w:val="24"/>
          <w:szCs w:val="24"/>
        </w:rPr>
        <w:t>Oral gel</w:t>
      </w:r>
    </w:p>
    <w:p w:rsidR="006126D0" w:rsidRDefault="006126D0" w:rsidP="005B0036">
      <w:pPr>
        <w:tabs>
          <w:tab w:val="left" w:pos="8222"/>
        </w:tabs>
        <w:ind w:left="851"/>
        <w:rPr>
          <w:sz w:val="24"/>
          <w:szCs w:val="24"/>
        </w:rPr>
      </w:pPr>
    </w:p>
    <w:p w:rsidR="006126D0" w:rsidRPr="00406EE7" w:rsidRDefault="006126D0" w:rsidP="005B0036">
      <w:pPr>
        <w:tabs>
          <w:tab w:val="left" w:pos="8222"/>
        </w:tabs>
        <w:ind w:left="851"/>
        <w:rPr>
          <w:sz w:val="24"/>
          <w:szCs w:val="24"/>
        </w:rPr>
      </w:pPr>
      <w:r>
        <w:rPr>
          <w:sz w:val="24"/>
          <w:szCs w:val="24"/>
        </w:rPr>
        <w:t>Klar, orangegul gel.</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222"/>
        </w:tabs>
        <w:ind w:left="851" w:hanging="851"/>
        <w:rPr>
          <w:b/>
          <w:sz w:val="24"/>
          <w:szCs w:val="24"/>
        </w:rPr>
      </w:pPr>
      <w:r w:rsidRPr="00406EE7">
        <w:rPr>
          <w:b/>
          <w:sz w:val="24"/>
          <w:szCs w:val="24"/>
        </w:rPr>
        <w:t>4.</w:t>
      </w:r>
      <w:r w:rsidRPr="00406EE7">
        <w:rPr>
          <w:b/>
          <w:sz w:val="24"/>
          <w:szCs w:val="24"/>
        </w:rPr>
        <w:tab/>
        <w:t>KLINISKE OPLYSNINGER</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222"/>
        </w:tabs>
        <w:ind w:left="851" w:hanging="851"/>
        <w:rPr>
          <w:b/>
          <w:sz w:val="24"/>
          <w:szCs w:val="24"/>
          <w:u w:val="single"/>
        </w:rPr>
      </w:pPr>
      <w:r w:rsidRPr="00406EE7">
        <w:rPr>
          <w:b/>
          <w:sz w:val="24"/>
          <w:szCs w:val="24"/>
        </w:rPr>
        <w:t>4.1</w:t>
      </w:r>
      <w:r w:rsidRPr="00406EE7">
        <w:rPr>
          <w:b/>
          <w:sz w:val="24"/>
          <w:szCs w:val="24"/>
        </w:rPr>
        <w:tab/>
        <w:t>Dyrearter</w:t>
      </w:r>
    </w:p>
    <w:p w:rsidR="00CE5D6F" w:rsidRDefault="00CE5D6F" w:rsidP="00CE5D6F">
      <w:pPr>
        <w:tabs>
          <w:tab w:val="left" w:pos="8222"/>
        </w:tabs>
        <w:ind w:left="851"/>
        <w:rPr>
          <w:sz w:val="24"/>
          <w:szCs w:val="24"/>
        </w:rPr>
      </w:pPr>
      <w:bookmarkStart w:id="1" w:name="_Hlk102122460"/>
      <w:r w:rsidRPr="00CE5D6F">
        <w:rPr>
          <w:sz w:val="24"/>
          <w:szCs w:val="24"/>
        </w:rPr>
        <w:t>Hest (chip-mærket)</w:t>
      </w:r>
    </w:p>
    <w:p w:rsidR="00CE5D6F" w:rsidRPr="00CE5D6F" w:rsidRDefault="00CE5D6F" w:rsidP="00CE5D6F">
      <w:pPr>
        <w:tabs>
          <w:tab w:val="left" w:pos="8222"/>
        </w:tabs>
        <w:ind w:left="851"/>
        <w:rPr>
          <w:sz w:val="24"/>
          <w:szCs w:val="24"/>
        </w:rPr>
      </w:pPr>
      <w:r>
        <w:rPr>
          <w:sz w:val="24"/>
          <w:szCs w:val="24"/>
        </w:rPr>
        <w:t>H</w:t>
      </w:r>
      <w:r w:rsidRPr="00CE5D6F">
        <w:rPr>
          <w:sz w:val="24"/>
          <w:szCs w:val="24"/>
        </w:rPr>
        <w:t>und</w:t>
      </w:r>
      <w:bookmarkEnd w:id="1"/>
    </w:p>
    <w:p w:rsidR="005B0036" w:rsidRPr="00406EE7" w:rsidRDefault="005B0036" w:rsidP="005B0036">
      <w:pPr>
        <w:tabs>
          <w:tab w:val="left" w:pos="8222"/>
        </w:tabs>
        <w:ind w:left="851"/>
        <w:rPr>
          <w:sz w:val="24"/>
          <w:szCs w:val="24"/>
        </w:rPr>
      </w:pPr>
    </w:p>
    <w:p w:rsidR="005B0036" w:rsidRPr="00406EE7" w:rsidRDefault="005B0036" w:rsidP="005B0036">
      <w:pPr>
        <w:pStyle w:val="Sidehoved"/>
        <w:tabs>
          <w:tab w:val="clear" w:pos="4819"/>
          <w:tab w:val="left" w:pos="8222"/>
        </w:tabs>
        <w:ind w:left="851" w:hanging="851"/>
        <w:rPr>
          <w:b/>
          <w:szCs w:val="24"/>
        </w:rPr>
      </w:pPr>
      <w:r w:rsidRPr="00406EE7">
        <w:rPr>
          <w:b/>
          <w:szCs w:val="24"/>
        </w:rPr>
        <w:t>4.2</w:t>
      </w:r>
      <w:r w:rsidRPr="00406EE7">
        <w:rPr>
          <w:b/>
          <w:szCs w:val="24"/>
        </w:rPr>
        <w:tab/>
        <w:t>Terapeutiske indikationer</w:t>
      </w:r>
    </w:p>
    <w:p w:rsidR="008515C0" w:rsidRPr="008515C0" w:rsidRDefault="008515C0" w:rsidP="008515C0">
      <w:pPr>
        <w:pStyle w:val="Sidehoved"/>
        <w:tabs>
          <w:tab w:val="left" w:pos="8222"/>
        </w:tabs>
        <w:ind w:left="851"/>
        <w:rPr>
          <w:szCs w:val="24"/>
        </w:rPr>
      </w:pPr>
      <w:r w:rsidRPr="008515C0">
        <w:rPr>
          <w:szCs w:val="24"/>
        </w:rPr>
        <w:t>Til hest og hund.</w:t>
      </w:r>
    </w:p>
    <w:p w:rsidR="008515C0" w:rsidRPr="008515C0" w:rsidRDefault="008515C0" w:rsidP="008515C0">
      <w:pPr>
        <w:pStyle w:val="Sidehoved"/>
        <w:tabs>
          <w:tab w:val="left" w:pos="8222"/>
        </w:tabs>
        <w:ind w:left="851"/>
        <w:rPr>
          <w:szCs w:val="24"/>
        </w:rPr>
      </w:pPr>
      <w:r w:rsidRPr="008515C0">
        <w:rPr>
          <w:szCs w:val="24"/>
        </w:rPr>
        <w:t>Til sedation og præmedicinering før anæstesi.</w:t>
      </w:r>
    </w:p>
    <w:p w:rsidR="005B0036" w:rsidRPr="00406EE7" w:rsidRDefault="005B0036" w:rsidP="008515C0">
      <w:pPr>
        <w:pStyle w:val="Sidehoved"/>
        <w:tabs>
          <w:tab w:val="clear" w:pos="4819"/>
          <w:tab w:val="left" w:pos="8222"/>
        </w:tabs>
        <w:ind w:left="851"/>
        <w:rPr>
          <w:szCs w:val="24"/>
        </w:rPr>
      </w:pPr>
    </w:p>
    <w:p w:rsidR="005B0036" w:rsidRPr="00406EE7" w:rsidRDefault="005B0036" w:rsidP="005B0036">
      <w:pPr>
        <w:pStyle w:val="Sidehoved"/>
        <w:tabs>
          <w:tab w:val="clear" w:pos="4819"/>
          <w:tab w:val="left" w:pos="851"/>
          <w:tab w:val="left" w:pos="8222"/>
        </w:tabs>
        <w:rPr>
          <w:b/>
          <w:szCs w:val="24"/>
        </w:rPr>
      </w:pPr>
      <w:r w:rsidRPr="00406EE7">
        <w:rPr>
          <w:b/>
          <w:szCs w:val="24"/>
        </w:rPr>
        <w:lastRenderedPageBreak/>
        <w:t>4.3</w:t>
      </w:r>
      <w:r w:rsidRPr="00406EE7">
        <w:rPr>
          <w:b/>
          <w:szCs w:val="24"/>
        </w:rPr>
        <w:tab/>
        <w:t>Kontraindikationer</w:t>
      </w:r>
    </w:p>
    <w:p w:rsidR="008515C0" w:rsidRPr="008515C0" w:rsidRDefault="008515C0" w:rsidP="008515C0">
      <w:pPr>
        <w:pStyle w:val="Sidehoved"/>
        <w:tabs>
          <w:tab w:val="left" w:pos="8222"/>
        </w:tabs>
        <w:ind w:left="851"/>
        <w:rPr>
          <w:szCs w:val="24"/>
        </w:rPr>
      </w:pPr>
      <w:r w:rsidRPr="008515C0">
        <w:rPr>
          <w:szCs w:val="24"/>
        </w:rPr>
        <w:t>Bør ikke anvendes ved tilfælde af hypotension, post-traumatisk shock eller hypovolæmi.</w:t>
      </w:r>
    </w:p>
    <w:p w:rsidR="008515C0" w:rsidRPr="008515C0" w:rsidRDefault="008515C0" w:rsidP="008515C0">
      <w:pPr>
        <w:pStyle w:val="Sidehoved"/>
        <w:tabs>
          <w:tab w:val="left" w:pos="8222"/>
        </w:tabs>
        <w:ind w:left="851"/>
        <w:rPr>
          <w:szCs w:val="24"/>
        </w:rPr>
      </w:pPr>
      <w:r w:rsidRPr="008515C0">
        <w:rPr>
          <w:szCs w:val="24"/>
        </w:rPr>
        <w:t>Bør ikke anvendes til dyr i en tilstand af kraftig emotionel ophidselse.</w:t>
      </w:r>
    </w:p>
    <w:p w:rsidR="008515C0" w:rsidRPr="008515C0" w:rsidRDefault="008515C0" w:rsidP="008515C0">
      <w:pPr>
        <w:pStyle w:val="Sidehoved"/>
        <w:tabs>
          <w:tab w:val="left" w:pos="8222"/>
        </w:tabs>
        <w:ind w:left="851"/>
        <w:rPr>
          <w:szCs w:val="24"/>
        </w:rPr>
      </w:pPr>
      <w:r w:rsidRPr="008515C0">
        <w:rPr>
          <w:szCs w:val="24"/>
        </w:rPr>
        <w:t>Bør ikke anvendes til dyr, der lider af hypotermi.</w:t>
      </w:r>
    </w:p>
    <w:p w:rsidR="008515C0" w:rsidRPr="008515C0" w:rsidRDefault="008515C0" w:rsidP="008515C0">
      <w:pPr>
        <w:pStyle w:val="Sidehoved"/>
        <w:tabs>
          <w:tab w:val="left" w:pos="8222"/>
        </w:tabs>
        <w:ind w:left="851"/>
        <w:rPr>
          <w:szCs w:val="24"/>
        </w:rPr>
      </w:pPr>
      <w:r w:rsidRPr="008515C0">
        <w:rPr>
          <w:szCs w:val="24"/>
        </w:rPr>
        <w:t>Bør ikke anvendes til dyr med hæmatologiske lidelser/koagulopati eller anæmi.</w:t>
      </w:r>
    </w:p>
    <w:p w:rsidR="008515C0" w:rsidRPr="008515C0" w:rsidRDefault="008515C0" w:rsidP="008515C0">
      <w:pPr>
        <w:pStyle w:val="Sidehoved"/>
        <w:tabs>
          <w:tab w:val="left" w:pos="8222"/>
        </w:tabs>
        <w:ind w:left="851"/>
        <w:rPr>
          <w:szCs w:val="24"/>
        </w:rPr>
      </w:pPr>
      <w:r w:rsidRPr="008515C0">
        <w:rPr>
          <w:szCs w:val="24"/>
        </w:rPr>
        <w:t>Bør ikke anvendes til dyr med hjerte- og/eller lungeinsufficiens.</w:t>
      </w:r>
    </w:p>
    <w:p w:rsidR="008515C0" w:rsidRPr="008515C0" w:rsidRDefault="008515C0" w:rsidP="008515C0">
      <w:pPr>
        <w:pStyle w:val="Sidehoved"/>
        <w:tabs>
          <w:tab w:val="left" w:pos="8222"/>
        </w:tabs>
        <w:ind w:left="851"/>
        <w:rPr>
          <w:szCs w:val="24"/>
        </w:rPr>
      </w:pPr>
      <w:r w:rsidRPr="008515C0">
        <w:rPr>
          <w:szCs w:val="24"/>
        </w:rPr>
        <w:t>Bør ikke anvendes til dyr med epilepsi.</w:t>
      </w:r>
    </w:p>
    <w:p w:rsidR="008515C0" w:rsidRPr="008515C0" w:rsidRDefault="008515C0" w:rsidP="008515C0">
      <w:pPr>
        <w:pStyle w:val="Sidehoved"/>
        <w:tabs>
          <w:tab w:val="left" w:pos="8222"/>
        </w:tabs>
        <w:ind w:left="851"/>
        <w:rPr>
          <w:szCs w:val="24"/>
        </w:rPr>
      </w:pPr>
      <w:bookmarkStart w:id="2" w:name="_Hlk45287469"/>
      <w:r w:rsidRPr="008515C0">
        <w:rPr>
          <w:szCs w:val="24"/>
        </w:rPr>
        <w:t>Bør ikke anvendes til nyfødte.</w:t>
      </w:r>
    </w:p>
    <w:p w:rsidR="008515C0" w:rsidRPr="008515C0" w:rsidRDefault="008515C0" w:rsidP="008515C0">
      <w:pPr>
        <w:pStyle w:val="Sidehoved"/>
        <w:tabs>
          <w:tab w:val="left" w:pos="8222"/>
        </w:tabs>
        <w:ind w:left="851"/>
        <w:rPr>
          <w:szCs w:val="24"/>
        </w:rPr>
      </w:pPr>
      <w:r w:rsidRPr="008515C0">
        <w:rPr>
          <w:szCs w:val="24"/>
        </w:rPr>
        <w:t>Bør ikke anvendes til hunde, der er under 3 måneder gamle.</w:t>
      </w:r>
    </w:p>
    <w:bookmarkEnd w:id="2"/>
    <w:p w:rsidR="008515C0" w:rsidRPr="008515C0" w:rsidRDefault="008515C0" w:rsidP="008515C0">
      <w:pPr>
        <w:pStyle w:val="Sidehoved"/>
        <w:tabs>
          <w:tab w:val="left" w:pos="8222"/>
        </w:tabs>
        <w:ind w:left="851"/>
        <w:rPr>
          <w:szCs w:val="24"/>
        </w:rPr>
      </w:pPr>
      <w:r w:rsidRPr="008515C0">
        <w:rPr>
          <w:szCs w:val="24"/>
        </w:rPr>
        <w:t>Bør ikke anvendes i tilfælde af overfølsomhed over for det aktive stof eller over for et eller flere af hjælpestofferne.</w:t>
      </w:r>
    </w:p>
    <w:p w:rsidR="005B0036" w:rsidRPr="00406EE7" w:rsidRDefault="005B0036" w:rsidP="008515C0">
      <w:pPr>
        <w:pStyle w:val="Sidehoved"/>
        <w:tabs>
          <w:tab w:val="clear" w:pos="4819"/>
          <w:tab w:val="left" w:pos="8222"/>
        </w:tabs>
        <w:ind w:left="851"/>
        <w:rPr>
          <w:szCs w:val="24"/>
        </w:rPr>
      </w:pPr>
    </w:p>
    <w:p w:rsidR="005B0036" w:rsidRPr="00406EE7" w:rsidRDefault="005B0036" w:rsidP="005B0036">
      <w:pPr>
        <w:tabs>
          <w:tab w:val="left" w:pos="851"/>
          <w:tab w:val="left" w:pos="8222"/>
        </w:tabs>
        <w:rPr>
          <w:b/>
          <w:sz w:val="24"/>
          <w:szCs w:val="24"/>
        </w:rPr>
      </w:pPr>
      <w:r w:rsidRPr="00406EE7">
        <w:rPr>
          <w:b/>
          <w:sz w:val="24"/>
          <w:szCs w:val="24"/>
        </w:rPr>
        <w:t>4.4</w:t>
      </w:r>
      <w:r w:rsidRPr="00406EE7">
        <w:rPr>
          <w:b/>
          <w:sz w:val="24"/>
          <w:szCs w:val="24"/>
        </w:rPr>
        <w:tab/>
        <w:t>Særlige advarsler</w:t>
      </w:r>
    </w:p>
    <w:p w:rsidR="007E6293" w:rsidRPr="007E6293" w:rsidRDefault="007E6293" w:rsidP="007E6293">
      <w:pPr>
        <w:pStyle w:val="Sidehoved"/>
        <w:tabs>
          <w:tab w:val="left" w:pos="8222"/>
        </w:tabs>
        <w:ind w:left="851"/>
        <w:rPr>
          <w:szCs w:val="24"/>
        </w:rPr>
      </w:pPr>
      <w:r w:rsidRPr="007E6293">
        <w:rPr>
          <w:szCs w:val="24"/>
        </w:rPr>
        <w:t>Virkningen af acepromazin efter oral administration indtræder efter 30-60 minutter hos store dyr og efter 15-25 minutter hos små dyr. Dens virkningsvarighed er i gennemsnit 4 timer, afhængigt af sedationsdybden og dyrets individuelle respons.</w:t>
      </w:r>
    </w:p>
    <w:p w:rsidR="007E6293" w:rsidRPr="007E6293" w:rsidRDefault="007E6293" w:rsidP="007E6293">
      <w:pPr>
        <w:pStyle w:val="Sidehoved"/>
        <w:tabs>
          <w:tab w:val="left" w:pos="8222"/>
        </w:tabs>
        <w:ind w:left="851"/>
        <w:rPr>
          <w:szCs w:val="24"/>
        </w:rPr>
      </w:pPr>
      <w:r w:rsidRPr="007E6293">
        <w:rPr>
          <w:szCs w:val="24"/>
        </w:rPr>
        <w:t>Anvendelse af højere dosis end anbefalet resulterer i forlænget virkning og bivirkninger, men ikke større grad af sedation.</w:t>
      </w:r>
    </w:p>
    <w:p w:rsidR="005B0036" w:rsidRPr="00406EE7" w:rsidRDefault="005B0036" w:rsidP="007E6293">
      <w:pPr>
        <w:pStyle w:val="Sidehoved"/>
        <w:tabs>
          <w:tab w:val="clear" w:pos="4819"/>
          <w:tab w:val="left" w:pos="8222"/>
        </w:tabs>
        <w:ind w:left="851"/>
        <w:rPr>
          <w:szCs w:val="24"/>
        </w:rPr>
      </w:pPr>
    </w:p>
    <w:p w:rsidR="005B0036" w:rsidRPr="00406EE7" w:rsidRDefault="005B0036" w:rsidP="005B0036">
      <w:pPr>
        <w:tabs>
          <w:tab w:val="left" w:pos="851"/>
          <w:tab w:val="left" w:pos="8222"/>
        </w:tabs>
        <w:rPr>
          <w:b/>
          <w:sz w:val="24"/>
          <w:szCs w:val="24"/>
        </w:rPr>
      </w:pPr>
      <w:r w:rsidRPr="00406EE7">
        <w:rPr>
          <w:b/>
          <w:sz w:val="24"/>
          <w:szCs w:val="24"/>
        </w:rPr>
        <w:t>4.5</w:t>
      </w:r>
      <w:r w:rsidRPr="00406EE7">
        <w:rPr>
          <w:b/>
          <w:sz w:val="24"/>
          <w:szCs w:val="24"/>
        </w:rPr>
        <w:tab/>
        <w:t>Særlige forsigtighedsregler vedrørende brugen</w:t>
      </w:r>
    </w:p>
    <w:p w:rsidR="005B0036" w:rsidRPr="002374DA" w:rsidRDefault="005B0036" w:rsidP="005B0036">
      <w:pPr>
        <w:tabs>
          <w:tab w:val="left" w:pos="851"/>
          <w:tab w:val="left" w:pos="8222"/>
        </w:tabs>
        <w:ind w:left="851"/>
        <w:rPr>
          <w:sz w:val="24"/>
          <w:szCs w:val="24"/>
        </w:rPr>
      </w:pPr>
    </w:p>
    <w:p w:rsidR="005B0036" w:rsidRPr="00406EE7" w:rsidRDefault="005B0036" w:rsidP="005B0036">
      <w:pPr>
        <w:tabs>
          <w:tab w:val="left" w:pos="851"/>
          <w:tab w:val="left" w:pos="8222"/>
        </w:tabs>
        <w:ind w:left="851"/>
        <w:rPr>
          <w:b/>
          <w:sz w:val="24"/>
          <w:szCs w:val="24"/>
        </w:rPr>
      </w:pPr>
      <w:r w:rsidRPr="00406EE7">
        <w:rPr>
          <w:b/>
          <w:sz w:val="24"/>
          <w:szCs w:val="24"/>
        </w:rPr>
        <w:t>Særlige forsigtighedsregler for dyret</w:t>
      </w:r>
    </w:p>
    <w:p w:rsidR="007E6293" w:rsidRPr="007E6293" w:rsidRDefault="007E6293" w:rsidP="007E6293">
      <w:pPr>
        <w:tabs>
          <w:tab w:val="left" w:pos="851"/>
          <w:tab w:val="left" w:pos="8222"/>
        </w:tabs>
        <w:ind w:left="851"/>
        <w:rPr>
          <w:sz w:val="24"/>
          <w:szCs w:val="24"/>
        </w:rPr>
      </w:pPr>
      <w:r w:rsidRPr="007E6293">
        <w:rPr>
          <w:sz w:val="24"/>
          <w:szCs w:val="24"/>
        </w:rPr>
        <w:t>Dette veterinærlægemiddel bør anvendes med forsigtighed og i nedsat dosis til dyr med leversygdom eller til svækkede dyr,</w:t>
      </w:r>
    </w:p>
    <w:p w:rsidR="007E6293" w:rsidRPr="007E6293" w:rsidRDefault="007E6293" w:rsidP="007E6293">
      <w:pPr>
        <w:tabs>
          <w:tab w:val="left" w:pos="851"/>
          <w:tab w:val="left" w:pos="8222"/>
        </w:tabs>
        <w:ind w:left="851"/>
        <w:rPr>
          <w:sz w:val="24"/>
          <w:szCs w:val="24"/>
        </w:rPr>
      </w:pPr>
      <w:r w:rsidRPr="007E6293">
        <w:rPr>
          <w:sz w:val="24"/>
          <w:szCs w:val="24"/>
        </w:rPr>
        <w:t>Acepromazin har ubetydelige smertestillende virkninger. Undgå smertefulde aktiviteter ved håndtering af beroligede dyr, medmindre de er behandlet med passende analgetika.</w:t>
      </w:r>
    </w:p>
    <w:p w:rsidR="007E6293" w:rsidRPr="007E6293" w:rsidRDefault="007E6293" w:rsidP="007E6293">
      <w:pPr>
        <w:tabs>
          <w:tab w:val="left" w:pos="851"/>
          <w:tab w:val="left" w:pos="8222"/>
        </w:tabs>
        <w:ind w:left="851"/>
        <w:rPr>
          <w:sz w:val="24"/>
          <w:szCs w:val="24"/>
        </w:rPr>
      </w:pPr>
      <w:r w:rsidRPr="007E6293">
        <w:rPr>
          <w:sz w:val="24"/>
          <w:szCs w:val="24"/>
        </w:rPr>
        <w:t>Efter administration af lægemidlet skal dyrene holdes et roligt sted, og sensoriske stimuli bør så vidt muligt undgås.</w:t>
      </w:r>
    </w:p>
    <w:p w:rsidR="007E6293" w:rsidRPr="007E6293" w:rsidRDefault="007E6293" w:rsidP="007E6293">
      <w:pPr>
        <w:tabs>
          <w:tab w:val="left" w:pos="851"/>
          <w:tab w:val="left" w:pos="8222"/>
        </w:tabs>
        <w:ind w:left="851"/>
        <w:rPr>
          <w:sz w:val="24"/>
          <w:szCs w:val="24"/>
        </w:rPr>
      </w:pPr>
    </w:p>
    <w:p w:rsidR="007E6293" w:rsidRPr="00F47BB1" w:rsidRDefault="007E6293" w:rsidP="007E6293">
      <w:pPr>
        <w:tabs>
          <w:tab w:val="left" w:pos="851"/>
          <w:tab w:val="left" w:pos="8222"/>
        </w:tabs>
        <w:ind w:left="851"/>
        <w:rPr>
          <w:sz w:val="24"/>
          <w:szCs w:val="24"/>
          <w:u w:val="single"/>
        </w:rPr>
      </w:pPr>
      <w:bookmarkStart w:id="3" w:name="_Hlk102129067"/>
      <w:r w:rsidRPr="00F47BB1">
        <w:rPr>
          <w:sz w:val="24"/>
          <w:szCs w:val="24"/>
          <w:u w:val="single"/>
        </w:rPr>
        <w:t>Hest</w:t>
      </w:r>
    </w:p>
    <w:p w:rsidR="007E6293" w:rsidRPr="007E6293" w:rsidRDefault="007E6293" w:rsidP="007E6293">
      <w:pPr>
        <w:tabs>
          <w:tab w:val="left" w:pos="851"/>
          <w:tab w:val="left" w:pos="8222"/>
        </w:tabs>
        <w:ind w:left="851"/>
        <w:rPr>
          <w:sz w:val="24"/>
          <w:szCs w:val="24"/>
        </w:rPr>
      </w:pPr>
      <w:r w:rsidRPr="007E6293">
        <w:rPr>
          <w:sz w:val="24"/>
          <w:szCs w:val="24"/>
        </w:rPr>
        <w:t>Under sedation er heste følsomme over for almindelige auditive og visuelle stimuli, hvorfor støjende og hurtige bevægelser kan forårsage ophidselse fra sedationstilstanden. Efter administration af lægemidlet må hesten ikke arbejde i 36 timer.</w:t>
      </w:r>
    </w:p>
    <w:p w:rsidR="007E6293" w:rsidRPr="007E6293" w:rsidRDefault="007E6293" w:rsidP="007E6293">
      <w:pPr>
        <w:tabs>
          <w:tab w:val="left" w:pos="851"/>
          <w:tab w:val="left" w:pos="8222"/>
        </w:tabs>
        <w:ind w:left="851"/>
        <w:rPr>
          <w:sz w:val="24"/>
          <w:szCs w:val="24"/>
        </w:rPr>
      </w:pPr>
      <w:r w:rsidRPr="007E6293">
        <w:rPr>
          <w:sz w:val="24"/>
          <w:szCs w:val="24"/>
        </w:rPr>
        <w:t>Hos hingste er det laveste dosisområde indiceret for at minimere risikoen for prolaps af penis (se også 4.6).</w:t>
      </w:r>
    </w:p>
    <w:p w:rsidR="007E6293" w:rsidRPr="007E6293" w:rsidRDefault="007E6293" w:rsidP="007E6293">
      <w:pPr>
        <w:tabs>
          <w:tab w:val="left" w:pos="851"/>
          <w:tab w:val="left" w:pos="8222"/>
        </w:tabs>
        <w:ind w:left="851"/>
        <w:rPr>
          <w:sz w:val="24"/>
          <w:szCs w:val="24"/>
        </w:rPr>
      </w:pPr>
      <w:r w:rsidRPr="007E6293">
        <w:rPr>
          <w:sz w:val="24"/>
          <w:szCs w:val="24"/>
        </w:rPr>
        <w:t>Brug af lægemidlet til heste med en legemsvægt under 100 kg bør kun ske efter at den ansvarlige dyrlæge har foretaget en omhyggelig vurdering af risk-benefit forholdet.</w:t>
      </w:r>
    </w:p>
    <w:p w:rsidR="007E6293" w:rsidRPr="007E6293" w:rsidRDefault="007E6293" w:rsidP="007E6293">
      <w:pPr>
        <w:tabs>
          <w:tab w:val="left" w:pos="851"/>
          <w:tab w:val="left" w:pos="8222"/>
        </w:tabs>
        <w:ind w:left="851"/>
        <w:rPr>
          <w:sz w:val="24"/>
          <w:szCs w:val="24"/>
        </w:rPr>
      </w:pPr>
      <w:r w:rsidRPr="007E6293">
        <w:rPr>
          <w:sz w:val="24"/>
          <w:szCs w:val="24"/>
        </w:rPr>
        <w:t>Konkurrence- og væddeløbsheste skal behandles i henhold til de lokale regler. Der skal tages særlige forholdsregler for disse heste for at sikre overholdelse af konkurrencereglerne. I tvivlstilfælde er det tilrådeligt at analysere urinen. Metabolitter kan påvises som forbudte stoffer.</w:t>
      </w:r>
    </w:p>
    <w:bookmarkEnd w:id="3"/>
    <w:p w:rsidR="007E6293" w:rsidRPr="007E6293" w:rsidRDefault="007E6293" w:rsidP="007E6293">
      <w:pPr>
        <w:tabs>
          <w:tab w:val="left" w:pos="851"/>
          <w:tab w:val="left" w:pos="8222"/>
        </w:tabs>
        <w:ind w:left="851"/>
        <w:rPr>
          <w:sz w:val="24"/>
          <w:szCs w:val="24"/>
        </w:rPr>
      </w:pPr>
    </w:p>
    <w:p w:rsidR="007E6293" w:rsidRPr="007E6293" w:rsidRDefault="007E6293" w:rsidP="007E6293">
      <w:pPr>
        <w:tabs>
          <w:tab w:val="left" w:pos="851"/>
          <w:tab w:val="left" w:pos="8222"/>
        </w:tabs>
        <w:ind w:left="851"/>
        <w:rPr>
          <w:sz w:val="24"/>
          <w:szCs w:val="24"/>
          <w:u w:val="single"/>
        </w:rPr>
      </w:pPr>
      <w:bookmarkStart w:id="4" w:name="_Hlk102129163"/>
      <w:r w:rsidRPr="007E6293">
        <w:rPr>
          <w:sz w:val="24"/>
          <w:szCs w:val="24"/>
          <w:u w:val="single"/>
        </w:rPr>
        <w:t>Hund</w:t>
      </w:r>
    </w:p>
    <w:p w:rsidR="007E6293" w:rsidRPr="007E6293" w:rsidRDefault="007E6293" w:rsidP="007E6293">
      <w:pPr>
        <w:tabs>
          <w:tab w:val="left" w:pos="851"/>
          <w:tab w:val="left" w:pos="8222"/>
        </w:tabs>
        <w:ind w:left="851"/>
        <w:rPr>
          <w:sz w:val="24"/>
          <w:szCs w:val="24"/>
        </w:rPr>
      </w:pPr>
      <w:r w:rsidRPr="007E6293">
        <w:rPr>
          <w:sz w:val="24"/>
          <w:szCs w:val="24"/>
        </w:rPr>
        <w:t>Hos hunde med ABCB1-1Δ (også kaldet MDR1) mutation, har acepromazin tendens til at forårsage en mere dybtgående og længerevarende sedation. Hos disse hunde bør dosis reduceres med 25-50</w:t>
      </w:r>
      <w:r w:rsidR="006A0C09">
        <w:rPr>
          <w:sz w:val="24"/>
          <w:szCs w:val="24"/>
        </w:rPr>
        <w:t xml:space="preserve"> %</w:t>
      </w:r>
      <w:r w:rsidRPr="007E6293">
        <w:rPr>
          <w:sz w:val="24"/>
          <w:szCs w:val="24"/>
        </w:rPr>
        <w:t>. Hos nogle hunde, især boxere og andre kortnæsede racer, kan der forekomme spontan besvimelse eller synkope, det er derfor tilrådeligt at bruge en lav dosis.</w:t>
      </w:r>
    </w:p>
    <w:p w:rsidR="007E6293" w:rsidRPr="007E6293" w:rsidRDefault="007E6293" w:rsidP="007E6293">
      <w:pPr>
        <w:tabs>
          <w:tab w:val="left" w:pos="851"/>
          <w:tab w:val="left" w:pos="8222"/>
        </w:tabs>
        <w:ind w:left="851"/>
        <w:rPr>
          <w:sz w:val="24"/>
          <w:szCs w:val="24"/>
        </w:rPr>
      </w:pPr>
      <w:r w:rsidRPr="007E6293">
        <w:rPr>
          <w:sz w:val="24"/>
          <w:szCs w:val="24"/>
        </w:rPr>
        <w:t>Det er blevet bemærket, at store hunderacer er særligt følsomme over for acepromazin, og hos disse racer bør den lavest mulige dosis anvendes.</w:t>
      </w:r>
    </w:p>
    <w:p w:rsidR="007E6293" w:rsidRPr="007E6293" w:rsidRDefault="007E6293" w:rsidP="007E6293">
      <w:pPr>
        <w:tabs>
          <w:tab w:val="left" w:pos="851"/>
          <w:tab w:val="left" w:pos="8222"/>
        </w:tabs>
        <w:ind w:left="851"/>
        <w:rPr>
          <w:sz w:val="24"/>
          <w:szCs w:val="24"/>
        </w:rPr>
      </w:pPr>
      <w:r w:rsidRPr="007E6293">
        <w:rPr>
          <w:sz w:val="24"/>
          <w:szCs w:val="24"/>
        </w:rPr>
        <w:lastRenderedPageBreak/>
        <w:t>Acepromazin bør bruges med forsigtighed som et hæmmende middel til aggressive hunde, da det kan gøre dyret mere tilbøjeligt til at blive forskrækket og reagere på lyde eller andre sensoriske input.</w:t>
      </w:r>
    </w:p>
    <w:p w:rsidR="007E6293" w:rsidRPr="007E6293" w:rsidRDefault="007E6293" w:rsidP="007E6293">
      <w:pPr>
        <w:tabs>
          <w:tab w:val="left" w:pos="851"/>
          <w:tab w:val="left" w:pos="8222"/>
        </w:tabs>
        <w:ind w:left="851"/>
        <w:rPr>
          <w:sz w:val="24"/>
          <w:szCs w:val="24"/>
        </w:rPr>
      </w:pPr>
      <w:bookmarkStart w:id="5" w:name="_Hlk102129207"/>
      <w:bookmarkEnd w:id="4"/>
      <w:r w:rsidRPr="007E6293">
        <w:rPr>
          <w:sz w:val="24"/>
          <w:szCs w:val="24"/>
        </w:rPr>
        <w:t>Brug af dette veterinærlægemiddel til hunde med en legemsvægt under 17,5 kg legemsvægt bør baseres på en omhyggelig risk-benefit vurdering foretaget af den ansvarlige dyrlæge.</w:t>
      </w:r>
    </w:p>
    <w:bookmarkEnd w:id="5"/>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51"/>
          <w:tab w:val="left" w:pos="8222"/>
        </w:tabs>
        <w:ind w:left="851"/>
        <w:rPr>
          <w:b/>
          <w:sz w:val="24"/>
          <w:szCs w:val="24"/>
        </w:rPr>
      </w:pPr>
      <w:r w:rsidRPr="00406EE7">
        <w:rPr>
          <w:b/>
          <w:sz w:val="24"/>
          <w:szCs w:val="24"/>
        </w:rPr>
        <w:t>Særlige forsigtighedsregler for personer, der administrerer lægemidlet</w:t>
      </w:r>
    </w:p>
    <w:p w:rsidR="007E6293" w:rsidRPr="007E6293" w:rsidRDefault="007E6293" w:rsidP="007E6293">
      <w:pPr>
        <w:tabs>
          <w:tab w:val="left" w:pos="851"/>
          <w:tab w:val="left" w:pos="8222"/>
        </w:tabs>
        <w:ind w:left="851"/>
        <w:rPr>
          <w:sz w:val="24"/>
          <w:szCs w:val="24"/>
        </w:rPr>
      </w:pPr>
      <w:bookmarkStart w:id="6" w:name="_Hlk100147988"/>
      <w:r w:rsidRPr="007E6293">
        <w:rPr>
          <w:sz w:val="24"/>
          <w:szCs w:val="24"/>
        </w:rPr>
        <w:t xml:space="preserve">Acepromazin kan medføre sedation. </w:t>
      </w:r>
    </w:p>
    <w:p w:rsidR="007E6293" w:rsidRPr="007E6293" w:rsidRDefault="007E6293" w:rsidP="007E6293">
      <w:pPr>
        <w:tabs>
          <w:tab w:val="left" w:pos="851"/>
          <w:tab w:val="left" w:pos="8222"/>
        </w:tabs>
        <w:ind w:left="851"/>
        <w:rPr>
          <w:sz w:val="24"/>
          <w:szCs w:val="24"/>
        </w:rPr>
      </w:pPr>
      <w:r w:rsidRPr="007E6293">
        <w:rPr>
          <w:sz w:val="24"/>
          <w:szCs w:val="24"/>
        </w:rPr>
        <w:t xml:space="preserve">Sørg for at undgå utilsigtet indtagelse. </w:t>
      </w:r>
      <w:bookmarkStart w:id="7" w:name="_Hlk57896124"/>
      <w:r w:rsidRPr="007E6293">
        <w:rPr>
          <w:sz w:val="24"/>
          <w:szCs w:val="24"/>
        </w:rPr>
        <w:t>Sæt hætten på umiddelbart efter brug, for at undgå at et barn ved et uheld indtager lægemidlet. Opbevar den åbnede sprøjte i den lukkede oprindelige pakning, når den ikke anvendes. For at sikre korrekt lukning, skal du høre et ”klik” ved lukning af 10 ml pakningen. For 1 ml pakningen, skal låget skrues grundigt på.</w:t>
      </w:r>
    </w:p>
    <w:p w:rsidR="007E6293" w:rsidRPr="007E6293" w:rsidRDefault="007E6293" w:rsidP="007E6293">
      <w:pPr>
        <w:tabs>
          <w:tab w:val="left" w:pos="851"/>
          <w:tab w:val="left" w:pos="8222"/>
        </w:tabs>
        <w:ind w:left="851"/>
        <w:rPr>
          <w:sz w:val="24"/>
          <w:szCs w:val="24"/>
        </w:rPr>
      </w:pPr>
      <w:r w:rsidRPr="007E6293">
        <w:rPr>
          <w:sz w:val="24"/>
          <w:szCs w:val="24"/>
        </w:rPr>
        <w:t>Opbevares utilgængeligt for børn. I tilfælde af indgift ved hændeligt uheld skal der straks søges lægehjælp, og indlægssedlen eller etiketten bør vises til lægen. UNDLAD AT KØRE, da sedation og ændringer i blodtrykket kan forekomme.</w:t>
      </w:r>
    </w:p>
    <w:bookmarkEnd w:id="7"/>
    <w:p w:rsidR="007E6293" w:rsidRPr="007E6293" w:rsidRDefault="007E6293" w:rsidP="007E6293">
      <w:pPr>
        <w:tabs>
          <w:tab w:val="left" w:pos="851"/>
          <w:tab w:val="left" w:pos="8222"/>
        </w:tabs>
        <w:ind w:left="851"/>
        <w:rPr>
          <w:sz w:val="24"/>
          <w:szCs w:val="24"/>
        </w:rPr>
      </w:pPr>
      <w:r w:rsidRPr="007E6293">
        <w:rPr>
          <w:sz w:val="24"/>
          <w:szCs w:val="24"/>
        </w:rPr>
        <w:t>Dette veterinærlægemiddel kan forårsage allergiske reaktioner og medføre let irritation for øjne og hud. Personer, med kendt overfølsomhed over for acepromazin, andre phenothiaziner eller et eller flere af hjælpestofferne, bør undgå kontakt med veterinærlægemidlet. Personer med følsom hud eller hyppig kontakt med lægemidlet tilrådes at bære ugennemtrængelige handsker. Undgå utilsigtet kontakt med øjne og slimhinder. I tilfælde af utilsigtet kontakt med øjne og slimhinder skylles det berørte område med rindende vand i 15 minutter. I tilfælde af vedvarende irritation søges lægehjælp, og indlægssedlen eller etiketten vises til lægen.</w:t>
      </w:r>
    </w:p>
    <w:bookmarkEnd w:id="6"/>
    <w:p w:rsidR="007E6293" w:rsidRPr="007E6293" w:rsidRDefault="007E6293" w:rsidP="007E6293">
      <w:pPr>
        <w:tabs>
          <w:tab w:val="left" w:pos="851"/>
          <w:tab w:val="left" w:pos="8222"/>
        </w:tabs>
        <w:ind w:left="851"/>
        <w:rPr>
          <w:sz w:val="24"/>
          <w:szCs w:val="24"/>
        </w:rPr>
      </w:pPr>
      <w:r w:rsidRPr="007E6293">
        <w:rPr>
          <w:sz w:val="24"/>
          <w:szCs w:val="24"/>
        </w:rPr>
        <w:t>Vask hænder og eksponeret hud grundigt efter brug.</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51"/>
          <w:tab w:val="left" w:pos="8222"/>
        </w:tabs>
        <w:ind w:left="851"/>
        <w:rPr>
          <w:b/>
          <w:sz w:val="24"/>
          <w:szCs w:val="24"/>
        </w:rPr>
      </w:pPr>
      <w:r w:rsidRPr="00406EE7">
        <w:rPr>
          <w:b/>
          <w:sz w:val="24"/>
          <w:szCs w:val="24"/>
        </w:rPr>
        <w:t>Andre forsigtighedsregler</w:t>
      </w:r>
    </w:p>
    <w:p w:rsidR="005B0036" w:rsidRPr="00406EE7" w:rsidRDefault="00DA1BBB" w:rsidP="005B0036">
      <w:pPr>
        <w:tabs>
          <w:tab w:val="left" w:pos="851"/>
          <w:tab w:val="left" w:pos="8222"/>
        </w:tabs>
        <w:ind w:left="851"/>
        <w:rPr>
          <w:sz w:val="24"/>
          <w:szCs w:val="24"/>
        </w:rPr>
      </w:pPr>
      <w:r>
        <w:rPr>
          <w:sz w:val="24"/>
          <w:szCs w:val="24"/>
        </w:rPr>
        <w:t>-</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51"/>
          <w:tab w:val="left" w:pos="8222"/>
        </w:tabs>
        <w:rPr>
          <w:b/>
          <w:sz w:val="24"/>
          <w:szCs w:val="24"/>
        </w:rPr>
      </w:pPr>
      <w:r w:rsidRPr="00406EE7">
        <w:rPr>
          <w:b/>
          <w:sz w:val="24"/>
          <w:szCs w:val="24"/>
        </w:rPr>
        <w:t>4.6</w:t>
      </w:r>
      <w:r w:rsidRPr="00406EE7">
        <w:rPr>
          <w:b/>
          <w:sz w:val="24"/>
          <w:szCs w:val="24"/>
        </w:rPr>
        <w:tab/>
        <w:t>Bivirkninger</w:t>
      </w:r>
    </w:p>
    <w:p w:rsidR="00096B27" w:rsidRDefault="00096B27" w:rsidP="00096B27">
      <w:pPr>
        <w:tabs>
          <w:tab w:val="left" w:pos="851"/>
          <w:tab w:val="left" w:pos="8222"/>
        </w:tabs>
        <w:ind w:left="851"/>
        <w:rPr>
          <w:sz w:val="24"/>
          <w:szCs w:val="24"/>
          <w:u w:val="single"/>
        </w:rPr>
      </w:pPr>
    </w:p>
    <w:p w:rsidR="00096B27" w:rsidRPr="00096B27" w:rsidRDefault="00096B27" w:rsidP="00096B27">
      <w:pPr>
        <w:tabs>
          <w:tab w:val="left" w:pos="851"/>
          <w:tab w:val="left" w:pos="8222"/>
        </w:tabs>
        <w:ind w:left="851"/>
        <w:rPr>
          <w:sz w:val="24"/>
          <w:szCs w:val="24"/>
          <w:u w:val="single"/>
        </w:rPr>
      </w:pPr>
      <w:r w:rsidRPr="00096B27">
        <w:rPr>
          <w:sz w:val="24"/>
          <w:szCs w:val="24"/>
          <w:u w:val="single"/>
        </w:rPr>
        <w:t>Hest</w:t>
      </w:r>
    </w:p>
    <w:p w:rsidR="00096B27" w:rsidRPr="00096B27" w:rsidRDefault="00096B27" w:rsidP="00096B27">
      <w:pPr>
        <w:tabs>
          <w:tab w:val="left" w:pos="851"/>
          <w:tab w:val="left" w:pos="8222"/>
        </w:tabs>
        <w:ind w:left="851"/>
        <w:rPr>
          <w:sz w:val="24"/>
          <w:szCs w:val="24"/>
        </w:rPr>
      </w:pPr>
      <w:r w:rsidRPr="00096B27">
        <w:rPr>
          <w:sz w:val="24"/>
          <w:szCs w:val="24"/>
        </w:rPr>
        <w:t>Da acepromazin nedsætter det sympatiske nervesystems tonus, kan et forbigående fald i blodtrykket forekomme efter administration.</w:t>
      </w:r>
    </w:p>
    <w:p w:rsidR="00096B27" w:rsidRPr="00096B27" w:rsidRDefault="00096B27" w:rsidP="00096B27">
      <w:pPr>
        <w:tabs>
          <w:tab w:val="left" w:pos="851"/>
          <w:tab w:val="left" w:pos="8222"/>
        </w:tabs>
        <w:ind w:left="851"/>
        <w:rPr>
          <w:sz w:val="24"/>
          <w:szCs w:val="24"/>
        </w:rPr>
      </w:pPr>
      <w:r w:rsidRPr="00096B27">
        <w:rPr>
          <w:sz w:val="24"/>
          <w:szCs w:val="24"/>
        </w:rPr>
        <w:t>Hæmning af temperaturregulering.</w:t>
      </w:r>
    </w:p>
    <w:p w:rsidR="00096B27" w:rsidRPr="00096B27" w:rsidRDefault="00096B27" w:rsidP="00096B27">
      <w:pPr>
        <w:tabs>
          <w:tab w:val="left" w:pos="851"/>
          <w:tab w:val="left" w:pos="8222"/>
        </w:tabs>
        <w:ind w:left="851"/>
        <w:rPr>
          <w:sz w:val="24"/>
          <w:szCs w:val="24"/>
        </w:rPr>
      </w:pPr>
      <w:r w:rsidRPr="00096B27">
        <w:rPr>
          <w:sz w:val="24"/>
          <w:szCs w:val="24"/>
        </w:rPr>
        <w:t>Følgende reversible ændringer er mulige i hæmogrammet:</w:t>
      </w:r>
    </w:p>
    <w:p w:rsidR="00096B27" w:rsidRPr="00096B27" w:rsidRDefault="00096B27" w:rsidP="00096B27">
      <w:pPr>
        <w:tabs>
          <w:tab w:val="left" w:pos="851"/>
          <w:tab w:val="left" w:pos="8222"/>
        </w:tabs>
        <w:ind w:left="851"/>
        <w:rPr>
          <w:sz w:val="24"/>
          <w:szCs w:val="24"/>
        </w:rPr>
      </w:pPr>
      <w:r w:rsidRPr="00096B27">
        <w:rPr>
          <w:sz w:val="24"/>
          <w:szCs w:val="24"/>
        </w:rPr>
        <w:t>Forbigående fald i erytrocyttal og hæmoglobinkoncentration samt i trombocyt- og leukocyttal.</w:t>
      </w:r>
    </w:p>
    <w:p w:rsidR="00096B27" w:rsidRPr="00096B27" w:rsidRDefault="00096B27" w:rsidP="00096B27">
      <w:pPr>
        <w:tabs>
          <w:tab w:val="left" w:pos="851"/>
          <w:tab w:val="left" w:pos="8222"/>
        </w:tabs>
        <w:ind w:left="851"/>
        <w:rPr>
          <w:sz w:val="24"/>
          <w:szCs w:val="24"/>
        </w:rPr>
      </w:pPr>
      <w:r w:rsidRPr="00096B27">
        <w:rPr>
          <w:sz w:val="24"/>
          <w:szCs w:val="24"/>
        </w:rPr>
        <w:t>Da acepromazin kan øge prolaktinsekretionen, kan administration af acepromazin føre til forstyrrelser i fertiliteten.</w:t>
      </w:r>
    </w:p>
    <w:p w:rsidR="00096B27" w:rsidRPr="00096B27" w:rsidRDefault="00096B27" w:rsidP="00096B27">
      <w:pPr>
        <w:tabs>
          <w:tab w:val="left" w:pos="851"/>
          <w:tab w:val="left" w:pos="8222"/>
        </w:tabs>
        <w:ind w:left="851"/>
        <w:rPr>
          <w:sz w:val="24"/>
          <w:szCs w:val="24"/>
        </w:rPr>
      </w:pPr>
      <w:r w:rsidRPr="00096B27">
        <w:rPr>
          <w:sz w:val="24"/>
          <w:szCs w:val="24"/>
        </w:rPr>
        <w:t>Penisprolaps kan forekomme på grund af afslapning af M. retractor penis. Retraktion af penis skal kunne erkendes inden for to til tre timer. Hvis dette ikke sker, tilrådes det at kontakte dyrlægen. Manglende retraktion er særligt problematisk hos avlshingste. Administration af acepromazin har somme tider forårsaget paraphimosis (at forhuden ikke vender tilbage til den normale position) efter priapisme (vedvarende erektion).</w:t>
      </w:r>
    </w:p>
    <w:p w:rsidR="00096B27" w:rsidRPr="00096B27" w:rsidRDefault="00096B27" w:rsidP="00096B27">
      <w:pPr>
        <w:tabs>
          <w:tab w:val="left" w:pos="851"/>
          <w:tab w:val="left" w:pos="8222"/>
        </w:tabs>
        <w:ind w:left="851"/>
        <w:rPr>
          <w:sz w:val="24"/>
          <w:szCs w:val="24"/>
        </w:rPr>
      </w:pPr>
      <w:r w:rsidRPr="00096B27">
        <w:rPr>
          <w:sz w:val="24"/>
          <w:szCs w:val="24"/>
        </w:rPr>
        <w:t>Modstridende kliniske tegn på aggressivitet og generaliseret CNS-stimulering kan forekomme.</w:t>
      </w:r>
    </w:p>
    <w:p w:rsidR="00096B27" w:rsidRPr="00096B27" w:rsidRDefault="00096B27" w:rsidP="00096B27">
      <w:pPr>
        <w:tabs>
          <w:tab w:val="left" w:pos="851"/>
          <w:tab w:val="left" w:pos="8222"/>
        </w:tabs>
        <w:ind w:left="851"/>
        <w:rPr>
          <w:sz w:val="24"/>
          <w:szCs w:val="24"/>
        </w:rPr>
      </w:pPr>
      <w:r w:rsidRPr="00096B27">
        <w:rPr>
          <w:sz w:val="24"/>
          <w:szCs w:val="24"/>
        </w:rPr>
        <w:t>Prolaps af blinkhinden (det tredje øjenlåg) er også blevet nævnt som en mulig bivirkning hos heste.</w:t>
      </w:r>
    </w:p>
    <w:p w:rsidR="00096B27" w:rsidRDefault="00096B27">
      <w:pPr>
        <w:rPr>
          <w:sz w:val="24"/>
          <w:szCs w:val="24"/>
        </w:rPr>
      </w:pPr>
      <w:r>
        <w:rPr>
          <w:sz w:val="24"/>
          <w:szCs w:val="24"/>
        </w:rPr>
        <w:br w:type="page"/>
      </w:r>
    </w:p>
    <w:p w:rsidR="00096B27" w:rsidRPr="00096B27" w:rsidRDefault="00096B27" w:rsidP="00096B27">
      <w:pPr>
        <w:tabs>
          <w:tab w:val="left" w:pos="851"/>
          <w:tab w:val="left" w:pos="8222"/>
        </w:tabs>
        <w:ind w:left="851"/>
        <w:rPr>
          <w:sz w:val="24"/>
          <w:szCs w:val="24"/>
        </w:rPr>
      </w:pPr>
    </w:p>
    <w:p w:rsidR="00096B27" w:rsidRPr="00096B27" w:rsidRDefault="00096B27" w:rsidP="00096B27">
      <w:pPr>
        <w:tabs>
          <w:tab w:val="left" w:pos="851"/>
          <w:tab w:val="left" w:pos="8222"/>
        </w:tabs>
        <w:ind w:left="851"/>
        <w:rPr>
          <w:sz w:val="24"/>
          <w:szCs w:val="24"/>
          <w:u w:val="single"/>
        </w:rPr>
      </w:pPr>
      <w:r w:rsidRPr="00096B27">
        <w:rPr>
          <w:sz w:val="24"/>
          <w:szCs w:val="24"/>
          <w:u w:val="single"/>
        </w:rPr>
        <w:t>Hund</w:t>
      </w:r>
    </w:p>
    <w:p w:rsidR="00096B27" w:rsidRPr="00096B27" w:rsidRDefault="00096B27" w:rsidP="00096B27">
      <w:pPr>
        <w:tabs>
          <w:tab w:val="left" w:pos="851"/>
          <w:tab w:val="left" w:pos="8222"/>
        </w:tabs>
        <w:ind w:left="851"/>
        <w:rPr>
          <w:sz w:val="24"/>
          <w:szCs w:val="24"/>
        </w:rPr>
      </w:pPr>
      <w:r w:rsidRPr="00096B27">
        <w:rPr>
          <w:sz w:val="24"/>
          <w:szCs w:val="24"/>
        </w:rPr>
        <w:t>Hypotension, takykardi, øget respirationsfrekvens, arytmi, miose, tåredannelse og ataksi.</w:t>
      </w:r>
    </w:p>
    <w:p w:rsidR="00096B27" w:rsidRPr="00096B27" w:rsidRDefault="00096B27" w:rsidP="00096B27">
      <w:pPr>
        <w:tabs>
          <w:tab w:val="left" w:pos="851"/>
          <w:tab w:val="left" w:pos="8222"/>
        </w:tabs>
        <w:ind w:left="851"/>
        <w:rPr>
          <w:sz w:val="24"/>
          <w:szCs w:val="24"/>
        </w:rPr>
      </w:pPr>
      <w:r w:rsidRPr="00096B27">
        <w:rPr>
          <w:sz w:val="24"/>
          <w:szCs w:val="24"/>
        </w:rPr>
        <w:t>Modstridende kliniske tegn på aggressivitet og generaliseret CNS-stimulering kan forekomme.</w:t>
      </w:r>
    </w:p>
    <w:p w:rsidR="00096B27" w:rsidRPr="00096B27" w:rsidRDefault="00096B27" w:rsidP="00096B27">
      <w:pPr>
        <w:tabs>
          <w:tab w:val="left" w:pos="851"/>
          <w:tab w:val="left" w:pos="8222"/>
        </w:tabs>
        <w:ind w:left="851"/>
        <w:rPr>
          <w:sz w:val="24"/>
          <w:szCs w:val="24"/>
        </w:rPr>
      </w:pPr>
      <w:r w:rsidRPr="00096B27">
        <w:rPr>
          <w:sz w:val="24"/>
          <w:szCs w:val="24"/>
        </w:rPr>
        <w:t>Prolaps af blinkhinden (det tredje øjenlåg).</w:t>
      </w:r>
    </w:p>
    <w:p w:rsidR="00096B27" w:rsidRPr="00096B27" w:rsidRDefault="00096B27" w:rsidP="00096B27">
      <w:pPr>
        <w:tabs>
          <w:tab w:val="left" w:pos="851"/>
          <w:tab w:val="left" w:pos="8222"/>
        </w:tabs>
        <w:ind w:left="851"/>
        <w:rPr>
          <w:sz w:val="24"/>
          <w:szCs w:val="24"/>
        </w:rPr>
      </w:pPr>
    </w:p>
    <w:p w:rsidR="00096B27" w:rsidRPr="00096B27" w:rsidRDefault="00096B27" w:rsidP="00096B27">
      <w:pPr>
        <w:tabs>
          <w:tab w:val="left" w:pos="851"/>
          <w:tab w:val="left" w:pos="8222"/>
        </w:tabs>
        <w:ind w:left="851"/>
        <w:rPr>
          <w:sz w:val="24"/>
          <w:szCs w:val="24"/>
        </w:rPr>
      </w:pPr>
      <w:r w:rsidRPr="00096B27">
        <w:rPr>
          <w:sz w:val="24"/>
          <w:szCs w:val="24"/>
        </w:rPr>
        <w:t>Hyppigheden af bivirkninger er defineret som:</w:t>
      </w:r>
    </w:p>
    <w:p w:rsidR="00096B27" w:rsidRPr="00096B27" w:rsidRDefault="00096B27" w:rsidP="00096B27">
      <w:pPr>
        <w:pStyle w:val="Listeafsnit"/>
        <w:numPr>
          <w:ilvl w:val="0"/>
          <w:numId w:val="7"/>
        </w:numPr>
        <w:tabs>
          <w:tab w:val="left" w:pos="851"/>
          <w:tab w:val="left" w:pos="8222"/>
        </w:tabs>
        <w:ind w:left="1134" w:hanging="283"/>
        <w:rPr>
          <w:iCs/>
          <w:sz w:val="24"/>
          <w:szCs w:val="24"/>
        </w:rPr>
      </w:pPr>
      <w:r w:rsidRPr="00096B27">
        <w:rPr>
          <w:iCs/>
          <w:sz w:val="24"/>
          <w:szCs w:val="24"/>
        </w:rPr>
        <w:t>Meget almindelig (flere end 1 ud af 10 behandlede dyr, der viser bivirkninger i løbet af en behandling)</w:t>
      </w:r>
    </w:p>
    <w:p w:rsidR="00096B27" w:rsidRPr="00096B27" w:rsidRDefault="00096B27" w:rsidP="00096B27">
      <w:pPr>
        <w:pStyle w:val="Listeafsnit"/>
        <w:numPr>
          <w:ilvl w:val="0"/>
          <w:numId w:val="7"/>
        </w:numPr>
        <w:tabs>
          <w:tab w:val="left" w:pos="851"/>
          <w:tab w:val="left" w:pos="8222"/>
        </w:tabs>
        <w:ind w:left="1134" w:hanging="283"/>
        <w:rPr>
          <w:iCs/>
          <w:sz w:val="24"/>
          <w:szCs w:val="24"/>
        </w:rPr>
      </w:pPr>
      <w:r w:rsidRPr="00096B27">
        <w:rPr>
          <w:iCs/>
          <w:sz w:val="24"/>
          <w:szCs w:val="24"/>
        </w:rPr>
        <w:t>Almindelig (flere end 1, men færre end 10 dyr ud af 100 behandlede dyr)</w:t>
      </w:r>
    </w:p>
    <w:p w:rsidR="00096B27" w:rsidRPr="00096B27" w:rsidRDefault="00096B27" w:rsidP="00096B27">
      <w:pPr>
        <w:pStyle w:val="Listeafsnit"/>
        <w:numPr>
          <w:ilvl w:val="0"/>
          <w:numId w:val="7"/>
        </w:numPr>
        <w:tabs>
          <w:tab w:val="left" w:pos="851"/>
          <w:tab w:val="left" w:pos="8222"/>
        </w:tabs>
        <w:ind w:left="1134" w:hanging="283"/>
        <w:rPr>
          <w:iCs/>
          <w:sz w:val="24"/>
          <w:szCs w:val="24"/>
        </w:rPr>
      </w:pPr>
      <w:r w:rsidRPr="00096B27">
        <w:rPr>
          <w:iCs/>
          <w:sz w:val="24"/>
          <w:szCs w:val="24"/>
        </w:rPr>
        <w:t>Ikke almindelig (flere end 1, men færre end 10 dyr ud af 1.000 behandlede dyr)</w:t>
      </w:r>
    </w:p>
    <w:p w:rsidR="00096B27" w:rsidRPr="00096B27" w:rsidRDefault="00096B27" w:rsidP="00096B27">
      <w:pPr>
        <w:pStyle w:val="Listeafsnit"/>
        <w:numPr>
          <w:ilvl w:val="0"/>
          <w:numId w:val="7"/>
        </w:numPr>
        <w:tabs>
          <w:tab w:val="left" w:pos="851"/>
          <w:tab w:val="left" w:pos="8222"/>
        </w:tabs>
        <w:ind w:left="1134" w:hanging="283"/>
        <w:rPr>
          <w:iCs/>
          <w:sz w:val="24"/>
          <w:szCs w:val="24"/>
        </w:rPr>
      </w:pPr>
      <w:r w:rsidRPr="00096B27">
        <w:rPr>
          <w:iCs/>
          <w:sz w:val="24"/>
          <w:szCs w:val="24"/>
        </w:rPr>
        <w:t>Sjælden (flere end 1, men færre end 10 dyr ud af 10.000 behandlede dyr)</w:t>
      </w:r>
    </w:p>
    <w:p w:rsidR="00096B27" w:rsidRPr="00096B27" w:rsidRDefault="00096B27" w:rsidP="00096B27">
      <w:pPr>
        <w:pStyle w:val="Listeafsnit"/>
        <w:numPr>
          <w:ilvl w:val="0"/>
          <w:numId w:val="7"/>
        </w:numPr>
        <w:tabs>
          <w:tab w:val="left" w:pos="851"/>
          <w:tab w:val="left" w:pos="8222"/>
        </w:tabs>
        <w:ind w:left="1134" w:hanging="283"/>
        <w:rPr>
          <w:iCs/>
          <w:sz w:val="24"/>
          <w:szCs w:val="24"/>
        </w:rPr>
      </w:pPr>
      <w:r w:rsidRPr="00096B27">
        <w:rPr>
          <w:iCs/>
          <w:sz w:val="24"/>
          <w:szCs w:val="24"/>
        </w:rPr>
        <w:t>Meget sjælden (færre end 1 dyr ud af 10.000 behandlede dyr, herunder isolerede rapporter).</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51"/>
          <w:tab w:val="left" w:pos="8222"/>
        </w:tabs>
        <w:rPr>
          <w:b/>
          <w:sz w:val="24"/>
          <w:szCs w:val="24"/>
        </w:rPr>
      </w:pPr>
      <w:r w:rsidRPr="00406EE7">
        <w:rPr>
          <w:b/>
          <w:sz w:val="24"/>
          <w:szCs w:val="24"/>
        </w:rPr>
        <w:t>4.7</w:t>
      </w:r>
      <w:r w:rsidRPr="00406EE7">
        <w:rPr>
          <w:b/>
          <w:sz w:val="24"/>
          <w:szCs w:val="24"/>
        </w:rPr>
        <w:tab/>
        <w:t>Drægtighed, diegivning eller æglægning</w:t>
      </w:r>
    </w:p>
    <w:p w:rsidR="00A50670" w:rsidRPr="00A50670" w:rsidRDefault="00A50670" w:rsidP="00A50670">
      <w:pPr>
        <w:tabs>
          <w:tab w:val="left" w:pos="851"/>
          <w:tab w:val="left" w:pos="8222"/>
        </w:tabs>
        <w:ind w:left="851"/>
        <w:rPr>
          <w:sz w:val="24"/>
          <w:szCs w:val="24"/>
        </w:rPr>
      </w:pPr>
      <w:r w:rsidRPr="00A50670">
        <w:rPr>
          <w:sz w:val="24"/>
          <w:szCs w:val="24"/>
        </w:rPr>
        <w:t xml:space="preserve">Lægemidlets sikkerhed under drægtighed og laktation er ikke fastlagt; må kun anvendes i overensstemmelse med den ansvarlige dyrlæges risk-benefit vurdering. Se også pkt. 4.6 vedrørende fertilitet hos </w:t>
      </w:r>
      <w:bookmarkStart w:id="8" w:name="_Hlk44503910"/>
      <w:r w:rsidRPr="00A50670">
        <w:rPr>
          <w:sz w:val="24"/>
          <w:szCs w:val="24"/>
        </w:rPr>
        <w:t>hopper.</w:t>
      </w:r>
      <w:bookmarkEnd w:id="8"/>
    </w:p>
    <w:p w:rsidR="00A50670" w:rsidRPr="00A50670" w:rsidRDefault="00A50670" w:rsidP="00A50670">
      <w:pPr>
        <w:tabs>
          <w:tab w:val="left" w:pos="851"/>
          <w:tab w:val="left" w:pos="8222"/>
        </w:tabs>
        <w:ind w:left="851"/>
        <w:rPr>
          <w:sz w:val="24"/>
          <w:szCs w:val="24"/>
        </w:rPr>
      </w:pPr>
    </w:p>
    <w:p w:rsidR="005B0036" w:rsidRPr="00406EE7" w:rsidRDefault="005B0036" w:rsidP="005B0036">
      <w:pPr>
        <w:tabs>
          <w:tab w:val="left" w:pos="851"/>
          <w:tab w:val="left" w:pos="8222"/>
        </w:tabs>
        <w:rPr>
          <w:b/>
          <w:sz w:val="24"/>
          <w:szCs w:val="24"/>
        </w:rPr>
      </w:pPr>
      <w:r w:rsidRPr="00406EE7">
        <w:rPr>
          <w:b/>
          <w:sz w:val="24"/>
          <w:szCs w:val="24"/>
        </w:rPr>
        <w:t>4.8</w:t>
      </w:r>
      <w:r w:rsidRPr="00406EE7">
        <w:rPr>
          <w:b/>
          <w:sz w:val="24"/>
          <w:szCs w:val="24"/>
        </w:rPr>
        <w:tab/>
        <w:t>Interaktion med andre lægemidler og andre former for interaktion</w:t>
      </w:r>
    </w:p>
    <w:p w:rsidR="00B676A5" w:rsidRPr="00B676A5" w:rsidRDefault="00B676A5" w:rsidP="00B676A5">
      <w:pPr>
        <w:tabs>
          <w:tab w:val="left" w:pos="851"/>
          <w:tab w:val="left" w:pos="8222"/>
        </w:tabs>
        <w:ind w:left="851"/>
        <w:rPr>
          <w:iCs/>
          <w:sz w:val="24"/>
          <w:szCs w:val="24"/>
        </w:rPr>
      </w:pPr>
      <w:bookmarkStart w:id="9" w:name="_Hlk102129354"/>
      <w:r w:rsidRPr="00B676A5">
        <w:rPr>
          <w:iCs/>
          <w:sz w:val="24"/>
          <w:szCs w:val="24"/>
        </w:rPr>
        <w:t>Acepromazin forstærker virkningen af centralt dæmpende lægemidler.</w:t>
      </w:r>
    </w:p>
    <w:p w:rsidR="00B676A5" w:rsidRPr="00B676A5" w:rsidRDefault="00B676A5" w:rsidP="00B676A5">
      <w:pPr>
        <w:tabs>
          <w:tab w:val="left" w:pos="851"/>
          <w:tab w:val="left" w:pos="8222"/>
        </w:tabs>
        <w:ind w:left="851"/>
        <w:rPr>
          <w:iCs/>
          <w:sz w:val="24"/>
          <w:szCs w:val="24"/>
        </w:rPr>
      </w:pPr>
      <w:r w:rsidRPr="00B676A5">
        <w:rPr>
          <w:iCs/>
          <w:sz w:val="24"/>
          <w:szCs w:val="24"/>
        </w:rPr>
        <w:t xml:space="preserve">Samtidig administration med organophosphater </w:t>
      </w:r>
      <w:r w:rsidRPr="00B676A5">
        <w:rPr>
          <w:sz w:val="24"/>
          <w:szCs w:val="24"/>
        </w:rPr>
        <w:t xml:space="preserve">(antiparasitære midler såsom chlorfenvinphos, dichlorophos osv.) </w:t>
      </w:r>
      <w:r w:rsidRPr="00B676A5">
        <w:rPr>
          <w:iCs/>
          <w:sz w:val="24"/>
          <w:szCs w:val="24"/>
        </w:rPr>
        <w:t xml:space="preserve">eller procainhydrochlorid (et lokalanæstetikum) forstærker de toksiske virkninger og bør derfor undgås. </w:t>
      </w:r>
    </w:p>
    <w:p w:rsidR="00B676A5" w:rsidRPr="00B676A5" w:rsidRDefault="00B676A5" w:rsidP="00B676A5">
      <w:pPr>
        <w:tabs>
          <w:tab w:val="left" w:pos="851"/>
          <w:tab w:val="left" w:pos="8222"/>
        </w:tabs>
        <w:ind w:left="851"/>
        <w:rPr>
          <w:iCs/>
          <w:sz w:val="24"/>
          <w:szCs w:val="24"/>
        </w:rPr>
      </w:pPr>
      <w:r w:rsidRPr="00B676A5">
        <w:rPr>
          <w:iCs/>
          <w:sz w:val="24"/>
          <w:szCs w:val="24"/>
        </w:rPr>
        <w:t xml:space="preserve">Da acepromazin nedsætter tonus i det sympatiske nervesystem, bør samtidig behandling med blodtrykssænkende lægemidler ikke finde sted.  </w:t>
      </w:r>
    </w:p>
    <w:p w:rsidR="00B676A5" w:rsidRPr="00B676A5" w:rsidRDefault="00B676A5" w:rsidP="00B676A5">
      <w:pPr>
        <w:tabs>
          <w:tab w:val="left" w:pos="851"/>
          <w:tab w:val="left" w:pos="8222"/>
        </w:tabs>
        <w:ind w:left="851"/>
        <w:rPr>
          <w:iCs/>
          <w:sz w:val="24"/>
          <w:szCs w:val="24"/>
        </w:rPr>
      </w:pPr>
    </w:p>
    <w:p w:rsidR="00B676A5" w:rsidRPr="00B676A5" w:rsidRDefault="00B676A5" w:rsidP="00B676A5">
      <w:pPr>
        <w:tabs>
          <w:tab w:val="left" w:pos="851"/>
          <w:tab w:val="left" w:pos="8222"/>
        </w:tabs>
        <w:ind w:left="851"/>
        <w:rPr>
          <w:iCs/>
          <w:sz w:val="24"/>
          <w:szCs w:val="24"/>
        </w:rPr>
      </w:pPr>
      <w:r w:rsidRPr="00B676A5">
        <w:rPr>
          <w:iCs/>
          <w:sz w:val="24"/>
          <w:szCs w:val="24"/>
        </w:rPr>
        <w:t xml:space="preserve">Antacida kan medføre en nedsat gastrointestinal absorption af acepromazin efter oral administration. </w:t>
      </w:r>
    </w:p>
    <w:p w:rsidR="00B676A5" w:rsidRPr="00B676A5" w:rsidRDefault="00B676A5" w:rsidP="00B676A5">
      <w:pPr>
        <w:tabs>
          <w:tab w:val="left" w:pos="851"/>
          <w:tab w:val="left" w:pos="8222"/>
        </w:tabs>
        <w:ind w:left="851"/>
        <w:rPr>
          <w:iCs/>
          <w:sz w:val="24"/>
          <w:szCs w:val="24"/>
        </w:rPr>
      </w:pPr>
      <w:r w:rsidRPr="00B676A5">
        <w:rPr>
          <w:iCs/>
          <w:sz w:val="24"/>
          <w:szCs w:val="24"/>
        </w:rPr>
        <w:t>Opiater og adrenalin kan forstærke de hypotensive virkninger af acepromazin.</w:t>
      </w:r>
      <w:bookmarkEnd w:id="9"/>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51"/>
          <w:tab w:val="left" w:pos="8222"/>
        </w:tabs>
        <w:rPr>
          <w:b/>
          <w:sz w:val="24"/>
          <w:szCs w:val="24"/>
        </w:rPr>
      </w:pPr>
      <w:r w:rsidRPr="00406EE7">
        <w:rPr>
          <w:b/>
          <w:sz w:val="24"/>
          <w:szCs w:val="24"/>
        </w:rPr>
        <w:t>4.9</w:t>
      </w:r>
      <w:r w:rsidRPr="00406EE7">
        <w:rPr>
          <w:b/>
          <w:sz w:val="24"/>
          <w:szCs w:val="24"/>
        </w:rPr>
        <w:tab/>
        <w:t>Dosering og indgivelsesmåde</w:t>
      </w:r>
    </w:p>
    <w:p w:rsidR="00B676A5" w:rsidRPr="00B676A5" w:rsidRDefault="00B676A5" w:rsidP="00B676A5">
      <w:pPr>
        <w:tabs>
          <w:tab w:val="left" w:pos="851"/>
          <w:tab w:val="left" w:pos="8222"/>
        </w:tabs>
        <w:ind w:left="851"/>
        <w:rPr>
          <w:sz w:val="24"/>
          <w:szCs w:val="24"/>
        </w:rPr>
      </w:pPr>
      <w:r w:rsidRPr="00B676A5">
        <w:rPr>
          <w:sz w:val="24"/>
          <w:szCs w:val="24"/>
        </w:rPr>
        <w:t>Oral anvendelse.</w:t>
      </w:r>
    </w:p>
    <w:p w:rsidR="00B676A5" w:rsidRPr="00B676A5" w:rsidRDefault="00B676A5" w:rsidP="00B676A5">
      <w:pPr>
        <w:tabs>
          <w:tab w:val="left" w:pos="851"/>
          <w:tab w:val="left" w:pos="8222"/>
        </w:tabs>
        <w:ind w:left="851"/>
        <w:rPr>
          <w:sz w:val="24"/>
          <w:szCs w:val="24"/>
        </w:rPr>
      </w:pPr>
      <w:r w:rsidRPr="00B676A5">
        <w:rPr>
          <w:sz w:val="24"/>
          <w:szCs w:val="24"/>
        </w:rPr>
        <w:t>For at sikre den mest nøjagtige dosering bør valget af sprøjte tilpasses dyrets legemsvægt.</w:t>
      </w:r>
    </w:p>
    <w:p w:rsidR="00B676A5" w:rsidRPr="00B676A5" w:rsidRDefault="00B676A5" w:rsidP="00B676A5">
      <w:pPr>
        <w:tabs>
          <w:tab w:val="left" w:pos="851"/>
          <w:tab w:val="left" w:pos="8222"/>
        </w:tabs>
        <w:ind w:left="851"/>
        <w:rPr>
          <w:sz w:val="24"/>
          <w:szCs w:val="24"/>
        </w:rPr>
      </w:pPr>
      <w:r w:rsidRPr="00B676A5">
        <w:rPr>
          <w:sz w:val="24"/>
          <w:szCs w:val="24"/>
        </w:rPr>
        <w:t>Fjern hætten fra sprøjten, sæt den ind i dyrets mund og påfør gelen i hestens kindpose eller ved hundens tungerod. Efter påføring løftes dyrets hoved straks i et par sekunder og det kontrolleres, at dyret har slugt dosen.</w:t>
      </w:r>
    </w:p>
    <w:p w:rsidR="00B676A5" w:rsidRPr="00B676A5" w:rsidRDefault="00B676A5" w:rsidP="00B676A5">
      <w:pPr>
        <w:tabs>
          <w:tab w:val="left" w:pos="851"/>
          <w:tab w:val="left" w:pos="8222"/>
        </w:tabs>
        <w:ind w:left="851"/>
        <w:rPr>
          <w:sz w:val="24"/>
          <w:szCs w:val="24"/>
        </w:rPr>
      </w:pPr>
    </w:p>
    <w:p w:rsidR="00B676A5" w:rsidRPr="00B676A5" w:rsidRDefault="00B676A5" w:rsidP="00B676A5">
      <w:pPr>
        <w:tabs>
          <w:tab w:val="left" w:pos="851"/>
          <w:tab w:val="left" w:pos="8222"/>
        </w:tabs>
        <w:ind w:left="851"/>
        <w:rPr>
          <w:b/>
          <w:bCs/>
          <w:sz w:val="24"/>
          <w:szCs w:val="24"/>
          <w:u w:val="single"/>
        </w:rPr>
      </w:pPr>
      <w:r w:rsidRPr="00B676A5">
        <w:rPr>
          <w:b/>
          <w:bCs/>
          <w:sz w:val="24"/>
          <w:szCs w:val="24"/>
          <w:u w:val="single"/>
        </w:rPr>
        <w:t>10 ml fyldt oral sprøjte</w:t>
      </w:r>
    </w:p>
    <w:p w:rsidR="00B676A5" w:rsidRPr="00B676A5" w:rsidRDefault="00B676A5" w:rsidP="00B676A5">
      <w:pPr>
        <w:tabs>
          <w:tab w:val="left" w:pos="851"/>
          <w:tab w:val="left" w:pos="8222"/>
        </w:tabs>
        <w:ind w:left="851"/>
        <w:rPr>
          <w:sz w:val="24"/>
          <w:szCs w:val="24"/>
        </w:rPr>
      </w:pPr>
    </w:p>
    <w:p w:rsidR="00B676A5" w:rsidRPr="00B676A5" w:rsidRDefault="00B676A5" w:rsidP="00B676A5">
      <w:pPr>
        <w:tabs>
          <w:tab w:val="left" w:pos="851"/>
          <w:tab w:val="left" w:pos="8222"/>
        </w:tabs>
        <w:ind w:left="851"/>
        <w:rPr>
          <w:b/>
          <w:sz w:val="24"/>
          <w:szCs w:val="24"/>
        </w:rPr>
      </w:pPr>
      <w:r w:rsidRPr="00B676A5">
        <w:rPr>
          <w:b/>
          <w:sz w:val="24"/>
          <w:szCs w:val="24"/>
        </w:rPr>
        <w:t>HEST:</w:t>
      </w:r>
    </w:p>
    <w:tbl>
      <w:tblPr>
        <w:tblW w:w="8478"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276"/>
        <w:gridCol w:w="1275"/>
        <w:gridCol w:w="1276"/>
        <w:gridCol w:w="1249"/>
      </w:tblGrid>
      <w:tr w:rsidR="00B676A5" w:rsidRPr="00B676A5" w:rsidTr="00BE7005">
        <w:trPr>
          <w:trHeight w:val="826"/>
        </w:trPr>
        <w:tc>
          <w:tcPr>
            <w:tcW w:w="3402" w:type="dxa"/>
            <w:tcBorders>
              <w:top w:val="single" w:sz="4" w:space="0" w:color="auto"/>
              <w:left w:val="single" w:sz="4" w:space="0" w:color="auto"/>
              <w:bottom w:val="single" w:sz="4" w:space="0" w:color="auto"/>
              <w:right w:val="single" w:sz="4" w:space="0" w:color="auto"/>
              <w:tl2br w:val="single" w:sz="4" w:space="0" w:color="auto"/>
            </w:tcBorders>
            <w:hideMark/>
          </w:tcPr>
          <w:p w:rsidR="00B676A5" w:rsidRPr="00B676A5" w:rsidRDefault="00B676A5" w:rsidP="00E42DFB">
            <w:pPr>
              <w:tabs>
                <w:tab w:val="left" w:pos="8222"/>
              </w:tabs>
              <w:rPr>
                <w:sz w:val="24"/>
                <w:szCs w:val="24"/>
              </w:rPr>
            </w:pPr>
            <w:r w:rsidRPr="00B676A5">
              <w:rPr>
                <w:sz w:val="24"/>
                <w:szCs w:val="24"/>
              </w:rPr>
              <w:t xml:space="preserve">            </w:t>
            </w:r>
            <w:r w:rsidR="00BE7005">
              <w:rPr>
                <w:sz w:val="24"/>
                <w:szCs w:val="24"/>
              </w:rPr>
              <w:t xml:space="preserve">              </w:t>
            </w:r>
            <w:r w:rsidRPr="00B676A5">
              <w:rPr>
                <w:sz w:val="24"/>
                <w:szCs w:val="24"/>
              </w:rPr>
              <w:t>Vægt af hest</w:t>
            </w:r>
          </w:p>
          <w:p w:rsidR="00B676A5" w:rsidRPr="00B676A5" w:rsidRDefault="00B676A5" w:rsidP="00E42DFB">
            <w:pPr>
              <w:tabs>
                <w:tab w:val="left" w:pos="8222"/>
              </w:tabs>
              <w:rPr>
                <w:sz w:val="24"/>
                <w:szCs w:val="24"/>
              </w:rPr>
            </w:pPr>
            <w:r w:rsidRPr="00B676A5">
              <w:rPr>
                <w:sz w:val="24"/>
                <w:szCs w:val="24"/>
              </w:rPr>
              <w:t>Mængde af</w:t>
            </w:r>
          </w:p>
          <w:p w:rsidR="00B676A5" w:rsidRPr="00B676A5" w:rsidRDefault="00B676A5" w:rsidP="00E42DFB">
            <w:pPr>
              <w:tabs>
                <w:tab w:val="left" w:pos="8222"/>
              </w:tabs>
              <w:rPr>
                <w:sz w:val="24"/>
                <w:szCs w:val="24"/>
              </w:rPr>
            </w:pPr>
            <w:r w:rsidRPr="00B676A5">
              <w:rPr>
                <w:sz w:val="24"/>
                <w:szCs w:val="24"/>
              </w:rPr>
              <w:t>lægemiddel</w:t>
            </w:r>
          </w:p>
        </w:tc>
        <w:tc>
          <w:tcPr>
            <w:tcW w:w="1276" w:type="dxa"/>
            <w:tcBorders>
              <w:top w:val="single" w:sz="4" w:space="0" w:color="auto"/>
              <w:left w:val="single" w:sz="4" w:space="0" w:color="auto"/>
              <w:bottom w:val="single" w:sz="4" w:space="0" w:color="auto"/>
              <w:right w:val="single" w:sz="4" w:space="0" w:color="auto"/>
            </w:tcBorders>
            <w:vAlign w:val="center"/>
            <w:hideMark/>
          </w:tcPr>
          <w:p w:rsidR="00B676A5" w:rsidRPr="00B676A5" w:rsidRDefault="00B676A5" w:rsidP="00E42DFB">
            <w:pPr>
              <w:tabs>
                <w:tab w:val="left" w:pos="8222"/>
              </w:tabs>
              <w:ind w:left="31"/>
              <w:rPr>
                <w:sz w:val="24"/>
                <w:szCs w:val="24"/>
              </w:rPr>
            </w:pPr>
            <w:r w:rsidRPr="00B676A5">
              <w:rPr>
                <w:sz w:val="24"/>
                <w:szCs w:val="24"/>
              </w:rPr>
              <w:t>175 kg</w:t>
            </w:r>
          </w:p>
        </w:tc>
        <w:tc>
          <w:tcPr>
            <w:tcW w:w="1275" w:type="dxa"/>
            <w:tcBorders>
              <w:top w:val="single" w:sz="4" w:space="0" w:color="auto"/>
              <w:left w:val="single" w:sz="4" w:space="0" w:color="auto"/>
              <w:bottom w:val="single" w:sz="4" w:space="0" w:color="auto"/>
              <w:right w:val="single" w:sz="4" w:space="0" w:color="auto"/>
            </w:tcBorders>
            <w:vAlign w:val="center"/>
            <w:hideMark/>
          </w:tcPr>
          <w:p w:rsidR="00B676A5" w:rsidRPr="00B676A5" w:rsidRDefault="00B676A5" w:rsidP="00E42DFB">
            <w:pPr>
              <w:tabs>
                <w:tab w:val="left" w:pos="8222"/>
              </w:tabs>
              <w:ind w:left="43"/>
              <w:rPr>
                <w:sz w:val="24"/>
                <w:szCs w:val="24"/>
              </w:rPr>
            </w:pPr>
            <w:r w:rsidRPr="00B676A5">
              <w:rPr>
                <w:sz w:val="24"/>
                <w:szCs w:val="24"/>
              </w:rPr>
              <w:t>350 kg</w:t>
            </w:r>
          </w:p>
        </w:tc>
        <w:tc>
          <w:tcPr>
            <w:tcW w:w="1276" w:type="dxa"/>
            <w:tcBorders>
              <w:top w:val="single" w:sz="4" w:space="0" w:color="auto"/>
              <w:left w:val="single" w:sz="4" w:space="0" w:color="auto"/>
              <w:bottom w:val="single" w:sz="4" w:space="0" w:color="auto"/>
              <w:right w:val="single" w:sz="4" w:space="0" w:color="auto"/>
            </w:tcBorders>
            <w:vAlign w:val="center"/>
            <w:hideMark/>
          </w:tcPr>
          <w:p w:rsidR="00B676A5" w:rsidRPr="00B676A5" w:rsidRDefault="00B676A5" w:rsidP="00BE7005">
            <w:pPr>
              <w:tabs>
                <w:tab w:val="left" w:pos="8222"/>
              </w:tabs>
              <w:ind w:left="51"/>
              <w:rPr>
                <w:sz w:val="24"/>
                <w:szCs w:val="24"/>
              </w:rPr>
            </w:pPr>
            <w:r w:rsidRPr="00B676A5">
              <w:rPr>
                <w:sz w:val="24"/>
                <w:szCs w:val="24"/>
              </w:rPr>
              <w:t>525 kg</w:t>
            </w:r>
          </w:p>
        </w:tc>
        <w:tc>
          <w:tcPr>
            <w:tcW w:w="1249" w:type="dxa"/>
            <w:tcBorders>
              <w:top w:val="single" w:sz="4" w:space="0" w:color="auto"/>
              <w:left w:val="single" w:sz="4" w:space="0" w:color="auto"/>
              <w:bottom w:val="single" w:sz="4" w:space="0" w:color="auto"/>
              <w:right w:val="single" w:sz="4" w:space="0" w:color="auto"/>
            </w:tcBorders>
            <w:vAlign w:val="center"/>
            <w:hideMark/>
          </w:tcPr>
          <w:p w:rsidR="00B676A5" w:rsidRPr="00B676A5" w:rsidRDefault="00B676A5" w:rsidP="00BE7005">
            <w:pPr>
              <w:tabs>
                <w:tab w:val="left" w:pos="8222"/>
              </w:tabs>
              <w:rPr>
                <w:sz w:val="24"/>
                <w:szCs w:val="24"/>
              </w:rPr>
            </w:pPr>
            <w:r w:rsidRPr="00B676A5">
              <w:rPr>
                <w:sz w:val="24"/>
                <w:szCs w:val="24"/>
              </w:rPr>
              <w:t>700 kg</w:t>
            </w:r>
          </w:p>
        </w:tc>
      </w:tr>
      <w:tr w:rsidR="00B676A5" w:rsidRPr="00B676A5" w:rsidTr="00BE7005">
        <w:trPr>
          <w:trHeight w:val="370"/>
        </w:trPr>
        <w:tc>
          <w:tcPr>
            <w:tcW w:w="3402" w:type="dxa"/>
            <w:tcBorders>
              <w:top w:val="single" w:sz="4" w:space="0" w:color="auto"/>
              <w:left w:val="single" w:sz="4" w:space="0" w:color="auto"/>
              <w:bottom w:val="single" w:sz="4" w:space="0" w:color="auto"/>
              <w:right w:val="single" w:sz="4" w:space="0" w:color="auto"/>
            </w:tcBorders>
            <w:vAlign w:val="center"/>
            <w:hideMark/>
          </w:tcPr>
          <w:p w:rsidR="00B676A5" w:rsidRPr="00B676A5" w:rsidRDefault="00B676A5" w:rsidP="00E42DFB">
            <w:pPr>
              <w:tabs>
                <w:tab w:val="left" w:pos="8222"/>
              </w:tabs>
              <w:rPr>
                <w:sz w:val="24"/>
                <w:szCs w:val="24"/>
              </w:rPr>
            </w:pPr>
            <w:r w:rsidRPr="00B676A5">
              <w:rPr>
                <w:sz w:val="24"/>
                <w:szCs w:val="24"/>
              </w:rPr>
              <w:t>Mild sedation,</w:t>
            </w:r>
          </w:p>
          <w:p w:rsidR="00B676A5" w:rsidRPr="00B676A5" w:rsidRDefault="00B676A5" w:rsidP="00E42DFB">
            <w:pPr>
              <w:tabs>
                <w:tab w:val="left" w:pos="8222"/>
              </w:tabs>
              <w:rPr>
                <w:sz w:val="24"/>
                <w:szCs w:val="24"/>
              </w:rPr>
            </w:pPr>
            <w:r w:rsidRPr="00B676A5">
              <w:rPr>
                <w:sz w:val="24"/>
                <w:szCs w:val="24"/>
              </w:rPr>
              <w:t>(0,1-0,2 mg acepromazin/kg legemsvægt)</w:t>
            </w:r>
          </w:p>
        </w:tc>
        <w:tc>
          <w:tcPr>
            <w:tcW w:w="1276" w:type="dxa"/>
            <w:tcBorders>
              <w:top w:val="single" w:sz="4" w:space="0" w:color="auto"/>
              <w:left w:val="single" w:sz="4" w:space="0" w:color="auto"/>
              <w:bottom w:val="single" w:sz="4" w:space="0" w:color="auto"/>
              <w:right w:val="single" w:sz="4" w:space="0" w:color="auto"/>
            </w:tcBorders>
            <w:vAlign w:val="center"/>
            <w:hideMark/>
          </w:tcPr>
          <w:p w:rsidR="00B676A5" w:rsidRPr="00B676A5" w:rsidRDefault="00B676A5" w:rsidP="00E42DFB">
            <w:pPr>
              <w:tabs>
                <w:tab w:val="left" w:pos="8222"/>
              </w:tabs>
              <w:ind w:left="31"/>
              <w:rPr>
                <w:sz w:val="24"/>
                <w:szCs w:val="24"/>
              </w:rPr>
            </w:pPr>
            <w:r w:rsidRPr="00B676A5">
              <w:rPr>
                <w:sz w:val="24"/>
                <w:szCs w:val="24"/>
              </w:rPr>
              <w:t>0,5-1,0 ml</w:t>
            </w:r>
          </w:p>
        </w:tc>
        <w:tc>
          <w:tcPr>
            <w:tcW w:w="1275" w:type="dxa"/>
            <w:tcBorders>
              <w:top w:val="single" w:sz="4" w:space="0" w:color="auto"/>
              <w:left w:val="single" w:sz="4" w:space="0" w:color="auto"/>
              <w:bottom w:val="single" w:sz="4" w:space="0" w:color="auto"/>
              <w:right w:val="single" w:sz="4" w:space="0" w:color="auto"/>
            </w:tcBorders>
            <w:vAlign w:val="center"/>
            <w:hideMark/>
          </w:tcPr>
          <w:p w:rsidR="00B676A5" w:rsidRPr="00B676A5" w:rsidRDefault="00B676A5" w:rsidP="00E42DFB">
            <w:pPr>
              <w:tabs>
                <w:tab w:val="left" w:pos="8222"/>
              </w:tabs>
              <w:ind w:left="43"/>
              <w:rPr>
                <w:sz w:val="24"/>
                <w:szCs w:val="24"/>
              </w:rPr>
            </w:pPr>
            <w:r w:rsidRPr="00B676A5">
              <w:rPr>
                <w:sz w:val="24"/>
                <w:szCs w:val="24"/>
              </w:rPr>
              <w:t>1,0-2,0 ml</w:t>
            </w:r>
          </w:p>
        </w:tc>
        <w:tc>
          <w:tcPr>
            <w:tcW w:w="1276" w:type="dxa"/>
            <w:tcBorders>
              <w:top w:val="single" w:sz="4" w:space="0" w:color="auto"/>
              <w:left w:val="single" w:sz="4" w:space="0" w:color="auto"/>
              <w:bottom w:val="single" w:sz="4" w:space="0" w:color="auto"/>
              <w:right w:val="single" w:sz="4" w:space="0" w:color="auto"/>
            </w:tcBorders>
            <w:vAlign w:val="center"/>
            <w:hideMark/>
          </w:tcPr>
          <w:p w:rsidR="00B676A5" w:rsidRPr="00B676A5" w:rsidRDefault="00B676A5" w:rsidP="00BE7005">
            <w:pPr>
              <w:tabs>
                <w:tab w:val="left" w:pos="8222"/>
              </w:tabs>
              <w:ind w:left="51"/>
              <w:rPr>
                <w:sz w:val="24"/>
                <w:szCs w:val="24"/>
              </w:rPr>
            </w:pPr>
            <w:r w:rsidRPr="00B676A5">
              <w:rPr>
                <w:sz w:val="24"/>
                <w:szCs w:val="24"/>
              </w:rPr>
              <w:t>1,5-3,0 ml</w:t>
            </w:r>
          </w:p>
        </w:tc>
        <w:tc>
          <w:tcPr>
            <w:tcW w:w="1249" w:type="dxa"/>
            <w:tcBorders>
              <w:top w:val="single" w:sz="4" w:space="0" w:color="auto"/>
              <w:left w:val="single" w:sz="4" w:space="0" w:color="auto"/>
              <w:bottom w:val="single" w:sz="4" w:space="0" w:color="auto"/>
              <w:right w:val="single" w:sz="4" w:space="0" w:color="auto"/>
            </w:tcBorders>
            <w:vAlign w:val="center"/>
            <w:hideMark/>
          </w:tcPr>
          <w:p w:rsidR="00B676A5" w:rsidRPr="00B676A5" w:rsidRDefault="00B676A5" w:rsidP="00BE7005">
            <w:pPr>
              <w:tabs>
                <w:tab w:val="left" w:pos="8222"/>
              </w:tabs>
              <w:rPr>
                <w:sz w:val="24"/>
                <w:szCs w:val="24"/>
              </w:rPr>
            </w:pPr>
            <w:r w:rsidRPr="00B676A5">
              <w:rPr>
                <w:sz w:val="24"/>
                <w:szCs w:val="24"/>
              </w:rPr>
              <w:t>2,0-4,0 ml</w:t>
            </w:r>
          </w:p>
        </w:tc>
      </w:tr>
      <w:tr w:rsidR="00B676A5" w:rsidRPr="00B676A5" w:rsidTr="00BE7005">
        <w:trPr>
          <w:trHeight w:val="370"/>
        </w:trPr>
        <w:tc>
          <w:tcPr>
            <w:tcW w:w="3402" w:type="dxa"/>
            <w:tcBorders>
              <w:top w:val="single" w:sz="4" w:space="0" w:color="auto"/>
              <w:left w:val="single" w:sz="4" w:space="0" w:color="auto"/>
              <w:bottom w:val="single" w:sz="4" w:space="0" w:color="auto"/>
              <w:right w:val="single" w:sz="4" w:space="0" w:color="auto"/>
            </w:tcBorders>
            <w:vAlign w:val="center"/>
            <w:hideMark/>
          </w:tcPr>
          <w:p w:rsidR="00B676A5" w:rsidRPr="00B676A5" w:rsidRDefault="00B676A5" w:rsidP="00E42DFB">
            <w:pPr>
              <w:tabs>
                <w:tab w:val="left" w:pos="8222"/>
              </w:tabs>
              <w:rPr>
                <w:sz w:val="24"/>
                <w:szCs w:val="24"/>
              </w:rPr>
            </w:pPr>
            <w:r w:rsidRPr="00B676A5">
              <w:rPr>
                <w:sz w:val="24"/>
                <w:szCs w:val="24"/>
              </w:rPr>
              <w:t>Moderat sedation,</w:t>
            </w:r>
          </w:p>
          <w:p w:rsidR="00B676A5" w:rsidRPr="00B676A5" w:rsidRDefault="00B676A5" w:rsidP="00E42DFB">
            <w:pPr>
              <w:tabs>
                <w:tab w:val="left" w:pos="8222"/>
              </w:tabs>
              <w:rPr>
                <w:sz w:val="24"/>
                <w:szCs w:val="24"/>
              </w:rPr>
            </w:pPr>
            <w:r w:rsidRPr="00B676A5">
              <w:rPr>
                <w:sz w:val="24"/>
                <w:szCs w:val="24"/>
              </w:rPr>
              <w:lastRenderedPageBreak/>
              <w:t>(0,3-0,4 mg acepromazin/kg legemsvægt)</w:t>
            </w:r>
          </w:p>
        </w:tc>
        <w:tc>
          <w:tcPr>
            <w:tcW w:w="1276" w:type="dxa"/>
            <w:tcBorders>
              <w:top w:val="single" w:sz="4" w:space="0" w:color="auto"/>
              <w:left w:val="single" w:sz="4" w:space="0" w:color="auto"/>
              <w:bottom w:val="single" w:sz="4" w:space="0" w:color="auto"/>
              <w:right w:val="single" w:sz="4" w:space="0" w:color="auto"/>
            </w:tcBorders>
            <w:vAlign w:val="center"/>
            <w:hideMark/>
          </w:tcPr>
          <w:p w:rsidR="00B676A5" w:rsidRPr="00B676A5" w:rsidRDefault="00B676A5" w:rsidP="00E42DFB">
            <w:pPr>
              <w:tabs>
                <w:tab w:val="left" w:pos="8222"/>
              </w:tabs>
              <w:ind w:left="31"/>
              <w:rPr>
                <w:sz w:val="24"/>
                <w:szCs w:val="24"/>
              </w:rPr>
            </w:pPr>
            <w:r w:rsidRPr="00B676A5">
              <w:rPr>
                <w:sz w:val="24"/>
                <w:szCs w:val="24"/>
              </w:rPr>
              <w:lastRenderedPageBreak/>
              <w:t>1,5-2,0 ml</w:t>
            </w:r>
          </w:p>
        </w:tc>
        <w:tc>
          <w:tcPr>
            <w:tcW w:w="1275" w:type="dxa"/>
            <w:tcBorders>
              <w:top w:val="single" w:sz="4" w:space="0" w:color="auto"/>
              <w:left w:val="single" w:sz="4" w:space="0" w:color="auto"/>
              <w:bottom w:val="single" w:sz="4" w:space="0" w:color="auto"/>
              <w:right w:val="single" w:sz="4" w:space="0" w:color="auto"/>
            </w:tcBorders>
            <w:vAlign w:val="center"/>
            <w:hideMark/>
          </w:tcPr>
          <w:p w:rsidR="00B676A5" w:rsidRPr="00B676A5" w:rsidRDefault="00B676A5" w:rsidP="00E42DFB">
            <w:pPr>
              <w:tabs>
                <w:tab w:val="left" w:pos="8222"/>
              </w:tabs>
              <w:ind w:left="43"/>
              <w:rPr>
                <w:sz w:val="24"/>
                <w:szCs w:val="24"/>
              </w:rPr>
            </w:pPr>
            <w:r w:rsidRPr="00B676A5">
              <w:rPr>
                <w:sz w:val="24"/>
                <w:szCs w:val="24"/>
              </w:rPr>
              <w:t>3,0-4,0 ml</w:t>
            </w:r>
          </w:p>
        </w:tc>
        <w:tc>
          <w:tcPr>
            <w:tcW w:w="1276" w:type="dxa"/>
            <w:tcBorders>
              <w:top w:val="single" w:sz="4" w:space="0" w:color="auto"/>
              <w:left w:val="single" w:sz="4" w:space="0" w:color="auto"/>
              <w:bottom w:val="single" w:sz="4" w:space="0" w:color="auto"/>
              <w:right w:val="single" w:sz="4" w:space="0" w:color="auto"/>
            </w:tcBorders>
            <w:vAlign w:val="center"/>
            <w:hideMark/>
          </w:tcPr>
          <w:p w:rsidR="00B676A5" w:rsidRPr="00B676A5" w:rsidRDefault="00B676A5" w:rsidP="00BE7005">
            <w:pPr>
              <w:tabs>
                <w:tab w:val="left" w:pos="8222"/>
              </w:tabs>
              <w:ind w:left="51"/>
              <w:rPr>
                <w:sz w:val="24"/>
                <w:szCs w:val="24"/>
              </w:rPr>
            </w:pPr>
            <w:r w:rsidRPr="00B676A5">
              <w:rPr>
                <w:sz w:val="24"/>
                <w:szCs w:val="24"/>
              </w:rPr>
              <w:t>4,5-6,0 ml</w:t>
            </w:r>
          </w:p>
        </w:tc>
        <w:tc>
          <w:tcPr>
            <w:tcW w:w="1249" w:type="dxa"/>
            <w:tcBorders>
              <w:top w:val="single" w:sz="4" w:space="0" w:color="auto"/>
              <w:left w:val="single" w:sz="4" w:space="0" w:color="auto"/>
              <w:bottom w:val="single" w:sz="4" w:space="0" w:color="auto"/>
              <w:right w:val="single" w:sz="4" w:space="0" w:color="auto"/>
            </w:tcBorders>
            <w:vAlign w:val="center"/>
            <w:hideMark/>
          </w:tcPr>
          <w:p w:rsidR="00B676A5" w:rsidRPr="00B676A5" w:rsidRDefault="00B676A5" w:rsidP="00BE7005">
            <w:pPr>
              <w:tabs>
                <w:tab w:val="left" w:pos="8222"/>
              </w:tabs>
              <w:rPr>
                <w:sz w:val="24"/>
                <w:szCs w:val="24"/>
              </w:rPr>
            </w:pPr>
            <w:r w:rsidRPr="00B676A5">
              <w:rPr>
                <w:sz w:val="24"/>
                <w:szCs w:val="24"/>
              </w:rPr>
              <w:t>6,0-8,0 ml</w:t>
            </w:r>
          </w:p>
        </w:tc>
      </w:tr>
    </w:tbl>
    <w:p w:rsidR="00B676A5" w:rsidRPr="00B676A5" w:rsidRDefault="00B676A5" w:rsidP="00B676A5">
      <w:pPr>
        <w:tabs>
          <w:tab w:val="left" w:pos="851"/>
          <w:tab w:val="left" w:pos="8222"/>
        </w:tabs>
        <w:ind w:left="851"/>
        <w:rPr>
          <w:sz w:val="24"/>
          <w:szCs w:val="24"/>
        </w:rPr>
      </w:pPr>
    </w:p>
    <w:p w:rsidR="00B676A5" w:rsidRPr="00B676A5" w:rsidRDefault="00B676A5" w:rsidP="00B676A5">
      <w:pPr>
        <w:tabs>
          <w:tab w:val="left" w:pos="851"/>
          <w:tab w:val="left" w:pos="8222"/>
        </w:tabs>
        <w:ind w:left="851"/>
        <w:rPr>
          <w:sz w:val="24"/>
          <w:szCs w:val="24"/>
        </w:rPr>
      </w:pPr>
      <w:r w:rsidRPr="00B676A5">
        <w:rPr>
          <w:sz w:val="24"/>
          <w:szCs w:val="24"/>
        </w:rPr>
        <w:t>For præmedicinering gælder de samme doser som til sedation. Efter administration af acepromazin reduceres mængden af bedøvelsesmiddel, der er nødvendig for at fremkalde anæstesi, betydeligt.</w:t>
      </w:r>
    </w:p>
    <w:p w:rsidR="00B676A5" w:rsidRPr="00B676A5" w:rsidRDefault="00B676A5" w:rsidP="00B676A5">
      <w:pPr>
        <w:tabs>
          <w:tab w:val="left" w:pos="851"/>
          <w:tab w:val="left" w:pos="8222"/>
        </w:tabs>
        <w:ind w:left="851"/>
        <w:rPr>
          <w:sz w:val="24"/>
          <w:szCs w:val="24"/>
        </w:rPr>
      </w:pPr>
    </w:p>
    <w:p w:rsidR="00B676A5" w:rsidRPr="00B676A5" w:rsidRDefault="00B676A5" w:rsidP="00B676A5">
      <w:pPr>
        <w:tabs>
          <w:tab w:val="left" w:pos="851"/>
          <w:tab w:val="left" w:pos="8222"/>
        </w:tabs>
        <w:ind w:left="851"/>
        <w:rPr>
          <w:b/>
          <w:sz w:val="24"/>
          <w:szCs w:val="24"/>
        </w:rPr>
      </w:pPr>
      <w:r w:rsidRPr="00B676A5">
        <w:rPr>
          <w:b/>
          <w:sz w:val="24"/>
          <w:szCs w:val="24"/>
        </w:rPr>
        <w:t>HUND:</w:t>
      </w:r>
    </w:p>
    <w:tbl>
      <w:tblPr>
        <w:tblW w:w="8505"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1276"/>
        <w:gridCol w:w="1275"/>
        <w:gridCol w:w="1276"/>
        <w:gridCol w:w="1276"/>
      </w:tblGrid>
      <w:tr w:rsidR="00B676A5" w:rsidRPr="00B676A5" w:rsidTr="00FE02ED">
        <w:trPr>
          <w:trHeight w:val="930"/>
        </w:trPr>
        <w:tc>
          <w:tcPr>
            <w:tcW w:w="3402" w:type="dxa"/>
            <w:tcBorders>
              <w:top w:val="single" w:sz="4" w:space="0" w:color="auto"/>
              <w:left w:val="single" w:sz="4" w:space="0" w:color="auto"/>
              <w:bottom w:val="single" w:sz="4" w:space="0" w:color="auto"/>
              <w:right w:val="single" w:sz="4" w:space="0" w:color="auto"/>
              <w:tl2br w:val="single" w:sz="4" w:space="0" w:color="auto"/>
            </w:tcBorders>
            <w:hideMark/>
          </w:tcPr>
          <w:p w:rsidR="00B676A5" w:rsidRPr="00B676A5" w:rsidRDefault="00B676A5" w:rsidP="00FE02ED">
            <w:pPr>
              <w:tabs>
                <w:tab w:val="left" w:pos="8222"/>
              </w:tabs>
              <w:ind w:left="33"/>
              <w:rPr>
                <w:sz w:val="24"/>
                <w:szCs w:val="24"/>
              </w:rPr>
            </w:pPr>
            <w:r w:rsidRPr="00B676A5">
              <w:rPr>
                <w:sz w:val="24"/>
                <w:szCs w:val="24"/>
              </w:rPr>
              <w:t xml:space="preserve">          </w:t>
            </w:r>
            <w:r w:rsidR="00FE02ED">
              <w:rPr>
                <w:sz w:val="24"/>
                <w:szCs w:val="24"/>
              </w:rPr>
              <w:t xml:space="preserve">              </w:t>
            </w:r>
            <w:r w:rsidRPr="00B676A5">
              <w:rPr>
                <w:sz w:val="24"/>
                <w:szCs w:val="24"/>
              </w:rPr>
              <w:t>Vægt af hund</w:t>
            </w:r>
          </w:p>
          <w:p w:rsidR="00B676A5" w:rsidRPr="00B676A5" w:rsidRDefault="00B676A5" w:rsidP="00FE02ED">
            <w:pPr>
              <w:tabs>
                <w:tab w:val="left" w:pos="8222"/>
              </w:tabs>
              <w:ind w:left="33"/>
              <w:rPr>
                <w:sz w:val="24"/>
                <w:szCs w:val="24"/>
              </w:rPr>
            </w:pPr>
            <w:r w:rsidRPr="00B676A5">
              <w:rPr>
                <w:sz w:val="24"/>
                <w:szCs w:val="24"/>
              </w:rPr>
              <w:t>Mængde af</w:t>
            </w:r>
          </w:p>
          <w:p w:rsidR="00B676A5" w:rsidRPr="00B676A5" w:rsidRDefault="00B676A5" w:rsidP="00FE02ED">
            <w:pPr>
              <w:tabs>
                <w:tab w:val="left" w:pos="8222"/>
              </w:tabs>
              <w:ind w:left="33"/>
              <w:rPr>
                <w:sz w:val="24"/>
                <w:szCs w:val="24"/>
              </w:rPr>
            </w:pPr>
            <w:r w:rsidRPr="00B676A5">
              <w:rPr>
                <w:sz w:val="24"/>
                <w:szCs w:val="24"/>
              </w:rPr>
              <w:t>lægemiddel</w:t>
            </w:r>
          </w:p>
        </w:tc>
        <w:tc>
          <w:tcPr>
            <w:tcW w:w="1276" w:type="dxa"/>
            <w:tcBorders>
              <w:top w:val="single" w:sz="4" w:space="0" w:color="auto"/>
              <w:left w:val="single" w:sz="4" w:space="0" w:color="auto"/>
              <w:bottom w:val="single" w:sz="4" w:space="0" w:color="auto"/>
              <w:right w:val="single" w:sz="4" w:space="0" w:color="auto"/>
            </w:tcBorders>
            <w:vAlign w:val="center"/>
            <w:hideMark/>
          </w:tcPr>
          <w:p w:rsidR="00B676A5" w:rsidRPr="00B676A5" w:rsidRDefault="00B676A5" w:rsidP="00FE02ED">
            <w:pPr>
              <w:tabs>
                <w:tab w:val="left" w:pos="8222"/>
              </w:tabs>
              <w:rPr>
                <w:sz w:val="24"/>
                <w:szCs w:val="24"/>
              </w:rPr>
            </w:pPr>
            <w:r w:rsidRPr="00B676A5">
              <w:rPr>
                <w:sz w:val="24"/>
                <w:szCs w:val="24"/>
              </w:rPr>
              <w:t>17,5 kg</w:t>
            </w:r>
          </w:p>
        </w:tc>
        <w:tc>
          <w:tcPr>
            <w:tcW w:w="1275" w:type="dxa"/>
            <w:tcBorders>
              <w:top w:val="single" w:sz="4" w:space="0" w:color="auto"/>
              <w:left w:val="single" w:sz="4" w:space="0" w:color="auto"/>
              <w:bottom w:val="single" w:sz="4" w:space="0" w:color="auto"/>
              <w:right w:val="single" w:sz="4" w:space="0" w:color="auto"/>
            </w:tcBorders>
            <w:vAlign w:val="center"/>
            <w:hideMark/>
          </w:tcPr>
          <w:p w:rsidR="00B676A5" w:rsidRPr="00B676A5" w:rsidRDefault="00B676A5" w:rsidP="0008142A">
            <w:pPr>
              <w:tabs>
                <w:tab w:val="left" w:pos="8222"/>
              </w:tabs>
              <w:ind w:left="30"/>
              <w:rPr>
                <w:sz w:val="24"/>
                <w:szCs w:val="24"/>
              </w:rPr>
            </w:pPr>
            <w:r w:rsidRPr="00B676A5">
              <w:rPr>
                <w:sz w:val="24"/>
                <w:szCs w:val="24"/>
              </w:rPr>
              <w:t>35 kg</w:t>
            </w:r>
          </w:p>
        </w:tc>
        <w:tc>
          <w:tcPr>
            <w:tcW w:w="1276" w:type="dxa"/>
            <w:tcBorders>
              <w:top w:val="single" w:sz="4" w:space="0" w:color="auto"/>
              <w:left w:val="single" w:sz="4" w:space="0" w:color="auto"/>
              <w:bottom w:val="single" w:sz="4" w:space="0" w:color="auto"/>
              <w:right w:val="single" w:sz="4" w:space="0" w:color="auto"/>
            </w:tcBorders>
            <w:vAlign w:val="center"/>
            <w:hideMark/>
          </w:tcPr>
          <w:p w:rsidR="00B676A5" w:rsidRPr="00B676A5" w:rsidRDefault="00B676A5" w:rsidP="0008142A">
            <w:pPr>
              <w:tabs>
                <w:tab w:val="left" w:pos="8222"/>
              </w:tabs>
              <w:ind w:left="36"/>
              <w:rPr>
                <w:sz w:val="24"/>
                <w:szCs w:val="24"/>
              </w:rPr>
            </w:pPr>
            <w:r w:rsidRPr="00B676A5">
              <w:rPr>
                <w:sz w:val="24"/>
                <w:szCs w:val="24"/>
              </w:rPr>
              <w:t>52,5 kg</w:t>
            </w:r>
          </w:p>
        </w:tc>
        <w:tc>
          <w:tcPr>
            <w:tcW w:w="1276" w:type="dxa"/>
            <w:tcBorders>
              <w:top w:val="single" w:sz="4" w:space="0" w:color="auto"/>
              <w:left w:val="single" w:sz="4" w:space="0" w:color="auto"/>
              <w:bottom w:val="single" w:sz="4" w:space="0" w:color="auto"/>
              <w:right w:val="single" w:sz="4" w:space="0" w:color="auto"/>
            </w:tcBorders>
            <w:vAlign w:val="center"/>
            <w:hideMark/>
          </w:tcPr>
          <w:p w:rsidR="00B676A5" w:rsidRPr="00B676A5" w:rsidRDefault="00B676A5" w:rsidP="0008142A">
            <w:pPr>
              <w:tabs>
                <w:tab w:val="left" w:pos="8222"/>
              </w:tabs>
              <w:ind w:left="32"/>
              <w:rPr>
                <w:sz w:val="24"/>
                <w:szCs w:val="24"/>
              </w:rPr>
            </w:pPr>
            <w:r w:rsidRPr="00B676A5">
              <w:rPr>
                <w:sz w:val="24"/>
                <w:szCs w:val="24"/>
              </w:rPr>
              <w:t>70 kg</w:t>
            </w:r>
          </w:p>
        </w:tc>
      </w:tr>
      <w:tr w:rsidR="00B676A5" w:rsidRPr="00B676A5" w:rsidTr="00FE02ED">
        <w:trPr>
          <w:trHeight w:val="354"/>
        </w:trPr>
        <w:tc>
          <w:tcPr>
            <w:tcW w:w="3402" w:type="dxa"/>
            <w:tcBorders>
              <w:top w:val="single" w:sz="4" w:space="0" w:color="auto"/>
              <w:left w:val="single" w:sz="4" w:space="0" w:color="auto"/>
              <w:bottom w:val="single" w:sz="4" w:space="0" w:color="auto"/>
              <w:right w:val="single" w:sz="4" w:space="0" w:color="auto"/>
            </w:tcBorders>
            <w:vAlign w:val="center"/>
            <w:hideMark/>
          </w:tcPr>
          <w:p w:rsidR="00B676A5" w:rsidRPr="00B676A5" w:rsidRDefault="00B676A5" w:rsidP="00FE02ED">
            <w:pPr>
              <w:tabs>
                <w:tab w:val="left" w:pos="8222"/>
              </w:tabs>
              <w:ind w:left="33"/>
              <w:rPr>
                <w:sz w:val="24"/>
                <w:szCs w:val="24"/>
              </w:rPr>
            </w:pPr>
            <w:r w:rsidRPr="00B676A5">
              <w:rPr>
                <w:sz w:val="24"/>
                <w:szCs w:val="24"/>
              </w:rPr>
              <w:t>Mild sedation (1,0 mg acepromazin/kg legemsvægt)</w:t>
            </w:r>
          </w:p>
        </w:tc>
        <w:tc>
          <w:tcPr>
            <w:tcW w:w="1276" w:type="dxa"/>
            <w:tcBorders>
              <w:top w:val="single" w:sz="4" w:space="0" w:color="auto"/>
              <w:left w:val="single" w:sz="4" w:space="0" w:color="auto"/>
              <w:bottom w:val="single" w:sz="4" w:space="0" w:color="auto"/>
              <w:right w:val="single" w:sz="4" w:space="0" w:color="auto"/>
            </w:tcBorders>
            <w:vAlign w:val="center"/>
            <w:hideMark/>
          </w:tcPr>
          <w:p w:rsidR="00B676A5" w:rsidRPr="00B676A5" w:rsidRDefault="00B676A5" w:rsidP="00FE02ED">
            <w:pPr>
              <w:tabs>
                <w:tab w:val="left" w:pos="8222"/>
              </w:tabs>
              <w:rPr>
                <w:sz w:val="24"/>
                <w:szCs w:val="24"/>
              </w:rPr>
            </w:pPr>
            <w:r w:rsidRPr="00B676A5">
              <w:rPr>
                <w:sz w:val="24"/>
                <w:szCs w:val="24"/>
              </w:rPr>
              <w:t>0,5 ml</w:t>
            </w:r>
          </w:p>
        </w:tc>
        <w:tc>
          <w:tcPr>
            <w:tcW w:w="1275" w:type="dxa"/>
            <w:tcBorders>
              <w:top w:val="single" w:sz="4" w:space="0" w:color="auto"/>
              <w:left w:val="single" w:sz="4" w:space="0" w:color="auto"/>
              <w:bottom w:val="single" w:sz="4" w:space="0" w:color="auto"/>
              <w:right w:val="single" w:sz="4" w:space="0" w:color="auto"/>
            </w:tcBorders>
            <w:vAlign w:val="center"/>
            <w:hideMark/>
          </w:tcPr>
          <w:p w:rsidR="00B676A5" w:rsidRPr="00B676A5" w:rsidRDefault="00B676A5" w:rsidP="0008142A">
            <w:pPr>
              <w:tabs>
                <w:tab w:val="left" w:pos="8222"/>
              </w:tabs>
              <w:ind w:left="30"/>
              <w:rPr>
                <w:sz w:val="24"/>
                <w:szCs w:val="24"/>
              </w:rPr>
            </w:pPr>
            <w:r w:rsidRPr="00B676A5">
              <w:rPr>
                <w:sz w:val="24"/>
                <w:szCs w:val="24"/>
              </w:rPr>
              <w:t>1,0 ml</w:t>
            </w:r>
          </w:p>
        </w:tc>
        <w:tc>
          <w:tcPr>
            <w:tcW w:w="1276" w:type="dxa"/>
            <w:tcBorders>
              <w:top w:val="single" w:sz="4" w:space="0" w:color="auto"/>
              <w:left w:val="single" w:sz="4" w:space="0" w:color="auto"/>
              <w:bottom w:val="single" w:sz="4" w:space="0" w:color="auto"/>
              <w:right w:val="single" w:sz="4" w:space="0" w:color="auto"/>
            </w:tcBorders>
            <w:vAlign w:val="center"/>
            <w:hideMark/>
          </w:tcPr>
          <w:p w:rsidR="00B676A5" w:rsidRPr="00B676A5" w:rsidRDefault="00B676A5" w:rsidP="0008142A">
            <w:pPr>
              <w:tabs>
                <w:tab w:val="left" w:pos="8222"/>
              </w:tabs>
              <w:ind w:left="36"/>
              <w:rPr>
                <w:sz w:val="24"/>
                <w:szCs w:val="24"/>
              </w:rPr>
            </w:pPr>
            <w:r w:rsidRPr="00B676A5">
              <w:rPr>
                <w:sz w:val="24"/>
                <w:szCs w:val="24"/>
              </w:rPr>
              <w:t>1,5 ml</w:t>
            </w:r>
          </w:p>
        </w:tc>
        <w:tc>
          <w:tcPr>
            <w:tcW w:w="1276" w:type="dxa"/>
            <w:tcBorders>
              <w:top w:val="single" w:sz="4" w:space="0" w:color="auto"/>
              <w:left w:val="single" w:sz="4" w:space="0" w:color="auto"/>
              <w:bottom w:val="single" w:sz="4" w:space="0" w:color="auto"/>
              <w:right w:val="single" w:sz="4" w:space="0" w:color="auto"/>
            </w:tcBorders>
            <w:vAlign w:val="center"/>
            <w:hideMark/>
          </w:tcPr>
          <w:p w:rsidR="00B676A5" w:rsidRPr="00B676A5" w:rsidRDefault="00B676A5" w:rsidP="0008142A">
            <w:pPr>
              <w:tabs>
                <w:tab w:val="left" w:pos="8222"/>
              </w:tabs>
              <w:ind w:left="32"/>
              <w:rPr>
                <w:sz w:val="24"/>
                <w:szCs w:val="24"/>
              </w:rPr>
            </w:pPr>
            <w:r w:rsidRPr="00B676A5">
              <w:rPr>
                <w:sz w:val="24"/>
                <w:szCs w:val="24"/>
              </w:rPr>
              <w:t>2,0 ml</w:t>
            </w:r>
          </w:p>
        </w:tc>
      </w:tr>
      <w:tr w:rsidR="00B676A5" w:rsidRPr="00B676A5" w:rsidTr="00FE02ED">
        <w:trPr>
          <w:trHeight w:val="354"/>
        </w:trPr>
        <w:tc>
          <w:tcPr>
            <w:tcW w:w="3402" w:type="dxa"/>
            <w:tcBorders>
              <w:top w:val="single" w:sz="4" w:space="0" w:color="auto"/>
              <w:left w:val="single" w:sz="4" w:space="0" w:color="auto"/>
              <w:bottom w:val="single" w:sz="4" w:space="0" w:color="auto"/>
              <w:right w:val="single" w:sz="4" w:space="0" w:color="auto"/>
            </w:tcBorders>
            <w:vAlign w:val="center"/>
            <w:hideMark/>
          </w:tcPr>
          <w:p w:rsidR="00B676A5" w:rsidRPr="00B676A5" w:rsidRDefault="00B676A5" w:rsidP="00FE02ED">
            <w:pPr>
              <w:tabs>
                <w:tab w:val="left" w:pos="8222"/>
              </w:tabs>
              <w:ind w:left="33"/>
              <w:rPr>
                <w:sz w:val="24"/>
                <w:szCs w:val="24"/>
              </w:rPr>
            </w:pPr>
            <w:r w:rsidRPr="00B676A5">
              <w:rPr>
                <w:sz w:val="24"/>
                <w:szCs w:val="24"/>
              </w:rPr>
              <w:t xml:space="preserve">Moderat sedation </w:t>
            </w:r>
          </w:p>
          <w:p w:rsidR="00B676A5" w:rsidRPr="00B676A5" w:rsidRDefault="00B676A5" w:rsidP="00FE02ED">
            <w:pPr>
              <w:tabs>
                <w:tab w:val="left" w:pos="8222"/>
              </w:tabs>
              <w:ind w:left="33"/>
              <w:rPr>
                <w:sz w:val="24"/>
                <w:szCs w:val="24"/>
              </w:rPr>
            </w:pPr>
            <w:r w:rsidRPr="00B676A5">
              <w:rPr>
                <w:sz w:val="24"/>
                <w:szCs w:val="24"/>
              </w:rPr>
              <w:t>(2,0 mg acepromazin/kg legemsvægt)</w:t>
            </w:r>
          </w:p>
        </w:tc>
        <w:tc>
          <w:tcPr>
            <w:tcW w:w="1276" w:type="dxa"/>
            <w:tcBorders>
              <w:top w:val="single" w:sz="4" w:space="0" w:color="auto"/>
              <w:left w:val="single" w:sz="4" w:space="0" w:color="auto"/>
              <w:bottom w:val="single" w:sz="4" w:space="0" w:color="auto"/>
              <w:right w:val="single" w:sz="4" w:space="0" w:color="auto"/>
            </w:tcBorders>
            <w:vAlign w:val="center"/>
            <w:hideMark/>
          </w:tcPr>
          <w:p w:rsidR="00B676A5" w:rsidRPr="00B676A5" w:rsidRDefault="00B676A5" w:rsidP="00FE02ED">
            <w:pPr>
              <w:tabs>
                <w:tab w:val="left" w:pos="8222"/>
              </w:tabs>
              <w:rPr>
                <w:sz w:val="24"/>
                <w:szCs w:val="24"/>
              </w:rPr>
            </w:pPr>
            <w:r w:rsidRPr="00B676A5">
              <w:rPr>
                <w:sz w:val="24"/>
                <w:szCs w:val="24"/>
              </w:rPr>
              <w:t>1,0 ml</w:t>
            </w:r>
          </w:p>
        </w:tc>
        <w:tc>
          <w:tcPr>
            <w:tcW w:w="1275" w:type="dxa"/>
            <w:tcBorders>
              <w:top w:val="single" w:sz="4" w:space="0" w:color="auto"/>
              <w:left w:val="single" w:sz="4" w:space="0" w:color="auto"/>
              <w:bottom w:val="single" w:sz="4" w:space="0" w:color="auto"/>
              <w:right w:val="single" w:sz="4" w:space="0" w:color="auto"/>
            </w:tcBorders>
            <w:vAlign w:val="center"/>
            <w:hideMark/>
          </w:tcPr>
          <w:p w:rsidR="00B676A5" w:rsidRPr="00B676A5" w:rsidRDefault="00B676A5" w:rsidP="0008142A">
            <w:pPr>
              <w:tabs>
                <w:tab w:val="left" w:pos="8222"/>
              </w:tabs>
              <w:ind w:left="30"/>
              <w:rPr>
                <w:sz w:val="24"/>
                <w:szCs w:val="24"/>
              </w:rPr>
            </w:pPr>
            <w:r w:rsidRPr="00B676A5">
              <w:rPr>
                <w:sz w:val="24"/>
                <w:szCs w:val="24"/>
              </w:rPr>
              <w:t>2,0 ml</w:t>
            </w:r>
          </w:p>
        </w:tc>
        <w:tc>
          <w:tcPr>
            <w:tcW w:w="1276" w:type="dxa"/>
            <w:tcBorders>
              <w:top w:val="single" w:sz="4" w:space="0" w:color="auto"/>
              <w:left w:val="single" w:sz="4" w:space="0" w:color="auto"/>
              <w:bottom w:val="single" w:sz="4" w:space="0" w:color="auto"/>
              <w:right w:val="single" w:sz="4" w:space="0" w:color="auto"/>
            </w:tcBorders>
            <w:vAlign w:val="center"/>
            <w:hideMark/>
          </w:tcPr>
          <w:p w:rsidR="00B676A5" w:rsidRPr="00B676A5" w:rsidRDefault="00B676A5" w:rsidP="0008142A">
            <w:pPr>
              <w:tabs>
                <w:tab w:val="left" w:pos="8222"/>
              </w:tabs>
              <w:ind w:left="36"/>
              <w:rPr>
                <w:sz w:val="24"/>
                <w:szCs w:val="24"/>
              </w:rPr>
            </w:pPr>
            <w:r w:rsidRPr="00B676A5">
              <w:rPr>
                <w:sz w:val="24"/>
                <w:szCs w:val="24"/>
              </w:rPr>
              <w:t>3,0 ml</w:t>
            </w:r>
          </w:p>
        </w:tc>
        <w:tc>
          <w:tcPr>
            <w:tcW w:w="1276" w:type="dxa"/>
            <w:tcBorders>
              <w:top w:val="single" w:sz="4" w:space="0" w:color="auto"/>
              <w:left w:val="single" w:sz="4" w:space="0" w:color="auto"/>
              <w:bottom w:val="single" w:sz="4" w:space="0" w:color="auto"/>
              <w:right w:val="single" w:sz="4" w:space="0" w:color="auto"/>
            </w:tcBorders>
            <w:vAlign w:val="center"/>
            <w:hideMark/>
          </w:tcPr>
          <w:p w:rsidR="00B676A5" w:rsidRPr="00B676A5" w:rsidRDefault="00B676A5" w:rsidP="0008142A">
            <w:pPr>
              <w:tabs>
                <w:tab w:val="left" w:pos="8222"/>
              </w:tabs>
              <w:ind w:left="32"/>
              <w:rPr>
                <w:sz w:val="24"/>
                <w:szCs w:val="24"/>
              </w:rPr>
            </w:pPr>
            <w:r w:rsidRPr="00B676A5">
              <w:rPr>
                <w:sz w:val="24"/>
                <w:szCs w:val="24"/>
              </w:rPr>
              <w:t>4,0 ml</w:t>
            </w:r>
          </w:p>
        </w:tc>
      </w:tr>
      <w:tr w:rsidR="00B676A5" w:rsidRPr="00B676A5" w:rsidTr="00FE02ED">
        <w:trPr>
          <w:trHeight w:val="354"/>
        </w:trPr>
        <w:tc>
          <w:tcPr>
            <w:tcW w:w="3402" w:type="dxa"/>
            <w:tcBorders>
              <w:top w:val="single" w:sz="4" w:space="0" w:color="auto"/>
              <w:left w:val="single" w:sz="4" w:space="0" w:color="auto"/>
              <w:bottom w:val="single" w:sz="4" w:space="0" w:color="auto"/>
              <w:right w:val="single" w:sz="4" w:space="0" w:color="auto"/>
            </w:tcBorders>
            <w:vAlign w:val="center"/>
            <w:hideMark/>
          </w:tcPr>
          <w:p w:rsidR="00B676A5" w:rsidRPr="00B676A5" w:rsidRDefault="00B676A5" w:rsidP="00FE02ED">
            <w:pPr>
              <w:tabs>
                <w:tab w:val="left" w:pos="8222"/>
              </w:tabs>
              <w:ind w:left="33"/>
              <w:rPr>
                <w:sz w:val="24"/>
                <w:szCs w:val="24"/>
              </w:rPr>
            </w:pPr>
            <w:r w:rsidRPr="00B676A5">
              <w:rPr>
                <w:sz w:val="24"/>
                <w:szCs w:val="24"/>
              </w:rPr>
              <w:t>Præmedicinering</w:t>
            </w:r>
          </w:p>
          <w:p w:rsidR="00B676A5" w:rsidRPr="00B676A5" w:rsidRDefault="00B676A5" w:rsidP="00FE02ED">
            <w:pPr>
              <w:tabs>
                <w:tab w:val="left" w:pos="8222"/>
              </w:tabs>
              <w:ind w:left="33"/>
              <w:rPr>
                <w:sz w:val="24"/>
                <w:szCs w:val="24"/>
              </w:rPr>
            </w:pPr>
            <w:r w:rsidRPr="00B676A5">
              <w:rPr>
                <w:sz w:val="24"/>
                <w:szCs w:val="24"/>
              </w:rPr>
              <w:t>(3,0 mg acepromazin/kg legemsvægt)</w:t>
            </w:r>
          </w:p>
        </w:tc>
        <w:tc>
          <w:tcPr>
            <w:tcW w:w="1276" w:type="dxa"/>
            <w:tcBorders>
              <w:top w:val="single" w:sz="4" w:space="0" w:color="auto"/>
              <w:left w:val="single" w:sz="4" w:space="0" w:color="auto"/>
              <w:bottom w:val="single" w:sz="4" w:space="0" w:color="auto"/>
              <w:right w:val="single" w:sz="4" w:space="0" w:color="auto"/>
            </w:tcBorders>
            <w:vAlign w:val="center"/>
            <w:hideMark/>
          </w:tcPr>
          <w:p w:rsidR="00B676A5" w:rsidRPr="00B676A5" w:rsidRDefault="00B676A5" w:rsidP="00FE02ED">
            <w:pPr>
              <w:tabs>
                <w:tab w:val="left" w:pos="8222"/>
              </w:tabs>
              <w:rPr>
                <w:sz w:val="24"/>
                <w:szCs w:val="24"/>
              </w:rPr>
            </w:pPr>
            <w:r w:rsidRPr="00B676A5">
              <w:rPr>
                <w:sz w:val="24"/>
                <w:szCs w:val="24"/>
              </w:rPr>
              <w:t>1,5 ml</w:t>
            </w:r>
          </w:p>
        </w:tc>
        <w:tc>
          <w:tcPr>
            <w:tcW w:w="1275" w:type="dxa"/>
            <w:tcBorders>
              <w:top w:val="single" w:sz="4" w:space="0" w:color="auto"/>
              <w:left w:val="single" w:sz="4" w:space="0" w:color="auto"/>
              <w:bottom w:val="single" w:sz="4" w:space="0" w:color="auto"/>
              <w:right w:val="single" w:sz="4" w:space="0" w:color="auto"/>
            </w:tcBorders>
            <w:vAlign w:val="center"/>
            <w:hideMark/>
          </w:tcPr>
          <w:p w:rsidR="00B676A5" w:rsidRPr="00B676A5" w:rsidRDefault="00B676A5" w:rsidP="0008142A">
            <w:pPr>
              <w:tabs>
                <w:tab w:val="left" w:pos="8222"/>
              </w:tabs>
              <w:ind w:left="30"/>
              <w:rPr>
                <w:sz w:val="24"/>
                <w:szCs w:val="24"/>
              </w:rPr>
            </w:pPr>
            <w:r w:rsidRPr="00B676A5">
              <w:rPr>
                <w:sz w:val="24"/>
                <w:szCs w:val="24"/>
              </w:rPr>
              <w:t>3,0 ml</w:t>
            </w:r>
          </w:p>
        </w:tc>
        <w:tc>
          <w:tcPr>
            <w:tcW w:w="1276" w:type="dxa"/>
            <w:tcBorders>
              <w:top w:val="single" w:sz="4" w:space="0" w:color="auto"/>
              <w:left w:val="single" w:sz="4" w:space="0" w:color="auto"/>
              <w:bottom w:val="single" w:sz="4" w:space="0" w:color="auto"/>
              <w:right w:val="single" w:sz="4" w:space="0" w:color="auto"/>
            </w:tcBorders>
            <w:vAlign w:val="center"/>
            <w:hideMark/>
          </w:tcPr>
          <w:p w:rsidR="00B676A5" w:rsidRPr="00B676A5" w:rsidRDefault="00B676A5" w:rsidP="0008142A">
            <w:pPr>
              <w:tabs>
                <w:tab w:val="left" w:pos="8222"/>
              </w:tabs>
              <w:ind w:left="36"/>
              <w:rPr>
                <w:sz w:val="24"/>
                <w:szCs w:val="24"/>
              </w:rPr>
            </w:pPr>
            <w:r w:rsidRPr="00B676A5">
              <w:rPr>
                <w:sz w:val="24"/>
                <w:szCs w:val="24"/>
              </w:rPr>
              <w:t>4,5 ml</w:t>
            </w:r>
          </w:p>
        </w:tc>
        <w:tc>
          <w:tcPr>
            <w:tcW w:w="1276" w:type="dxa"/>
            <w:tcBorders>
              <w:top w:val="single" w:sz="4" w:space="0" w:color="auto"/>
              <w:left w:val="single" w:sz="4" w:space="0" w:color="auto"/>
              <w:bottom w:val="single" w:sz="4" w:space="0" w:color="auto"/>
              <w:right w:val="single" w:sz="4" w:space="0" w:color="auto"/>
            </w:tcBorders>
            <w:vAlign w:val="center"/>
            <w:hideMark/>
          </w:tcPr>
          <w:p w:rsidR="00B676A5" w:rsidRPr="00B676A5" w:rsidRDefault="00B676A5" w:rsidP="0008142A">
            <w:pPr>
              <w:tabs>
                <w:tab w:val="left" w:pos="8222"/>
              </w:tabs>
              <w:ind w:left="32"/>
              <w:rPr>
                <w:sz w:val="24"/>
                <w:szCs w:val="24"/>
              </w:rPr>
            </w:pPr>
            <w:r w:rsidRPr="00B676A5">
              <w:rPr>
                <w:sz w:val="24"/>
                <w:szCs w:val="24"/>
              </w:rPr>
              <w:t>6,0 ml</w:t>
            </w:r>
          </w:p>
        </w:tc>
      </w:tr>
    </w:tbl>
    <w:p w:rsidR="00B676A5" w:rsidRPr="00B676A5" w:rsidRDefault="00B676A5" w:rsidP="00B676A5">
      <w:pPr>
        <w:tabs>
          <w:tab w:val="left" w:pos="851"/>
          <w:tab w:val="left" w:pos="8222"/>
        </w:tabs>
        <w:ind w:left="851"/>
        <w:rPr>
          <w:sz w:val="24"/>
          <w:szCs w:val="24"/>
        </w:rPr>
      </w:pPr>
    </w:p>
    <w:p w:rsidR="00B676A5" w:rsidRPr="00B676A5" w:rsidRDefault="00B676A5" w:rsidP="00B676A5">
      <w:pPr>
        <w:tabs>
          <w:tab w:val="left" w:pos="851"/>
          <w:tab w:val="left" w:pos="8222"/>
        </w:tabs>
        <w:ind w:left="851"/>
        <w:rPr>
          <w:sz w:val="24"/>
          <w:szCs w:val="24"/>
        </w:rPr>
      </w:pPr>
      <w:r w:rsidRPr="00B676A5">
        <w:rPr>
          <w:sz w:val="24"/>
          <w:szCs w:val="24"/>
        </w:rPr>
        <w:t>Dosis bestemmes ved at sætte ringen på det passende stempelmærke. Flyt den rillede doseringsring på stemplet, så den nederste kant af ringen er på linje med mærket for den ønskede dosis. Dosis af gel kan justeres med 0,5 ml interval.</w:t>
      </w:r>
    </w:p>
    <w:p w:rsidR="00B676A5" w:rsidRPr="00B676A5" w:rsidRDefault="00B676A5" w:rsidP="00B676A5">
      <w:pPr>
        <w:tabs>
          <w:tab w:val="left" w:pos="851"/>
          <w:tab w:val="left" w:pos="8222"/>
        </w:tabs>
        <w:ind w:left="851"/>
        <w:rPr>
          <w:sz w:val="24"/>
          <w:szCs w:val="24"/>
        </w:rPr>
      </w:pPr>
    </w:p>
    <w:p w:rsidR="00B676A5" w:rsidRPr="00B676A5" w:rsidRDefault="00B676A5" w:rsidP="00B676A5">
      <w:pPr>
        <w:tabs>
          <w:tab w:val="left" w:pos="851"/>
          <w:tab w:val="left" w:pos="8222"/>
        </w:tabs>
        <w:ind w:left="851"/>
        <w:rPr>
          <w:b/>
          <w:bCs/>
          <w:sz w:val="24"/>
          <w:szCs w:val="24"/>
          <w:u w:val="single"/>
        </w:rPr>
      </w:pPr>
      <w:r w:rsidRPr="00B676A5">
        <w:rPr>
          <w:b/>
          <w:bCs/>
          <w:sz w:val="24"/>
          <w:szCs w:val="24"/>
          <w:u w:val="single"/>
        </w:rPr>
        <w:t>1 ml fyldt oral sprøjte</w:t>
      </w:r>
    </w:p>
    <w:p w:rsidR="00B676A5" w:rsidRPr="00B676A5" w:rsidRDefault="00B676A5" w:rsidP="00B676A5">
      <w:pPr>
        <w:tabs>
          <w:tab w:val="left" w:pos="851"/>
          <w:tab w:val="left" w:pos="8222"/>
        </w:tabs>
        <w:ind w:left="851"/>
        <w:rPr>
          <w:b/>
          <w:bCs/>
          <w:sz w:val="24"/>
          <w:szCs w:val="24"/>
        </w:rPr>
      </w:pPr>
    </w:p>
    <w:p w:rsidR="00B676A5" w:rsidRPr="00DF6288" w:rsidRDefault="00B676A5" w:rsidP="00B676A5">
      <w:pPr>
        <w:tabs>
          <w:tab w:val="left" w:pos="851"/>
          <w:tab w:val="left" w:pos="8222"/>
        </w:tabs>
        <w:ind w:left="851"/>
        <w:rPr>
          <w:b/>
          <w:sz w:val="24"/>
          <w:szCs w:val="24"/>
        </w:rPr>
      </w:pPr>
      <w:r w:rsidRPr="00DF6288">
        <w:rPr>
          <w:b/>
          <w:sz w:val="24"/>
          <w:szCs w:val="24"/>
          <w:lang w:val="en-GB"/>
        </w:rPr>
        <w:t>HUND:</w:t>
      </w:r>
    </w:p>
    <w:tbl>
      <w:tblPr>
        <w:tblW w:w="8973"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973"/>
        <w:gridCol w:w="636"/>
        <w:gridCol w:w="636"/>
        <w:gridCol w:w="636"/>
        <w:gridCol w:w="707"/>
        <w:gridCol w:w="708"/>
        <w:gridCol w:w="615"/>
        <w:gridCol w:w="660"/>
      </w:tblGrid>
      <w:tr w:rsidR="00F32F9F" w:rsidRPr="00B676A5" w:rsidTr="00935F26">
        <w:trPr>
          <w:trHeight w:val="728"/>
        </w:trPr>
        <w:tc>
          <w:tcPr>
            <w:tcW w:w="3402" w:type="dxa"/>
            <w:tcBorders>
              <w:top w:val="single" w:sz="4" w:space="0" w:color="auto"/>
              <w:left w:val="single" w:sz="4" w:space="0" w:color="auto"/>
              <w:bottom w:val="single" w:sz="4" w:space="0" w:color="auto"/>
              <w:right w:val="single" w:sz="4" w:space="0" w:color="auto"/>
              <w:tl2br w:val="single" w:sz="4" w:space="0" w:color="auto"/>
            </w:tcBorders>
            <w:hideMark/>
          </w:tcPr>
          <w:p w:rsidR="00B676A5" w:rsidRPr="00B676A5" w:rsidRDefault="00B676A5" w:rsidP="0008142A">
            <w:pPr>
              <w:tabs>
                <w:tab w:val="left" w:pos="8222"/>
              </w:tabs>
              <w:ind w:left="34"/>
              <w:rPr>
                <w:sz w:val="24"/>
                <w:szCs w:val="24"/>
              </w:rPr>
            </w:pPr>
            <w:r w:rsidRPr="00B676A5">
              <w:rPr>
                <w:sz w:val="24"/>
                <w:szCs w:val="24"/>
              </w:rPr>
              <w:t xml:space="preserve">            </w:t>
            </w:r>
            <w:r w:rsidR="000625BC">
              <w:rPr>
                <w:sz w:val="24"/>
                <w:szCs w:val="24"/>
              </w:rPr>
              <w:t xml:space="preserve">                </w:t>
            </w:r>
            <w:r w:rsidRPr="00B676A5">
              <w:rPr>
                <w:sz w:val="24"/>
                <w:szCs w:val="24"/>
              </w:rPr>
              <w:t>Vægt af hund</w:t>
            </w:r>
          </w:p>
          <w:p w:rsidR="00B676A5" w:rsidRPr="00B676A5" w:rsidRDefault="00B676A5" w:rsidP="0008142A">
            <w:pPr>
              <w:tabs>
                <w:tab w:val="left" w:pos="8222"/>
              </w:tabs>
              <w:ind w:left="34"/>
              <w:rPr>
                <w:sz w:val="24"/>
                <w:szCs w:val="24"/>
              </w:rPr>
            </w:pPr>
            <w:r w:rsidRPr="00B676A5">
              <w:rPr>
                <w:sz w:val="24"/>
                <w:szCs w:val="24"/>
              </w:rPr>
              <w:t>Mængde af</w:t>
            </w:r>
          </w:p>
          <w:p w:rsidR="00B676A5" w:rsidRPr="00B676A5" w:rsidRDefault="00B676A5" w:rsidP="0008142A">
            <w:pPr>
              <w:tabs>
                <w:tab w:val="left" w:pos="8222"/>
              </w:tabs>
              <w:ind w:left="34"/>
              <w:rPr>
                <w:sz w:val="24"/>
                <w:szCs w:val="24"/>
              </w:rPr>
            </w:pPr>
            <w:r w:rsidRPr="00B676A5">
              <w:rPr>
                <w:sz w:val="24"/>
                <w:szCs w:val="24"/>
              </w:rPr>
              <w:t>Lægemiddel</w:t>
            </w:r>
          </w:p>
        </w:tc>
        <w:tc>
          <w:tcPr>
            <w:tcW w:w="973" w:type="dxa"/>
            <w:tcBorders>
              <w:top w:val="single" w:sz="4" w:space="0" w:color="auto"/>
              <w:left w:val="single" w:sz="4" w:space="0" w:color="auto"/>
              <w:bottom w:val="single" w:sz="4" w:space="0" w:color="auto"/>
              <w:right w:val="single" w:sz="4" w:space="0" w:color="auto"/>
            </w:tcBorders>
            <w:vAlign w:val="center"/>
            <w:hideMark/>
          </w:tcPr>
          <w:p w:rsidR="00B676A5" w:rsidRPr="00B676A5" w:rsidRDefault="00B676A5" w:rsidP="00C51728">
            <w:pPr>
              <w:tabs>
                <w:tab w:val="left" w:pos="8222"/>
              </w:tabs>
              <w:rPr>
                <w:sz w:val="24"/>
                <w:szCs w:val="24"/>
              </w:rPr>
            </w:pPr>
            <w:r w:rsidRPr="00B676A5">
              <w:rPr>
                <w:sz w:val="24"/>
                <w:szCs w:val="24"/>
              </w:rPr>
              <w:t>5 kg</w:t>
            </w:r>
          </w:p>
        </w:tc>
        <w:tc>
          <w:tcPr>
            <w:tcW w:w="636" w:type="dxa"/>
            <w:tcBorders>
              <w:top w:val="single" w:sz="4" w:space="0" w:color="auto"/>
              <w:left w:val="single" w:sz="4" w:space="0" w:color="auto"/>
              <w:bottom w:val="single" w:sz="4" w:space="0" w:color="auto"/>
              <w:right w:val="single" w:sz="4" w:space="0" w:color="auto"/>
            </w:tcBorders>
            <w:vAlign w:val="center"/>
            <w:hideMark/>
          </w:tcPr>
          <w:p w:rsidR="00B676A5" w:rsidRPr="00B676A5" w:rsidRDefault="00B676A5" w:rsidP="00C51728">
            <w:pPr>
              <w:tabs>
                <w:tab w:val="left" w:pos="8222"/>
              </w:tabs>
              <w:rPr>
                <w:sz w:val="24"/>
                <w:szCs w:val="24"/>
              </w:rPr>
            </w:pPr>
            <w:r w:rsidRPr="00B676A5">
              <w:rPr>
                <w:sz w:val="24"/>
                <w:szCs w:val="24"/>
              </w:rPr>
              <w:t>10 kg</w:t>
            </w:r>
          </w:p>
        </w:tc>
        <w:tc>
          <w:tcPr>
            <w:tcW w:w="636" w:type="dxa"/>
            <w:tcBorders>
              <w:top w:val="single" w:sz="4" w:space="0" w:color="auto"/>
              <w:left w:val="single" w:sz="4" w:space="0" w:color="auto"/>
              <w:bottom w:val="single" w:sz="4" w:space="0" w:color="auto"/>
              <w:right w:val="single" w:sz="4" w:space="0" w:color="auto"/>
            </w:tcBorders>
            <w:vAlign w:val="center"/>
            <w:hideMark/>
          </w:tcPr>
          <w:p w:rsidR="00B676A5" w:rsidRPr="00B676A5" w:rsidRDefault="00B676A5" w:rsidP="00C51728">
            <w:pPr>
              <w:tabs>
                <w:tab w:val="left" w:pos="8222"/>
              </w:tabs>
              <w:rPr>
                <w:sz w:val="24"/>
                <w:szCs w:val="24"/>
              </w:rPr>
            </w:pPr>
            <w:r w:rsidRPr="00B676A5">
              <w:rPr>
                <w:sz w:val="24"/>
                <w:szCs w:val="24"/>
              </w:rPr>
              <w:t>15 kg</w:t>
            </w:r>
          </w:p>
        </w:tc>
        <w:tc>
          <w:tcPr>
            <w:tcW w:w="636" w:type="dxa"/>
            <w:tcBorders>
              <w:top w:val="single" w:sz="4" w:space="0" w:color="auto"/>
              <w:left w:val="single" w:sz="4" w:space="0" w:color="auto"/>
              <w:bottom w:val="single" w:sz="4" w:space="0" w:color="auto"/>
              <w:right w:val="single" w:sz="4" w:space="0" w:color="auto"/>
            </w:tcBorders>
            <w:vAlign w:val="center"/>
            <w:hideMark/>
          </w:tcPr>
          <w:p w:rsidR="00B676A5" w:rsidRPr="00B676A5" w:rsidRDefault="00B676A5" w:rsidP="00C51728">
            <w:pPr>
              <w:tabs>
                <w:tab w:val="left" w:pos="8222"/>
              </w:tabs>
              <w:rPr>
                <w:sz w:val="24"/>
                <w:szCs w:val="24"/>
              </w:rPr>
            </w:pPr>
            <w:r w:rsidRPr="00B676A5">
              <w:rPr>
                <w:sz w:val="24"/>
                <w:szCs w:val="24"/>
              </w:rPr>
              <w:t>17,5 kg</w:t>
            </w:r>
          </w:p>
        </w:tc>
        <w:tc>
          <w:tcPr>
            <w:tcW w:w="707" w:type="dxa"/>
            <w:tcBorders>
              <w:top w:val="single" w:sz="4" w:space="0" w:color="auto"/>
              <w:left w:val="single" w:sz="4" w:space="0" w:color="auto"/>
              <w:bottom w:val="single" w:sz="4" w:space="0" w:color="auto"/>
              <w:right w:val="single" w:sz="4" w:space="0" w:color="auto"/>
            </w:tcBorders>
            <w:vAlign w:val="center"/>
            <w:hideMark/>
          </w:tcPr>
          <w:p w:rsidR="00B676A5" w:rsidRPr="00B676A5" w:rsidRDefault="00B676A5" w:rsidP="00C51728">
            <w:pPr>
              <w:tabs>
                <w:tab w:val="left" w:pos="8222"/>
              </w:tabs>
              <w:ind w:left="33"/>
              <w:rPr>
                <w:sz w:val="24"/>
                <w:szCs w:val="24"/>
              </w:rPr>
            </w:pPr>
            <w:r w:rsidRPr="00B676A5">
              <w:rPr>
                <w:sz w:val="24"/>
                <w:szCs w:val="24"/>
              </w:rPr>
              <w:t>20 kg</w:t>
            </w:r>
          </w:p>
        </w:tc>
        <w:tc>
          <w:tcPr>
            <w:tcW w:w="708" w:type="dxa"/>
            <w:tcBorders>
              <w:top w:val="single" w:sz="4" w:space="0" w:color="auto"/>
              <w:left w:val="single" w:sz="4" w:space="0" w:color="auto"/>
              <w:bottom w:val="single" w:sz="4" w:space="0" w:color="auto"/>
              <w:right w:val="single" w:sz="4" w:space="0" w:color="auto"/>
            </w:tcBorders>
            <w:vAlign w:val="center"/>
            <w:hideMark/>
          </w:tcPr>
          <w:p w:rsidR="00B676A5" w:rsidRPr="00B676A5" w:rsidRDefault="00B676A5" w:rsidP="00F32F9F">
            <w:pPr>
              <w:tabs>
                <w:tab w:val="left" w:pos="8222"/>
              </w:tabs>
              <w:ind w:left="69"/>
              <w:rPr>
                <w:sz w:val="24"/>
                <w:szCs w:val="24"/>
              </w:rPr>
            </w:pPr>
            <w:r w:rsidRPr="00B676A5">
              <w:rPr>
                <w:sz w:val="24"/>
                <w:szCs w:val="24"/>
              </w:rPr>
              <w:t>25 kg</w:t>
            </w:r>
          </w:p>
        </w:tc>
        <w:tc>
          <w:tcPr>
            <w:tcW w:w="615" w:type="dxa"/>
            <w:tcBorders>
              <w:top w:val="single" w:sz="4" w:space="0" w:color="auto"/>
              <w:left w:val="single" w:sz="4" w:space="0" w:color="auto"/>
              <w:bottom w:val="single" w:sz="4" w:space="0" w:color="auto"/>
              <w:right w:val="single" w:sz="4" w:space="0" w:color="auto"/>
            </w:tcBorders>
            <w:vAlign w:val="center"/>
            <w:hideMark/>
          </w:tcPr>
          <w:p w:rsidR="00B676A5" w:rsidRPr="00B676A5" w:rsidRDefault="00B676A5" w:rsidP="00F32F9F">
            <w:pPr>
              <w:tabs>
                <w:tab w:val="left" w:pos="8222"/>
              </w:tabs>
              <w:ind w:left="-55"/>
              <w:rPr>
                <w:sz w:val="24"/>
                <w:szCs w:val="24"/>
              </w:rPr>
            </w:pPr>
            <w:r w:rsidRPr="00B676A5">
              <w:rPr>
                <w:sz w:val="24"/>
                <w:szCs w:val="24"/>
              </w:rPr>
              <w:t>30 kg</w:t>
            </w:r>
          </w:p>
        </w:tc>
        <w:tc>
          <w:tcPr>
            <w:tcW w:w="660" w:type="dxa"/>
            <w:tcBorders>
              <w:top w:val="single" w:sz="4" w:space="0" w:color="auto"/>
              <w:left w:val="single" w:sz="4" w:space="0" w:color="auto"/>
              <w:bottom w:val="single" w:sz="4" w:space="0" w:color="auto"/>
              <w:right w:val="single" w:sz="4" w:space="0" w:color="auto"/>
            </w:tcBorders>
            <w:vAlign w:val="center"/>
            <w:hideMark/>
          </w:tcPr>
          <w:p w:rsidR="00B676A5" w:rsidRPr="00B676A5" w:rsidRDefault="00B676A5" w:rsidP="00F32F9F">
            <w:pPr>
              <w:tabs>
                <w:tab w:val="left" w:pos="8222"/>
              </w:tabs>
              <w:rPr>
                <w:sz w:val="24"/>
                <w:szCs w:val="24"/>
              </w:rPr>
            </w:pPr>
            <w:r w:rsidRPr="00B676A5">
              <w:rPr>
                <w:sz w:val="24"/>
                <w:szCs w:val="24"/>
              </w:rPr>
              <w:t>35 kg</w:t>
            </w:r>
          </w:p>
        </w:tc>
      </w:tr>
      <w:tr w:rsidR="00F32F9F" w:rsidRPr="00B676A5" w:rsidTr="00935F26">
        <w:trPr>
          <w:trHeight w:val="372"/>
        </w:trPr>
        <w:tc>
          <w:tcPr>
            <w:tcW w:w="3402" w:type="dxa"/>
            <w:tcBorders>
              <w:top w:val="single" w:sz="4" w:space="0" w:color="auto"/>
              <w:left w:val="single" w:sz="4" w:space="0" w:color="auto"/>
              <w:bottom w:val="single" w:sz="4" w:space="0" w:color="auto"/>
              <w:right w:val="single" w:sz="4" w:space="0" w:color="auto"/>
            </w:tcBorders>
            <w:vAlign w:val="center"/>
            <w:hideMark/>
          </w:tcPr>
          <w:p w:rsidR="00B676A5" w:rsidRPr="00B676A5" w:rsidRDefault="00B676A5" w:rsidP="0008142A">
            <w:pPr>
              <w:tabs>
                <w:tab w:val="left" w:pos="8222"/>
              </w:tabs>
              <w:ind w:left="34"/>
              <w:rPr>
                <w:sz w:val="24"/>
                <w:szCs w:val="24"/>
              </w:rPr>
            </w:pPr>
            <w:r w:rsidRPr="00B676A5">
              <w:rPr>
                <w:sz w:val="24"/>
                <w:szCs w:val="24"/>
              </w:rPr>
              <w:t>Mild sedation (1,0 mg acepromazin/kg legemsvægt)</w:t>
            </w:r>
          </w:p>
        </w:tc>
        <w:tc>
          <w:tcPr>
            <w:tcW w:w="973" w:type="dxa"/>
            <w:tcBorders>
              <w:top w:val="single" w:sz="4" w:space="0" w:color="auto"/>
              <w:left w:val="single" w:sz="4" w:space="0" w:color="auto"/>
              <w:bottom w:val="single" w:sz="4" w:space="0" w:color="auto"/>
              <w:right w:val="single" w:sz="4" w:space="0" w:color="auto"/>
            </w:tcBorders>
            <w:vAlign w:val="center"/>
            <w:hideMark/>
          </w:tcPr>
          <w:p w:rsidR="00B676A5" w:rsidRPr="00B676A5" w:rsidRDefault="00B676A5" w:rsidP="00C51728">
            <w:pPr>
              <w:tabs>
                <w:tab w:val="left" w:pos="8222"/>
              </w:tabs>
              <w:rPr>
                <w:sz w:val="24"/>
                <w:szCs w:val="24"/>
              </w:rPr>
            </w:pPr>
            <w:r w:rsidRPr="00B676A5">
              <w:rPr>
                <w:sz w:val="24"/>
                <w:szCs w:val="24"/>
              </w:rPr>
              <w:t>0,15 ml</w:t>
            </w:r>
          </w:p>
        </w:tc>
        <w:tc>
          <w:tcPr>
            <w:tcW w:w="636" w:type="dxa"/>
            <w:tcBorders>
              <w:top w:val="single" w:sz="4" w:space="0" w:color="auto"/>
              <w:left w:val="single" w:sz="4" w:space="0" w:color="auto"/>
              <w:bottom w:val="single" w:sz="4" w:space="0" w:color="auto"/>
              <w:right w:val="single" w:sz="4" w:space="0" w:color="auto"/>
            </w:tcBorders>
            <w:vAlign w:val="center"/>
            <w:hideMark/>
          </w:tcPr>
          <w:p w:rsidR="00B676A5" w:rsidRPr="00B676A5" w:rsidRDefault="00B676A5" w:rsidP="00C51728">
            <w:pPr>
              <w:tabs>
                <w:tab w:val="left" w:pos="8222"/>
              </w:tabs>
              <w:rPr>
                <w:sz w:val="24"/>
                <w:szCs w:val="24"/>
              </w:rPr>
            </w:pPr>
            <w:r w:rsidRPr="00B676A5">
              <w:rPr>
                <w:sz w:val="24"/>
                <w:szCs w:val="24"/>
              </w:rPr>
              <w:t>0,30 ml</w:t>
            </w:r>
          </w:p>
        </w:tc>
        <w:tc>
          <w:tcPr>
            <w:tcW w:w="636" w:type="dxa"/>
            <w:tcBorders>
              <w:top w:val="single" w:sz="4" w:space="0" w:color="auto"/>
              <w:left w:val="single" w:sz="4" w:space="0" w:color="auto"/>
              <w:bottom w:val="single" w:sz="4" w:space="0" w:color="auto"/>
              <w:right w:val="single" w:sz="4" w:space="0" w:color="auto"/>
            </w:tcBorders>
            <w:vAlign w:val="center"/>
            <w:hideMark/>
          </w:tcPr>
          <w:p w:rsidR="00B676A5" w:rsidRPr="00B676A5" w:rsidRDefault="00B676A5" w:rsidP="00C51728">
            <w:pPr>
              <w:tabs>
                <w:tab w:val="left" w:pos="8222"/>
              </w:tabs>
              <w:rPr>
                <w:sz w:val="24"/>
                <w:szCs w:val="24"/>
              </w:rPr>
            </w:pPr>
            <w:r w:rsidRPr="00B676A5">
              <w:rPr>
                <w:sz w:val="24"/>
                <w:szCs w:val="24"/>
              </w:rPr>
              <w:t>0,45 ml</w:t>
            </w:r>
          </w:p>
        </w:tc>
        <w:tc>
          <w:tcPr>
            <w:tcW w:w="636" w:type="dxa"/>
            <w:tcBorders>
              <w:top w:val="single" w:sz="4" w:space="0" w:color="auto"/>
              <w:left w:val="single" w:sz="4" w:space="0" w:color="auto"/>
              <w:bottom w:val="single" w:sz="4" w:space="0" w:color="auto"/>
              <w:right w:val="single" w:sz="4" w:space="0" w:color="auto"/>
            </w:tcBorders>
            <w:vAlign w:val="center"/>
            <w:hideMark/>
          </w:tcPr>
          <w:p w:rsidR="00B676A5" w:rsidRPr="00B676A5" w:rsidRDefault="00B676A5" w:rsidP="00C51728">
            <w:pPr>
              <w:tabs>
                <w:tab w:val="left" w:pos="8222"/>
              </w:tabs>
              <w:rPr>
                <w:sz w:val="24"/>
                <w:szCs w:val="24"/>
              </w:rPr>
            </w:pPr>
            <w:r w:rsidRPr="00B676A5">
              <w:rPr>
                <w:sz w:val="24"/>
                <w:szCs w:val="24"/>
              </w:rPr>
              <w:t>0,50 ml</w:t>
            </w:r>
          </w:p>
        </w:tc>
        <w:tc>
          <w:tcPr>
            <w:tcW w:w="707" w:type="dxa"/>
            <w:tcBorders>
              <w:top w:val="single" w:sz="4" w:space="0" w:color="auto"/>
              <w:left w:val="single" w:sz="4" w:space="0" w:color="auto"/>
              <w:bottom w:val="single" w:sz="4" w:space="0" w:color="auto"/>
              <w:right w:val="single" w:sz="4" w:space="0" w:color="auto"/>
            </w:tcBorders>
            <w:vAlign w:val="center"/>
            <w:hideMark/>
          </w:tcPr>
          <w:p w:rsidR="00B676A5" w:rsidRPr="00B676A5" w:rsidRDefault="00B676A5" w:rsidP="00C51728">
            <w:pPr>
              <w:tabs>
                <w:tab w:val="left" w:pos="8222"/>
              </w:tabs>
              <w:ind w:left="33"/>
              <w:rPr>
                <w:sz w:val="24"/>
                <w:szCs w:val="24"/>
              </w:rPr>
            </w:pPr>
            <w:r w:rsidRPr="00B676A5">
              <w:rPr>
                <w:sz w:val="24"/>
                <w:szCs w:val="24"/>
              </w:rPr>
              <w:t>0,60 ml</w:t>
            </w:r>
          </w:p>
        </w:tc>
        <w:tc>
          <w:tcPr>
            <w:tcW w:w="708" w:type="dxa"/>
            <w:tcBorders>
              <w:top w:val="single" w:sz="4" w:space="0" w:color="auto"/>
              <w:left w:val="single" w:sz="4" w:space="0" w:color="auto"/>
              <w:bottom w:val="single" w:sz="4" w:space="0" w:color="auto"/>
              <w:right w:val="single" w:sz="4" w:space="0" w:color="auto"/>
            </w:tcBorders>
            <w:vAlign w:val="center"/>
            <w:hideMark/>
          </w:tcPr>
          <w:p w:rsidR="00B676A5" w:rsidRPr="00B676A5" w:rsidRDefault="00B676A5" w:rsidP="00F32F9F">
            <w:pPr>
              <w:tabs>
                <w:tab w:val="left" w:pos="8222"/>
              </w:tabs>
              <w:ind w:left="69"/>
              <w:rPr>
                <w:sz w:val="24"/>
                <w:szCs w:val="24"/>
              </w:rPr>
            </w:pPr>
            <w:r w:rsidRPr="00B676A5">
              <w:rPr>
                <w:sz w:val="24"/>
                <w:szCs w:val="24"/>
              </w:rPr>
              <w:t>0,75 ml</w:t>
            </w:r>
          </w:p>
        </w:tc>
        <w:tc>
          <w:tcPr>
            <w:tcW w:w="615" w:type="dxa"/>
            <w:tcBorders>
              <w:top w:val="single" w:sz="4" w:space="0" w:color="auto"/>
              <w:left w:val="single" w:sz="4" w:space="0" w:color="auto"/>
              <w:bottom w:val="single" w:sz="4" w:space="0" w:color="auto"/>
              <w:right w:val="single" w:sz="4" w:space="0" w:color="auto"/>
            </w:tcBorders>
            <w:vAlign w:val="center"/>
            <w:hideMark/>
          </w:tcPr>
          <w:p w:rsidR="00B676A5" w:rsidRPr="00B676A5" w:rsidRDefault="00B676A5" w:rsidP="00F32F9F">
            <w:pPr>
              <w:tabs>
                <w:tab w:val="left" w:pos="8222"/>
              </w:tabs>
              <w:ind w:left="-55"/>
              <w:rPr>
                <w:sz w:val="24"/>
                <w:szCs w:val="24"/>
              </w:rPr>
            </w:pPr>
            <w:r w:rsidRPr="00B676A5">
              <w:rPr>
                <w:sz w:val="24"/>
                <w:szCs w:val="24"/>
              </w:rPr>
              <w:t>0,90 ml</w:t>
            </w:r>
          </w:p>
        </w:tc>
        <w:tc>
          <w:tcPr>
            <w:tcW w:w="660" w:type="dxa"/>
            <w:tcBorders>
              <w:top w:val="single" w:sz="4" w:space="0" w:color="auto"/>
              <w:left w:val="single" w:sz="4" w:space="0" w:color="auto"/>
              <w:bottom w:val="single" w:sz="4" w:space="0" w:color="auto"/>
              <w:right w:val="single" w:sz="4" w:space="0" w:color="auto"/>
            </w:tcBorders>
            <w:vAlign w:val="center"/>
            <w:hideMark/>
          </w:tcPr>
          <w:p w:rsidR="00B676A5" w:rsidRPr="00B676A5" w:rsidRDefault="00B676A5" w:rsidP="00F32F9F">
            <w:pPr>
              <w:tabs>
                <w:tab w:val="left" w:pos="8222"/>
              </w:tabs>
              <w:rPr>
                <w:sz w:val="24"/>
                <w:szCs w:val="24"/>
              </w:rPr>
            </w:pPr>
            <w:r w:rsidRPr="00B676A5">
              <w:rPr>
                <w:sz w:val="24"/>
                <w:szCs w:val="24"/>
              </w:rPr>
              <w:t>1.0 ml</w:t>
            </w:r>
          </w:p>
        </w:tc>
      </w:tr>
      <w:tr w:rsidR="00F32F9F" w:rsidRPr="00B676A5" w:rsidTr="00935F26">
        <w:trPr>
          <w:trHeight w:val="372"/>
        </w:trPr>
        <w:tc>
          <w:tcPr>
            <w:tcW w:w="3402" w:type="dxa"/>
            <w:tcBorders>
              <w:top w:val="single" w:sz="4" w:space="0" w:color="auto"/>
              <w:left w:val="single" w:sz="4" w:space="0" w:color="auto"/>
              <w:bottom w:val="single" w:sz="4" w:space="0" w:color="auto"/>
              <w:right w:val="single" w:sz="4" w:space="0" w:color="auto"/>
            </w:tcBorders>
            <w:vAlign w:val="center"/>
            <w:hideMark/>
          </w:tcPr>
          <w:p w:rsidR="00B676A5" w:rsidRPr="00B676A5" w:rsidRDefault="00B676A5" w:rsidP="0008142A">
            <w:pPr>
              <w:tabs>
                <w:tab w:val="left" w:pos="8222"/>
              </w:tabs>
              <w:ind w:left="34"/>
              <w:rPr>
                <w:sz w:val="24"/>
                <w:szCs w:val="24"/>
              </w:rPr>
            </w:pPr>
            <w:r w:rsidRPr="00B676A5">
              <w:rPr>
                <w:sz w:val="24"/>
                <w:szCs w:val="24"/>
              </w:rPr>
              <w:t xml:space="preserve">Moderat sedation </w:t>
            </w:r>
          </w:p>
          <w:p w:rsidR="00B676A5" w:rsidRPr="00B676A5" w:rsidRDefault="00B676A5" w:rsidP="0008142A">
            <w:pPr>
              <w:tabs>
                <w:tab w:val="left" w:pos="8222"/>
              </w:tabs>
              <w:ind w:left="34"/>
              <w:rPr>
                <w:sz w:val="24"/>
                <w:szCs w:val="24"/>
              </w:rPr>
            </w:pPr>
            <w:r w:rsidRPr="00B676A5">
              <w:rPr>
                <w:sz w:val="24"/>
                <w:szCs w:val="24"/>
              </w:rPr>
              <w:t>(2,0 mg acepromazin/kg legemsvægt)</w:t>
            </w:r>
          </w:p>
        </w:tc>
        <w:tc>
          <w:tcPr>
            <w:tcW w:w="973" w:type="dxa"/>
            <w:tcBorders>
              <w:top w:val="single" w:sz="4" w:space="0" w:color="auto"/>
              <w:left w:val="single" w:sz="4" w:space="0" w:color="auto"/>
              <w:bottom w:val="single" w:sz="4" w:space="0" w:color="auto"/>
              <w:right w:val="single" w:sz="4" w:space="0" w:color="auto"/>
            </w:tcBorders>
            <w:vAlign w:val="center"/>
            <w:hideMark/>
          </w:tcPr>
          <w:p w:rsidR="00B676A5" w:rsidRPr="00B676A5" w:rsidRDefault="00B676A5" w:rsidP="00C51728">
            <w:pPr>
              <w:tabs>
                <w:tab w:val="left" w:pos="8222"/>
              </w:tabs>
              <w:rPr>
                <w:sz w:val="24"/>
                <w:szCs w:val="24"/>
              </w:rPr>
            </w:pPr>
            <w:r w:rsidRPr="00B676A5">
              <w:rPr>
                <w:sz w:val="24"/>
                <w:szCs w:val="24"/>
              </w:rPr>
              <w:t>0,3 ml</w:t>
            </w:r>
          </w:p>
        </w:tc>
        <w:tc>
          <w:tcPr>
            <w:tcW w:w="636" w:type="dxa"/>
            <w:tcBorders>
              <w:top w:val="single" w:sz="4" w:space="0" w:color="auto"/>
              <w:left w:val="single" w:sz="4" w:space="0" w:color="auto"/>
              <w:bottom w:val="single" w:sz="4" w:space="0" w:color="auto"/>
              <w:right w:val="single" w:sz="4" w:space="0" w:color="auto"/>
            </w:tcBorders>
            <w:vAlign w:val="center"/>
            <w:hideMark/>
          </w:tcPr>
          <w:p w:rsidR="00B676A5" w:rsidRPr="00B676A5" w:rsidRDefault="00B676A5" w:rsidP="00C51728">
            <w:pPr>
              <w:tabs>
                <w:tab w:val="left" w:pos="8222"/>
              </w:tabs>
              <w:rPr>
                <w:sz w:val="24"/>
                <w:szCs w:val="24"/>
              </w:rPr>
            </w:pPr>
            <w:r w:rsidRPr="00B676A5">
              <w:rPr>
                <w:sz w:val="24"/>
                <w:szCs w:val="24"/>
              </w:rPr>
              <w:t>0,6 ml</w:t>
            </w:r>
          </w:p>
        </w:tc>
        <w:tc>
          <w:tcPr>
            <w:tcW w:w="636" w:type="dxa"/>
            <w:tcBorders>
              <w:top w:val="single" w:sz="4" w:space="0" w:color="auto"/>
              <w:left w:val="single" w:sz="4" w:space="0" w:color="auto"/>
              <w:bottom w:val="single" w:sz="4" w:space="0" w:color="auto"/>
              <w:right w:val="single" w:sz="4" w:space="0" w:color="auto"/>
            </w:tcBorders>
            <w:vAlign w:val="center"/>
            <w:hideMark/>
          </w:tcPr>
          <w:p w:rsidR="00B676A5" w:rsidRPr="00B676A5" w:rsidRDefault="00B676A5" w:rsidP="00C51728">
            <w:pPr>
              <w:tabs>
                <w:tab w:val="left" w:pos="8222"/>
              </w:tabs>
              <w:rPr>
                <w:sz w:val="24"/>
                <w:szCs w:val="24"/>
              </w:rPr>
            </w:pPr>
            <w:r w:rsidRPr="00B676A5">
              <w:rPr>
                <w:sz w:val="24"/>
                <w:szCs w:val="24"/>
              </w:rPr>
              <w:t>0,9 ml</w:t>
            </w:r>
          </w:p>
        </w:tc>
        <w:tc>
          <w:tcPr>
            <w:tcW w:w="636" w:type="dxa"/>
            <w:tcBorders>
              <w:top w:val="single" w:sz="4" w:space="0" w:color="auto"/>
              <w:left w:val="single" w:sz="4" w:space="0" w:color="auto"/>
              <w:bottom w:val="single" w:sz="4" w:space="0" w:color="auto"/>
              <w:right w:val="single" w:sz="4" w:space="0" w:color="auto"/>
            </w:tcBorders>
            <w:vAlign w:val="center"/>
            <w:hideMark/>
          </w:tcPr>
          <w:p w:rsidR="00B676A5" w:rsidRPr="00B676A5" w:rsidRDefault="00B676A5" w:rsidP="00C51728">
            <w:pPr>
              <w:tabs>
                <w:tab w:val="left" w:pos="8222"/>
              </w:tabs>
              <w:rPr>
                <w:sz w:val="24"/>
                <w:szCs w:val="24"/>
              </w:rPr>
            </w:pPr>
            <w:r w:rsidRPr="00B676A5">
              <w:rPr>
                <w:sz w:val="24"/>
                <w:szCs w:val="24"/>
              </w:rPr>
              <w:t>1,0 ml</w:t>
            </w:r>
          </w:p>
        </w:tc>
        <w:tc>
          <w:tcPr>
            <w:tcW w:w="707" w:type="dxa"/>
            <w:tcBorders>
              <w:top w:val="single" w:sz="4" w:space="0" w:color="auto"/>
              <w:left w:val="single" w:sz="4" w:space="0" w:color="auto"/>
              <w:bottom w:val="single" w:sz="4" w:space="0" w:color="auto"/>
              <w:right w:val="single" w:sz="4" w:space="0" w:color="auto"/>
            </w:tcBorders>
            <w:vAlign w:val="center"/>
            <w:hideMark/>
          </w:tcPr>
          <w:p w:rsidR="00B676A5" w:rsidRPr="00B676A5" w:rsidRDefault="00B676A5" w:rsidP="00C51728">
            <w:pPr>
              <w:tabs>
                <w:tab w:val="left" w:pos="8222"/>
              </w:tabs>
              <w:ind w:left="33"/>
              <w:rPr>
                <w:b/>
                <w:sz w:val="24"/>
                <w:szCs w:val="24"/>
              </w:rPr>
            </w:pPr>
            <w:r w:rsidRPr="00B676A5">
              <w:rPr>
                <w:b/>
                <w:sz w:val="24"/>
                <w:szCs w:val="24"/>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B676A5" w:rsidRPr="00B676A5" w:rsidRDefault="00B676A5" w:rsidP="00F32F9F">
            <w:pPr>
              <w:tabs>
                <w:tab w:val="left" w:pos="8222"/>
              </w:tabs>
              <w:ind w:left="69"/>
              <w:rPr>
                <w:b/>
                <w:sz w:val="24"/>
                <w:szCs w:val="24"/>
              </w:rPr>
            </w:pPr>
            <w:r w:rsidRPr="00B676A5">
              <w:rPr>
                <w:b/>
                <w:sz w:val="24"/>
                <w:szCs w:val="24"/>
              </w:rPr>
              <w:t>-</w:t>
            </w:r>
          </w:p>
        </w:tc>
        <w:tc>
          <w:tcPr>
            <w:tcW w:w="615" w:type="dxa"/>
            <w:tcBorders>
              <w:top w:val="single" w:sz="4" w:space="0" w:color="auto"/>
              <w:left w:val="single" w:sz="4" w:space="0" w:color="auto"/>
              <w:bottom w:val="single" w:sz="4" w:space="0" w:color="auto"/>
              <w:right w:val="single" w:sz="4" w:space="0" w:color="auto"/>
            </w:tcBorders>
            <w:vAlign w:val="center"/>
            <w:hideMark/>
          </w:tcPr>
          <w:p w:rsidR="00B676A5" w:rsidRPr="00B676A5" w:rsidRDefault="00B676A5" w:rsidP="00F32F9F">
            <w:pPr>
              <w:tabs>
                <w:tab w:val="left" w:pos="8222"/>
              </w:tabs>
              <w:ind w:left="-55"/>
              <w:rPr>
                <w:b/>
                <w:sz w:val="24"/>
                <w:szCs w:val="24"/>
              </w:rPr>
            </w:pPr>
            <w:r w:rsidRPr="00B676A5">
              <w:rPr>
                <w:b/>
                <w:sz w:val="24"/>
                <w:szCs w:val="24"/>
              </w:rPr>
              <w:t>-</w:t>
            </w:r>
          </w:p>
        </w:tc>
        <w:tc>
          <w:tcPr>
            <w:tcW w:w="660" w:type="dxa"/>
            <w:tcBorders>
              <w:top w:val="single" w:sz="4" w:space="0" w:color="auto"/>
              <w:left w:val="single" w:sz="4" w:space="0" w:color="auto"/>
              <w:bottom w:val="single" w:sz="4" w:space="0" w:color="auto"/>
              <w:right w:val="single" w:sz="4" w:space="0" w:color="auto"/>
            </w:tcBorders>
            <w:vAlign w:val="center"/>
            <w:hideMark/>
          </w:tcPr>
          <w:p w:rsidR="00B676A5" w:rsidRPr="00B676A5" w:rsidRDefault="00B676A5" w:rsidP="00F32F9F">
            <w:pPr>
              <w:tabs>
                <w:tab w:val="left" w:pos="8222"/>
              </w:tabs>
              <w:rPr>
                <w:b/>
                <w:sz w:val="24"/>
                <w:szCs w:val="24"/>
              </w:rPr>
            </w:pPr>
            <w:r w:rsidRPr="00B676A5">
              <w:rPr>
                <w:b/>
                <w:sz w:val="24"/>
                <w:szCs w:val="24"/>
              </w:rPr>
              <w:t>-</w:t>
            </w:r>
          </w:p>
        </w:tc>
      </w:tr>
      <w:tr w:rsidR="00F32F9F" w:rsidRPr="00B676A5" w:rsidTr="00935F26">
        <w:trPr>
          <w:trHeight w:val="372"/>
        </w:trPr>
        <w:tc>
          <w:tcPr>
            <w:tcW w:w="3402" w:type="dxa"/>
            <w:tcBorders>
              <w:top w:val="single" w:sz="4" w:space="0" w:color="auto"/>
              <w:left w:val="single" w:sz="4" w:space="0" w:color="auto"/>
              <w:bottom w:val="single" w:sz="4" w:space="0" w:color="auto"/>
              <w:right w:val="single" w:sz="4" w:space="0" w:color="auto"/>
            </w:tcBorders>
            <w:vAlign w:val="center"/>
            <w:hideMark/>
          </w:tcPr>
          <w:p w:rsidR="00B676A5" w:rsidRPr="00B676A5" w:rsidRDefault="00B676A5" w:rsidP="0008142A">
            <w:pPr>
              <w:tabs>
                <w:tab w:val="left" w:pos="8222"/>
              </w:tabs>
              <w:ind w:left="34"/>
              <w:rPr>
                <w:sz w:val="24"/>
                <w:szCs w:val="24"/>
              </w:rPr>
            </w:pPr>
            <w:r w:rsidRPr="00B676A5">
              <w:rPr>
                <w:sz w:val="24"/>
                <w:szCs w:val="24"/>
              </w:rPr>
              <w:t xml:space="preserve">Præmedicinering </w:t>
            </w:r>
          </w:p>
          <w:p w:rsidR="00B676A5" w:rsidRPr="00B676A5" w:rsidRDefault="00B676A5" w:rsidP="0008142A">
            <w:pPr>
              <w:tabs>
                <w:tab w:val="left" w:pos="8222"/>
              </w:tabs>
              <w:ind w:left="34"/>
              <w:rPr>
                <w:sz w:val="24"/>
                <w:szCs w:val="24"/>
              </w:rPr>
            </w:pPr>
            <w:r w:rsidRPr="00B676A5">
              <w:rPr>
                <w:sz w:val="24"/>
                <w:szCs w:val="24"/>
              </w:rPr>
              <w:t>(3,0 mg acepromazin/kg legemsvægt)</w:t>
            </w:r>
          </w:p>
        </w:tc>
        <w:tc>
          <w:tcPr>
            <w:tcW w:w="973" w:type="dxa"/>
            <w:tcBorders>
              <w:top w:val="single" w:sz="4" w:space="0" w:color="auto"/>
              <w:left w:val="single" w:sz="4" w:space="0" w:color="auto"/>
              <w:bottom w:val="single" w:sz="4" w:space="0" w:color="auto"/>
              <w:right w:val="single" w:sz="4" w:space="0" w:color="auto"/>
            </w:tcBorders>
            <w:vAlign w:val="center"/>
            <w:hideMark/>
          </w:tcPr>
          <w:p w:rsidR="00B676A5" w:rsidRPr="00B676A5" w:rsidRDefault="00B676A5" w:rsidP="00C51728">
            <w:pPr>
              <w:tabs>
                <w:tab w:val="left" w:pos="8222"/>
              </w:tabs>
              <w:rPr>
                <w:sz w:val="24"/>
                <w:szCs w:val="24"/>
              </w:rPr>
            </w:pPr>
            <w:r w:rsidRPr="00B676A5">
              <w:rPr>
                <w:sz w:val="24"/>
                <w:szCs w:val="24"/>
              </w:rPr>
              <w:t>0,45 ml</w:t>
            </w:r>
          </w:p>
        </w:tc>
        <w:tc>
          <w:tcPr>
            <w:tcW w:w="636" w:type="dxa"/>
            <w:tcBorders>
              <w:top w:val="single" w:sz="4" w:space="0" w:color="auto"/>
              <w:left w:val="single" w:sz="4" w:space="0" w:color="auto"/>
              <w:bottom w:val="single" w:sz="4" w:space="0" w:color="auto"/>
              <w:right w:val="single" w:sz="4" w:space="0" w:color="auto"/>
            </w:tcBorders>
            <w:vAlign w:val="center"/>
            <w:hideMark/>
          </w:tcPr>
          <w:p w:rsidR="00B676A5" w:rsidRPr="00B676A5" w:rsidRDefault="00B676A5" w:rsidP="00C51728">
            <w:pPr>
              <w:tabs>
                <w:tab w:val="left" w:pos="8222"/>
              </w:tabs>
              <w:rPr>
                <w:sz w:val="24"/>
                <w:szCs w:val="24"/>
              </w:rPr>
            </w:pPr>
            <w:r w:rsidRPr="00B676A5">
              <w:rPr>
                <w:sz w:val="24"/>
                <w:szCs w:val="24"/>
              </w:rPr>
              <w:t>0,9 ml</w:t>
            </w:r>
          </w:p>
        </w:tc>
        <w:tc>
          <w:tcPr>
            <w:tcW w:w="636" w:type="dxa"/>
            <w:tcBorders>
              <w:top w:val="single" w:sz="4" w:space="0" w:color="auto"/>
              <w:left w:val="single" w:sz="4" w:space="0" w:color="auto"/>
              <w:bottom w:val="single" w:sz="4" w:space="0" w:color="auto"/>
              <w:right w:val="single" w:sz="4" w:space="0" w:color="auto"/>
            </w:tcBorders>
            <w:vAlign w:val="center"/>
            <w:hideMark/>
          </w:tcPr>
          <w:p w:rsidR="00B676A5" w:rsidRPr="00B676A5" w:rsidRDefault="00B676A5" w:rsidP="00C51728">
            <w:pPr>
              <w:tabs>
                <w:tab w:val="left" w:pos="8222"/>
              </w:tabs>
              <w:rPr>
                <w:sz w:val="24"/>
                <w:szCs w:val="24"/>
              </w:rPr>
            </w:pPr>
            <w:r w:rsidRPr="00B676A5">
              <w:rPr>
                <w:sz w:val="24"/>
                <w:szCs w:val="24"/>
              </w:rPr>
              <w:t>-</w:t>
            </w:r>
          </w:p>
        </w:tc>
        <w:tc>
          <w:tcPr>
            <w:tcW w:w="636" w:type="dxa"/>
            <w:tcBorders>
              <w:top w:val="single" w:sz="4" w:space="0" w:color="auto"/>
              <w:left w:val="single" w:sz="4" w:space="0" w:color="auto"/>
              <w:bottom w:val="single" w:sz="4" w:space="0" w:color="auto"/>
              <w:right w:val="single" w:sz="4" w:space="0" w:color="auto"/>
            </w:tcBorders>
            <w:vAlign w:val="center"/>
            <w:hideMark/>
          </w:tcPr>
          <w:p w:rsidR="00B676A5" w:rsidRPr="00B676A5" w:rsidRDefault="00B676A5" w:rsidP="00C51728">
            <w:pPr>
              <w:tabs>
                <w:tab w:val="left" w:pos="8222"/>
              </w:tabs>
              <w:rPr>
                <w:sz w:val="24"/>
                <w:szCs w:val="24"/>
              </w:rPr>
            </w:pPr>
            <w:r w:rsidRPr="00B676A5">
              <w:rPr>
                <w:sz w:val="24"/>
                <w:szCs w:val="24"/>
              </w:rPr>
              <w:t>-</w:t>
            </w:r>
          </w:p>
        </w:tc>
        <w:tc>
          <w:tcPr>
            <w:tcW w:w="707" w:type="dxa"/>
            <w:tcBorders>
              <w:top w:val="single" w:sz="4" w:space="0" w:color="auto"/>
              <w:left w:val="single" w:sz="4" w:space="0" w:color="auto"/>
              <w:bottom w:val="single" w:sz="4" w:space="0" w:color="auto"/>
              <w:right w:val="single" w:sz="4" w:space="0" w:color="auto"/>
            </w:tcBorders>
            <w:vAlign w:val="center"/>
            <w:hideMark/>
          </w:tcPr>
          <w:p w:rsidR="00B676A5" w:rsidRPr="00B676A5" w:rsidRDefault="00B676A5" w:rsidP="00C51728">
            <w:pPr>
              <w:tabs>
                <w:tab w:val="left" w:pos="8222"/>
              </w:tabs>
              <w:ind w:left="33"/>
              <w:rPr>
                <w:b/>
                <w:sz w:val="24"/>
                <w:szCs w:val="24"/>
              </w:rPr>
            </w:pPr>
            <w:r w:rsidRPr="00B676A5">
              <w:rPr>
                <w:b/>
                <w:sz w:val="24"/>
                <w:szCs w:val="24"/>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B676A5" w:rsidRPr="00B676A5" w:rsidRDefault="00B676A5" w:rsidP="00F32F9F">
            <w:pPr>
              <w:tabs>
                <w:tab w:val="left" w:pos="8222"/>
              </w:tabs>
              <w:ind w:left="69"/>
              <w:rPr>
                <w:b/>
                <w:sz w:val="24"/>
                <w:szCs w:val="24"/>
              </w:rPr>
            </w:pPr>
            <w:r w:rsidRPr="00B676A5">
              <w:rPr>
                <w:b/>
                <w:sz w:val="24"/>
                <w:szCs w:val="24"/>
              </w:rPr>
              <w:t>-</w:t>
            </w:r>
          </w:p>
        </w:tc>
        <w:tc>
          <w:tcPr>
            <w:tcW w:w="615" w:type="dxa"/>
            <w:tcBorders>
              <w:top w:val="single" w:sz="4" w:space="0" w:color="auto"/>
              <w:left w:val="single" w:sz="4" w:space="0" w:color="auto"/>
              <w:bottom w:val="single" w:sz="4" w:space="0" w:color="auto"/>
              <w:right w:val="single" w:sz="4" w:space="0" w:color="auto"/>
            </w:tcBorders>
            <w:vAlign w:val="center"/>
            <w:hideMark/>
          </w:tcPr>
          <w:p w:rsidR="00B676A5" w:rsidRPr="00B676A5" w:rsidRDefault="00B676A5" w:rsidP="00F32F9F">
            <w:pPr>
              <w:tabs>
                <w:tab w:val="left" w:pos="8222"/>
              </w:tabs>
              <w:ind w:left="-55"/>
              <w:rPr>
                <w:b/>
                <w:sz w:val="24"/>
                <w:szCs w:val="24"/>
              </w:rPr>
            </w:pPr>
            <w:r w:rsidRPr="00B676A5">
              <w:rPr>
                <w:b/>
                <w:sz w:val="24"/>
                <w:szCs w:val="24"/>
              </w:rPr>
              <w:t>-</w:t>
            </w:r>
          </w:p>
        </w:tc>
        <w:tc>
          <w:tcPr>
            <w:tcW w:w="660" w:type="dxa"/>
            <w:tcBorders>
              <w:top w:val="single" w:sz="4" w:space="0" w:color="auto"/>
              <w:left w:val="single" w:sz="4" w:space="0" w:color="auto"/>
              <w:bottom w:val="single" w:sz="4" w:space="0" w:color="auto"/>
              <w:right w:val="single" w:sz="4" w:space="0" w:color="auto"/>
            </w:tcBorders>
            <w:vAlign w:val="center"/>
            <w:hideMark/>
          </w:tcPr>
          <w:p w:rsidR="00B676A5" w:rsidRPr="00B676A5" w:rsidRDefault="00B676A5" w:rsidP="00F32F9F">
            <w:pPr>
              <w:tabs>
                <w:tab w:val="left" w:pos="8222"/>
              </w:tabs>
              <w:rPr>
                <w:b/>
                <w:sz w:val="24"/>
                <w:szCs w:val="24"/>
              </w:rPr>
            </w:pPr>
            <w:r w:rsidRPr="00B676A5">
              <w:rPr>
                <w:b/>
                <w:sz w:val="24"/>
                <w:szCs w:val="24"/>
              </w:rPr>
              <w:t>-</w:t>
            </w:r>
          </w:p>
        </w:tc>
      </w:tr>
    </w:tbl>
    <w:p w:rsidR="00B676A5" w:rsidRPr="00B676A5" w:rsidRDefault="00B676A5" w:rsidP="00B676A5">
      <w:pPr>
        <w:tabs>
          <w:tab w:val="left" w:pos="851"/>
          <w:tab w:val="left" w:pos="8222"/>
        </w:tabs>
        <w:ind w:left="851"/>
        <w:rPr>
          <w:sz w:val="24"/>
          <w:szCs w:val="24"/>
        </w:rPr>
      </w:pPr>
    </w:p>
    <w:p w:rsidR="00B676A5" w:rsidRPr="00B676A5" w:rsidRDefault="00B676A5" w:rsidP="00B676A5">
      <w:pPr>
        <w:tabs>
          <w:tab w:val="left" w:pos="851"/>
          <w:tab w:val="left" w:pos="8222"/>
        </w:tabs>
        <w:ind w:left="851"/>
        <w:rPr>
          <w:sz w:val="24"/>
          <w:szCs w:val="24"/>
        </w:rPr>
      </w:pPr>
    </w:p>
    <w:p w:rsidR="00B676A5" w:rsidRPr="00DF6288" w:rsidRDefault="00B676A5" w:rsidP="00B676A5">
      <w:pPr>
        <w:tabs>
          <w:tab w:val="left" w:pos="851"/>
          <w:tab w:val="left" w:pos="8222"/>
        </w:tabs>
        <w:ind w:left="851"/>
        <w:rPr>
          <w:b/>
          <w:bCs/>
          <w:sz w:val="24"/>
          <w:szCs w:val="24"/>
        </w:rPr>
      </w:pPr>
      <w:r w:rsidRPr="00DF6288">
        <w:rPr>
          <w:b/>
          <w:sz w:val="24"/>
          <w:szCs w:val="24"/>
          <w:lang w:val="en-GB"/>
        </w:rPr>
        <w:t>HEST:</w:t>
      </w:r>
    </w:p>
    <w:tbl>
      <w:tblPr>
        <w:tblW w:w="7796"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134"/>
        <w:gridCol w:w="1178"/>
        <w:gridCol w:w="998"/>
        <w:gridCol w:w="1084"/>
      </w:tblGrid>
      <w:tr w:rsidR="00B676A5" w:rsidRPr="00B676A5" w:rsidTr="00C355BD">
        <w:trPr>
          <w:trHeight w:val="758"/>
        </w:trPr>
        <w:tc>
          <w:tcPr>
            <w:tcW w:w="3402" w:type="dxa"/>
            <w:tcBorders>
              <w:top w:val="single" w:sz="4" w:space="0" w:color="auto"/>
              <w:left w:val="single" w:sz="4" w:space="0" w:color="auto"/>
              <w:bottom w:val="single" w:sz="4" w:space="0" w:color="auto"/>
              <w:right w:val="single" w:sz="4" w:space="0" w:color="auto"/>
              <w:tl2br w:val="single" w:sz="4" w:space="0" w:color="auto"/>
            </w:tcBorders>
            <w:hideMark/>
          </w:tcPr>
          <w:p w:rsidR="00B676A5" w:rsidRPr="00B676A5" w:rsidRDefault="00B676A5" w:rsidP="000625BC">
            <w:pPr>
              <w:tabs>
                <w:tab w:val="left" w:pos="8222"/>
              </w:tabs>
              <w:ind w:left="33"/>
              <w:rPr>
                <w:sz w:val="24"/>
                <w:szCs w:val="24"/>
              </w:rPr>
            </w:pPr>
            <w:r w:rsidRPr="00B676A5">
              <w:rPr>
                <w:sz w:val="24"/>
                <w:szCs w:val="24"/>
              </w:rPr>
              <w:t xml:space="preserve">        </w:t>
            </w:r>
            <w:r w:rsidR="000625BC">
              <w:rPr>
                <w:sz w:val="24"/>
                <w:szCs w:val="24"/>
              </w:rPr>
              <w:t xml:space="preserve">          </w:t>
            </w:r>
            <w:r w:rsidR="007E004F">
              <w:rPr>
                <w:sz w:val="24"/>
                <w:szCs w:val="24"/>
              </w:rPr>
              <w:t xml:space="preserve">      </w:t>
            </w:r>
            <w:r w:rsidR="000625BC">
              <w:rPr>
                <w:sz w:val="24"/>
                <w:szCs w:val="24"/>
              </w:rPr>
              <w:t xml:space="preserve">   </w:t>
            </w:r>
            <w:r w:rsidRPr="00B676A5">
              <w:rPr>
                <w:sz w:val="24"/>
                <w:szCs w:val="24"/>
              </w:rPr>
              <w:t xml:space="preserve">  Vægt af hest</w:t>
            </w:r>
          </w:p>
          <w:p w:rsidR="00B676A5" w:rsidRPr="00B676A5" w:rsidRDefault="00B676A5" w:rsidP="000625BC">
            <w:pPr>
              <w:tabs>
                <w:tab w:val="left" w:pos="8222"/>
              </w:tabs>
              <w:ind w:left="33"/>
              <w:rPr>
                <w:sz w:val="24"/>
                <w:szCs w:val="24"/>
              </w:rPr>
            </w:pPr>
            <w:r w:rsidRPr="00B676A5">
              <w:rPr>
                <w:sz w:val="24"/>
                <w:szCs w:val="24"/>
              </w:rPr>
              <w:t>Mængde af</w:t>
            </w:r>
          </w:p>
          <w:p w:rsidR="00B676A5" w:rsidRPr="00B676A5" w:rsidRDefault="00B676A5" w:rsidP="000625BC">
            <w:pPr>
              <w:tabs>
                <w:tab w:val="left" w:pos="8222"/>
              </w:tabs>
              <w:ind w:left="33"/>
              <w:rPr>
                <w:sz w:val="24"/>
                <w:szCs w:val="24"/>
              </w:rPr>
            </w:pPr>
            <w:r w:rsidRPr="00B676A5">
              <w:rPr>
                <w:sz w:val="24"/>
                <w:szCs w:val="24"/>
              </w:rPr>
              <w:t>Lægemiddel</w:t>
            </w:r>
          </w:p>
        </w:tc>
        <w:tc>
          <w:tcPr>
            <w:tcW w:w="1134" w:type="dxa"/>
            <w:tcBorders>
              <w:top w:val="single" w:sz="4" w:space="0" w:color="auto"/>
              <w:left w:val="single" w:sz="4" w:space="0" w:color="auto"/>
              <w:bottom w:val="single" w:sz="4" w:space="0" w:color="auto"/>
              <w:right w:val="single" w:sz="4" w:space="0" w:color="auto"/>
            </w:tcBorders>
            <w:vAlign w:val="center"/>
            <w:hideMark/>
          </w:tcPr>
          <w:p w:rsidR="00B676A5" w:rsidRPr="00B676A5" w:rsidRDefault="00B676A5" w:rsidP="000625BC">
            <w:pPr>
              <w:tabs>
                <w:tab w:val="left" w:pos="8222"/>
              </w:tabs>
              <w:ind w:left="35"/>
              <w:rPr>
                <w:sz w:val="24"/>
                <w:szCs w:val="24"/>
              </w:rPr>
            </w:pPr>
            <w:r w:rsidRPr="00B676A5">
              <w:rPr>
                <w:sz w:val="24"/>
                <w:szCs w:val="24"/>
              </w:rPr>
              <w:t>100 kg</w:t>
            </w:r>
          </w:p>
        </w:tc>
        <w:tc>
          <w:tcPr>
            <w:tcW w:w="1178" w:type="dxa"/>
            <w:tcBorders>
              <w:top w:val="single" w:sz="4" w:space="0" w:color="auto"/>
              <w:left w:val="single" w:sz="4" w:space="0" w:color="auto"/>
              <w:bottom w:val="single" w:sz="4" w:space="0" w:color="auto"/>
              <w:right w:val="single" w:sz="4" w:space="0" w:color="auto"/>
            </w:tcBorders>
            <w:vAlign w:val="center"/>
            <w:hideMark/>
          </w:tcPr>
          <w:p w:rsidR="00B676A5" w:rsidRPr="00B676A5" w:rsidRDefault="00B676A5" w:rsidP="000625BC">
            <w:pPr>
              <w:tabs>
                <w:tab w:val="left" w:pos="8222"/>
              </w:tabs>
              <w:ind w:left="109"/>
              <w:rPr>
                <w:sz w:val="24"/>
                <w:szCs w:val="24"/>
              </w:rPr>
            </w:pPr>
            <w:r w:rsidRPr="00B676A5">
              <w:rPr>
                <w:sz w:val="24"/>
                <w:szCs w:val="24"/>
              </w:rPr>
              <w:t>125 kg</w:t>
            </w:r>
          </w:p>
        </w:tc>
        <w:tc>
          <w:tcPr>
            <w:tcW w:w="998" w:type="dxa"/>
            <w:tcBorders>
              <w:top w:val="single" w:sz="4" w:space="0" w:color="auto"/>
              <w:left w:val="single" w:sz="4" w:space="0" w:color="auto"/>
              <w:bottom w:val="single" w:sz="4" w:space="0" w:color="auto"/>
              <w:right w:val="single" w:sz="4" w:space="0" w:color="auto"/>
            </w:tcBorders>
            <w:vAlign w:val="center"/>
            <w:hideMark/>
          </w:tcPr>
          <w:p w:rsidR="00B676A5" w:rsidRPr="00B676A5" w:rsidRDefault="00B676A5" w:rsidP="007E004F">
            <w:pPr>
              <w:tabs>
                <w:tab w:val="left" w:pos="8222"/>
              </w:tabs>
              <w:rPr>
                <w:sz w:val="24"/>
                <w:szCs w:val="24"/>
              </w:rPr>
            </w:pPr>
            <w:r w:rsidRPr="00B676A5">
              <w:rPr>
                <w:sz w:val="24"/>
                <w:szCs w:val="24"/>
              </w:rPr>
              <w:t>150 kg</w:t>
            </w:r>
          </w:p>
        </w:tc>
        <w:tc>
          <w:tcPr>
            <w:tcW w:w="1084" w:type="dxa"/>
            <w:tcBorders>
              <w:top w:val="single" w:sz="4" w:space="0" w:color="auto"/>
              <w:left w:val="single" w:sz="4" w:space="0" w:color="auto"/>
              <w:bottom w:val="single" w:sz="4" w:space="0" w:color="auto"/>
              <w:right w:val="single" w:sz="4" w:space="0" w:color="auto"/>
            </w:tcBorders>
            <w:vAlign w:val="center"/>
            <w:hideMark/>
          </w:tcPr>
          <w:p w:rsidR="00B676A5" w:rsidRPr="00B676A5" w:rsidRDefault="00B676A5" w:rsidP="007E004F">
            <w:pPr>
              <w:tabs>
                <w:tab w:val="left" w:pos="8222"/>
              </w:tabs>
              <w:ind w:left="29"/>
              <w:rPr>
                <w:sz w:val="24"/>
                <w:szCs w:val="24"/>
              </w:rPr>
            </w:pPr>
            <w:r w:rsidRPr="00B676A5">
              <w:rPr>
                <w:sz w:val="24"/>
                <w:szCs w:val="24"/>
              </w:rPr>
              <w:t>175 kg</w:t>
            </w:r>
          </w:p>
        </w:tc>
      </w:tr>
      <w:tr w:rsidR="00B676A5" w:rsidRPr="00B676A5" w:rsidTr="00C355BD">
        <w:trPr>
          <w:trHeight w:val="1034"/>
        </w:trPr>
        <w:tc>
          <w:tcPr>
            <w:tcW w:w="3402" w:type="dxa"/>
            <w:tcBorders>
              <w:top w:val="single" w:sz="4" w:space="0" w:color="auto"/>
              <w:left w:val="single" w:sz="4" w:space="0" w:color="auto"/>
              <w:bottom w:val="single" w:sz="4" w:space="0" w:color="auto"/>
              <w:right w:val="single" w:sz="4" w:space="0" w:color="auto"/>
            </w:tcBorders>
            <w:vAlign w:val="center"/>
            <w:hideMark/>
          </w:tcPr>
          <w:p w:rsidR="00B676A5" w:rsidRPr="00B676A5" w:rsidRDefault="00B676A5" w:rsidP="000625BC">
            <w:pPr>
              <w:tabs>
                <w:tab w:val="left" w:pos="8222"/>
              </w:tabs>
              <w:ind w:left="33"/>
              <w:rPr>
                <w:sz w:val="24"/>
                <w:szCs w:val="24"/>
              </w:rPr>
            </w:pPr>
            <w:r w:rsidRPr="00B676A5">
              <w:rPr>
                <w:sz w:val="24"/>
                <w:szCs w:val="24"/>
              </w:rPr>
              <w:t>Mild sedation,</w:t>
            </w:r>
          </w:p>
          <w:p w:rsidR="00B676A5" w:rsidRPr="00B676A5" w:rsidRDefault="00B676A5" w:rsidP="000625BC">
            <w:pPr>
              <w:tabs>
                <w:tab w:val="left" w:pos="8222"/>
              </w:tabs>
              <w:ind w:left="33"/>
              <w:rPr>
                <w:sz w:val="24"/>
                <w:szCs w:val="24"/>
              </w:rPr>
            </w:pPr>
            <w:r w:rsidRPr="00B676A5">
              <w:rPr>
                <w:sz w:val="24"/>
                <w:szCs w:val="24"/>
              </w:rPr>
              <w:t>(0,1-0,2 mg acepromazin/kg legemsvægt)</w:t>
            </w:r>
          </w:p>
        </w:tc>
        <w:tc>
          <w:tcPr>
            <w:tcW w:w="1134" w:type="dxa"/>
            <w:tcBorders>
              <w:top w:val="single" w:sz="4" w:space="0" w:color="auto"/>
              <w:left w:val="single" w:sz="4" w:space="0" w:color="auto"/>
              <w:bottom w:val="single" w:sz="4" w:space="0" w:color="auto"/>
              <w:right w:val="single" w:sz="4" w:space="0" w:color="auto"/>
            </w:tcBorders>
            <w:vAlign w:val="center"/>
            <w:hideMark/>
          </w:tcPr>
          <w:p w:rsidR="00B676A5" w:rsidRPr="00B676A5" w:rsidRDefault="00B676A5" w:rsidP="000625BC">
            <w:pPr>
              <w:tabs>
                <w:tab w:val="left" w:pos="8222"/>
              </w:tabs>
              <w:ind w:left="35"/>
              <w:rPr>
                <w:sz w:val="24"/>
                <w:szCs w:val="24"/>
              </w:rPr>
            </w:pPr>
            <w:r w:rsidRPr="00B676A5">
              <w:rPr>
                <w:sz w:val="24"/>
                <w:szCs w:val="24"/>
              </w:rPr>
              <w:t>0,30-0,60 ml</w:t>
            </w:r>
          </w:p>
        </w:tc>
        <w:tc>
          <w:tcPr>
            <w:tcW w:w="1178" w:type="dxa"/>
            <w:tcBorders>
              <w:top w:val="single" w:sz="4" w:space="0" w:color="auto"/>
              <w:left w:val="single" w:sz="4" w:space="0" w:color="auto"/>
              <w:bottom w:val="single" w:sz="4" w:space="0" w:color="auto"/>
              <w:right w:val="single" w:sz="4" w:space="0" w:color="auto"/>
            </w:tcBorders>
            <w:vAlign w:val="center"/>
            <w:hideMark/>
          </w:tcPr>
          <w:p w:rsidR="00B676A5" w:rsidRPr="00B676A5" w:rsidRDefault="00B676A5" w:rsidP="000625BC">
            <w:pPr>
              <w:tabs>
                <w:tab w:val="left" w:pos="8222"/>
              </w:tabs>
              <w:ind w:left="109"/>
              <w:rPr>
                <w:sz w:val="24"/>
                <w:szCs w:val="24"/>
              </w:rPr>
            </w:pPr>
            <w:r w:rsidRPr="00B676A5">
              <w:rPr>
                <w:sz w:val="24"/>
                <w:szCs w:val="24"/>
              </w:rPr>
              <w:t>0,35-0,70 ml</w:t>
            </w:r>
          </w:p>
        </w:tc>
        <w:tc>
          <w:tcPr>
            <w:tcW w:w="998" w:type="dxa"/>
            <w:tcBorders>
              <w:top w:val="single" w:sz="4" w:space="0" w:color="auto"/>
              <w:left w:val="single" w:sz="4" w:space="0" w:color="auto"/>
              <w:bottom w:val="single" w:sz="4" w:space="0" w:color="auto"/>
              <w:right w:val="single" w:sz="4" w:space="0" w:color="auto"/>
            </w:tcBorders>
            <w:vAlign w:val="center"/>
            <w:hideMark/>
          </w:tcPr>
          <w:p w:rsidR="00B676A5" w:rsidRPr="00B676A5" w:rsidRDefault="00B676A5" w:rsidP="007E004F">
            <w:pPr>
              <w:tabs>
                <w:tab w:val="left" w:pos="8222"/>
              </w:tabs>
              <w:rPr>
                <w:sz w:val="24"/>
                <w:szCs w:val="24"/>
              </w:rPr>
            </w:pPr>
            <w:r w:rsidRPr="00B676A5">
              <w:rPr>
                <w:sz w:val="24"/>
                <w:szCs w:val="24"/>
              </w:rPr>
              <w:t>0,40-0,85 ml</w:t>
            </w:r>
          </w:p>
        </w:tc>
        <w:tc>
          <w:tcPr>
            <w:tcW w:w="1084" w:type="dxa"/>
            <w:tcBorders>
              <w:top w:val="single" w:sz="4" w:space="0" w:color="auto"/>
              <w:left w:val="single" w:sz="4" w:space="0" w:color="auto"/>
              <w:bottom w:val="single" w:sz="4" w:space="0" w:color="auto"/>
              <w:right w:val="single" w:sz="4" w:space="0" w:color="auto"/>
            </w:tcBorders>
            <w:vAlign w:val="center"/>
            <w:hideMark/>
          </w:tcPr>
          <w:p w:rsidR="00B676A5" w:rsidRPr="00B676A5" w:rsidRDefault="00B676A5" w:rsidP="007E004F">
            <w:pPr>
              <w:tabs>
                <w:tab w:val="left" w:pos="8222"/>
              </w:tabs>
              <w:ind w:left="29"/>
              <w:rPr>
                <w:sz w:val="24"/>
                <w:szCs w:val="24"/>
              </w:rPr>
            </w:pPr>
            <w:r w:rsidRPr="00B676A5">
              <w:rPr>
                <w:sz w:val="24"/>
                <w:szCs w:val="24"/>
              </w:rPr>
              <w:t>0,50-1,00 ml</w:t>
            </w:r>
          </w:p>
        </w:tc>
      </w:tr>
    </w:tbl>
    <w:p w:rsidR="00B676A5" w:rsidRPr="00B676A5" w:rsidRDefault="00B676A5" w:rsidP="00B676A5">
      <w:pPr>
        <w:tabs>
          <w:tab w:val="left" w:pos="851"/>
          <w:tab w:val="left" w:pos="8222"/>
        </w:tabs>
        <w:ind w:left="851"/>
        <w:rPr>
          <w:sz w:val="24"/>
          <w:szCs w:val="24"/>
        </w:rPr>
      </w:pPr>
    </w:p>
    <w:p w:rsidR="00B676A5" w:rsidRPr="00B676A5" w:rsidRDefault="00B676A5" w:rsidP="00B676A5">
      <w:pPr>
        <w:tabs>
          <w:tab w:val="left" w:pos="851"/>
          <w:tab w:val="left" w:pos="8222"/>
        </w:tabs>
        <w:ind w:left="851"/>
        <w:rPr>
          <w:sz w:val="24"/>
          <w:szCs w:val="24"/>
        </w:rPr>
      </w:pPr>
      <w:r w:rsidRPr="00B676A5">
        <w:rPr>
          <w:sz w:val="24"/>
          <w:szCs w:val="24"/>
        </w:rPr>
        <w:lastRenderedPageBreak/>
        <w:t>Sprøjte indeholdende 1 ml gel tillader dosering specielt til små hunderacer. Gelen er fyldt i en 1 ml forseglet sprøjte, og dosis af gel kan justeres med 0,05 ml interval.</w:t>
      </w:r>
    </w:p>
    <w:p w:rsidR="00B676A5" w:rsidRPr="00B676A5" w:rsidRDefault="00B676A5" w:rsidP="00B676A5">
      <w:pPr>
        <w:tabs>
          <w:tab w:val="left" w:pos="851"/>
          <w:tab w:val="left" w:pos="8222"/>
        </w:tabs>
        <w:ind w:left="851"/>
        <w:rPr>
          <w:sz w:val="24"/>
          <w:szCs w:val="24"/>
        </w:rPr>
      </w:pPr>
    </w:p>
    <w:p w:rsidR="00B676A5" w:rsidRPr="00B676A5" w:rsidRDefault="00B676A5" w:rsidP="00B676A5">
      <w:pPr>
        <w:tabs>
          <w:tab w:val="left" w:pos="851"/>
          <w:tab w:val="left" w:pos="8222"/>
        </w:tabs>
        <w:ind w:left="851"/>
        <w:rPr>
          <w:sz w:val="24"/>
          <w:szCs w:val="24"/>
        </w:rPr>
      </w:pPr>
      <w:r w:rsidRPr="00B676A5">
        <w:rPr>
          <w:sz w:val="24"/>
          <w:szCs w:val="24"/>
        </w:rPr>
        <w:t>Doseringsinformationen ovenfor tjener som en guideline og bør tilpasses den enkelte patient, under hensyntagen til de forskellige faktorer (f.eks. temperament, race, nervøsitet etc.), der kan påvirke følsomheden over for sedativer.</w:t>
      </w:r>
    </w:p>
    <w:p w:rsidR="00B676A5" w:rsidRPr="00B676A5" w:rsidRDefault="00B676A5" w:rsidP="00B676A5">
      <w:pPr>
        <w:tabs>
          <w:tab w:val="left" w:pos="851"/>
          <w:tab w:val="left" w:pos="8222"/>
        </w:tabs>
        <w:ind w:left="851"/>
        <w:rPr>
          <w:sz w:val="24"/>
          <w:szCs w:val="24"/>
        </w:rPr>
      </w:pPr>
    </w:p>
    <w:p w:rsidR="00B676A5" w:rsidRPr="00B676A5" w:rsidRDefault="00B676A5" w:rsidP="00B676A5">
      <w:pPr>
        <w:tabs>
          <w:tab w:val="left" w:pos="851"/>
          <w:tab w:val="left" w:pos="8222"/>
        </w:tabs>
        <w:ind w:left="851"/>
        <w:rPr>
          <w:sz w:val="24"/>
          <w:szCs w:val="24"/>
        </w:rPr>
      </w:pPr>
      <w:r w:rsidRPr="00B676A5">
        <w:rPr>
          <w:sz w:val="24"/>
          <w:szCs w:val="24"/>
        </w:rPr>
        <w:t>For at sikre nøjagtig dosering bør legemsvægten af dyret, der skal behandles, bestemmes forud for indgivelse.</w:t>
      </w:r>
    </w:p>
    <w:p w:rsidR="00B676A5" w:rsidRPr="00B676A5" w:rsidRDefault="00B676A5" w:rsidP="00B676A5">
      <w:pPr>
        <w:tabs>
          <w:tab w:val="left" w:pos="851"/>
          <w:tab w:val="left" w:pos="8222"/>
        </w:tabs>
        <w:ind w:left="851"/>
        <w:rPr>
          <w:sz w:val="24"/>
          <w:szCs w:val="24"/>
        </w:rPr>
      </w:pPr>
    </w:p>
    <w:p w:rsidR="005B0036" w:rsidRPr="00406EE7" w:rsidRDefault="005B0036" w:rsidP="005B0036">
      <w:pPr>
        <w:tabs>
          <w:tab w:val="left" w:pos="851"/>
          <w:tab w:val="left" w:pos="8222"/>
        </w:tabs>
        <w:rPr>
          <w:b/>
          <w:sz w:val="24"/>
          <w:szCs w:val="24"/>
        </w:rPr>
      </w:pPr>
      <w:r w:rsidRPr="00406EE7">
        <w:rPr>
          <w:b/>
          <w:sz w:val="24"/>
          <w:szCs w:val="24"/>
        </w:rPr>
        <w:t>4.10</w:t>
      </w:r>
      <w:r w:rsidRPr="00406EE7">
        <w:rPr>
          <w:b/>
          <w:sz w:val="24"/>
          <w:szCs w:val="24"/>
        </w:rPr>
        <w:tab/>
        <w:t>Overdosering</w:t>
      </w:r>
    </w:p>
    <w:p w:rsidR="00B30740" w:rsidRPr="00B30740" w:rsidRDefault="00B30740" w:rsidP="00B30740">
      <w:pPr>
        <w:tabs>
          <w:tab w:val="left" w:pos="851"/>
          <w:tab w:val="left" w:pos="8222"/>
        </w:tabs>
        <w:ind w:left="851"/>
        <w:rPr>
          <w:sz w:val="24"/>
          <w:szCs w:val="24"/>
        </w:rPr>
      </w:pPr>
      <w:bookmarkStart w:id="10" w:name="_Hlk102129446"/>
      <w:r w:rsidRPr="00B30740">
        <w:rPr>
          <w:sz w:val="24"/>
          <w:szCs w:val="24"/>
        </w:rPr>
        <w:t xml:space="preserve">Overdosering fører til hurtigere indsættelse af de sedative symptomer samt forlænget virkning.  </w:t>
      </w:r>
    </w:p>
    <w:p w:rsidR="00B30740" w:rsidRPr="00B30740" w:rsidRDefault="00B30740" w:rsidP="00B30740">
      <w:pPr>
        <w:tabs>
          <w:tab w:val="left" w:pos="851"/>
          <w:tab w:val="left" w:pos="8222"/>
        </w:tabs>
        <w:ind w:left="851"/>
        <w:rPr>
          <w:sz w:val="24"/>
          <w:szCs w:val="24"/>
          <w:lang w:val="nb-NO"/>
        </w:rPr>
      </w:pPr>
      <w:r w:rsidRPr="00B30740">
        <w:rPr>
          <w:sz w:val="24"/>
          <w:szCs w:val="24"/>
          <w:lang w:val="nb-NO"/>
        </w:rPr>
        <w:t xml:space="preserve">Toksiske virkninger er ataksi, hypotension, hypotermi og ekstrapyramidale virkninger.  </w:t>
      </w:r>
    </w:p>
    <w:p w:rsidR="001B2431" w:rsidRDefault="001B2431" w:rsidP="00B30740">
      <w:pPr>
        <w:tabs>
          <w:tab w:val="left" w:pos="851"/>
          <w:tab w:val="left" w:pos="8222"/>
        </w:tabs>
        <w:ind w:left="851"/>
        <w:rPr>
          <w:sz w:val="24"/>
          <w:szCs w:val="24"/>
          <w:lang w:val="nb-NO"/>
        </w:rPr>
      </w:pPr>
    </w:p>
    <w:p w:rsidR="00B30740" w:rsidRPr="00B30740" w:rsidRDefault="00B30740" w:rsidP="00B30740">
      <w:pPr>
        <w:tabs>
          <w:tab w:val="left" w:pos="851"/>
          <w:tab w:val="left" w:pos="8222"/>
        </w:tabs>
        <w:ind w:left="851"/>
        <w:rPr>
          <w:sz w:val="24"/>
          <w:szCs w:val="24"/>
          <w:lang w:val="nb-NO"/>
        </w:rPr>
      </w:pPr>
      <w:r w:rsidRPr="00B30740">
        <w:rPr>
          <w:sz w:val="24"/>
          <w:szCs w:val="24"/>
          <w:lang w:val="nb-NO"/>
        </w:rPr>
        <w:t xml:space="preserve">Modgift: Noradrenalin, men ikke adrenalin, kan anvendes til at modvirke de kardiovaskulære virkninger </w:t>
      </w:r>
      <w:bookmarkEnd w:id="10"/>
    </w:p>
    <w:p w:rsidR="005B0036" w:rsidRPr="00B30740" w:rsidRDefault="005B0036" w:rsidP="005B0036">
      <w:pPr>
        <w:tabs>
          <w:tab w:val="left" w:pos="851"/>
          <w:tab w:val="left" w:pos="8222"/>
        </w:tabs>
        <w:ind w:left="851"/>
        <w:rPr>
          <w:sz w:val="24"/>
          <w:szCs w:val="24"/>
          <w:lang w:val="nb-NO"/>
        </w:rPr>
      </w:pPr>
    </w:p>
    <w:p w:rsidR="005B0036" w:rsidRPr="00406EE7" w:rsidRDefault="005B0036" w:rsidP="005B0036">
      <w:pPr>
        <w:tabs>
          <w:tab w:val="left" w:pos="851"/>
          <w:tab w:val="left" w:pos="8222"/>
        </w:tabs>
        <w:rPr>
          <w:b/>
          <w:sz w:val="24"/>
          <w:szCs w:val="24"/>
        </w:rPr>
      </w:pPr>
      <w:r w:rsidRPr="00406EE7">
        <w:rPr>
          <w:b/>
          <w:sz w:val="24"/>
          <w:szCs w:val="24"/>
        </w:rPr>
        <w:t>4.11</w:t>
      </w:r>
      <w:r w:rsidRPr="00406EE7">
        <w:rPr>
          <w:b/>
          <w:sz w:val="24"/>
          <w:szCs w:val="24"/>
        </w:rPr>
        <w:tab/>
        <w:t>Tilbageholdelsestid</w:t>
      </w:r>
    </w:p>
    <w:p w:rsidR="001B2431" w:rsidRPr="00F47BB1" w:rsidRDefault="001B2431" w:rsidP="001B2431">
      <w:pPr>
        <w:tabs>
          <w:tab w:val="left" w:pos="851"/>
          <w:tab w:val="left" w:pos="8222"/>
        </w:tabs>
        <w:ind w:left="851"/>
        <w:rPr>
          <w:sz w:val="24"/>
          <w:szCs w:val="24"/>
          <w:lang w:val="nb-NO" w:eastAsia="da-DK"/>
        </w:rPr>
      </w:pPr>
      <w:r w:rsidRPr="00F47BB1">
        <w:rPr>
          <w:sz w:val="24"/>
          <w:szCs w:val="24"/>
          <w:lang w:val="nb-NO"/>
        </w:rPr>
        <w:t>Hest: Må ikke anvendes til heste, hvis kød, indmad og mælk er bestemt til menneskeføde. Behandlingen skal noteres i hestens pas.</w:t>
      </w:r>
    </w:p>
    <w:p w:rsidR="005B0036" w:rsidRPr="00F47BB1" w:rsidRDefault="005B0036" w:rsidP="005B0036">
      <w:pPr>
        <w:pStyle w:val="Sidehoved"/>
        <w:tabs>
          <w:tab w:val="clear" w:pos="4819"/>
          <w:tab w:val="left" w:pos="8222"/>
        </w:tabs>
        <w:ind w:left="851"/>
        <w:rPr>
          <w:szCs w:val="24"/>
        </w:rPr>
      </w:pPr>
    </w:p>
    <w:p w:rsidR="005B0036" w:rsidRPr="00F47BB1" w:rsidRDefault="005B0036" w:rsidP="005B0036">
      <w:pPr>
        <w:tabs>
          <w:tab w:val="left" w:pos="851"/>
          <w:tab w:val="left" w:pos="8222"/>
        </w:tabs>
        <w:ind w:left="851"/>
        <w:rPr>
          <w:sz w:val="24"/>
          <w:szCs w:val="24"/>
        </w:rPr>
      </w:pPr>
      <w:bookmarkStart w:id="11" w:name="_GoBack"/>
      <w:bookmarkEnd w:id="11"/>
    </w:p>
    <w:p w:rsidR="005B0036" w:rsidRPr="004B069A" w:rsidRDefault="005B0036" w:rsidP="005B0036">
      <w:pPr>
        <w:tabs>
          <w:tab w:val="left" w:pos="8222"/>
        </w:tabs>
        <w:ind w:left="851" w:hanging="851"/>
        <w:rPr>
          <w:b/>
          <w:sz w:val="24"/>
          <w:szCs w:val="24"/>
        </w:rPr>
      </w:pPr>
      <w:r w:rsidRPr="004B069A">
        <w:rPr>
          <w:b/>
          <w:sz w:val="24"/>
          <w:szCs w:val="24"/>
        </w:rPr>
        <w:t>5.</w:t>
      </w:r>
      <w:r w:rsidRPr="004B069A">
        <w:rPr>
          <w:b/>
          <w:sz w:val="24"/>
          <w:szCs w:val="24"/>
        </w:rPr>
        <w:tab/>
        <w:t>FARMAKOLOGISKE EGENSKABER</w:t>
      </w:r>
    </w:p>
    <w:p w:rsidR="005B0036" w:rsidRPr="004B069A" w:rsidRDefault="005B0036" w:rsidP="005B0036">
      <w:pPr>
        <w:tabs>
          <w:tab w:val="left" w:pos="8222"/>
        </w:tabs>
        <w:ind w:left="851"/>
        <w:rPr>
          <w:sz w:val="24"/>
          <w:szCs w:val="24"/>
        </w:rPr>
      </w:pPr>
    </w:p>
    <w:p w:rsidR="004B069A" w:rsidRPr="004B069A" w:rsidRDefault="004B069A" w:rsidP="004B069A">
      <w:pPr>
        <w:tabs>
          <w:tab w:val="left" w:pos="8222"/>
        </w:tabs>
        <w:ind w:left="851"/>
        <w:rPr>
          <w:sz w:val="24"/>
          <w:szCs w:val="24"/>
          <w:lang w:val="nb-NO"/>
        </w:rPr>
      </w:pPr>
      <w:r w:rsidRPr="004B069A">
        <w:rPr>
          <w:sz w:val="24"/>
          <w:szCs w:val="24"/>
          <w:lang w:val="nb-NO"/>
        </w:rPr>
        <w:t>Farmakoterapeutisk gruppe: Psycholeptica, antipsychotica, phenothiazin med alifatisk sidekæde.</w:t>
      </w:r>
    </w:p>
    <w:p w:rsidR="004B069A" w:rsidRPr="004B069A" w:rsidRDefault="004B069A" w:rsidP="004B069A">
      <w:pPr>
        <w:tabs>
          <w:tab w:val="left" w:pos="8222"/>
        </w:tabs>
        <w:ind w:left="851"/>
        <w:rPr>
          <w:sz w:val="24"/>
          <w:szCs w:val="24"/>
          <w:lang w:val="nb-NO"/>
        </w:rPr>
      </w:pPr>
      <w:r w:rsidRPr="004B069A">
        <w:rPr>
          <w:sz w:val="24"/>
          <w:szCs w:val="24"/>
          <w:lang w:val="nb-NO"/>
        </w:rPr>
        <w:t>ATCvet-kode: QN 05 AA 04.</w:t>
      </w:r>
    </w:p>
    <w:p w:rsidR="005B0036" w:rsidRPr="004B069A" w:rsidRDefault="005B0036" w:rsidP="005B0036">
      <w:pPr>
        <w:tabs>
          <w:tab w:val="left" w:pos="8222"/>
        </w:tabs>
        <w:ind w:left="851"/>
        <w:rPr>
          <w:sz w:val="24"/>
          <w:szCs w:val="24"/>
        </w:rPr>
      </w:pPr>
    </w:p>
    <w:p w:rsidR="005B0036" w:rsidRPr="004B069A" w:rsidRDefault="005B0036" w:rsidP="005B0036">
      <w:pPr>
        <w:tabs>
          <w:tab w:val="left" w:pos="851"/>
          <w:tab w:val="left" w:pos="8222"/>
        </w:tabs>
        <w:rPr>
          <w:b/>
          <w:sz w:val="24"/>
          <w:szCs w:val="24"/>
        </w:rPr>
      </w:pPr>
      <w:r w:rsidRPr="004B069A">
        <w:rPr>
          <w:b/>
          <w:sz w:val="24"/>
          <w:szCs w:val="24"/>
        </w:rPr>
        <w:t>5.1</w:t>
      </w:r>
      <w:r w:rsidRPr="004B069A">
        <w:rPr>
          <w:b/>
          <w:sz w:val="24"/>
          <w:szCs w:val="24"/>
        </w:rPr>
        <w:tab/>
        <w:t>Farmakodynamiske egenskaber</w:t>
      </w:r>
    </w:p>
    <w:p w:rsidR="004B069A" w:rsidRPr="004B069A" w:rsidRDefault="004B069A" w:rsidP="004B069A">
      <w:pPr>
        <w:tabs>
          <w:tab w:val="left" w:pos="851"/>
          <w:tab w:val="left" w:pos="8222"/>
        </w:tabs>
        <w:ind w:left="851"/>
        <w:rPr>
          <w:sz w:val="24"/>
          <w:szCs w:val="24"/>
        </w:rPr>
      </w:pPr>
      <w:r w:rsidRPr="004B069A">
        <w:rPr>
          <w:sz w:val="24"/>
          <w:szCs w:val="24"/>
          <w:lang w:val="nb-NO"/>
        </w:rPr>
        <w:t xml:space="preserve">Det aktive stof i dette lægemiddel er acepromazin, et phenothiazin neuroleptikum. Acepromazin virker centralt på de psykomotoriske centre og reducerer derved irritabilitet (sedation fremkaldes) og motorisk aktivitet (hypokinesi fremkaldes). </w:t>
      </w:r>
      <w:r w:rsidRPr="004B069A">
        <w:rPr>
          <w:sz w:val="24"/>
          <w:szCs w:val="24"/>
        </w:rPr>
        <w:t>Behandlede dyr oplever muskelsvaghed, men bevidstheden er ikke begrænset væsentligt.</w:t>
      </w:r>
    </w:p>
    <w:p w:rsidR="004B069A" w:rsidRPr="004B069A" w:rsidRDefault="004B069A" w:rsidP="004B069A">
      <w:pPr>
        <w:tabs>
          <w:tab w:val="left" w:pos="851"/>
          <w:tab w:val="left" w:pos="8222"/>
        </w:tabs>
        <w:ind w:left="851"/>
        <w:rPr>
          <w:sz w:val="24"/>
          <w:szCs w:val="24"/>
        </w:rPr>
      </w:pPr>
      <w:r w:rsidRPr="004B069A">
        <w:rPr>
          <w:sz w:val="24"/>
          <w:szCs w:val="24"/>
        </w:rPr>
        <w:t>Samtidig administration af centrale og perifere analgetika (barbiturater, morfinderivater, lokalbedøvelsesmidler) øger virkningen af ​​acepromazin og kan føre til neuroleptanalgesi. Acepromazin kan bruges som et antiemetikum, da den depressive effekt på det autonome nervesystem forhindrer en eventuel opkastning under anæstesi.</w:t>
      </w:r>
    </w:p>
    <w:p w:rsidR="004B069A" w:rsidRPr="004B069A" w:rsidRDefault="004B069A" w:rsidP="004B069A">
      <w:pPr>
        <w:tabs>
          <w:tab w:val="left" w:pos="851"/>
          <w:tab w:val="left" w:pos="8222"/>
        </w:tabs>
        <w:ind w:left="851"/>
        <w:rPr>
          <w:sz w:val="24"/>
          <w:szCs w:val="24"/>
        </w:rPr>
      </w:pPr>
      <w:r w:rsidRPr="004B069A">
        <w:rPr>
          <w:sz w:val="24"/>
          <w:szCs w:val="24"/>
        </w:rPr>
        <w:t>Efter oral administration opstår sedativ effekt efter 15-25 minutter hos små dyr og 30-60 minutter hos store dyr. Den maksimale plasmakoncentration opnås samtidig med selve sedationen, det vil sige i løbet af 15-30 minutter. Effektens varighed, afhængig af den administrerede dosis, er 4 timer i gennemsnit. Dosis kan justeres i henhold til den forventede effekt.</w:t>
      </w:r>
    </w:p>
    <w:p w:rsidR="00473548" w:rsidRDefault="00473548">
      <w:pPr>
        <w:rPr>
          <w:sz w:val="24"/>
          <w:szCs w:val="24"/>
        </w:rPr>
      </w:pPr>
      <w:r>
        <w:rPr>
          <w:sz w:val="24"/>
          <w:szCs w:val="24"/>
        </w:rPr>
        <w:br w:type="page"/>
      </w:r>
    </w:p>
    <w:p w:rsidR="005B0036" w:rsidRPr="004B069A" w:rsidRDefault="005B0036" w:rsidP="005B0036">
      <w:pPr>
        <w:tabs>
          <w:tab w:val="left" w:pos="851"/>
          <w:tab w:val="left" w:pos="8222"/>
        </w:tabs>
        <w:ind w:left="851"/>
        <w:rPr>
          <w:sz w:val="24"/>
          <w:szCs w:val="24"/>
        </w:rPr>
      </w:pPr>
    </w:p>
    <w:p w:rsidR="005B0036" w:rsidRPr="004B069A" w:rsidRDefault="005B0036" w:rsidP="005B0036">
      <w:pPr>
        <w:tabs>
          <w:tab w:val="left" w:pos="851"/>
          <w:tab w:val="left" w:pos="8222"/>
        </w:tabs>
        <w:rPr>
          <w:b/>
          <w:sz w:val="24"/>
          <w:szCs w:val="24"/>
        </w:rPr>
      </w:pPr>
      <w:r w:rsidRPr="004B069A">
        <w:rPr>
          <w:b/>
          <w:sz w:val="24"/>
          <w:szCs w:val="24"/>
        </w:rPr>
        <w:t>5.2</w:t>
      </w:r>
      <w:r w:rsidRPr="004B069A">
        <w:rPr>
          <w:b/>
          <w:sz w:val="24"/>
          <w:szCs w:val="24"/>
        </w:rPr>
        <w:tab/>
        <w:t>Farmakokinetiske egenskaber</w:t>
      </w:r>
    </w:p>
    <w:p w:rsidR="00580CF1" w:rsidRPr="0094504C" w:rsidRDefault="00580CF1" w:rsidP="0094504C">
      <w:pPr>
        <w:ind w:left="851"/>
        <w:rPr>
          <w:sz w:val="24"/>
          <w:szCs w:val="24"/>
          <w:lang w:eastAsia="da-DK"/>
        </w:rPr>
      </w:pPr>
      <w:r w:rsidRPr="0094504C">
        <w:rPr>
          <w:sz w:val="24"/>
          <w:szCs w:val="24"/>
        </w:rPr>
        <w:t>Acepromazin absorberes efter oral administration, 99</w:t>
      </w:r>
      <w:r w:rsidR="006A0C09">
        <w:rPr>
          <w:sz w:val="24"/>
          <w:szCs w:val="24"/>
        </w:rPr>
        <w:t xml:space="preserve"> %</w:t>
      </w:r>
      <w:r w:rsidRPr="0094504C">
        <w:rPr>
          <w:sz w:val="24"/>
          <w:szCs w:val="24"/>
        </w:rPr>
        <w:t xml:space="preserve"> bundet til plasmaproteiner. Udvalgte farmakokinetiske parametre hos heste og hunde er anført nedenfor i tabel 1:</w:t>
      </w:r>
    </w:p>
    <w:p w:rsidR="00580CF1" w:rsidRPr="0094504C" w:rsidRDefault="00580CF1" w:rsidP="0094504C">
      <w:pPr>
        <w:ind w:left="851"/>
        <w:rPr>
          <w:sz w:val="24"/>
          <w:szCs w:val="24"/>
        </w:rPr>
      </w:pPr>
    </w:p>
    <w:p w:rsidR="00580CF1" w:rsidRPr="0094504C" w:rsidRDefault="00580CF1" w:rsidP="0094504C">
      <w:pPr>
        <w:ind w:left="851"/>
        <w:rPr>
          <w:sz w:val="24"/>
          <w:szCs w:val="24"/>
          <w:highlight w:val="yellow"/>
        </w:rPr>
      </w:pPr>
      <w:r w:rsidRPr="0094504C">
        <w:rPr>
          <w:sz w:val="24"/>
          <w:szCs w:val="24"/>
        </w:rPr>
        <w:t>Tabel 1: Udvalgte farmakokinetiske parametre for acepromazin efter oral administration</w:t>
      </w:r>
    </w:p>
    <w:tbl>
      <w:tblPr>
        <w:tblW w:w="4506"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9"/>
        <w:gridCol w:w="1430"/>
        <w:gridCol w:w="1239"/>
        <w:gridCol w:w="911"/>
        <w:gridCol w:w="1148"/>
        <w:gridCol w:w="765"/>
        <w:gridCol w:w="1239"/>
        <w:gridCol w:w="906"/>
      </w:tblGrid>
      <w:tr w:rsidR="00580CF1" w:rsidTr="00580CF1">
        <w:tc>
          <w:tcPr>
            <w:tcW w:w="635" w:type="pct"/>
            <w:tcBorders>
              <w:top w:val="single" w:sz="4" w:space="0" w:color="auto"/>
              <w:left w:val="single" w:sz="4" w:space="0" w:color="auto"/>
              <w:bottom w:val="single" w:sz="4" w:space="0" w:color="auto"/>
              <w:right w:val="single" w:sz="4" w:space="0" w:color="auto"/>
            </w:tcBorders>
          </w:tcPr>
          <w:p w:rsidR="00580CF1" w:rsidRDefault="00580CF1"/>
        </w:tc>
        <w:tc>
          <w:tcPr>
            <w:tcW w:w="799" w:type="pct"/>
            <w:tcBorders>
              <w:top w:val="single" w:sz="4" w:space="0" w:color="auto"/>
              <w:left w:val="single" w:sz="4" w:space="0" w:color="auto"/>
              <w:bottom w:val="single" w:sz="4" w:space="0" w:color="auto"/>
              <w:right w:val="single" w:sz="4" w:space="0" w:color="auto"/>
            </w:tcBorders>
            <w:hideMark/>
          </w:tcPr>
          <w:p w:rsidR="00580CF1" w:rsidRDefault="00580CF1">
            <w:pPr>
              <w:rPr>
                <w:b/>
              </w:rPr>
            </w:pPr>
            <w:r>
              <w:rPr>
                <w:b/>
              </w:rPr>
              <w:t xml:space="preserve">Dosis </w:t>
            </w:r>
          </w:p>
          <w:p w:rsidR="00580CF1" w:rsidRDefault="00580CF1">
            <w:pPr>
              <w:rPr>
                <w:b/>
              </w:rPr>
            </w:pPr>
            <w:r>
              <w:rPr>
                <w:b/>
              </w:rPr>
              <w:t>[mg/kg legemsvægt]</w:t>
            </w:r>
          </w:p>
        </w:tc>
        <w:tc>
          <w:tcPr>
            <w:tcW w:w="750" w:type="pct"/>
            <w:tcBorders>
              <w:top w:val="single" w:sz="4" w:space="0" w:color="auto"/>
              <w:left w:val="single" w:sz="4" w:space="0" w:color="auto"/>
              <w:bottom w:val="single" w:sz="4" w:space="0" w:color="auto"/>
              <w:right w:val="single" w:sz="4" w:space="0" w:color="auto"/>
            </w:tcBorders>
            <w:hideMark/>
          </w:tcPr>
          <w:p w:rsidR="00580CF1" w:rsidRDefault="00580CF1">
            <w:pPr>
              <w:rPr>
                <w:b/>
              </w:rPr>
            </w:pPr>
            <w:r>
              <w:rPr>
                <w:b/>
              </w:rPr>
              <w:t>c</w:t>
            </w:r>
            <w:r>
              <w:rPr>
                <w:b/>
                <w:vertAlign w:val="subscript"/>
              </w:rPr>
              <w:t>max</w:t>
            </w:r>
            <w:r>
              <w:rPr>
                <w:b/>
              </w:rPr>
              <w:t xml:space="preserve"> </w:t>
            </w:r>
          </w:p>
          <w:p w:rsidR="00580CF1" w:rsidRDefault="00580CF1">
            <w:pPr>
              <w:rPr>
                <w:b/>
              </w:rPr>
            </w:pPr>
            <w:r>
              <w:rPr>
                <w:b/>
              </w:rPr>
              <w:t>[ng/ml]</w:t>
            </w:r>
          </w:p>
        </w:tc>
        <w:tc>
          <w:tcPr>
            <w:tcW w:w="561" w:type="pct"/>
            <w:tcBorders>
              <w:top w:val="single" w:sz="4" w:space="0" w:color="auto"/>
              <w:left w:val="single" w:sz="4" w:space="0" w:color="auto"/>
              <w:bottom w:val="single" w:sz="4" w:space="0" w:color="auto"/>
              <w:right w:val="single" w:sz="4" w:space="0" w:color="auto"/>
            </w:tcBorders>
            <w:hideMark/>
          </w:tcPr>
          <w:p w:rsidR="00580CF1" w:rsidRDefault="00580CF1">
            <w:pPr>
              <w:rPr>
                <w:b/>
                <w:vertAlign w:val="subscript"/>
              </w:rPr>
            </w:pPr>
            <w:r>
              <w:rPr>
                <w:b/>
              </w:rPr>
              <w:t>t</w:t>
            </w:r>
            <w:r>
              <w:rPr>
                <w:b/>
                <w:vertAlign w:val="subscript"/>
              </w:rPr>
              <w:t xml:space="preserve">max </w:t>
            </w:r>
          </w:p>
          <w:p w:rsidR="00580CF1" w:rsidRDefault="00580CF1">
            <w:pPr>
              <w:rPr>
                <w:b/>
              </w:rPr>
            </w:pPr>
            <w:r>
              <w:rPr>
                <w:b/>
              </w:rPr>
              <w:t>[timer]</w:t>
            </w:r>
          </w:p>
        </w:tc>
        <w:tc>
          <w:tcPr>
            <w:tcW w:w="605" w:type="pct"/>
            <w:tcBorders>
              <w:top w:val="single" w:sz="4" w:space="0" w:color="auto"/>
              <w:left w:val="single" w:sz="4" w:space="0" w:color="auto"/>
              <w:bottom w:val="single" w:sz="4" w:space="0" w:color="auto"/>
              <w:right w:val="single" w:sz="4" w:space="0" w:color="auto"/>
            </w:tcBorders>
            <w:hideMark/>
          </w:tcPr>
          <w:p w:rsidR="00580CF1" w:rsidRDefault="00580CF1">
            <w:pPr>
              <w:rPr>
                <w:b/>
              </w:rPr>
            </w:pPr>
            <w:r>
              <w:rPr>
                <w:b/>
              </w:rPr>
              <w:t>AUC</w:t>
            </w:r>
            <w:r>
              <w:rPr>
                <w:b/>
                <w:vertAlign w:val="subscript"/>
              </w:rPr>
              <w:t xml:space="preserve">0–24 </w:t>
            </w:r>
            <w:r>
              <w:rPr>
                <w:b/>
              </w:rPr>
              <w:t>[ng/ml.t]</w:t>
            </w:r>
          </w:p>
        </w:tc>
        <w:tc>
          <w:tcPr>
            <w:tcW w:w="477" w:type="pct"/>
            <w:tcBorders>
              <w:top w:val="single" w:sz="4" w:space="0" w:color="auto"/>
              <w:left w:val="single" w:sz="4" w:space="0" w:color="auto"/>
              <w:bottom w:val="single" w:sz="4" w:space="0" w:color="auto"/>
              <w:right w:val="single" w:sz="4" w:space="0" w:color="auto"/>
            </w:tcBorders>
            <w:hideMark/>
          </w:tcPr>
          <w:p w:rsidR="00580CF1" w:rsidRDefault="00580CF1">
            <w:pPr>
              <w:rPr>
                <w:b/>
                <w:vertAlign w:val="subscript"/>
              </w:rPr>
            </w:pPr>
            <w:r>
              <w:rPr>
                <w:b/>
              </w:rPr>
              <w:t>V</w:t>
            </w:r>
            <w:r>
              <w:rPr>
                <w:b/>
                <w:vertAlign w:val="subscript"/>
              </w:rPr>
              <w:t xml:space="preserve">d </w:t>
            </w:r>
          </w:p>
          <w:p w:rsidR="00580CF1" w:rsidRDefault="00580CF1">
            <w:pPr>
              <w:rPr>
                <w:b/>
              </w:rPr>
            </w:pPr>
            <w:r>
              <w:rPr>
                <w:b/>
              </w:rPr>
              <w:t>[l/kg]</w:t>
            </w:r>
          </w:p>
        </w:tc>
        <w:tc>
          <w:tcPr>
            <w:tcW w:w="750" w:type="pct"/>
            <w:tcBorders>
              <w:top w:val="single" w:sz="4" w:space="0" w:color="auto"/>
              <w:left w:val="single" w:sz="4" w:space="0" w:color="auto"/>
              <w:bottom w:val="single" w:sz="4" w:space="0" w:color="auto"/>
              <w:right w:val="single" w:sz="4" w:space="0" w:color="auto"/>
            </w:tcBorders>
            <w:hideMark/>
          </w:tcPr>
          <w:p w:rsidR="00580CF1" w:rsidRDefault="00580CF1">
            <w:pPr>
              <w:rPr>
                <w:b/>
              </w:rPr>
            </w:pPr>
            <w:r>
              <w:rPr>
                <w:b/>
              </w:rPr>
              <w:t xml:space="preserve">F </w:t>
            </w:r>
          </w:p>
          <w:p w:rsidR="00580CF1" w:rsidRDefault="00580CF1">
            <w:pPr>
              <w:rPr>
                <w:b/>
              </w:rPr>
            </w:pPr>
            <w:r>
              <w:rPr>
                <w:b/>
              </w:rPr>
              <w:t>[</w:t>
            </w:r>
            <w:r w:rsidR="006A0C09">
              <w:rPr>
                <w:b/>
              </w:rPr>
              <w:t xml:space="preserve"> %</w:t>
            </w:r>
            <w:r>
              <w:rPr>
                <w:b/>
              </w:rPr>
              <w:t>]</w:t>
            </w:r>
          </w:p>
        </w:tc>
        <w:tc>
          <w:tcPr>
            <w:tcW w:w="423" w:type="pct"/>
            <w:tcBorders>
              <w:top w:val="single" w:sz="4" w:space="0" w:color="auto"/>
              <w:left w:val="single" w:sz="4" w:space="0" w:color="auto"/>
              <w:bottom w:val="single" w:sz="4" w:space="0" w:color="auto"/>
              <w:right w:val="single" w:sz="4" w:space="0" w:color="auto"/>
            </w:tcBorders>
            <w:hideMark/>
          </w:tcPr>
          <w:p w:rsidR="00580CF1" w:rsidRDefault="00580CF1">
            <w:pPr>
              <w:rPr>
                <w:b/>
                <w:vertAlign w:val="subscript"/>
              </w:rPr>
            </w:pPr>
            <w:r>
              <w:rPr>
                <w:b/>
              </w:rPr>
              <w:t>t</w:t>
            </w:r>
            <w:r>
              <w:rPr>
                <w:b/>
                <w:vertAlign w:val="subscript"/>
              </w:rPr>
              <w:t xml:space="preserve">1/2β </w:t>
            </w:r>
          </w:p>
          <w:p w:rsidR="00580CF1" w:rsidRDefault="00580CF1">
            <w:pPr>
              <w:rPr>
                <w:b/>
              </w:rPr>
            </w:pPr>
            <w:r>
              <w:rPr>
                <w:b/>
              </w:rPr>
              <w:t>[timer]</w:t>
            </w:r>
          </w:p>
        </w:tc>
      </w:tr>
      <w:tr w:rsidR="00580CF1" w:rsidTr="00580CF1">
        <w:tc>
          <w:tcPr>
            <w:tcW w:w="635" w:type="pct"/>
            <w:tcBorders>
              <w:top w:val="single" w:sz="4" w:space="0" w:color="auto"/>
              <w:left w:val="single" w:sz="4" w:space="0" w:color="auto"/>
              <w:bottom w:val="single" w:sz="4" w:space="0" w:color="auto"/>
              <w:right w:val="single" w:sz="4" w:space="0" w:color="auto"/>
            </w:tcBorders>
            <w:hideMark/>
          </w:tcPr>
          <w:p w:rsidR="00580CF1" w:rsidRDefault="00580CF1">
            <w:pPr>
              <w:rPr>
                <w:b/>
              </w:rPr>
            </w:pPr>
            <w:r>
              <w:rPr>
                <w:b/>
              </w:rPr>
              <w:t>HEST</w:t>
            </w:r>
          </w:p>
        </w:tc>
        <w:tc>
          <w:tcPr>
            <w:tcW w:w="799" w:type="pct"/>
            <w:tcBorders>
              <w:top w:val="single" w:sz="4" w:space="0" w:color="auto"/>
              <w:left w:val="single" w:sz="4" w:space="0" w:color="auto"/>
              <w:bottom w:val="single" w:sz="4" w:space="0" w:color="auto"/>
              <w:right w:val="single" w:sz="4" w:space="0" w:color="auto"/>
            </w:tcBorders>
            <w:hideMark/>
          </w:tcPr>
          <w:p w:rsidR="00580CF1" w:rsidRDefault="00580CF1">
            <w:r>
              <w:t>0,5-0,8</w:t>
            </w:r>
          </w:p>
        </w:tc>
        <w:tc>
          <w:tcPr>
            <w:tcW w:w="750" w:type="pct"/>
            <w:tcBorders>
              <w:top w:val="single" w:sz="4" w:space="0" w:color="auto"/>
              <w:left w:val="single" w:sz="4" w:space="0" w:color="auto"/>
              <w:bottom w:val="single" w:sz="4" w:space="0" w:color="auto"/>
              <w:right w:val="single" w:sz="4" w:space="0" w:color="auto"/>
            </w:tcBorders>
            <w:hideMark/>
          </w:tcPr>
          <w:p w:rsidR="00580CF1" w:rsidRDefault="00580CF1">
            <w:r>
              <w:t>59,0±10,7</w:t>
            </w:r>
          </w:p>
        </w:tc>
        <w:tc>
          <w:tcPr>
            <w:tcW w:w="561" w:type="pct"/>
            <w:tcBorders>
              <w:top w:val="single" w:sz="4" w:space="0" w:color="auto"/>
              <w:left w:val="single" w:sz="4" w:space="0" w:color="auto"/>
              <w:bottom w:val="single" w:sz="4" w:space="0" w:color="auto"/>
              <w:right w:val="single" w:sz="4" w:space="0" w:color="auto"/>
            </w:tcBorders>
            <w:hideMark/>
          </w:tcPr>
          <w:p w:rsidR="00580CF1" w:rsidRDefault="00580CF1">
            <w:r>
              <w:t>0,40±1</w:t>
            </w:r>
          </w:p>
        </w:tc>
        <w:tc>
          <w:tcPr>
            <w:tcW w:w="605" w:type="pct"/>
            <w:tcBorders>
              <w:top w:val="single" w:sz="4" w:space="0" w:color="auto"/>
              <w:left w:val="single" w:sz="4" w:space="0" w:color="auto"/>
              <w:bottom w:val="single" w:sz="4" w:space="0" w:color="auto"/>
              <w:right w:val="single" w:sz="4" w:space="0" w:color="auto"/>
            </w:tcBorders>
            <w:hideMark/>
          </w:tcPr>
          <w:p w:rsidR="00580CF1" w:rsidRDefault="00580CF1">
            <w:r>
              <w:t>114,7±8,8</w:t>
            </w:r>
          </w:p>
        </w:tc>
        <w:tc>
          <w:tcPr>
            <w:tcW w:w="477" w:type="pct"/>
            <w:tcBorders>
              <w:top w:val="single" w:sz="4" w:space="0" w:color="auto"/>
              <w:left w:val="single" w:sz="4" w:space="0" w:color="auto"/>
              <w:bottom w:val="single" w:sz="4" w:space="0" w:color="auto"/>
              <w:right w:val="single" w:sz="4" w:space="0" w:color="auto"/>
            </w:tcBorders>
            <w:hideMark/>
          </w:tcPr>
          <w:p w:rsidR="00580CF1" w:rsidRDefault="00580CF1">
            <w:r>
              <w:t>11,8*</w:t>
            </w:r>
          </w:p>
        </w:tc>
        <w:tc>
          <w:tcPr>
            <w:tcW w:w="750" w:type="pct"/>
            <w:tcBorders>
              <w:top w:val="single" w:sz="4" w:space="0" w:color="auto"/>
              <w:left w:val="single" w:sz="4" w:space="0" w:color="auto"/>
              <w:bottom w:val="single" w:sz="4" w:space="0" w:color="auto"/>
              <w:right w:val="single" w:sz="4" w:space="0" w:color="auto"/>
            </w:tcBorders>
            <w:hideMark/>
          </w:tcPr>
          <w:p w:rsidR="00580CF1" w:rsidRDefault="00580CF1">
            <w:r>
              <w:t>55,1±9,39</w:t>
            </w:r>
          </w:p>
        </w:tc>
        <w:tc>
          <w:tcPr>
            <w:tcW w:w="423" w:type="pct"/>
            <w:tcBorders>
              <w:top w:val="single" w:sz="4" w:space="0" w:color="auto"/>
              <w:left w:val="single" w:sz="4" w:space="0" w:color="auto"/>
              <w:bottom w:val="single" w:sz="4" w:space="0" w:color="auto"/>
              <w:right w:val="single" w:sz="4" w:space="0" w:color="auto"/>
            </w:tcBorders>
            <w:hideMark/>
          </w:tcPr>
          <w:p w:rsidR="00580CF1" w:rsidRDefault="00580CF1">
            <w:r>
              <w:t>6,04</w:t>
            </w:r>
          </w:p>
        </w:tc>
      </w:tr>
      <w:tr w:rsidR="00580CF1" w:rsidTr="00580CF1">
        <w:tc>
          <w:tcPr>
            <w:tcW w:w="635" w:type="pct"/>
            <w:tcBorders>
              <w:top w:val="single" w:sz="4" w:space="0" w:color="auto"/>
              <w:left w:val="single" w:sz="4" w:space="0" w:color="auto"/>
              <w:bottom w:val="single" w:sz="4" w:space="0" w:color="auto"/>
              <w:right w:val="single" w:sz="4" w:space="0" w:color="auto"/>
            </w:tcBorders>
            <w:hideMark/>
          </w:tcPr>
          <w:p w:rsidR="00580CF1" w:rsidRDefault="00580CF1">
            <w:pPr>
              <w:rPr>
                <w:b/>
              </w:rPr>
            </w:pPr>
            <w:r>
              <w:rPr>
                <w:b/>
              </w:rPr>
              <w:t>HUND</w:t>
            </w:r>
          </w:p>
        </w:tc>
        <w:tc>
          <w:tcPr>
            <w:tcW w:w="799" w:type="pct"/>
            <w:tcBorders>
              <w:top w:val="single" w:sz="4" w:space="0" w:color="auto"/>
              <w:left w:val="single" w:sz="4" w:space="0" w:color="auto"/>
              <w:bottom w:val="single" w:sz="4" w:space="0" w:color="auto"/>
              <w:right w:val="single" w:sz="4" w:space="0" w:color="auto"/>
            </w:tcBorders>
            <w:hideMark/>
          </w:tcPr>
          <w:p w:rsidR="00580CF1" w:rsidRDefault="00580CF1">
            <w:r>
              <w:t xml:space="preserve">1,3-1,5 </w:t>
            </w:r>
          </w:p>
        </w:tc>
        <w:tc>
          <w:tcPr>
            <w:tcW w:w="750" w:type="pct"/>
            <w:tcBorders>
              <w:top w:val="single" w:sz="4" w:space="0" w:color="auto"/>
              <w:left w:val="single" w:sz="4" w:space="0" w:color="auto"/>
              <w:bottom w:val="single" w:sz="4" w:space="0" w:color="auto"/>
              <w:right w:val="single" w:sz="4" w:space="0" w:color="auto"/>
            </w:tcBorders>
            <w:hideMark/>
          </w:tcPr>
          <w:p w:rsidR="00580CF1" w:rsidRDefault="00580CF1">
            <w:r>
              <w:t>10,6-14,8</w:t>
            </w:r>
          </w:p>
        </w:tc>
        <w:tc>
          <w:tcPr>
            <w:tcW w:w="561" w:type="pct"/>
            <w:tcBorders>
              <w:top w:val="single" w:sz="4" w:space="0" w:color="auto"/>
              <w:left w:val="single" w:sz="4" w:space="0" w:color="auto"/>
              <w:bottom w:val="single" w:sz="4" w:space="0" w:color="auto"/>
              <w:right w:val="single" w:sz="4" w:space="0" w:color="auto"/>
            </w:tcBorders>
            <w:hideMark/>
          </w:tcPr>
          <w:p w:rsidR="00580CF1" w:rsidRDefault="00580CF1">
            <w:r>
              <w:t xml:space="preserve">0,5-1 </w:t>
            </w:r>
          </w:p>
        </w:tc>
        <w:tc>
          <w:tcPr>
            <w:tcW w:w="605" w:type="pct"/>
            <w:tcBorders>
              <w:top w:val="single" w:sz="4" w:space="0" w:color="auto"/>
              <w:left w:val="single" w:sz="4" w:space="0" w:color="auto"/>
              <w:bottom w:val="single" w:sz="4" w:space="0" w:color="auto"/>
              <w:right w:val="single" w:sz="4" w:space="0" w:color="auto"/>
            </w:tcBorders>
            <w:hideMark/>
          </w:tcPr>
          <w:p w:rsidR="00580CF1" w:rsidRDefault="00580CF1">
            <w:r>
              <w:t>69,5</w:t>
            </w:r>
          </w:p>
        </w:tc>
        <w:tc>
          <w:tcPr>
            <w:tcW w:w="477" w:type="pct"/>
            <w:tcBorders>
              <w:top w:val="single" w:sz="4" w:space="0" w:color="auto"/>
              <w:left w:val="single" w:sz="4" w:space="0" w:color="auto"/>
              <w:bottom w:val="single" w:sz="4" w:space="0" w:color="auto"/>
              <w:right w:val="single" w:sz="4" w:space="0" w:color="auto"/>
            </w:tcBorders>
            <w:hideMark/>
          </w:tcPr>
          <w:p w:rsidR="00580CF1" w:rsidRDefault="00580CF1">
            <w:r>
              <w:t>94,61</w:t>
            </w:r>
          </w:p>
        </w:tc>
        <w:tc>
          <w:tcPr>
            <w:tcW w:w="750" w:type="pct"/>
            <w:tcBorders>
              <w:top w:val="single" w:sz="4" w:space="0" w:color="auto"/>
              <w:left w:val="single" w:sz="4" w:space="0" w:color="auto"/>
              <w:bottom w:val="single" w:sz="4" w:space="0" w:color="auto"/>
              <w:right w:val="single" w:sz="4" w:space="0" w:color="auto"/>
            </w:tcBorders>
            <w:hideMark/>
          </w:tcPr>
          <w:p w:rsidR="00580CF1" w:rsidRDefault="00580CF1">
            <w:r>
              <w:t>15,7±10,1</w:t>
            </w:r>
          </w:p>
        </w:tc>
        <w:tc>
          <w:tcPr>
            <w:tcW w:w="423" w:type="pct"/>
            <w:tcBorders>
              <w:top w:val="single" w:sz="4" w:space="0" w:color="auto"/>
              <w:left w:val="single" w:sz="4" w:space="0" w:color="auto"/>
              <w:bottom w:val="single" w:sz="4" w:space="0" w:color="auto"/>
              <w:right w:val="single" w:sz="4" w:space="0" w:color="auto"/>
            </w:tcBorders>
            <w:hideMark/>
          </w:tcPr>
          <w:p w:rsidR="00580CF1" w:rsidRDefault="00580CF1">
            <w:r>
              <w:t>15,9</w:t>
            </w:r>
          </w:p>
        </w:tc>
      </w:tr>
    </w:tbl>
    <w:p w:rsidR="00580CF1" w:rsidRDefault="00580CF1" w:rsidP="00580CF1">
      <w:pPr>
        <w:ind w:left="851"/>
        <w:rPr>
          <w:szCs w:val="22"/>
          <w:highlight w:val="yellow"/>
        </w:rPr>
      </w:pPr>
      <w:r>
        <w:rPr>
          <w:szCs w:val="22"/>
        </w:rPr>
        <w:t>*parameteren V</w:t>
      </w:r>
      <w:r>
        <w:rPr>
          <w:szCs w:val="22"/>
          <w:vertAlign w:val="subscript"/>
        </w:rPr>
        <w:t>d</w:t>
      </w:r>
      <w:r>
        <w:rPr>
          <w:szCs w:val="22"/>
        </w:rPr>
        <w:t xml:space="preserve"> er angivet efter i.v. administration i en dosis på 0,1 mg/kg legemsvægt</w:t>
      </w:r>
    </w:p>
    <w:p w:rsidR="00580CF1" w:rsidRPr="0094504C" w:rsidRDefault="00580CF1" w:rsidP="0094504C">
      <w:pPr>
        <w:ind w:left="851"/>
        <w:rPr>
          <w:sz w:val="24"/>
          <w:szCs w:val="24"/>
          <w:highlight w:val="yellow"/>
        </w:rPr>
      </w:pPr>
    </w:p>
    <w:p w:rsidR="00580CF1" w:rsidRPr="0094504C" w:rsidRDefault="00580CF1" w:rsidP="0094504C">
      <w:pPr>
        <w:ind w:left="851"/>
        <w:rPr>
          <w:sz w:val="24"/>
          <w:szCs w:val="24"/>
        </w:rPr>
      </w:pPr>
      <w:r w:rsidRPr="0094504C">
        <w:rPr>
          <w:sz w:val="24"/>
          <w:szCs w:val="24"/>
        </w:rPr>
        <w:t>Hos heste metaboliseres acepromazin betydeligt efter oral administration. Kendte metabolitter er acepromazinsulfoxid-2-(1-hydroxyethyl)-promazin, 7-hydroxyacetyl-promazin og 2-(1-hydroxyethyl)-7-hydroxypromazin. Metabolitter kan påvises i urinen.</w:t>
      </w:r>
    </w:p>
    <w:p w:rsidR="00580CF1" w:rsidRDefault="00580CF1" w:rsidP="0094504C">
      <w:pPr>
        <w:ind w:left="851"/>
        <w:jc w:val="both"/>
        <w:rPr>
          <w:sz w:val="24"/>
          <w:szCs w:val="24"/>
        </w:rPr>
      </w:pPr>
      <w:r w:rsidRPr="0094504C">
        <w:rPr>
          <w:sz w:val="24"/>
          <w:szCs w:val="24"/>
        </w:rPr>
        <w:t>Information om metabolismen af acepromazin hos hunde er ikke tilgængelig.</w:t>
      </w:r>
    </w:p>
    <w:p w:rsidR="001E12D3" w:rsidRDefault="001E12D3" w:rsidP="0094504C">
      <w:pPr>
        <w:ind w:left="851"/>
        <w:jc w:val="both"/>
        <w:rPr>
          <w:sz w:val="24"/>
          <w:szCs w:val="24"/>
        </w:rPr>
      </w:pPr>
    </w:p>
    <w:p w:rsidR="001E12D3" w:rsidRPr="001E12D3" w:rsidRDefault="001E12D3" w:rsidP="001E12D3">
      <w:pPr>
        <w:ind w:left="851" w:hanging="851"/>
        <w:jc w:val="both"/>
        <w:rPr>
          <w:b/>
          <w:sz w:val="24"/>
          <w:szCs w:val="24"/>
        </w:rPr>
      </w:pPr>
      <w:r w:rsidRPr="001E12D3">
        <w:rPr>
          <w:b/>
          <w:sz w:val="24"/>
          <w:szCs w:val="24"/>
        </w:rPr>
        <w:t>5.3</w:t>
      </w:r>
      <w:r w:rsidRPr="001E12D3">
        <w:rPr>
          <w:b/>
          <w:sz w:val="24"/>
          <w:szCs w:val="24"/>
        </w:rPr>
        <w:tab/>
        <w:t>Miljømæssige forhold</w:t>
      </w:r>
    </w:p>
    <w:p w:rsidR="001E12D3" w:rsidRPr="001E12D3" w:rsidRDefault="001E12D3" w:rsidP="001E12D3">
      <w:pPr>
        <w:ind w:left="851"/>
        <w:jc w:val="both"/>
        <w:rPr>
          <w:sz w:val="24"/>
          <w:szCs w:val="24"/>
        </w:rPr>
      </w:pPr>
      <w:r w:rsidRPr="001E12D3">
        <w:rPr>
          <w:sz w:val="24"/>
          <w:szCs w:val="24"/>
        </w:rPr>
        <w:t>-</w:t>
      </w:r>
    </w:p>
    <w:p w:rsidR="001E12D3" w:rsidRPr="0094504C" w:rsidRDefault="001E12D3" w:rsidP="0094504C">
      <w:pPr>
        <w:ind w:left="851"/>
        <w:jc w:val="both"/>
        <w:rPr>
          <w:sz w:val="24"/>
          <w:szCs w:val="24"/>
        </w:rPr>
      </w:pP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222"/>
        </w:tabs>
        <w:ind w:left="851" w:hanging="851"/>
        <w:rPr>
          <w:b/>
          <w:sz w:val="24"/>
          <w:szCs w:val="24"/>
        </w:rPr>
      </w:pPr>
      <w:r w:rsidRPr="00406EE7">
        <w:rPr>
          <w:b/>
          <w:sz w:val="24"/>
          <w:szCs w:val="24"/>
        </w:rPr>
        <w:t>6.</w:t>
      </w:r>
      <w:r w:rsidRPr="00406EE7">
        <w:rPr>
          <w:b/>
          <w:sz w:val="24"/>
          <w:szCs w:val="24"/>
        </w:rPr>
        <w:tab/>
        <w:t>FARMACEUTISKE OPLYSNINGER</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222"/>
        </w:tabs>
        <w:ind w:left="851" w:hanging="851"/>
        <w:rPr>
          <w:b/>
          <w:sz w:val="24"/>
          <w:szCs w:val="24"/>
        </w:rPr>
      </w:pPr>
      <w:r w:rsidRPr="00406EE7">
        <w:rPr>
          <w:b/>
          <w:sz w:val="24"/>
          <w:szCs w:val="24"/>
        </w:rPr>
        <w:t>6.1</w:t>
      </w:r>
      <w:r w:rsidRPr="00406EE7">
        <w:rPr>
          <w:b/>
          <w:sz w:val="24"/>
          <w:szCs w:val="24"/>
        </w:rPr>
        <w:tab/>
        <w:t>Hjælpestoffer</w:t>
      </w:r>
    </w:p>
    <w:p w:rsidR="00480285" w:rsidRPr="00480285" w:rsidRDefault="00480285" w:rsidP="00480285">
      <w:pPr>
        <w:tabs>
          <w:tab w:val="left" w:pos="851"/>
          <w:tab w:val="left" w:pos="8222"/>
        </w:tabs>
        <w:ind w:left="851"/>
        <w:rPr>
          <w:sz w:val="24"/>
          <w:szCs w:val="24"/>
        </w:rPr>
      </w:pPr>
      <w:r w:rsidRPr="00480285">
        <w:rPr>
          <w:sz w:val="24"/>
          <w:szCs w:val="24"/>
        </w:rPr>
        <w:t>Methylparahydroxybenzoat (E 218)</w:t>
      </w:r>
      <w:r w:rsidRPr="00480285">
        <w:rPr>
          <w:sz w:val="24"/>
          <w:szCs w:val="24"/>
        </w:rPr>
        <w:br/>
        <w:t>Propylparahydroxybenzoat</w:t>
      </w:r>
      <w:r w:rsidRPr="00480285">
        <w:rPr>
          <w:sz w:val="24"/>
          <w:szCs w:val="24"/>
        </w:rPr>
        <w:br/>
        <w:t>Glycerol (85</w:t>
      </w:r>
      <w:r w:rsidR="006A0C09">
        <w:rPr>
          <w:sz w:val="24"/>
          <w:szCs w:val="24"/>
        </w:rPr>
        <w:t xml:space="preserve"> %</w:t>
      </w:r>
      <w:r w:rsidRPr="00480285">
        <w:rPr>
          <w:sz w:val="24"/>
          <w:szCs w:val="24"/>
        </w:rPr>
        <w:t>)</w:t>
      </w:r>
      <w:r w:rsidRPr="00480285">
        <w:rPr>
          <w:sz w:val="24"/>
          <w:szCs w:val="24"/>
        </w:rPr>
        <w:br/>
        <w:t xml:space="preserve">Hydroxyethylcellulose </w:t>
      </w:r>
      <w:r w:rsidRPr="00480285">
        <w:rPr>
          <w:sz w:val="24"/>
          <w:szCs w:val="24"/>
        </w:rPr>
        <w:br/>
        <w:t>Natriumacetattrihydrat</w:t>
      </w:r>
      <w:r w:rsidRPr="00480285">
        <w:rPr>
          <w:sz w:val="24"/>
          <w:szCs w:val="24"/>
        </w:rPr>
        <w:br/>
        <w:t>Natriumcyclamat</w:t>
      </w:r>
      <w:r w:rsidRPr="00480285">
        <w:rPr>
          <w:sz w:val="24"/>
          <w:szCs w:val="24"/>
        </w:rPr>
        <w:br/>
        <w:t>Renset vand</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222"/>
        </w:tabs>
        <w:ind w:left="851" w:hanging="851"/>
        <w:rPr>
          <w:b/>
          <w:sz w:val="24"/>
          <w:szCs w:val="24"/>
        </w:rPr>
      </w:pPr>
      <w:r w:rsidRPr="00406EE7">
        <w:rPr>
          <w:b/>
          <w:sz w:val="24"/>
          <w:szCs w:val="24"/>
        </w:rPr>
        <w:t>6.2</w:t>
      </w:r>
      <w:r w:rsidRPr="00406EE7">
        <w:rPr>
          <w:b/>
          <w:sz w:val="24"/>
          <w:szCs w:val="24"/>
        </w:rPr>
        <w:tab/>
        <w:t>Uforligeligheder</w:t>
      </w:r>
    </w:p>
    <w:p w:rsidR="00480285" w:rsidRPr="00480285" w:rsidRDefault="00480285" w:rsidP="00480285">
      <w:pPr>
        <w:tabs>
          <w:tab w:val="left" w:pos="851"/>
          <w:tab w:val="left" w:pos="8222"/>
        </w:tabs>
        <w:ind w:left="851"/>
        <w:rPr>
          <w:sz w:val="24"/>
          <w:szCs w:val="24"/>
        </w:rPr>
      </w:pPr>
      <w:bookmarkStart w:id="12" w:name="_Hlk47214474"/>
      <w:bookmarkStart w:id="13" w:name="_Hlk102129492"/>
      <w:r w:rsidRPr="00480285">
        <w:rPr>
          <w:sz w:val="24"/>
          <w:szCs w:val="24"/>
        </w:rPr>
        <w:t>Da der ikke foreligger undersøgelser vedrørende eventuelle uforligeligheder, bør dette lægemiddel ikke blandes med andre lægemidler</w:t>
      </w:r>
      <w:bookmarkEnd w:id="12"/>
      <w:r w:rsidRPr="00480285">
        <w:rPr>
          <w:sz w:val="24"/>
          <w:szCs w:val="24"/>
        </w:rPr>
        <w:t>.</w:t>
      </w:r>
      <w:bookmarkEnd w:id="13"/>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222"/>
        </w:tabs>
        <w:ind w:left="851" w:hanging="851"/>
        <w:rPr>
          <w:b/>
          <w:sz w:val="24"/>
          <w:szCs w:val="24"/>
        </w:rPr>
      </w:pPr>
      <w:r w:rsidRPr="00406EE7">
        <w:rPr>
          <w:b/>
          <w:sz w:val="24"/>
          <w:szCs w:val="24"/>
        </w:rPr>
        <w:t>6.3</w:t>
      </w:r>
      <w:r w:rsidRPr="00406EE7">
        <w:rPr>
          <w:b/>
          <w:sz w:val="24"/>
          <w:szCs w:val="24"/>
        </w:rPr>
        <w:tab/>
        <w:t>Opbevaringstid</w:t>
      </w:r>
    </w:p>
    <w:p w:rsidR="00480285" w:rsidRDefault="00480285" w:rsidP="00480285">
      <w:pPr>
        <w:tabs>
          <w:tab w:val="left" w:pos="851"/>
          <w:tab w:val="left" w:pos="8222"/>
        </w:tabs>
        <w:ind w:left="851"/>
        <w:rPr>
          <w:sz w:val="24"/>
          <w:szCs w:val="24"/>
        </w:rPr>
      </w:pPr>
      <w:r w:rsidRPr="00480285">
        <w:rPr>
          <w:sz w:val="24"/>
          <w:szCs w:val="24"/>
        </w:rPr>
        <w:t xml:space="preserve">I salgspakning: </w:t>
      </w:r>
      <w:bookmarkStart w:id="14" w:name="_Hlk44409149"/>
      <w:r w:rsidRPr="00480285">
        <w:rPr>
          <w:sz w:val="24"/>
          <w:szCs w:val="24"/>
        </w:rPr>
        <w:t xml:space="preserve">2 </w:t>
      </w:r>
      <w:bookmarkEnd w:id="14"/>
      <w:r w:rsidRPr="00480285">
        <w:rPr>
          <w:sz w:val="24"/>
          <w:szCs w:val="24"/>
        </w:rPr>
        <w:t>år</w:t>
      </w:r>
      <w:r>
        <w:rPr>
          <w:sz w:val="24"/>
          <w:szCs w:val="24"/>
        </w:rPr>
        <w:t>.</w:t>
      </w:r>
    </w:p>
    <w:p w:rsidR="00480285" w:rsidRPr="00480285" w:rsidRDefault="00480285" w:rsidP="00480285">
      <w:pPr>
        <w:tabs>
          <w:tab w:val="left" w:pos="851"/>
          <w:tab w:val="left" w:pos="8222"/>
        </w:tabs>
        <w:ind w:left="851"/>
        <w:rPr>
          <w:sz w:val="24"/>
          <w:szCs w:val="24"/>
        </w:rPr>
      </w:pPr>
    </w:p>
    <w:p w:rsidR="00480285" w:rsidRPr="00480285" w:rsidRDefault="00480285" w:rsidP="00480285">
      <w:pPr>
        <w:tabs>
          <w:tab w:val="left" w:pos="851"/>
          <w:tab w:val="left" w:pos="8222"/>
        </w:tabs>
        <w:ind w:left="851"/>
        <w:rPr>
          <w:sz w:val="24"/>
          <w:szCs w:val="24"/>
        </w:rPr>
      </w:pPr>
      <w:r w:rsidRPr="00480285">
        <w:rPr>
          <w:sz w:val="24"/>
          <w:szCs w:val="24"/>
        </w:rPr>
        <w:t xml:space="preserve">Efter første åbning af den indre emballage: 3 </w:t>
      </w:r>
      <w:bookmarkStart w:id="15" w:name="_Hlk47213065"/>
      <w:r w:rsidRPr="00480285">
        <w:rPr>
          <w:sz w:val="24"/>
          <w:szCs w:val="24"/>
        </w:rPr>
        <w:t>måneder</w:t>
      </w:r>
      <w:bookmarkEnd w:id="15"/>
      <w:r w:rsidR="00222106">
        <w:rPr>
          <w:sz w:val="24"/>
          <w:szCs w:val="24"/>
        </w:rPr>
        <w:t>.</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222"/>
        </w:tabs>
        <w:ind w:left="851" w:hanging="851"/>
        <w:rPr>
          <w:b/>
          <w:sz w:val="24"/>
          <w:szCs w:val="24"/>
        </w:rPr>
      </w:pPr>
      <w:r w:rsidRPr="00406EE7">
        <w:rPr>
          <w:b/>
          <w:sz w:val="24"/>
          <w:szCs w:val="24"/>
        </w:rPr>
        <w:t>6.4</w:t>
      </w:r>
      <w:r w:rsidRPr="00406EE7">
        <w:rPr>
          <w:b/>
          <w:sz w:val="24"/>
          <w:szCs w:val="24"/>
        </w:rPr>
        <w:tab/>
        <w:t>Særlige opbevaringsforhold</w:t>
      </w:r>
    </w:p>
    <w:p w:rsidR="00E54DD4" w:rsidRPr="00E54DD4" w:rsidRDefault="00E54DD4" w:rsidP="00E54DD4">
      <w:pPr>
        <w:tabs>
          <w:tab w:val="left" w:pos="851"/>
          <w:tab w:val="left" w:pos="8222"/>
        </w:tabs>
        <w:ind w:left="851"/>
        <w:rPr>
          <w:sz w:val="24"/>
          <w:szCs w:val="24"/>
        </w:rPr>
      </w:pPr>
      <w:r w:rsidRPr="00E54DD4">
        <w:rPr>
          <w:sz w:val="24"/>
          <w:szCs w:val="24"/>
        </w:rPr>
        <w:t>Hold den fyldte orale sprøjte tæt tillukket.</w:t>
      </w:r>
    </w:p>
    <w:p w:rsidR="00E54DD4" w:rsidRPr="00E54DD4" w:rsidRDefault="00E54DD4" w:rsidP="00E54DD4">
      <w:pPr>
        <w:tabs>
          <w:tab w:val="left" w:pos="851"/>
          <w:tab w:val="left" w:pos="8222"/>
        </w:tabs>
        <w:ind w:left="851"/>
        <w:rPr>
          <w:sz w:val="24"/>
          <w:szCs w:val="24"/>
        </w:rPr>
      </w:pPr>
      <w:r w:rsidRPr="00E54DD4">
        <w:rPr>
          <w:sz w:val="24"/>
          <w:szCs w:val="24"/>
        </w:rPr>
        <w:t>Beskyttes mod frost.</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222"/>
        </w:tabs>
        <w:ind w:left="851" w:hanging="851"/>
        <w:rPr>
          <w:b/>
          <w:sz w:val="24"/>
          <w:szCs w:val="24"/>
        </w:rPr>
      </w:pPr>
      <w:r w:rsidRPr="00406EE7">
        <w:rPr>
          <w:b/>
          <w:sz w:val="24"/>
          <w:szCs w:val="24"/>
        </w:rPr>
        <w:t>6.5</w:t>
      </w:r>
      <w:r w:rsidRPr="00406EE7">
        <w:rPr>
          <w:b/>
          <w:sz w:val="24"/>
          <w:szCs w:val="24"/>
        </w:rPr>
        <w:tab/>
        <w:t>Emballage</w:t>
      </w:r>
    </w:p>
    <w:p w:rsidR="00E54DD4" w:rsidRDefault="00E54DD4" w:rsidP="00E54DD4">
      <w:pPr>
        <w:tabs>
          <w:tab w:val="left" w:pos="851"/>
          <w:tab w:val="left" w:pos="8222"/>
        </w:tabs>
        <w:ind w:left="851"/>
        <w:rPr>
          <w:sz w:val="24"/>
          <w:szCs w:val="24"/>
        </w:rPr>
      </w:pPr>
      <w:r w:rsidRPr="00E54DD4">
        <w:rPr>
          <w:sz w:val="24"/>
          <w:szCs w:val="24"/>
        </w:rPr>
        <w:t>1 ml PP gennemsigtig sprøjtecylinder med en sort skala monteret med en HDPE-hætte, en polyisopren-manchet, et polystyrenstempel (graduering 0,01 ml), indeholdende 1 ml af lægemidlet lukket med et skruelåg.</w:t>
      </w:r>
    </w:p>
    <w:p w:rsidR="0013104F" w:rsidRPr="00E54DD4" w:rsidRDefault="0013104F" w:rsidP="00E54DD4">
      <w:pPr>
        <w:tabs>
          <w:tab w:val="left" w:pos="851"/>
          <w:tab w:val="left" w:pos="8222"/>
        </w:tabs>
        <w:ind w:left="851"/>
        <w:rPr>
          <w:sz w:val="24"/>
          <w:szCs w:val="24"/>
        </w:rPr>
      </w:pPr>
    </w:p>
    <w:p w:rsidR="00E54DD4" w:rsidRPr="00E54DD4" w:rsidRDefault="00E54DD4" w:rsidP="00E54DD4">
      <w:pPr>
        <w:tabs>
          <w:tab w:val="left" w:pos="851"/>
          <w:tab w:val="left" w:pos="8222"/>
        </w:tabs>
        <w:ind w:left="851"/>
        <w:rPr>
          <w:sz w:val="24"/>
          <w:szCs w:val="24"/>
        </w:rPr>
      </w:pPr>
      <w:r w:rsidRPr="00E54DD4">
        <w:rPr>
          <w:sz w:val="24"/>
          <w:szCs w:val="24"/>
        </w:rPr>
        <w:lastRenderedPageBreak/>
        <w:t>12 ml HDPE hvid</w:t>
      </w:r>
      <w:r w:rsidR="0013104F">
        <w:rPr>
          <w:sz w:val="24"/>
          <w:szCs w:val="24"/>
        </w:rPr>
        <w:t>,</w:t>
      </w:r>
      <w:r w:rsidRPr="00E54DD4">
        <w:rPr>
          <w:sz w:val="24"/>
          <w:szCs w:val="24"/>
        </w:rPr>
        <w:t xml:space="preserve"> uigennemsigtig sprøjtecylinder med en skala på stemplet forsynet med en LDPE-hætte, et LDPE-stempel og en PP-doseringsring (graduering 0,5 ml), indeholdende 10 ml af lægemidlet lukket med en klik-hætte.</w:t>
      </w:r>
    </w:p>
    <w:p w:rsidR="00E54DD4" w:rsidRPr="00E54DD4" w:rsidRDefault="00E54DD4" w:rsidP="00E54DD4">
      <w:pPr>
        <w:tabs>
          <w:tab w:val="left" w:pos="851"/>
          <w:tab w:val="left" w:pos="8222"/>
        </w:tabs>
        <w:ind w:left="851"/>
        <w:rPr>
          <w:sz w:val="24"/>
          <w:szCs w:val="24"/>
        </w:rPr>
      </w:pPr>
      <w:r w:rsidRPr="00E54DD4">
        <w:rPr>
          <w:sz w:val="24"/>
          <w:szCs w:val="24"/>
        </w:rPr>
        <w:tab/>
      </w:r>
      <w:bookmarkStart w:id="16" w:name="_Hlk102129594"/>
    </w:p>
    <w:p w:rsidR="00E54DD4" w:rsidRPr="007A538A" w:rsidRDefault="00E54DD4" w:rsidP="00E54DD4">
      <w:pPr>
        <w:tabs>
          <w:tab w:val="left" w:pos="851"/>
          <w:tab w:val="left" w:pos="8222"/>
        </w:tabs>
        <w:ind w:left="851"/>
        <w:rPr>
          <w:sz w:val="24"/>
          <w:szCs w:val="24"/>
          <w:u w:val="single"/>
        </w:rPr>
      </w:pPr>
      <w:r w:rsidRPr="007A538A">
        <w:rPr>
          <w:sz w:val="24"/>
          <w:szCs w:val="24"/>
          <w:u w:val="single"/>
        </w:rPr>
        <w:t>Pakningstørrelse</w:t>
      </w:r>
      <w:r w:rsidR="0013104F" w:rsidRPr="007A538A">
        <w:rPr>
          <w:sz w:val="24"/>
          <w:szCs w:val="24"/>
          <w:u w:val="single"/>
        </w:rPr>
        <w:t>r</w:t>
      </w:r>
    </w:p>
    <w:p w:rsidR="00E54DD4" w:rsidRPr="00E54DD4" w:rsidRDefault="00E54DD4" w:rsidP="00E54DD4">
      <w:pPr>
        <w:tabs>
          <w:tab w:val="left" w:pos="851"/>
          <w:tab w:val="left" w:pos="8222"/>
        </w:tabs>
        <w:ind w:left="851"/>
        <w:rPr>
          <w:sz w:val="24"/>
          <w:szCs w:val="24"/>
        </w:rPr>
      </w:pPr>
      <w:r w:rsidRPr="00E54DD4">
        <w:rPr>
          <w:sz w:val="24"/>
          <w:szCs w:val="24"/>
        </w:rPr>
        <w:t>Æske med 1 fyldt oral sprøjte på 1 ml.</w:t>
      </w:r>
    </w:p>
    <w:p w:rsidR="00E54DD4" w:rsidRPr="00E54DD4" w:rsidRDefault="00E54DD4" w:rsidP="00E54DD4">
      <w:pPr>
        <w:tabs>
          <w:tab w:val="left" w:pos="851"/>
          <w:tab w:val="left" w:pos="8222"/>
        </w:tabs>
        <w:ind w:left="851"/>
        <w:rPr>
          <w:sz w:val="24"/>
          <w:szCs w:val="24"/>
        </w:rPr>
      </w:pPr>
      <w:r w:rsidRPr="00E54DD4">
        <w:rPr>
          <w:sz w:val="24"/>
          <w:szCs w:val="24"/>
        </w:rPr>
        <w:t>Æske med 1 fyldt oral sprøjte på 1</w:t>
      </w:r>
      <w:r w:rsidR="007A538A">
        <w:rPr>
          <w:sz w:val="24"/>
          <w:szCs w:val="24"/>
        </w:rPr>
        <w:t>0</w:t>
      </w:r>
      <w:r w:rsidRPr="00E54DD4">
        <w:rPr>
          <w:sz w:val="24"/>
          <w:szCs w:val="24"/>
        </w:rPr>
        <w:t xml:space="preserve"> ml.</w:t>
      </w:r>
    </w:p>
    <w:p w:rsidR="00E54DD4" w:rsidRPr="00E54DD4" w:rsidRDefault="00E54DD4" w:rsidP="00E54DD4">
      <w:pPr>
        <w:tabs>
          <w:tab w:val="left" w:pos="851"/>
          <w:tab w:val="left" w:pos="8222"/>
        </w:tabs>
        <w:ind w:left="851"/>
        <w:rPr>
          <w:sz w:val="24"/>
          <w:szCs w:val="24"/>
        </w:rPr>
      </w:pPr>
    </w:p>
    <w:p w:rsidR="00E54DD4" w:rsidRPr="00E54DD4" w:rsidRDefault="00E54DD4" w:rsidP="00E54DD4">
      <w:pPr>
        <w:tabs>
          <w:tab w:val="left" w:pos="851"/>
          <w:tab w:val="left" w:pos="8222"/>
        </w:tabs>
        <w:ind w:left="851"/>
        <w:rPr>
          <w:sz w:val="24"/>
          <w:szCs w:val="24"/>
        </w:rPr>
      </w:pPr>
      <w:r w:rsidRPr="00E54DD4">
        <w:rPr>
          <w:sz w:val="24"/>
          <w:szCs w:val="24"/>
        </w:rPr>
        <w:t>Ikke alle pakningsstørrelser er nødvendigvis markedsført.</w:t>
      </w:r>
      <w:bookmarkEnd w:id="16"/>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51"/>
          <w:tab w:val="left" w:pos="8222"/>
        </w:tabs>
        <w:ind w:left="851" w:hanging="851"/>
        <w:rPr>
          <w:b/>
          <w:sz w:val="24"/>
          <w:szCs w:val="24"/>
        </w:rPr>
      </w:pPr>
      <w:r w:rsidRPr="00406EE7">
        <w:rPr>
          <w:b/>
          <w:sz w:val="24"/>
          <w:szCs w:val="24"/>
        </w:rPr>
        <w:t>6.6</w:t>
      </w:r>
      <w:r w:rsidRPr="00406EE7">
        <w:rPr>
          <w:b/>
          <w:sz w:val="24"/>
          <w:szCs w:val="24"/>
        </w:rPr>
        <w:tab/>
        <w:t>Særlige forholdsregler ved bortskaffelse af rester af lægemidlet eller affald</w:t>
      </w:r>
    </w:p>
    <w:p w:rsidR="004A59E1" w:rsidRPr="004A59E1" w:rsidRDefault="004A59E1" w:rsidP="004A59E1">
      <w:pPr>
        <w:tabs>
          <w:tab w:val="left" w:pos="851"/>
          <w:tab w:val="left" w:pos="8222"/>
        </w:tabs>
        <w:ind w:left="851"/>
        <w:rPr>
          <w:i/>
          <w:sz w:val="24"/>
          <w:szCs w:val="24"/>
        </w:rPr>
      </w:pPr>
      <w:r w:rsidRPr="004A59E1">
        <w:rPr>
          <w:sz w:val="24"/>
          <w:szCs w:val="24"/>
        </w:rPr>
        <w:t>Ikke anvendte veterinærlægemidler samt affald heraf bør destrueres i henhold til lokale retningslinjer.</w:t>
      </w:r>
    </w:p>
    <w:p w:rsidR="005B0036" w:rsidRPr="00070728" w:rsidRDefault="005B0036" w:rsidP="005B0036">
      <w:pPr>
        <w:tabs>
          <w:tab w:val="left" w:pos="851"/>
          <w:tab w:val="left" w:pos="8222"/>
        </w:tabs>
        <w:ind w:left="851"/>
        <w:rPr>
          <w:sz w:val="24"/>
          <w:szCs w:val="24"/>
        </w:rPr>
      </w:pPr>
    </w:p>
    <w:p w:rsidR="005B0036" w:rsidRPr="00406EE7" w:rsidRDefault="005B0036" w:rsidP="005B0036">
      <w:pPr>
        <w:tabs>
          <w:tab w:val="left" w:pos="851"/>
          <w:tab w:val="left" w:pos="8222"/>
        </w:tabs>
        <w:ind w:left="851" w:hanging="851"/>
        <w:rPr>
          <w:b/>
          <w:sz w:val="24"/>
          <w:szCs w:val="24"/>
        </w:rPr>
      </w:pPr>
      <w:r w:rsidRPr="00406EE7">
        <w:rPr>
          <w:b/>
          <w:sz w:val="24"/>
          <w:szCs w:val="24"/>
        </w:rPr>
        <w:t>7.</w:t>
      </w:r>
      <w:r w:rsidRPr="00406EE7">
        <w:rPr>
          <w:b/>
          <w:sz w:val="24"/>
          <w:szCs w:val="24"/>
        </w:rPr>
        <w:tab/>
        <w:t>INDEHAVER AF MARKEDSFØRINGSTILLADELSEN</w:t>
      </w:r>
    </w:p>
    <w:p w:rsidR="004A59E1" w:rsidRPr="004A59E1" w:rsidRDefault="004A59E1" w:rsidP="004A59E1">
      <w:pPr>
        <w:tabs>
          <w:tab w:val="left" w:pos="851"/>
          <w:tab w:val="left" w:pos="8222"/>
        </w:tabs>
        <w:ind w:left="851"/>
        <w:rPr>
          <w:sz w:val="24"/>
          <w:szCs w:val="24"/>
        </w:rPr>
      </w:pPr>
      <w:r w:rsidRPr="004A59E1">
        <w:rPr>
          <w:sz w:val="24"/>
          <w:szCs w:val="24"/>
        </w:rPr>
        <w:t>Bioveta, a.s.</w:t>
      </w:r>
      <w:r w:rsidRPr="004A59E1">
        <w:rPr>
          <w:sz w:val="24"/>
          <w:szCs w:val="24"/>
        </w:rPr>
        <w:br/>
        <w:t>Komenského 212/12</w:t>
      </w:r>
      <w:r w:rsidRPr="004A59E1">
        <w:rPr>
          <w:sz w:val="24"/>
          <w:szCs w:val="24"/>
        </w:rPr>
        <w:br/>
        <w:t>683 23 Ivanovice na Hané</w:t>
      </w:r>
      <w:r w:rsidRPr="004A59E1">
        <w:rPr>
          <w:sz w:val="24"/>
          <w:szCs w:val="24"/>
        </w:rPr>
        <w:br/>
        <w:t>T</w:t>
      </w:r>
      <w:r>
        <w:rPr>
          <w:sz w:val="24"/>
          <w:szCs w:val="24"/>
        </w:rPr>
        <w:t>jekkiet</w:t>
      </w:r>
    </w:p>
    <w:p w:rsidR="004A59E1" w:rsidRPr="004A59E1" w:rsidRDefault="004A59E1" w:rsidP="004A59E1">
      <w:pPr>
        <w:tabs>
          <w:tab w:val="left" w:pos="851"/>
          <w:tab w:val="left" w:pos="8222"/>
        </w:tabs>
        <w:ind w:left="851"/>
        <w:rPr>
          <w:sz w:val="24"/>
          <w:szCs w:val="24"/>
        </w:rPr>
      </w:pPr>
    </w:p>
    <w:p w:rsidR="004A59E1" w:rsidRPr="004A59E1" w:rsidRDefault="004A59E1" w:rsidP="004A59E1">
      <w:pPr>
        <w:tabs>
          <w:tab w:val="left" w:pos="851"/>
          <w:tab w:val="left" w:pos="8222"/>
        </w:tabs>
        <w:ind w:left="851"/>
        <w:rPr>
          <w:b/>
          <w:bCs/>
          <w:sz w:val="24"/>
          <w:szCs w:val="24"/>
        </w:rPr>
      </w:pPr>
      <w:r w:rsidRPr="004A59E1">
        <w:rPr>
          <w:b/>
          <w:bCs/>
          <w:sz w:val="24"/>
          <w:szCs w:val="24"/>
        </w:rPr>
        <w:t>Repræsentant</w:t>
      </w:r>
    </w:p>
    <w:p w:rsidR="004A59E1" w:rsidRPr="004A59E1" w:rsidRDefault="004A59E1" w:rsidP="004A59E1">
      <w:pPr>
        <w:tabs>
          <w:tab w:val="left" w:pos="851"/>
          <w:tab w:val="left" w:pos="8222"/>
        </w:tabs>
        <w:ind w:left="851"/>
        <w:rPr>
          <w:sz w:val="24"/>
          <w:szCs w:val="24"/>
        </w:rPr>
      </w:pPr>
      <w:r w:rsidRPr="004A59E1">
        <w:rPr>
          <w:sz w:val="24"/>
          <w:szCs w:val="24"/>
        </w:rPr>
        <w:t>Salfarm Danmark A/S</w:t>
      </w:r>
    </w:p>
    <w:p w:rsidR="004A59E1" w:rsidRPr="004A59E1" w:rsidRDefault="004A59E1" w:rsidP="004A59E1">
      <w:pPr>
        <w:tabs>
          <w:tab w:val="left" w:pos="851"/>
          <w:tab w:val="left" w:pos="8222"/>
        </w:tabs>
        <w:ind w:left="851"/>
        <w:rPr>
          <w:sz w:val="24"/>
          <w:szCs w:val="24"/>
        </w:rPr>
      </w:pPr>
      <w:r w:rsidRPr="004A59E1">
        <w:rPr>
          <w:sz w:val="24"/>
          <w:szCs w:val="24"/>
        </w:rPr>
        <w:t>Nordager 19</w:t>
      </w:r>
    </w:p>
    <w:p w:rsidR="004A59E1" w:rsidRPr="004A59E1" w:rsidRDefault="004A59E1" w:rsidP="004A59E1">
      <w:pPr>
        <w:tabs>
          <w:tab w:val="left" w:pos="851"/>
          <w:tab w:val="left" w:pos="8222"/>
        </w:tabs>
        <w:ind w:left="851"/>
        <w:rPr>
          <w:sz w:val="24"/>
          <w:szCs w:val="24"/>
        </w:rPr>
      </w:pPr>
      <w:r w:rsidRPr="004A59E1">
        <w:rPr>
          <w:sz w:val="24"/>
          <w:szCs w:val="24"/>
        </w:rPr>
        <w:t>6000 Kolding</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222"/>
        </w:tabs>
        <w:ind w:left="851" w:hanging="851"/>
        <w:rPr>
          <w:b/>
          <w:sz w:val="24"/>
          <w:szCs w:val="24"/>
        </w:rPr>
      </w:pPr>
      <w:r w:rsidRPr="00406EE7">
        <w:rPr>
          <w:b/>
          <w:sz w:val="24"/>
          <w:szCs w:val="24"/>
        </w:rPr>
        <w:t>8.</w:t>
      </w:r>
      <w:r w:rsidRPr="00406EE7">
        <w:rPr>
          <w:b/>
          <w:sz w:val="24"/>
          <w:szCs w:val="24"/>
        </w:rPr>
        <w:tab/>
        <w:t>MARKEDSFØRINGSTILLADELSESNUMMER (NUMRE)</w:t>
      </w:r>
    </w:p>
    <w:p w:rsidR="005B0036" w:rsidRPr="00406EE7" w:rsidRDefault="00BD662F" w:rsidP="005B0036">
      <w:pPr>
        <w:tabs>
          <w:tab w:val="left" w:pos="851"/>
          <w:tab w:val="left" w:pos="8222"/>
        </w:tabs>
        <w:ind w:left="851"/>
        <w:rPr>
          <w:sz w:val="24"/>
          <w:szCs w:val="24"/>
        </w:rPr>
      </w:pPr>
      <w:r>
        <w:rPr>
          <w:sz w:val="24"/>
          <w:szCs w:val="24"/>
        </w:rPr>
        <w:t>67289</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51"/>
          <w:tab w:val="left" w:pos="8222"/>
        </w:tabs>
        <w:rPr>
          <w:b/>
          <w:sz w:val="24"/>
          <w:szCs w:val="24"/>
        </w:rPr>
      </w:pPr>
      <w:r w:rsidRPr="00406EE7">
        <w:rPr>
          <w:b/>
          <w:sz w:val="24"/>
          <w:szCs w:val="24"/>
        </w:rPr>
        <w:t>9.</w:t>
      </w:r>
      <w:r w:rsidRPr="00406EE7">
        <w:rPr>
          <w:b/>
          <w:sz w:val="24"/>
          <w:szCs w:val="24"/>
        </w:rPr>
        <w:tab/>
        <w:t>DATO FOR FØRSTE MARKEDSFØRINGSTILLADELSE</w:t>
      </w:r>
    </w:p>
    <w:p w:rsidR="005B0036" w:rsidRPr="00406EE7" w:rsidRDefault="001E12D3" w:rsidP="005B0036">
      <w:pPr>
        <w:tabs>
          <w:tab w:val="left" w:pos="851"/>
          <w:tab w:val="left" w:pos="8222"/>
        </w:tabs>
        <w:ind w:left="851"/>
        <w:rPr>
          <w:sz w:val="24"/>
          <w:szCs w:val="24"/>
        </w:rPr>
      </w:pPr>
      <w:r>
        <w:rPr>
          <w:sz w:val="24"/>
          <w:szCs w:val="24"/>
        </w:rPr>
        <w:t>12. juli 2022</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51"/>
          <w:tab w:val="left" w:pos="8222"/>
        </w:tabs>
        <w:ind w:left="851" w:hanging="851"/>
        <w:rPr>
          <w:b/>
          <w:sz w:val="24"/>
          <w:szCs w:val="24"/>
        </w:rPr>
      </w:pPr>
      <w:r w:rsidRPr="00406EE7">
        <w:rPr>
          <w:b/>
          <w:sz w:val="24"/>
          <w:szCs w:val="24"/>
        </w:rPr>
        <w:t>10.</w:t>
      </w:r>
      <w:r w:rsidRPr="00406EE7">
        <w:rPr>
          <w:b/>
          <w:sz w:val="24"/>
          <w:szCs w:val="24"/>
        </w:rPr>
        <w:tab/>
        <w:t>DATO FOR ÆNDRING AF TEKSTEN</w:t>
      </w:r>
    </w:p>
    <w:p w:rsidR="005B0036" w:rsidRPr="00406EE7" w:rsidRDefault="00BD662F" w:rsidP="005B0036">
      <w:pPr>
        <w:tabs>
          <w:tab w:val="left" w:pos="851"/>
          <w:tab w:val="left" w:pos="8222"/>
        </w:tabs>
        <w:ind w:left="851"/>
        <w:rPr>
          <w:sz w:val="24"/>
          <w:szCs w:val="24"/>
        </w:rPr>
      </w:pPr>
      <w:r>
        <w:rPr>
          <w:sz w:val="24"/>
          <w:szCs w:val="24"/>
        </w:rPr>
        <w:t>-</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51"/>
          <w:tab w:val="left" w:pos="8222"/>
        </w:tabs>
        <w:rPr>
          <w:b/>
          <w:sz w:val="24"/>
          <w:szCs w:val="24"/>
        </w:rPr>
      </w:pPr>
      <w:r w:rsidRPr="00406EE7">
        <w:rPr>
          <w:b/>
          <w:sz w:val="24"/>
          <w:szCs w:val="24"/>
        </w:rPr>
        <w:t>11.</w:t>
      </w:r>
      <w:r w:rsidRPr="00406EE7">
        <w:rPr>
          <w:b/>
          <w:sz w:val="24"/>
          <w:szCs w:val="24"/>
        </w:rPr>
        <w:tab/>
        <w:t>UDLEVERINGSBESTEMMELSE</w:t>
      </w:r>
    </w:p>
    <w:p w:rsidR="005B0036" w:rsidRPr="00406EE7" w:rsidRDefault="00BD662F" w:rsidP="005B0036">
      <w:pPr>
        <w:pStyle w:val="Sidehoved"/>
        <w:tabs>
          <w:tab w:val="clear" w:pos="4819"/>
          <w:tab w:val="left" w:pos="851"/>
          <w:tab w:val="left" w:pos="8222"/>
        </w:tabs>
        <w:ind w:left="851"/>
        <w:rPr>
          <w:szCs w:val="24"/>
        </w:rPr>
      </w:pPr>
      <w:r>
        <w:rPr>
          <w:szCs w:val="24"/>
        </w:rPr>
        <w:t>B</w:t>
      </w:r>
    </w:p>
    <w:sectPr w:rsidR="005B0036" w:rsidRPr="00406EE7"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0368" w:rsidRDefault="009C0368">
      <w:r>
        <w:separator/>
      </w:r>
    </w:p>
  </w:endnote>
  <w:endnote w:type="continuationSeparator" w:id="0">
    <w:p w:rsidR="009C0368" w:rsidRDefault="009C0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8515C0">
      <w:rPr>
        <w:i/>
        <w:noProof/>
        <w:snapToGrid w:val="0"/>
        <w:sz w:val="18"/>
      </w:rPr>
      <w:t>Promased, oral gel 35 mg-ml</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8515C0">
      <w:rPr>
        <w:i/>
        <w:noProof/>
        <w:snapToGrid w:val="0"/>
        <w:sz w:val="18"/>
      </w:rPr>
      <w:t>Promased, oral gel 35 mg-ml</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0368" w:rsidRDefault="009C0368">
      <w:r>
        <w:separator/>
      </w:r>
    </w:p>
  </w:footnote>
  <w:footnote w:type="continuationSeparator" w:id="0">
    <w:p w:rsidR="009C0368" w:rsidRDefault="009C03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557A84"/>
    <w:multiLevelType w:val="hybridMultilevel"/>
    <w:tmpl w:val="6E649122"/>
    <w:lvl w:ilvl="0" w:tplc="8F1248F6">
      <w:numFmt w:val="bullet"/>
      <w:lvlText w:val="-"/>
      <w:lvlJc w:val="left"/>
      <w:pPr>
        <w:ind w:left="1211" w:hanging="360"/>
      </w:pPr>
      <w:rPr>
        <w:rFonts w:ascii="Times New Roman" w:eastAsia="Times New Roman" w:hAnsi="Times New Roman" w:cs="Times New Roman" w:hint="default"/>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abstractNum w:abstractNumId="1"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4BE97077"/>
    <w:multiLevelType w:val="hybridMultilevel"/>
    <w:tmpl w:val="959E4B3A"/>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3"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15:restartNumberingAfterBreak="0">
    <w:nsid w:val="69965C1B"/>
    <w:multiLevelType w:val="hybridMultilevel"/>
    <w:tmpl w:val="70364F10"/>
    <w:lvl w:ilvl="0" w:tplc="8F1248F6">
      <w:numFmt w:val="bullet"/>
      <w:lvlText w:val="-"/>
      <w:lvlJc w:val="left"/>
      <w:pPr>
        <w:ind w:left="2062"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6" w15:restartNumberingAfterBreak="0">
    <w:nsid w:val="77DA47FF"/>
    <w:multiLevelType w:val="hybridMultilevel"/>
    <w:tmpl w:val="885A6FE6"/>
    <w:lvl w:ilvl="0" w:tplc="8F1248F6">
      <w:numFmt w:val="bullet"/>
      <w:lvlText w:val="-"/>
      <w:lvlJc w:val="left"/>
      <w:pPr>
        <w:ind w:left="2062"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0"/>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368"/>
    <w:rsid w:val="0003527F"/>
    <w:rsid w:val="000625BC"/>
    <w:rsid w:val="00065C7D"/>
    <w:rsid w:val="0008142A"/>
    <w:rsid w:val="00096B27"/>
    <w:rsid w:val="000C6CD4"/>
    <w:rsid w:val="000E319F"/>
    <w:rsid w:val="0013104F"/>
    <w:rsid w:val="001577E4"/>
    <w:rsid w:val="001858CA"/>
    <w:rsid w:val="001B2431"/>
    <w:rsid w:val="001C4AEF"/>
    <w:rsid w:val="001D3CC5"/>
    <w:rsid w:val="001E12D3"/>
    <w:rsid w:val="00222106"/>
    <w:rsid w:val="00322BDE"/>
    <w:rsid w:val="00406EE7"/>
    <w:rsid w:val="00407013"/>
    <w:rsid w:val="00473548"/>
    <w:rsid w:val="00480285"/>
    <w:rsid w:val="004A59E1"/>
    <w:rsid w:val="004A62CC"/>
    <w:rsid w:val="004B069A"/>
    <w:rsid w:val="00565A74"/>
    <w:rsid w:val="00580CF1"/>
    <w:rsid w:val="005B0036"/>
    <w:rsid w:val="005F5831"/>
    <w:rsid w:val="006126D0"/>
    <w:rsid w:val="00662012"/>
    <w:rsid w:val="00666B01"/>
    <w:rsid w:val="006A0C09"/>
    <w:rsid w:val="006B1539"/>
    <w:rsid w:val="006F5621"/>
    <w:rsid w:val="007716CB"/>
    <w:rsid w:val="00793B1A"/>
    <w:rsid w:val="007A538A"/>
    <w:rsid w:val="007E004F"/>
    <w:rsid w:val="007E2A00"/>
    <w:rsid w:val="007E6293"/>
    <w:rsid w:val="008010F2"/>
    <w:rsid w:val="008515C0"/>
    <w:rsid w:val="009202AE"/>
    <w:rsid w:val="00935F26"/>
    <w:rsid w:val="0094504C"/>
    <w:rsid w:val="009C0368"/>
    <w:rsid w:val="009D66C6"/>
    <w:rsid w:val="00A41DAC"/>
    <w:rsid w:val="00A50670"/>
    <w:rsid w:val="00A96525"/>
    <w:rsid w:val="00AE29E5"/>
    <w:rsid w:val="00AE5757"/>
    <w:rsid w:val="00B25EB8"/>
    <w:rsid w:val="00B30740"/>
    <w:rsid w:val="00B676A5"/>
    <w:rsid w:val="00BC634B"/>
    <w:rsid w:val="00BD662F"/>
    <w:rsid w:val="00BE7005"/>
    <w:rsid w:val="00BF2AE0"/>
    <w:rsid w:val="00C355BD"/>
    <w:rsid w:val="00C479BF"/>
    <w:rsid w:val="00C51728"/>
    <w:rsid w:val="00CE5D6F"/>
    <w:rsid w:val="00DA1BBB"/>
    <w:rsid w:val="00DD4224"/>
    <w:rsid w:val="00DD6D71"/>
    <w:rsid w:val="00DF32BE"/>
    <w:rsid w:val="00DF6288"/>
    <w:rsid w:val="00E14F0A"/>
    <w:rsid w:val="00E42DFB"/>
    <w:rsid w:val="00E54DD4"/>
    <w:rsid w:val="00EB5778"/>
    <w:rsid w:val="00EE5253"/>
    <w:rsid w:val="00F32F9F"/>
    <w:rsid w:val="00F47BB1"/>
    <w:rsid w:val="00FA66E4"/>
    <w:rsid w:val="00FD6433"/>
    <w:rsid w:val="00FE02E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CAAF05"/>
  <w15:chartTrackingRefBased/>
  <w15:docId w15:val="{53A4584F-FB0D-458E-BAFC-65EBFC82C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paragraph" w:styleId="Listeafsnit">
    <w:name w:val="List Paragraph"/>
    <w:basedOn w:val="Normal"/>
    <w:uiPriority w:val="34"/>
    <w:qFormat/>
    <w:rsid w:val="00096B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801678">
      <w:bodyDiv w:val="1"/>
      <w:marLeft w:val="0"/>
      <w:marRight w:val="0"/>
      <w:marTop w:val="0"/>
      <w:marBottom w:val="0"/>
      <w:divBdr>
        <w:top w:val="none" w:sz="0" w:space="0" w:color="auto"/>
        <w:left w:val="none" w:sz="0" w:space="0" w:color="auto"/>
        <w:bottom w:val="none" w:sz="0" w:space="0" w:color="auto"/>
        <w:right w:val="none" w:sz="0" w:space="0" w:color="auto"/>
      </w:divBdr>
    </w:div>
    <w:div w:id="82537338">
      <w:bodyDiv w:val="1"/>
      <w:marLeft w:val="0"/>
      <w:marRight w:val="0"/>
      <w:marTop w:val="0"/>
      <w:marBottom w:val="0"/>
      <w:divBdr>
        <w:top w:val="none" w:sz="0" w:space="0" w:color="auto"/>
        <w:left w:val="none" w:sz="0" w:space="0" w:color="auto"/>
        <w:bottom w:val="none" w:sz="0" w:space="0" w:color="auto"/>
        <w:right w:val="none" w:sz="0" w:space="0" w:color="auto"/>
      </w:divBdr>
    </w:div>
    <w:div w:id="90589390">
      <w:bodyDiv w:val="1"/>
      <w:marLeft w:val="0"/>
      <w:marRight w:val="0"/>
      <w:marTop w:val="0"/>
      <w:marBottom w:val="0"/>
      <w:divBdr>
        <w:top w:val="none" w:sz="0" w:space="0" w:color="auto"/>
        <w:left w:val="none" w:sz="0" w:space="0" w:color="auto"/>
        <w:bottom w:val="none" w:sz="0" w:space="0" w:color="auto"/>
        <w:right w:val="none" w:sz="0" w:space="0" w:color="auto"/>
      </w:divBdr>
    </w:div>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180509760">
      <w:bodyDiv w:val="1"/>
      <w:marLeft w:val="0"/>
      <w:marRight w:val="0"/>
      <w:marTop w:val="0"/>
      <w:marBottom w:val="0"/>
      <w:divBdr>
        <w:top w:val="none" w:sz="0" w:space="0" w:color="auto"/>
        <w:left w:val="none" w:sz="0" w:space="0" w:color="auto"/>
        <w:bottom w:val="none" w:sz="0" w:space="0" w:color="auto"/>
        <w:right w:val="none" w:sz="0" w:space="0" w:color="auto"/>
      </w:divBdr>
    </w:div>
    <w:div w:id="216823130">
      <w:bodyDiv w:val="1"/>
      <w:marLeft w:val="0"/>
      <w:marRight w:val="0"/>
      <w:marTop w:val="0"/>
      <w:marBottom w:val="0"/>
      <w:divBdr>
        <w:top w:val="none" w:sz="0" w:space="0" w:color="auto"/>
        <w:left w:val="none" w:sz="0" w:space="0" w:color="auto"/>
        <w:bottom w:val="none" w:sz="0" w:space="0" w:color="auto"/>
        <w:right w:val="none" w:sz="0" w:space="0" w:color="auto"/>
      </w:divBdr>
    </w:div>
    <w:div w:id="222180287">
      <w:bodyDiv w:val="1"/>
      <w:marLeft w:val="0"/>
      <w:marRight w:val="0"/>
      <w:marTop w:val="0"/>
      <w:marBottom w:val="0"/>
      <w:divBdr>
        <w:top w:val="none" w:sz="0" w:space="0" w:color="auto"/>
        <w:left w:val="none" w:sz="0" w:space="0" w:color="auto"/>
        <w:bottom w:val="none" w:sz="0" w:space="0" w:color="auto"/>
        <w:right w:val="none" w:sz="0" w:space="0" w:color="auto"/>
      </w:divBdr>
    </w:div>
    <w:div w:id="342324875">
      <w:bodyDiv w:val="1"/>
      <w:marLeft w:val="0"/>
      <w:marRight w:val="0"/>
      <w:marTop w:val="0"/>
      <w:marBottom w:val="0"/>
      <w:divBdr>
        <w:top w:val="none" w:sz="0" w:space="0" w:color="auto"/>
        <w:left w:val="none" w:sz="0" w:space="0" w:color="auto"/>
        <w:bottom w:val="none" w:sz="0" w:space="0" w:color="auto"/>
        <w:right w:val="none" w:sz="0" w:space="0" w:color="auto"/>
      </w:divBdr>
    </w:div>
    <w:div w:id="363364256">
      <w:bodyDiv w:val="1"/>
      <w:marLeft w:val="0"/>
      <w:marRight w:val="0"/>
      <w:marTop w:val="0"/>
      <w:marBottom w:val="0"/>
      <w:divBdr>
        <w:top w:val="none" w:sz="0" w:space="0" w:color="auto"/>
        <w:left w:val="none" w:sz="0" w:space="0" w:color="auto"/>
        <w:bottom w:val="none" w:sz="0" w:space="0" w:color="auto"/>
        <w:right w:val="none" w:sz="0" w:space="0" w:color="auto"/>
      </w:divBdr>
    </w:div>
    <w:div w:id="437339184">
      <w:bodyDiv w:val="1"/>
      <w:marLeft w:val="0"/>
      <w:marRight w:val="0"/>
      <w:marTop w:val="0"/>
      <w:marBottom w:val="0"/>
      <w:divBdr>
        <w:top w:val="none" w:sz="0" w:space="0" w:color="auto"/>
        <w:left w:val="none" w:sz="0" w:space="0" w:color="auto"/>
        <w:bottom w:val="none" w:sz="0" w:space="0" w:color="auto"/>
        <w:right w:val="none" w:sz="0" w:space="0" w:color="auto"/>
      </w:divBdr>
    </w:div>
    <w:div w:id="612594859">
      <w:bodyDiv w:val="1"/>
      <w:marLeft w:val="0"/>
      <w:marRight w:val="0"/>
      <w:marTop w:val="0"/>
      <w:marBottom w:val="0"/>
      <w:divBdr>
        <w:top w:val="none" w:sz="0" w:space="0" w:color="auto"/>
        <w:left w:val="none" w:sz="0" w:space="0" w:color="auto"/>
        <w:bottom w:val="none" w:sz="0" w:space="0" w:color="auto"/>
        <w:right w:val="none" w:sz="0" w:space="0" w:color="auto"/>
      </w:divBdr>
    </w:div>
    <w:div w:id="624776406">
      <w:bodyDiv w:val="1"/>
      <w:marLeft w:val="0"/>
      <w:marRight w:val="0"/>
      <w:marTop w:val="0"/>
      <w:marBottom w:val="0"/>
      <w:divBdr>
        <w:top w:val="none" w:sz="0" w:space="0" w:color="auto"/>
        <w:left w:val="none" w:sz="0" w:space="0" w:color="auto"/>
        <w:bottom w:val="none" w:sz="0" w:space="0" w:color="auto"/>
        <w:right w:val="none" w:sz="0" w:space="0" w:color="auto"/>
      </w:divBdr>
    </w:div>
    <w:div w:id="803934638">
      <w:bodyDiv w:val="1"/>
      <w:marLeft w:val="0"/>
      <w:marRight w:val="0"/>
      <w:marTop w:val="0"/>
      <w:marBottom w:val="0"/>
      <w:divBdr>
        <w:top w:val="none" w:sz="0" w:space="0" w:color="auto"/>
        <w:left w:val="none" w:sz="0" w:space="0" w:color="auto"/>
        <w:bottom w:val="none" w:sz="0" w:space="0" w:color="auto"/>
        <w:right w:val="none" w:sz="0" w:space="0" w:color="auto"/>
      </w:divBdr>
    </w:div>
    <w:div w:id="816147118">
      <w:bodyDiv w:val="1"/>
      <w:marLeft w:val="0"/>
      <w:marRight w:val="0"/>
      <w:marTop w:val="0"/>
      <w:marBottom w:val="0"/>
      <w:divBdr>
        <w:top w:val="none" w:sz="0" w:space="0" w:color="auto"/>
        <w:left w:val="none" w:sz="0" w:space="0" w:color="auto"/>
        <w:bottom w:val="none" w:sz="0" w:space="0" w:color="auto"/>
        <w:right w:val="none" w:sz="0" w:space="0" w:color="auto"/>
      </w:divBdr>
    </w:div>
    <w:div w:id="834996013">
      <w:bodyDiv w:val="1"/>
      <w:marLeft w:val="0"/>
      <w:marRight w:val="0"/>
      <w:marTop w:val="0"/>
      <w:marBottom w:val="0"/>
      <w:divBdr>
        <w:top w:val="none" w:sz="0" w:space="0" w:color="auto"/>
        <w:left w:val="none" w:sz="0" w:space="0" w:color="auto"/>
        <w:bottom w:val="none" w:sz="0" w:space="0" w:color="auto"/>
        <w:right w:val="none" w:sz="0" w:space="0" w:color="auto"/>
      </w:divBdr>
    </w:div>
    <w:div w:id="837309980">
      <w:bodyDiv w:val="1"/>
      <w:marLeft w:val="0"/>
      <w:marRight w:val="0"/>
      <w:marTop w:val="0"/>
      <w:marBottom w:val="0"/>
      <w:divBdr>
        <w:top w:val="none" w:sz="0" w:space="0" w:color="auto"/>
        <w:left w:val="none" w:sz="0" w:space="0" w:color="auto"/>
        <w:bottom w:val="none" w:sz="0" w:space="0" w:color="auto"/>
        <w:right w:val="none" w:sz="0" w:space="0" w:color="auto"/>
      </w:divBdr>
    </w:div>
    <w:div w:id="892694426">
      <w:bodyDiv w:val="1"/>
      <w:marLeft w:val="0"/>
      <w:marRight w:val="0"/>
      <w:marTop w:val="0"/>
      <w:marBottom w:val="0"/>
      <w:divBdr>
        <w:top w:val="none" w:sz="0" w:space="0" w:color="auto"/>
        <w:left w:val="none" w:sz="0" w:space="0" w:color="auto"/>
        <w:bottom w:val="none" w:sz="0" w:space="0" w:color="auto"/>
        <w:right w:val="none" w:sz="0" w:space="0" w:color="auto"/>
      </w:divBdr>
    </w:div>
    <w:div w:id="956445499">
      <w:bodyDiv w:val="1"/>
      <w:marLeft w:val="0"/>
      <w:marRight w:val="0"/>
      <w:marTop w:val="0"/>
      <w:marBottom w:val="0"/>
      <w:divBdr>
        <w:top w:val="none" w:sz="0" w:space="0" w:color="auto"/>
        <w:left w:val="none" w:sz="0" w:space="0" w:color="auto"/>
        <w:bottom w:val="none" w:sz="0" w:space="0" w:color="auto"/>
        <w:right w:val="none" w:sz="0" w:space="0" w:color="auto"/>
      </w:divBdr>
    </w:div>
    <w:div w:id="966278440">
      <w:bodyDiv w:val="1"/>
      <w:marLeft w:val="0"/>
      <w:marRight w:val="0"/>
      <w:marTop w:val="0"/>
      <w:marBottom w:val="0"/>
      <w:divBdr>
        <w:top w:val="none" w:sz="0" w:space="0" w:color="auto"/>
        <w:left w:val="none" w:sz="0" w:space="0" w:color="auto"/>
        <w:bottom w:val="none" w:sz="0" w:space="0" w:color="auto"/>
        <w:right w:val="none" w:sz="0" w:space="0" w:color="auto"/>
      </w:divBdr>
    </w:div>
    <w:div w:id="1031031143">
      <w:bodyDiv w:val="1"/>
      <w:marLeft w:val="0"/>
      <w:marRight w:val="0"/>
      <w:marTop w:val="0"/>
      <w:marBottom w:val="0"/>
      <w:divBdr>
        <w:top w:val="none" w:sz="0" w:space="0" w:color="auto"/>
        <w:left w:val="none" w:sz="0" w:space="0" w:color="auto"/>
        <w:bottom w:val="none" w:sz="0" w:space="0" w:color="auto"/>
        <w:right w:val="none" w:sz="0" w:space="0" w:color="auto"/>
      </w:divBdr>
    </w:div>
    <w:div w:id="1045909232">
      <w:bodyDiv w:val="1"/>
      <w:marLeft w:val="0"/>
      <w:marRight w:val="0"/>
      <w:marTop w:val="0"/>
      <w:marBottom w:val="0"/>
      <w:divBdr>
        <w:top w:val="none" w:sz="0" w:space="0" w:color="auto"/>
        <w:left w:val="none" w:sz="0" w:space="0" w:color="auto"/>
        <w:bottom w:val="none" w:sz="0" w:space="0" w:color="auto"/>
        <w:right w:val="none" w:sz="0" w:space="0" w:color="auto"/>
      </w:divBdr>
    </w:div>
    <w:div w:id="1060638355">
      <w:bodyDiv w:val="1"/>
      <w:marLeft w:val="0"/>
      <w:marRight w:val="0"/>
      <w:marTop w:val="0"/>
      <w:marBottom w:val="0"/>
      <w:divBdr>
        <w:top w:val="none" w:sz="0" w:space="0" w:color="auto"/>
        <w:left w:val="none" w:sz="0" w:space="0" w:color="auto"/>
        <w:bottom w:val="none" w:sz="0" w:space="0" w:color="auto"/>
        <w:right w:val="none" w:sz="0" w:space="0" w:color="auto"/>
      </w:divBdr>
    </w:div>
    <w:div w:id="1081680157">
      <w:bodyDiv w:val="1"/>
      <w:marLeft w:val="0"/>
      <w:marRight w:val="0"/>
      <w:marTop w:val="0"/>
      <w:marBottom w:val="0"/>
      <w:divBdr>
        <w:top w:val="none" w:sz="0" w:space="0" w:color="auto"/>
        <w:left w:val="none" w:sz="0" w:space="0" w:color="auto"/>
        <w:bottom w:val="none" w:sz="0" w:space="0" w:color="auto"/>
        <w:right w:val="none" w:sz="0" w:space="0" w:color="auto"/>
      </w:divBdr>
    </w:div>
    <w:div w:id="1104500675">
      <w:bodyDiv w:val="1"/>
      <w:marLeft w:val="0"/>
      <w:marRight w:val="0"/>
      <w:marTop w:val="0"/>
      <w:marBottom w:val="0"/>
      <w:divBdr>
        <w:top w:val="none" w:sz="0" w:space="0" w:color="auto"/>
        <w:left w:val="none" w:sz="0" w:space="0" w:color="auto"/>
        <w:bottom w:val="none" w:sz="0" w:space="0" w:color="auto"/>
        <w:right w:val="none" w:sz="0" w:space="0" w:color="auto"/>
      </w:divBdr>
    </w:div>
    <w:div w:id="1116826820">
      <w:bodyDiv w:val="1"/>
      <w:marLeft w:val="0"/>
      <w:marRight w:val="0"/>
      <w:marTop w:val="0"/>
      <w:marBottom w:val="0"/>
      <w:divBdr>
        <w:top w:val="none" w:sz="0" w:space="0" w:color="auto"/>
        <w:left w:val="none" w:sz="0" w:space="0" w:color="auto"/>
        <w:bottom w:val="none" w:sz="0" w:space="0" w:color="auto"/>
        <w:right w:val="none" w:sz="0" w:space="0" w:color="auto"/>
      </w:divBdr>
    </w:div>
    <w:div w:id="1314137255">
      <w:bodyDiv w:val="1"/>
      <w:marLeft w:val="0"/>
      <w:marRight w:val="0"/>
      <w:marTop w:val="0"/>
      <w:marBottom w:val="0"/>
      <w:divBdr>
        <w:top w:val="none" w:sz="0" w:space="0" w:color="auto"/>
        <w:left w:val="none" w:sz="0" w:space="0" w:color="auto"/>
        <w:bottom w:val="none" w:sz="0" w:space="0" w:color="auto"/>
        <w:right w:val="none" w:sz="0" w:space="0" w:color="auto"/>
      </w:divBdr>
    </w:div>
    <w:div w:id="1331560773">
      <w:bodyDiv w:val="1"/>
      <w:marLeft w:val="0"/>
      <w:marRight w:val="0"/>
      <w:marTop w:val="0"/>
      <w:marBottom w:val="0"/>
      <w:divBdr>
        <w:top w:val="none" w:sz="0" w:space="0" w:color="auto"/>
        <w:left w:val="none" w:sz="0" w:space="0" w:color="auto"/>
        <w:bottom w:val="none" w:sz="0" w:space="0" w:color="auto"/>
        <w:right w:val="none" w:sz="0" w:space="0" w:color="auto"/>
      </w:divBdr>
    </w:div>
    <w:div w:id="1360548783">
      <w:bodyDiv w:val="1"/>
      <w:marLeft w:val="0"/>
      <w:marRight w:val="0"/>
      <w:marTop w:val="0"/>
      <w:marBottom w:val="0"/>
      <w:divBdr>
        <w:top w:val="none" w:sz="0" w:space="0" w:color="auto"/>
        <w:left w:val="none" w:sz="0" w:space="0" w:color="auto"/>
        <w:bottom w:val="none" w:sz="0" w:space="0" w:color="auto"/>
        <w:right w:val="none" w:sz="0" w:space="0" w:color="auto"/>
      </w:divBdr>
    </w:div>
    <w:div w:id="1398624389">
      <w:bodyDiv w:val="1"/>
      <w:marLeft w:val="0"/>
      <w:marRight w:val="0"/>
      <w:marTop w:val="0"/>
      <w:marBottom w:val="0"/>
      <w:divBdr>
        <w:top w:val="none" w:sz="0" w:space="0" w:color="auto"/>
        <w:left w:val="none" w:sz="0" w:space="0" w:color="auto"/>
        <w:bottom w:val="none" w:sz="0" w:space="0" w:color="auto"/>
        <w:right w:val="none" w:sz="0" w:space="0" w:color="auto"/>
      </w:divBdr>
    </w:div>
    <w:div w:id="1405302762">
      <w:bodyDiv w:val="1"/>
      <w:marLeft w:val="0"/>
      <w:marRight w:val="0"/>
      <w:marTop w:val="0"/>
      <w:marBottom w:val="0"/>
      <w:divBdr>
        <w:top w:val="none" w:sz="0" w:space="0" w:color="auto"/>
        <w:left w:val="none" w:sz="0" w:space="0" w:color="auto"/>
        <w:bottom w:val="none" w:sz="0" w:space="0" w:color="auto"/>
        <w:right w:val="none" w:sz="0" w:space="0" w:color="auto"/>
      </w:divBdr>
    </w:div>
    <w:div w:id="1406757796">
      <w:bodyDiv w:val="1"/>
      <w:marLeft w:val="0"/>
      <w:marRight w:val="0"/>
      <w:marTop w:val="0"/>
      <w:marBottom w:val="0"/>
      <w:divBdr>
        <w:top w:val="none" w:sz="0" w:space="0" w:color="auto"/>
        <w:left w:val="none" w:sz="0" w:space="0" w:color="auto"/>
        <w:bottom w:val="none" w:sz="0" w:space="0" w:color="auto"/>
        <w:right w:val="none" w:sz="0" w:space="0" w:color="auto"/>
      </w:divBdr>
    </w:div>
    <w:div w:id="1651131204">
      <w:bodyDiv w:val="1"/>
      <w:marLeft w:val="0"/>
      <w:marRight w:val="0"/>
      <w:marTop w:val="0"/>
      <w:marBottom w:val="0"/>
      <w:divBdr>
        <w:top w:val="none" w:sz="0" w:space="0" w:color="auto"/>
        <w:left w:val="none" w:sz="0" w:space="0" w:color="auto"/>
        <w:bottom w:val="none" w:sz="0" w:space="0" w:color="auto"/>
        <w:right w:val="none" w:sz="0" w:space="0" w:color="auto"/>
      </w:divBdr>
    </w:div>
    <w:div w:id="1721130902">
      <w:bodyDiv w:val="1"/>
      <w:marLeft w:val="0"/>
      <w:marRight w:val="0"/>
      <w:marTop w:val="0"/>
      <w:marBottom w:val="0"/>
      <w:divBdr>
        <w:top w:val="none" w:sz="0" w:space="0" w:color="auto"/>
        <w:left w:val="none" w:sz="0" w:space="0" w:color="auto"/>
        <w:bottom w:val="none" w:sz="0" w:space="0" w:color="auto"/>
        <w:right w:val="none" w:sz="0" w:space="0" w:color="auto"/>
      </w:divBdr>
    </w:div>
    <w:div w:id="1744792924">
      <w:bodyDiv w:val="1"/>
      <w:marLeft w:val="0"/>
      <w:marRight w:val="0"/>
      <w:marTop w:val="0"/>
      <w:marBottom w:val="0"/>
      <w:divBdr>
        <w:top w:val="none" w:sz="0" w:space="0" w:color="auto"/>
        <w:left w:val="none" w:sz="0" w:space="0" w:color="auto"/>
        <w:bottom w:val="none" w:sz="0" w:space="0" w:color="auto"/>
        <w:right w:val="none" w:sz="0" w:space="0" w:color="auto"/>
      </w:divBdr>
    </w:div>
    <w:div w:id="1758096165">
      <w:bodyDiv w:val="1"/>
      <w:marLeft w:val="0"/>
      <w:marRight w:val="0"/>
      <w:marTop w:val="0"/>
      <w:marBottom w:val="0"/>
      <w:divBdr>
        <w:top w:val="none" w:sz="0" w:space="0" w:color="auto"/>
        <w:left w:val="none" w:sz="0" w:space="0" w:color="auto"/>
        <w:bottom w:val="none" w:sz="0" w:space="0" w:color="auto"/>
        <w:right w:val="none" w:sz="0" w:space="0" w:color="auto"/>
      </w:divBdr>
    </w:div>
    <w:div w:id="1853494211">
      <w:bodyDiv w:val="1"/>
      <w:marLeft w:val="0"/>
      <w:marRight w:val="0"/>
      <w:marTop w:val="0"/>
      <w:marBottom w:val="0"/>
      <w:divBdr>
        <w:top w:val="none" w:sz="0" w:space="0" w:color="auto"/>
        <w:left w:val="none" w:sz="0" w:space="0" w:color="auto"/>
        <w:bottom w:val="none" w:sz="0" w:space="0" w:color="auto"/>
        <w:right w:val="none" w:sz="0" w:space="0" w:color="auto"/>
      </w:divBdr>
    </w:div>
    <w:div w:id="1889223733">
      <w:bodyDiv w:val="1"/>
      <w:marLeft w:val="0"/>
      <w:marRight w:val="0"/>
      <w:marTop w:val="0"/>
      <w:marBottom w:val="0"/>
      <w:divBdr>
        <w:top w:val="none" w:sz="0" w:space="0" w:color="auto"/>
        <w:left w:val="none" w:sz="0" w:space="0" w:color="auto"/>
        <w:bottom w:val="none" w:sz="0" w:space="0" w:color="auto"/>
        <w:right w:val="none" w:sz="0" w:space="0" w:color="auto"/>
      </w:divBdr>
    </w:div>
    <w:div w:id="1896964306">
      <w:bodyDiv w:val="1"/>
      <w:marLeft w:val="0"/>
      <w:marRight w:val="0"/>
      <w:marTop w:val="0"/>
      <w:marBottom w:val="0"/>
      <w:divBdr>
        <w:top w:val="none" w:sz="0" w:space="0" w:color="auto"/>
        <w:left w:val="none" w:sz="0" w:space="0" w:color="auto"/>
        <w:bottom w:val="none" w:sz="0" w:space="0" w:color="auto"/>
        <w:right w:val="none" w:sz="0" w:space="0" w:color="auto"/>
      </w:divBdr>
    </w:div>
    <w:div w:id="1910848003">
      <w:bodyDiv w:val="1"/>
      <w:marLeft w:val="0"/>
      <w:marRight w:val="0"/>
      <w:marTop w:val="0"/>
      <w:marBottom w:val="0"/>
      <w:divBdr>
        <w:top w:val="none" w:sz="0" w:space="0" w:color="auto"/>
        <w:left w:val="none" w:sz="0" w:space="0" w:color="auto"/>
        <w:bottom w:val="none" w:sz="0" w:space="0" w:color="auto"/>
        <w:right w:val="none" w:sz="0" w:space="0" w:color="auto"/>
      </w:divBdr>
    </w:div>
    <w:div w:id="1926456944">
      <w:bodyDiv w:val="1"/>
      <w:marLeft w:val="0"/>
      <w:marRight w:val="0"/>
      <w:marTop w:val="0"/>
      <w:marBottom w:val="0"/>
      <w:divBdr>
        <w:top w:val="none" w:sz="0" w:space="0" w:color="auto"/>
        <w:left w:val="none" w:sz="0" w:space="0" w:color="auto"/>
        <w:bottom w:val="none" w:sz="0" w:space="0" w:color="auto"/>
        <w:right w:val="none" w:sz="0" w:space="0" w:color="auto"/>
      </w:divBdr>
    </w:div>
    <w:div w:id="1988515078">
      <w:bodyDiv w:val="1"/>
      <w:marLeft w:val="0"/>
      <w:marRight w:val="0"/>
      <w:marTop w:val="0"/>
      <w:marBottom w:val="0"/>
      <w:divBdr>
        <w:top w:val="none" w:sz="0" w:space="0" w:color="auto"/>
        <w:left w:val="none" w:sz="0" w:space="0" w:color="auto"/>
        <w:bottom w:val="none" w:sz="0" w:space="0" w:color="auto"/>
        <w:right w:val="none" w:sz="0" w:space="0" w:color="auto"/>
      </w:divBdr>
    </w:div>
    <w:div w:id="1996102823">
      <w:bodyDiv w:val="1"/>
      <w:marLeft w:val="0"/>
      <w:marRight w:val="0"/>
      <w:marTop w:val="0"/>
      <w:marBottom w:val="0"/>
      <w:divBdr>
        <w:top w:val="none" w:sz="0" w:space="0" w:color="auto"/>
        <w:left w:val="none" w:sz="0" w:space="0" w:color="auto"/>
        <w:bottom w:val="none" w:sz="0" w:space="0" w:color="auto"/>
        <w:right w:val="none" w:sz="0" w:space="0" w:color="auto"/>
      </w:divBdr>
    </w:div>
    <w:div w:id="2056193141">
      <w:bodyDiv w:val="1"/>
      <w:marLeft w:val="0"/>
      <w:marRight w:val="0"/>
      <w:marTop w:val="0"/>
      <w:marBottom w:val="0"/>
      <w:divBdr>
        <w:top w:val="none" w:sz="0" w:space="0" w:color="auto"/>
        <w:left w:val="none" w:sz="0" w:space="0" w:color="auto"/>
        <w:bottom w:val="none" w:sz="0" w:space="0" w:color="auto"/>
        <w:right w:val="none" w:sz="0" w:space="0" w:color="auto"/>
      </w:divBdr>
    </w:div>
    <w:div w:id="2096702088">
      <w:bodyDiv w:val="1"/>
      <w:marLeft w:val="0"/>
      <w:marRight w:val="0"/>
      <w:marTop w:val="0"/>
      <w:marBottom w:val="0"/>
      <w:divBdr>
        <w:top w:val="none" w:sz="0" w:space="0" w:color="auto"/>
        <w:left w:val="none" w:sz="0" w:space="0" w:color="auto"/>
        <w:bottom w:val="none" w:sz="0" w:space="0" w:color="auto"/>
        <w:right w:val="none" w:sz="0" w:space="0" w:color="auto"/>
      </w:divBdr>
    </w:div>
    <w:div w:id="2103529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GOD%20009-00-SKB%20SPC%20Vet%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GOD 009-00-SKB SPC Vet skabelon</Template>
  <TotalTime>64</TotalTime>
  <Pages>8</Pages>
  <Words>2075</Words>
  <Characters>12744</Characters>
  <Application>Microsoft Office Word</Application>
  <DocSecurity>0</DocSecurity>
  <Lines>106</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Hanne Thy Iversen</dc:creator>
  <cp:keywords/>
  <dc:description>2022012924 mt</dc:description>
  <cp:lastModifiedBy>Hanne Thy Iversen</cp:lastModifiedBy>
  <cp:revision>18</cp:revision>
  <dcterms:created xsi:type="dcterms:W3CDTF">2022-07-12T10:41:00Z</dcterms:created>
  <dcterms:modified xsi:type="dcterms:W3CDTF">2022-07-12T13:51:00Z</dcterms:modified>
</cp:coreProperties>
</file>