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781C07">
        <w:rPr>
          <w:b/>
          <w:sz w:val="24"/>
          <w:szCs w:val="24"/>
        </w:rPr>
        <w:t>28. august 2019</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643AC7" w:rsidP="005B0036">
      <w:pPr>
        <w:tabs>
          <w:tab w:val="left" w:pos="8222"/>
        </w:tabs>
        <w:jc w:val="center"/>
        <w:rPr>
          <w:b/>
          <w:sz w:val="24"/>
          <w:szCs w:val="24"/>
        </w:rPr>
      </w:pPr>
      <w:r>
        <w:rPr>
          <w:b/>
          <w:sz w:val="24"/>
          <w:szCs w:val="24"/>
        </w:rPr>
        <w:t>Propodine, injektions-/infusionsvæske, emulsion</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225B06" w:rsidP="005B0036">
      <w:pPr>
        <w:tabs>
          <w:tab w:val="left" w:pos="8222"/>
        </w:tabs>
        <w:ind w:left="851"/>
        <w:rPr>
          <w:sz w:val="24"/>
          <w:szCs w:val="24"/>
        </w:rPr>
      </w:pPr>
      <w:r>
        <w:rPr>
          <w:sz w:val="24"/>
          <w:szCs w:val="24"/>
        </w:rPr>
        <w:t>31229</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225B06" w:rsidP="005B0036">
      <w:pPr>
        <w:tabs>
          <w:tab w:val="left" w:pos="8222"/>
        </w:tabs>
        <w:ind w:left="851"/>
        <w:rPr>
          <w:sz w:val="24"/>
          <w:szCs w:val="24"/>
        </w:rPr>
      </w:pPr>
      <w:r>
        <w:rPr>
          <w:sz w:val="24"/>
          <w:szCs w:val="24"/>
        </w:rPr>
        <w:t>Propodine</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225B06" w:rsidRDefault="00225B06" w:rsidP="00225B06">
      <w:pPr>
        <w:ind w:left="851"/>
        <w:rPr>
          <w:sz w:val="24"/>
          <w:szCs w:val="24"/>
          <w:lang w:eastAsia="da-DK"/>
        </w:rPr>
      </w:pPr>
      <w:r w:rsidRPr="00225B06">
        <w:rPr>
          <w:sz w:val="24"/>
          <w:szCs w:val="24"/>
          <w:lang w:eastAsia="da-DK"/>
        </w:rPr>
        <w:t>Hver ml indeholder:</w:t>
      </w:r>
    </w:p>
    <w:p w:rsidR="00225B06" w:rsidRPr="00225B06" w:rsidRDefault="00225B06" w:rsidP="00225B06">
      <w:pPr>
        <w:ind w:left="851"/>
        <w:rPr>
          <w:sz w:val="24"/>
          <w:szCs w:val="24"/>
          <w:lang w:eastAsia="da-DK"/>
        </w:rPr>
      </w:pPr>
    </w:p>
    <w:p w:rsidR="00225B06" w:rsidRPr="00225B06" w:rsidRDefault="00AB3F95" w:rsidP="00225B06">
      <w:pPr>
        <w:keepNext/>
        <w:tabs>
          <w:tab w:val="left" w:pos="4320"/>
        </w:tabs>
        <w:ind w:left="851"/>
        <w:rPr>
          <w:sz w:val="24"/>
          <w:szCs w:val="24"/>
          <w:u w:val="single"/>
          <w:lang w:eastAsia="da-DK"/>
        </w:rPr>
      </w:pPr>
      <w:r>
        <w:rPr>
          <w:sz w:val="24"/>
          <w:szCs w:val="24"/>
          <w:u w:val="single"/>
          <w:lang w:eastAsia="da-DK"/>
        </w:rPr>
        <w:t>Aktivt stof</w:t>
      </w:r>
    </w:p>
    <w:p w:rsidR="00225B06" w:rsidRPr="00225B06" w:rsidRDefault="00225B06" w:rsidP="00225B06">
      <w:pPr>
        <w:tabs>
          <w:tab w:val="left" w:pos="1701"/>
        </w:tabs>
        <w:ind w:left="851"/>
        <w:rPr>
          <w:sz w:val="24"/>
          <w:szCs w:val="24"/>
          <w:lang w:eastAsia="da-DK"/>
        </w:rPr>
      </w:pPr>
      <w:r w:rsidRPr="00225B06">
        <w:rPr>
          <w:sz w:val="24"/>
          <w:szCs w:val="24"/>
          <w:lang w:eastAsia="da-DK"/>
        </w:rPr>
        <w:t>Propofol</w:t>
      </w:r>
      <w:r w:rsidRPr="00225B06">
        <w:rPr>
          <w:sz w:val="24"/>
          <w:szCs w:val="24"/>
          <w:lang w:eastAsia="da-DK"/>
        </w:rPr>
        <w:tab/>
        <w:t>10,0 mg</w:t>
      </w:r>
    </w:p>
    <w:p w:rsidR="00225B06" w:rsidRPr="00225B06" w:rsidRDefault="00225B06" w:rsidP="00225B06">
      <w:pPr>
        <w:tabs>
          <w:tab w:val="left" w:pos="4320"/>
        </w:tabs>
        <w:ind w:left="851"/>
        <w:rPr>
          <w:sz w:val="24"/>
          <w:szCs w:val="24"/>
          <w:lang w:eastAsia="da-DK"/>
        </w:rPr>
      </w:pPr>
    </w:p>
    <w:p w:rsidR="00225B06" w:rsidRPr="00225B06" w:rsidRDefault="00225B06" w:rsidP="00225B06">
      <w:pPr>
        <w:keepNext/>
        <w:tabs>
          <w:tab w:val="left" w:pos="4320"/>
        </w:tabs>
        <w:ind w:left="851"/>
        <w:rPr>
          <w:spacing w:val="-3"/>
          <w:sz w:val="24"/>
          <w:szCs w:val="24"/>
          <w:u w:val="single"/>
          <w:lang w:eastAsia="da-DK"/>
        </w:rPr>
      </w:pPr>
      <w:r>
        <w:rPr>
          <w:sz w:val="24"/>
          <w:szCs w:val="24"/>
          <w:u w:val="single"/>
          <w:lang w:eastAsia="da-DK"/>
        </w:rPr>
        <w:t>Hjælpestof</w:t>
      </w:r>
      <w:r w:rsidR="00AB3F95">
        <w:rPr>
          <w:sz w:val="24"/>
          <w:szCs w:val="24"/>
          <w:u w:val="single"/>
          <w:lang w:eastAsia="da-DK"/>
        </w:rPr>
        <w:t>(fer)</w:t>
      </w:r>
    </w:p>
    <w:p w:rsidR="005B0036" w:rsidRPr="00AB3F95" w:rsidRDefault="00225B06" w:rsidP="00AB3F95">
      <w:pPr>
        <w:suppressAutoHyphens/>
        <w:overflowPunct w:val="0"/>
        <w:autoSpaceDE w:val="0"/>
        <w:autoSpaceDN w:val="0"/>
        <w:adjustRightInd w:val="0"/>
        <w:ind w:left="851"/>
        <w:rPr>
          <w:spacing w:val="-3"/>
          <w:sz w:val="24"/>
          <w:szCs w:val="24"/>
          <w:lang w:eastAsia="da-DK"/>
        </w:rPr>
      </w:pPr>
      <w:r w:rsidRPr="00225B06">
        <w:rPr>
          <w:spacing w:val="-3"/>
          <w:sz w:val="24"/>
          <w:szCs w:val="24"/>
          <w:lang w:eastAsia="da-DK"/>
        </w:rPr>
        <w:t>Alle hjælpestoffer er anført under pkt. 6.</w:t>
      </w:r>
      <w:r w:rsidR="00AB3F95">
        <w:rPr>
          <w:spacing w:val="-3"/>
          <w:sz w:val="24"/>
          <w:szCs w:val="24"/>
          <w:lang w:eastAsia="da-DK"/>
        </w:rPr>
        <w:t>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A928F6" w:rsidRDefault="00A928F6" w:rsidP="00A928F6">
      <w:pPr>
        <w:ind w:left="851"/>
        <w:rPr>
          <w:sz w:val="24"/>
          <w:szCs w:val="24"/>
          <w:lang w:eastAsia="da-DK"/>
        </w:rPr>
      </w:pPr>
      <w:r w:rsidRPr="00A928F6">
        <w:rPr>
          <w:sz w:val="24"/>
          <w:szCs w:val="24"/>
          <w:lang w:eastAsia="da-DK"/>
        </w:rPr>
        <w:t>Injek</w:t>
      </w:r>
      <w:r>
        <w:rPr>
          <w:sz w:val="24"/>
          <w:szCs w:val="24"/>
          <w:lang w:eastAsia="da-DK"/>
        </w:rPr>
        <w:t>tions-/infusionsvæske, emulsion</w:t>
      </w:r>
    </w:p>
    <w:p w:rsidR="00A928F6" w:rsidRPr="00A928F6" w:rsidRDefault="00A928F6" w:rsidP="00A928F6">
      <w:pPr>
        <w:ind w:left="851"/>
        <w:rPr>
          <w:sz w:val="24"/>
          <w:szCs w:val="24"/>
          <w:lang w:eastAsia="da-DK"/>
        </w:rPr>
      </w:pPr>
    </w:p>
    <w:p w:rsidR="005B0036" w:rsidRPr="00406EE7" w:rsidRDefault="00A928F6" w:rsidP="00A928F6">
      <w:pPr>
        <w:ind w:left="851"/>
        <w:rPr>
          <w:sz w:val="24"/>
          <w:szCs w:val="24"/>
          <w:lang w:eastAsia="da-DK"/>
        </w:rPr>
      </w:pPr>
      <w:r w:rsidRPr="00A928F6">
        <w:rPr>
          <w:sz w:val="24"/>
          <w:szCs w:val="24"/>
          <w:lang w:eastAsia="da-DK"/>
        </w:rPr>
        <w:t>Hvid eller næsten hvid, homogen emulsion.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Default="00A65DC1" w:rsidP="005B0036">
      <w:pPr>
        <w:tabs>
          <w:tab w:val="left" w:pos="8222"/>
        </w:tabs>
        <w:ind w:left="851"/>
        <w:rPr>
          <w:sz w:val="24"/>
          <w:szCs w:val="24"/>
        </w:rPr>
      </w:pPr>
      <w:r>
        <w:rPr>
          <w:sz w:val="24"/>
          <w:szCs w:val="24"/>
        </w:rPr>
        <w:t>Hund</w:t>
      </w:r>
    </w:p>
    <w:p w:rsidR="00A65DC1" w:rsidRPr="00406EE7" w:rsidRDefault="00A65DC1" w:rsidP="005B0036">
      <w:pPr>
        <w:tabs>
          <w:tab w:val="left" w:pos="8222"/>
        </w:tabs>
        <w:ind w:left="851"/>
        <w:rPr>
          <w:sz w:val="24"/>
          <w:szCs w:val="24"/>
        </w:rPr>
      </w:pPr>
      <w:r>
        <w:rPr>
          <w:sz w:val="24"/>
          <w:szCs w:val="24"/>
        </w:rPr>
        <w:t>Kat</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A65DC1" w:rsidRPr="00A65DC1" w:rsidRDefault="00A65DC1" w:rsidP="00A65DC1">
      <w:pPr>
        <w:numPr>
          <w:ilvl w:val="0"/>
          <w:numId w:val="6"/>
        </w:numPr>
        <w:ind w:left="1134" w:hanging="283"/>
        <w:rPr>
          <w:sz w:val="24"/>
          <w:szCs w:val="24"/>
          <w:lang w:eastAsia="da-DK"/>
        </w:rPr>
      </w:pPr>
      <w:r w:rsidRPr="00A65DC1">
        <w:rPr>
          <w:sz w:val="24"/>
          <w:szCs w:val="24"/>
          <w:lang w:eastAsia="da-DK"/>
        </w:rPr>
        <w:t>Generel anæstesi til diagnostiske eller kirurgiske indgreb af kort varighed, der varer op til 5 minutter.</w:t>
      </w:r>
    </w:p>
    <w:p w:rsidR="00A65DC1" w:rsidRPr="00A65DC1" w:rsidRDefault="00A65DC1" w:rsidP="00A65DC1">
      <w:pPr>
        <w:numPr>
          <w:ilvl w:val="0"/>
          <w:numId w:val="6"/>
        </w:numPr>
        <w:ind w:left="1134" w:hanging="283"/>
        <w:rPr>
          <w:sz w:val="24"/>
          <w:szCs w:val="24"/>
          <w:lang w:eastAsia="da-DK"/>
        </w:rPr>
      </w:pPr>
      <w:r w:rsidRPr="00A65DC1">
        <w:rPr>
          <w:sz w:val="24"/>
          <w:szCs w:val="24"/>
          <w:lang w:eastAsia="da-DK"/>
        </w:rPr>
        <w:t>Induktion og vedligeholdelse af generel anæstesi.</w:t>
      </w:r>
    </w:p>
    <w:p w:rsidR="00A65DC1" w:rsidRPr="00A65DC1" w:rsidRDefault="00A65DC1" w:rsidP="00A65DC1">
      <w:pPr>
        <w:numPr>
          <w:ilvl w:val="0"/>
          <w:numId w:val="6"/>
        </w:numPr>
        <w:ind w:left="1134" w:hanging="283"/>
        <w:rPr>
          <w:sz w:val="24"/>
          <w:szCs w:val="24"/>
          <w:lang w:eastAsia="da-DK"/>
        </w:rPr>
      </w:pPr>
      <w:r w:rsidRPr="00A65DC1">
        <w:rPr>
          <w:sz w:val="24"/>
          <w:szCs w:val="24"/>
          <w:lang w:eastAsia="da-DK"/>
        </w:rPr>
        <w:t>Induktion af generel anæstesi, hvor vedligeholdelse gives med inhalationsanæstetika.</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lastRenderedPageBreak/>
        <w:t>4.3</w:t>
      </w:r>
      <w:r w:rsidRPr="00406EE7">
        <w:rPr>
          <w:b/>
          <w:szCs w:val="24"/>
        </w:rPr>
        <w:tab/>
        <w:t>Kontraindikationer</w:t>
      </w:r>
    </w:p>
    <w:p w:rsidR="005B0036" w:rsidRPr="0028567E" w:rsidRDefault="0028567E" w:rsidP="0028567E">
      <w:pPr>
        <w:ind w:left="851"/>
        <w:rPr>
          <w:sz w:val="24"/>
          <w:szCs w:val="24"/>
          <w:lang w:eastAsia="da-DK"/>
        </w:rPr>
      </w:pPr>
      <w:r w:rsidRPr="0028567E">
        <w:rPr>
          <w:sz w:val="24"/>
          <w:szCs w:val="24"/>
          <w:lang w:eastAsia="da-DK"/>
        </w:rPr>
        <w:t xml:space="preserve">Bør ikke anvendes i </w:t>
      </w:r>
      <w:bookmarkStart w:id="0" w:name="_Hlk500858553"/>
      <w:r w:rsidRPr="0028567E">
        <w:rPr>
          <w:sz w:val="24"/>
          <w:szCs w:val="24"/>
          <w:lang w:eastAsia="da-DK"/>
        </w:rPr>
        <w:t>tilfælde af overfølsomhed over for det aktive stof eller over for et eller flere af hjælpestofferne</w:t>
      </w:r>
      <w:bookmarkEnd w:id="0"/>
      <w:r w:rsidRPr="0028567E">
        <w:rPr>
          <w:sz w:val="24"/>
          <w:szCs w:val="24"/>
          <w:lang w:eastAsia="da-DK"/>
        </w:rPr>
        <w: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7148CC" w:rsidRPr="007148CC" w:rsidRDefault="007148CC" w:rsidP="007148CC">
      <w:pPr>
        <w:ind w:left="851"/>
        <w:rPr>
          <w:color w:val="000000"/>
          <w:sz w:val="24"/>
          <w:szCs w:val="24"/>
          <w:lang w:eastAsia="da-DK"/>
        </w:rPr>
      </w:pPr>
      <w:bookmarkStart w:id="1" w:name="_Hlk504559082"/>
      <w:r w:rsidRPr="007148CC">
        <w:rPr>
          <w:color w:val="000000"/>
          <w:sz w:val="24"/>
          <w:szCs w:val="24"/>
          <w:lang w:eastAsia="da-DK"/>
        </w:rPr>
        <w:t>Dette præparat er en stabil emulsion. Inden brug skal præparatet inspiceres visuelt for at sikre, at det ikke indeholder synlige dråber eller fremmedlegemer, og hvis de er til stede, skal de bortskaffes. Bør ikke anvendes, hvis der efter forsigtig omrystning er tegn på faseseparation.</w:t>
      </w:r>
    </w:p>
    <w:bookmarkEnd w:id="1"/>
    <w:p w:rsidR="005B0036" w:rsidRPr="00406EE7" w:rsidRDefault="007148CC" w:rsidP="007148CC">
      <w:pPr>
        <w:ind w:left="851"/>
        <w:rPr>
          <w:sz w:val="24"/>
          <w:szCs w:val="24"/>
          <w:lang w:eastAsia="da-DK"/>
        </w:rPr>
      </w:pPr>
      <w:r w:rsidRPr="007148CC">
        <w:rPr>
          <w:sz w:val="24"/>
          <w:szCs w:val="24"/>
          <w:lang w:eastAsia="da-DK"/>
        </w:rPr>
        <w:t>Hvis præparatet injiceres for langsomt, kan der opstå et utilstrækkeligt anæstesiniveau, da den relevante tærskelværdi for farmakologisk aktivitet ikke nås.</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6E18E2" w:rsidRPr="006E18E2" w:rsidRDefault="006E18E2" w:rsidP="006E18E2">
      <w:pPr>
        <w:ind w:left="851"/>
        <w:rPr>
          <w:sz w:val="24"/>
          <w:szCs w:val="24"/>
          <w:lang w:eastAsia="da-DK"/>
        </w:rPr>
      </w:pPr>
      <w:bookmarkStart w:id="2" w:name="_Hlk496103883"/>
      <w:r w:rsidRPr="006E18E2">
        <w:rPr>
          <w:sz w:val="24"/>
          <w:szCs w:val="24"/>
          <w:lang w:eastAsia="da-DK"/>
        </w:rPr>
        <w:t>Under induktion af anæstesi kan let hypotension og forbigående apnø forekomme.</w:t>
      </w:r>
    </w:p>
    <w:p w:rsidR="006E18E2" w:rsidRPr="006E18E2" w:rsidRDefault="006E18E2" w:rsidP="006E18E2">
      <w:pPr>
        <w:ind w:left="851"/>
        <w:rPr>
          <w:sz w:val="24"/>
          <w:szCs w:val="24"/>
          <w:lang w:eastAsia="da-DK"/>
        </w:rPr>
      </w:pPr>
      <w:r w:rsidRPr="006E18E2">
        <w:rPr>
          <w:sz w:val="24"/>
          <w:szCs w:val="24"/>
          <w:lang w:eastAsia="da-DK"/>
        </w:rPr>
        <w:t>Hvis præparatet injiceres for hurtigt, kan der opstå hjerte-lungeundertrykkelse (apnø, bradykardi, hypotension).</w:t>
      </w:r>
    </w:p>
    <w:p w:rsidR="006E18E2" w:rsidRPr="006E18E2" w:rsidRDefault="006E18E2" w:rsidP="006E18E2">
      <w:pPr>
        <w:ind w:left="851"/>
        <w:rPr>
          <w:sz w:val="24"/>
          <w:szCs w:val="24"/>
          <w:lang w:eastAsia="da-DK"/>
        </w:rPr>
      </w:pPr>
      <w:bookmarkStart w:id="3" w:name="_Hlk527548485"/>
      <w:r w:rsidRPr="006E18E2">
        <w:rPr>
          <w:sz w:val="24"/>
          <w:szCs w:val="24"/>
          <w:lang w:eastAsia="da-DK"/>
        </w:rPr>
        <w:t xml:space="preserve">Når veterinærlægemidlet anvendes, skal udstyr til opretholdelse af frie luftveje, kunstig ventilation og oxygenberigelse være tilgængeligt. </w:t>
      </w:r>
      <w:bookmarkEnd w:id="3"/>
      <w:r w:rsidRPr="006E18E2">
        <w:rPr>
          <w:sz w:val="24"/>
          <w:szCs w:val="24"/>
          <w:lang w:eastAsia="da-DK"/>
        </w:rPr>
        <w:t>Efter induktion af anæstesi, anbefales det, at der bruges en endotrakealslange. Det anbefales at administrere ekstra oxygen, mens anæstesien opretholdes.</w:t>
      </w:r>
    </w:p>
    <w:p w:rsidR="006E18E2" w:rsidRPr="006E18E2" w:rsidRDefault="006E18E2" w:rsidP="006E18E2">
      <w:pPr>
        <w:ind w:left="851"/>
        <w:rPr>
          <w:sz w:val="24"/>
          <w:szCs w:val="24"/>
          <w:lang w:eastAsia="da-DK"/>
        </w:rPr>
      </w:pPr>
      <w:r w:rsidRPr="006E18E2">
        <w:rPr>
          <w:sz w:val="24"/>
          <w:szCs w:val="24"/>
          <w:lang w:eastAsia="da-DK"/>
        </w:rPr>
        <w:t>Der skal udvises forsigtighed hos hunde og katte med nedsat hjerte-, respirations-, nyre- eller leverfunktion, eller hos hypovolæmiske eller svækkede dyr.</w:t>
      </w:r>
    </w:p>
    <w:p w:rsidR="006E18E2" w:rsidRPr="006E18E2" w:rsidRDefault="006E18E2" w:rsidP="006E18E2">
      <w:pPr>
        <w:ind w:left="851"/>
        <w:rPr>
          <w:sz w:val="24"/>
          <w:szCs w:val="24"/>
          <w:lang w:eastAsia="da-DK"/>
        </w:rPr>
      </w:pPr>
      <w:bookmarkStart w:id="4" w:name="_Hlk535408047"/>
      <w:r w:rsidRPr="006E18E2">
        <w:rPr>
          <w:sz w:val="24"/>
          <w:szCs w:val="24"/>
          <w:lang w:eastAsia="da-DK"/>
        </w:rPr>
        <w:t>Når propofol anvendes samtidigt med opioider, kan der anvendes et anticholinergt stof (f.eks. atropin) i tilfælde af bradykardi, i henhold til den ansvarlige dyrlæges benefit/risk-vurdering. Se pkt. 4.8.</w:t>
      </w:r>
    </w:p>
    <w:p w:rsidR="006E18E2" w:rsidRPr="006E18E2" w:rsidRDefault="006E18E2" w:rsidP="006E18E2">
      <w:pPr>
        <w:ind w:left="851"/>
        <w:rPr>
          <w:sz w:val="24"/>
          <w:szCs w:val="24"/>
          <w:lang w:eastAsia="da-DK"/>
        </w:rPr>
      </w:pPr>
      <w:r w:rsidRPr="006E18E2">
        <w:rPr>
          <w:sz w:val="24"/>
          <w:szCs w:val="24"/>
          <w:lang w:eastAsia="da-DK"/>
        </w:rPr>
        <w:t>Der bør udvises forsigtighed, når præparatet administreres til patienter med hypoproteinæmi, hyperlipidæmi eller til meget tynde dyr, da disse dyr kan være mere modtagelige over for bivirkninger.</w:t>
      </w:r>
      <w:bookmarkEnd w:id="4"/>
    </w:p>
    <w:p w:rsidR="006E18E2" w:rsidRPr="006E18E2" w:rsidRDefault="006E18E2" w:rsidP="006E18E2">
      <w:pPr>
        <w:ind w:left="851"/>
        <w:rPr>
          <w:sz w:val="24"/>
          <w:szCs w:val="24"/>
          <w:lang w:eastAsia="da-DK"/>
        </w:rPr>
      </w:pPr>
      <w:bookmarkStart w:id="5" w:name="_Hlk500149997"/>
      <w:r w:rsidRPr="006E18E2">
        <w:rPr>
          <w:sz w:val="24"/>
          <w:szCs w:val="24"/>
          <w:lang w:eastAsia="da-DK"/>
        </w:rPr>
        <w:t>Propofol har ikke analgetiske egenskaber, derfor skal der gives ekstra analgetiske stoffer i tilfælde, hvor indgrebene forventes at gøre ondt.</w:t>
      </w:r>
    </w:p>
    <w:p w:rsidR="006E18E2" w:rsidRPr="006E18E2" w:rsidRDefault="006E18E2" w:rsidP="006E18E2">
      <w:pPr>
        <w:ind w:left="851"/>
        <w:rPr>
          <w:sz w:val="24"/>
          <w:szCs w:val="24"/>
          <w:lang w:eastAsia="da-DK"/>
        </w:rPr>
      </w:pPr>
      <w:r w:rsidRPr="006E18E2">
        <w:rPr>
          <w:sz w:val="24"/>
          <w:szCs w:val="24"/>
          <w:lang w:eastAsia="da-DK"/>
        </w:rPr>
        <w:t>Det er blevet rapporteret, at clearance af propofol er langsommere, og forekomsten af apnø er større hos hunde over 8 år end hos yngre dyr. Der bør udvises ekstra forsigtighed, når præparatet administreres til disse dyr, for eksempel kan en lavere dosis af propofol være tilstrækkelig til induktion i sådanne tilfælde.</w:t>
      </w:r>
    </w:p>
    <w:p w:rsidR="006E18E2" w:rsidRPr="006E18E2" w:rsidRDefault="006E18E2" w:rsidP="006E18E2">
      <w:pPr>
        <w:ind w:left="851"/>
        <w:rPr>
          <w:sz w:val="24"/>
          <w:szCs w:val="24"/>
          <w:lang w:eastAsia="da-DK"/>
        </w:rPr>
      </w:pPr>
      <w:bookmarkStart w:id="6" w:name="_Hlk527470439"/>
      <w:r w:rsidRPr="006E18E2">
        <w:rPr>
          <w:sz w:val="24"/>
          <w:szCs w:val="24"/>
          <w:lang w:eastAsia="da-DK"/>
        </w:rPr>
        <w:t>Sikkerheden af præparatet er ikke blevet klarlagt hos hunde eller katte under 4 måneder, og det må kun anvendes til disse dyr i henhold til den ansvarlige dyrlæges vurdering af benefit/risk-forholdet.</w:t>
      </w:r>
    </w:p>
    <w:bookmarkEnd w:id="5"/>
    <w:bookmarkEnd w:id="6"/>
    <w:p w:rsidR="006E18E2" w:rsidRPr="006E18E2" w:rsidRDefault="006E18E2" w:rsidP="006E18E2">
      <w:pPr>
        <w:ind w:left="851"/>
        <w:rPr>
          <w:sz w:val="24"/>
          <w:szCs w:val="24"/>
          <w:lang w:eastAsia="da-DK"/>
        </w:rPr>
      </w:pPr>
      <w:r w:rsidRPr="006E18E2">
        <w:rPr>
          <w:sz w:val="24"/>
          <w:szCs w:val="24"/>
          <w:lang w:eastAsia="da-DK"/>
        </w:rPr>
        <w:t>Det er blevet rapporteret, at mynder udviser en mere langsom clearance af propofol, og konvalescens fra anæstesien kan være lidt længere end hos andre hunderacer.</w:t>
      </w:r>
    </w:p>
    <w:p w:rsidR="005B0036" w:rsidRDefault="006E18E2" w:rsidP="006E18E2">
      <w:pPr>
        <w:ind w:left="851"/>
        <w:rPr>
          <w:sz w:val="24"/>
          <w:szCs w:val="24"/>
          <w:lang w:eastAsia="da-DK"/>
        </w:rPr>
      </w:pPr>
      <w:r w:rsidRPr="006E18E2">
        <w:rPr>
          <w:sz w:val="24"/>
          <w:szCs w:val="24"/>
          <w:lang w:eastAsia="da-DK"/>
        </w:rPr>
        <w:t>Anvend aseptiske teknikker, når præparatet administreres, da det ikke indeholder et antimikrobielt konserveringsmiddel.</w:t>
      </w:r>
      <w:bookmarkEnd w:id="2"/>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6E18E2" w:rsidRPr="006E18E2" w:rsidRDefault="006E18E2" w:rsidP="006E18E2">
      <w:pPr>
        <w:ind w:left="851"/>
        <w:rPr>
          <w:sz w:val="24"/>
          <w:szCs w:val="24"/>
          <w:lang w:eastAsia="da-DK"/>
        </w:rPr>
      </w:pPr>
      <w:bookmarkStart w:id="7" w:name="_Hlk504559148"/>
      <w:r w:rsidRPr="006E18E2">
        <w:rPr>
          <w:sz w:val="24"/>
          <w:szCs w:val="24"/>
          <w:lang w:eastAsia="da-DK"/>
        </w:rPr>
        <w:t>Propofol er et potent lægemiddel, og der skal udvises særlig forsigtighed, så selvinjektion ved hændeligt uheld undgås. Kanylen skal helst være beskyttet med en hætte indtil injektionstidspunktet.</w:t>
      </w:r>
    </w:p>
    <w:p w:rsidR="006E18E2" w:rsidRPr="006E18E2" w:rsidRDefault="006E18E2" w:rsidP="006E18E2">
      <w:pPr>
        <w:ind w:left="851"/>
        <w:rPr>
          <w:sz w:val="24"/>
          <w:szCs w:val="24"/>
          <w:lang w:eastAsia="da-DK"/>
        </w:rPr>
      </w:pPr>
      <w:r w:rsidRPr="006E18E2">
        <w:rPr>
          <w:sz w:val="24"/>
          <w:szCs w:val="24"/>
          <w:lang w:eastAsia="da-DK"/>
        </w:rPr>
        <w:t>I tilfælde af selvinjektion ved hændeligt uheld skal der straks søges lægehjælp, og indlægssedlen eller etiketten bør vises til lægen, men DER MÅ IKKE FØRES MOTORKØRETØJ, da der kan opstå sedering.</w:t>
      </w:r>
    </w:p>
    <w:p w:rsidR="006E18E2" w:rsidRPr="006E18E2" w:rsidRDefault="006E18E2" w:rsidP="006E18E2">
      <w:pPr>
        <w:ind w:left="851"/>
        <w:rPr>
          <w:sz w:val="24"/>
          <w:szCs w:val="24"/>
          <w:lang w:eastAsia="da-DK"/>
        </w:rPr>
      </w:pPr>
      <w:r w:rsidRPr="006E18E2">
        <w:rPr>
          <w:sz w:val="24"/>
          <w:szCs w:val="24"/>
          <w:lang w:eastAsia="da-DK"/>
        </w:rPr>
        <w:lastRenderedPageBreak/>
        <w:t>Undgå kontakt med hud og øjne, da dette præparat kan forårsage irritation. Vask øjeblikkelig stænk væk fra hud og øjne med rigeligt vand. Søg lægehjælp, hvis irritationen varer ved.</w:t>
      </w:r>
    </w:p>
    <w:p w:rsidR="006E18E2" w:rsidRPr="006E18E2" w:rsidRDefault="006E18E2" w:rsidP="006E18E2">
      <w:pPr>
        <w:ind w:left="851"/>
        <w:rPr>
          <w:sz w:val="24"/>
          <w:szCs w:val="24"/>
          <w:lang w:eastAsia="da-DK"/>
        </w:rPr>
      </w:pPr>
      <w:r w:rsidRPr="006E18E2">
        <w:rPr>
          <w:sz w:val="24"/>
          <w:szCs w:val="24"/>
          <w:lang w:eastAsia="da-DK"/>
        </w:rPr>
        <w:t>Dette præparat kan forårsage overfølsomhedsreaktioner (allergi) hos personer, der allerede er sensibiliserede over for propofol eller andre lægemidler, soja eller æg. Ved overfølsomhed over for disse stoffer, bør kontakt med lægemidlet undgås.</w:t>
      </w:r>
    </w:p>
    <w:p w:rsidR="006E18E2" w:rsidRPr="006E18E2" w:rsidRDefault="006E18E2" w:rsidP="006E18E2">
      <w:pPr>
        <w:ind w:left="851"/>
        <w:rPr>
          <w:sz w:val="24"/>
          <w:szCs w:val="24"/>
          <w:lang w:eastAsia="da-DK"/>
        </w:rPr>
      </w:pPr>
    </w:p>
    <w:p w:rsidR="006E18E2" w:rsidRPr="006E18E2" w:rsidRDefault="006E18E2" w:rsidP="006E18E2">
      <w:pPr>
        <w:keepNext/>
        <w:ind w:left="851"/>
        <w:rPr>
          <w:sz w:val="24"/>
          <w:szCs w:val="24"/>
          <w:u w:val="single"/>
          <w:lang w:eastAsia="da-DK"/>
        </w:rPr>
      </w:pPr>
      <w:r>
        <w:rPr>
          <w:sz w:val="24"/>
          <w:szCs w:val="24"/>
          <w:u w:val="single"/>
          <w:lang w:eastAsia="da-DK"/>
        </w:rPr>
        <w:t>Til lægen</w:t>
      </w:r>
    </w:p>
    <w:p w:rsidR="005B0036" w:rsidRPr="00406EE7" w:rsidRDefault="006E18E2" w:rsidP="006E18E2">
      <w:pPr>
        <w:ind w:left="851"/>
        <w:rPr>
          <w:sz w:val="24"/>
          <w:szCs w:val="24"/>
          <w:lang w:eastAsia="da-DK"/>
        </w:rPr>
      </w:pPr>
      <w:r w:rsidRPr="006E18E2">
        <w:rPr>
          <w:sz w:val="24"/>
          <w:szCs w:val="24"/>
          <w:lang w:eastAsia="da-DK"/>
        </w:rPr>
        <w:t>Lad ikke patienten være uden opsyn. Frie luftveje skal opretholdes, og symptomatisk og støttende behandling skal gives</w:t>
      </w:r>
      <w:bookmarkEnd w:id="7"/>
      <w:r>
        <w:rPr>
          <w:sz w:val="24"/>
          <w:szCs w:val="24"/>
          <w:lang w:eastAsia="da-DK"/>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317C9B" w:rsidRPr="00317C9B" w:rsidRDefault="00317C9B" w:rsidP="00317C9B">
      <w:pPr>
        <w:ind w:left="851"/>
        <w:rPr>
          <w:sz w:val="24"/>
          <w:szCs w:val="24"/>
          <w:lang w:eastAsia="da-DK"/>
        </w:rPr>
      </w:pPr>
      <w:bookmarkStart w:id="8" w:name="_Hlk524959166"/>
      <w:r w:rsidRPr="00317C9B">
        <w:rPr>
          <w:sz w:val="24"/>
          <w:szCs w:val="24"/>
          <w:lang w:eastAsia="da-DK"/>
        </w:rPr>
        <w:t>Induktion er normalt gnidningsløst, men evidens for ophidselse (f.eks. bevægelse af poter, nystagmus, fokale muskeltrækninger/myoklonus, opisthotonus) observeres almindeligvis hos hunde og katte.</w:t>
      </w:r>
      <w:bookmarkEnd w:id="8"/>
      <w:r w:rsidRPr="00317C9B">
        <w:rPr>
          <w:sz w:val="24"/>
          <w:szCs w:val="24"/>
          <w:lang w:eastAsia="da-DK"/>
        </w:rPr>
        <w:t xml:space="preserve"> Forbigående apnø og let hypotension kan forekomme meget almindeligt under induktionen af anæstesi. En forhøjelse af det arterielle blodtryk, efterfulgt af et fald kan observeres. Se pkt. 4.5. En reduktion i den procentvise andel af hæmoglobin, som er mættet med ilt (SpO</w:t>
      </w:r>
      <w:r w:rsidRPr="00317C9B">
        <w:rPr>
          <w:sz w:val="24"/>
          <w:szCs w:val="24"/>
          <w:vertAlign w:val="subscript"/>
          <w:lang w:eastAsia="da-DK"/>
        </w:rPr>
        <w:t>2</w:t>
      </w:r>
      <w:r w:rsidRPr="00317C9B">
        <w:rPr>
          <w:sz w:val="24"/>
          <w:szCs w:val="24"/>
          <w:lang w:eastAsia="da-DK"/>
        </w:rPr>
        <w:t>) kan observeres, når apnø ikke er til stede.</w:t>
      </w:r>
    </w:p>
    <w:p w:rsidR="00317C9B" w:rsidRPr="00317C9B" w:rsidRDefault="00317C9B" w:rsidP="00317C9B">
      <w:pPr>
        <w:ind w:left="851"/>
        <w:rPr>
          <w:sz w:val="24"/>
          <w:szCs w:val="24"/>
          <w:lang w:eastAsia="da-DK"/>
        </w:rPr>
      </w:pPr>
    </w:p>
    <w:p w:rsidR="00317C9B" w:rsidRPr="00317C9B" w:rsidRDefault="00317C9B" w:rsidP="00317C9B">
      <w:pPr>
        <w:ind w:left="851"/>
        <w:rPr>
          <w:sz w:val="24"/>
          <w:szCs w:val="24"/>
          <w:lang w:eastAsia="da-DK"/>
        </w:rPr>
      </w:pPr>
      <w:r w:rsidRPr="00317C9B">
        <w:rPr>
          <w:sz w:val="24"/>
          <w:szCs w:val="24"/>
          <w:lang w:eastAsia="da-DK"/>
        </w:rPr>
        <w:t>Tilfælde af kraftig savlen og opkastning er blevet rapporteret med en hyppighed på ikke almindelig under konvalescensfasen hos hunde. Ophidselse under konvalescensfasen er sjældent blevet observeret hos hunde.</w:t>
      </w:r>
    </w:p>
    <w:p w:rsidR="00317C9B" w:rsidRPr="00317C9B" w:rsidRDefault="00317C9B" w:rsidP="00317C9B">
      <w:pPr>
        <w:ind w:left="851"/>
        <w:rPr>
          <w:sz w:val="24"/>
          <w:szCs w:val="24"/>
          <w:lang w:eastAsia="da-DK"/>
        </w:rPr>
      </w:pPr>
      <w:r w:rsidRPr="00317C9B">
        <w:rPr>
          <w:sz w:val="24"/>
          <w:szCs w:val="24"/>
          <w:lang w:eastAsia="da-DK"/>
        </w:rPr>
        <w:t>Stivhed i lemmer og vedvarende hikke er meget sjældent blevet observeret hos hunde.</w:t>
      </w:r>
    </w:p>
    <w:p w:rsidR="00317C9B" w:rsidRPr="00317C9B" w:rsidRDefault="00317C9B" w:rsidP="00317C9B">
      <w:pPr>
        <w:ind w:left="851"/>
        <w:rPr>
          <w:sz w:val="24"/>
          <w:szCs w:val="24"/>
          <w:lang w:eastAsia="da-DK"/>
        </w:rPr>
      </w:pPr>
      <w:r w:rsidRPr="00317C9B">
        <w:rPr>
          <w:sz w:val="24"/>
          <w:szCs w:val="24"/>
          <w:lang w:eastAsia="da-DK"/>
        </w:rPr>
        <w:t>Der har været isolerede rapporteret hos hunde af en grøn misfarvning af urinen efter en langvarig propofolinfusion.</w:t>
      </w:r>
    </w:p>
    <w:p w:rsidR="00317C9B" w:rsidRPr="00317C9B" w:rsidRDefault="00317C9B" w:rsidP="00317C9B">
      <w:pPr>
        <w:ind w:left="851"/>
        <w:rPr>
          <w:sz w:val="24"/>
          <w:szCs w:val="24"/>
          <w:lang w:eastAsia="da-DK"/>
        </w:rPr>
      </w:pPr>
    </w:p>
    <w:p w:rsidR="00317C9B" w:rsidRPr="00317C9B" w:rsidRDefault="00317C9B" w:rsidP="00317C9B">
      <w:pPr>
        <w:ind w:left="851"/>
        <w:rPr>
          <w:sz w:val="24"/>
          <w:szCs w:val="24"/>
          <w:lang w:eastAsia="da-DK"/>
        </w:rPr>
      </w:pPr>
      <w:r w:rsidRPr="00317C9B">
        <w:rPr>
          <w:sz w:val="24"/>
          <w:szCs w:val="24"/>
          <w:lang w:eastAsia="da-DK"/>
        </w:rPr>
        <w:t>Hos katte er karakteristika som nysen, lejlighedsvis opkastning og slikken af poter/ansigt blevet observeret i en lille del af tilfældene (ikke almindeligt).</w:t>
      </w:r>
    </w:p>
    <w:p w:rsidR="00317C9B" w:rsidRPr="00317C9B" w:rsidRDefault="00317C9B" w:rsidP="00317C9B">
      <w:pPr>
        <w:ind w:left="851"/>
        <w:rPr>
          <w:sz w:val="24"/>
          <w:szCs w:val="24"/>
          <w:lang w:eastAsia="da-DK"/>
        </w:rPr>
      </w:pPr>
      <w:r w:rsidRPr="00317C9B">
        <w:rPr>
          <w:sz w:val="24"/>
          <w:szCs w:val="24"/>
          <w:lang w:eastAsia="da-DK"/>
        </w:rPr>
        <w:t>Gentagen anæstesi af længere varighed (&gt;20 minutter) med propofol hos katte kan forårsage oxidative skader og dannelse af Heinz-legemer, og non-specifikke tegn som anoreksi, diarré og let ansigtsødem. Restitutionen kan også være forlænget. Begrænsning af gentagen anæstesi til intervallet på over 48 timer vil nedsætte sandsynligheden.</w:t>
      </w:r>
    </w:p>
    <w:p w:rsidR="00317C9B" w:rsidRPr="00317C9B" w:rsidRDefault="00317C9B" w:rsidP="00317C9B">
      <w:pPr>
        <w:ind w:left="851"/>
        <w:rPr>
          <w:sz w:val="24"/>
          <w:szCs w:val="24"/>
          <w:lang w:eastAsia="da-DK"/>
        </w:rPr>
      </w:pPr>
    </w:p>
    <w:p w:rsidR="00317C9B" w:rsidRPr="00317C9B" w:rsidRDefault="00317C9B" w:rsidP="00317C9B">
      <w:pPr>
        <w:ind w:left="851"/>
        <w:rPr>
          <w:spacing w:val="-3"/>
          <w:sz w:val="24"/>
          <w:szCs w:val="24"/>
          <w:u w:val="single"/>
          <w:lang w:eastAsia="da-DK"/>
        </w:rPr>
      </w:pPr>
      <w:r w:rsidRPr="00317C9B">
        <w:rPr>
          <w:spacing w:val="-3"/>
          <w:sz w:val="24"/>
          <w:szCs w:val="24"/>
          <w:u w:val="single"/>
          <w:lang w:eastAsia="da-DK"/>
        </w:rPr>
        <w:t>Hyppigheden a</w:t>
      </w:r>
      <w:r w:rsidR="003C0FCC">
        <w:rPr>
          <w:spacing w:val="-3"/>
          <w:sz w:val="24"/>
          <w:szCs w:val="24"/>
          <w:u w:val="single"/>
          <w:lang w:eastAsia="da-DK"/>
        </w:rPr>
        <w:t>f bivirkninger er defineret som</w:t>
      </w:r>
    </w:p>
    <w:p w:rsidR="00317C9B" w:rsidRPr="00317C9B" w:rsidRDefault="00317C9B" w:rsidP="003C0FCC">
      <w:pPr>
        <w:ind w:left="1134" w:hanging="283"/>
        <w:rPr>
          <w:spacing w:val="-3"/>
          <w:sz w:val="24"/>
          <w:szCs w:val="24"/>
          <w:lang w:eastAsia="da-DK"/>
        </w:rPr>
      </w:pPr>
      <w:r w:rsidRPr="00317C9B">
        <w:rPr>
          <w:spacing w:val="-3"/>
          <w:sz w:val="24"/>
          <w:szCs w:val="24"/>
          <w:lang w:eastAsia="da-DK"/>
        </w:rPr>
        <w:t>-</w:t>
      </w:r>
      <w:r w:rsidR="003C0FCC">
        <w:rPr>
          <w:spacing w:val="-3"/>
          <w:sz w:val="24"/>
          <w:szCs w:val="24"/>
          <w:lang w:eastAsia="da-DK"/>
        </w:rPr>
        <w:tab/>
      </w:r>
      <w:r w:rsidRPr="00317C9B">
        <w:rPr>
          <w:spacing w:val="-3"/>
          <w:sz w:val="24"/>
          <w:szCs w:val="24"/>
          <w:lang w:eastAsia="da-DK"/>
        </w:rPr>
        <w:t>Meget almindelig (flere end 1 ud af 10 behandlede dyr, der viser bivirkninger i løbet af en behandling)</w:t>
      </w:r>
    </w:p>
    <w:p w:rsidR="00317C9B" w:rsidRPr="00317C9B" w:rsidRDefault="003C0FCC" w:rsidP="003C0FCC">
      <w:pPr>
        <w:ind w:left="1134" w:hanging="283"/>
        <w:rPr>
          <w:spacing w:val="-3"/>
          <w:sz w:val="24"/>
          <w:szCs w:val="24"/>
          <w:lang w:eastAsia="da-DK"/>
        </w:rPr>
      </w:pPr>
      <w:r>
        <w:rPr>
          <w:spacing w:val="-3"/>
          <w:sz w:val="24"/>
          <w:szCs w:val="24"/>
          <w:lang w:eastAsia="da-DK"/>
        </w:rPr>
        <w:t>-</w:t>
      </w:r>
      <w:r>
        <w:rPr>
          <w:spacing w:val="-3"/>
          <w:sz w:val="24"/>
          <w:szCs w:val="24"/>
          <w:lang w:eastAsia="da-DK"/>
        </w:rPr>
        <w:tab/>
      </w:r>
      <w:r w:rsidR="00317C9B" w:rsidRPr="00317C9B">
        <w:rPr>
          <w:spacing w:val="-3"/>
          <w:sz w:val="24"/>
          <w:szCs w:val="24"/>
          <w:lang w:eastAsia="da-DK"/>
        </w:rPr>
        <w:t>Almindelige (flere end 1, men færre end 10 dyr af 100 behandlede dyr)</w:t>
      </w:r>
    </w:p>
    <w:p w:rsidR="00317C9B" w:rsidRPr="00317C9B" w:rsidRDefault="003C0FCC" w:rsidP="003C0FCC">
      <w:pPr>
        <w:ind w:left="1134" w:hanging="283"/>
        <w:rPr>
          <w:spacing w:val="-3"/>
          <w:sz w:val="24"/>
          <w:szCs w:val="24"/>
          <w:lang w:eastAsia="da-DK"/>
        </w:rPr>
      </w:pPr>
      <w:r>
        <w:rPr>
          <w:spacing w:val="-3"/>
          <w:sz w:val="24"/>
          <w:szCs w:val="24"/>
          <w:lang w:eastAsia="da-DK"/>
        </w:rPr>
        <w:t>-</w:t>
      </w:r>
      <w:r>
        <w:rPr>
          <w:spacing w:val="-3"/>
          <w:sz w:val="24"/>
          <w:szCs w:val="24"/>
          <w:lang w:eastAsia="da-DK"/>
        </w:rPr>
        <w:tab/>
      </w:r>
      <w:r w:rsidR="00317C9B" w:rsidRPr="00317C9B">
        <w:rPr>
          <w:spacing w:val="-3"/>
          <w:sz w:val="24"/>
          <w:szCs w:val="24"/>
          <w:lang w:eastAsia="da-DK"/>
        </w:rPr>
        <w:t>Ikke almindelige (flere end 1, men færre end 10 dyr af 1.000 behandlede dyr)</w:t>
      </w:r>
    </w:p>
    <w:p w:rsidR="00317C9B" w:rsidRPr="00317C9B" w:rsidRDefault="003C0FCC" w:rsidP="003C0FCC">
      <w:pPr>
        <w:ind w:left="1134" w:hanging="283"/>
        <w:rPr>
          <w:spacing w:val="-3"/>
          <w:sz w:val="24"/>
          <w:szCs w:val="24"/>
          <w:lang w:eastAsia="da-DK"/>
        </w:rPr>
      </w:pPr>
      <w:r>
        <w:rPr>
          <w:spacing w:val="-3"/>
          <w:sz w:val="24"/>
          <w:szCs w:val="24"/>
          <w:lang w:eastAsia="da-DK"/>
        </w:rPr>
        <w:t>-</w:t>
      </w:r>
      <w:r>
        <w:rPr>
          <w:spacing w:val="-3"/>
          <w:sz w:val="24"/>
          <w:szCs w:val="24"/>
          <w:lang w:eastAsia="da-DK"/>
        </w:rPr>
        <w:tab/>
      </w:r>
      <w:r w:rsidR="00317C9B" w:rsidRPr="00317C9B">
        <w:rPr>
          <w:spacing w:val="-3"/>
          <w:sz w:val="24"/>
          <w:szCs w:val="24"/>
          <w:lang w:eastAsia="da-DK"/>
        </w:rPr>
        <w:t xml:space="preserve">Sjældne </w:t>
      </w:r>
      <w:r w:rsidR="00317C9B" w:rsidRPr="00317C9B">
        <w:rPr>
          <w:sz w:val="24"/>
          <w:szCs w:val="24"/>
          <w:lang w:eastAsia="da-DK"/>
        </w:rPr>
        <w:t>(flere end 1, men færre end 10 dyr ud af 10.000 behandlede dyr</w:t>
      </w:r>
      <w:r w:rsidR="00317C9B" w:rsidRPr="00317C9B">
        <w:rPr>
          <w:spacing w:val="-3"/>
          <w:sz w:val="24"/>
          <w:szCs w:val="24"/>
          <w:lang w:eastAsia="da-DK"/>
        </w:rPr>
        <w:t>)</w:t>
      </w:r>
    </w:p>
    <w:p w:rsidR="00317C9B" w:rsidRPr="00317C9B" w:rsidRDefault="003C0FCC" w:rsidP="003C0FCC">
      <w:pPr>
        <w:ind w:left="1134" w:hanging="283"/>
        <w:rPr>
          <w:spacing w:val="-3"/>
          <w:sz w:val="24"/>
          <w:szCs w:val="24"/>
          <w:lang w:eastAsia="da-DK"/>
        </w:rPr>
      </w:pPr>
      <w:r>
        <w:rPr>
          <w:spacing w:val="-3"/>
          <w:sz w:val="24"/>
          <w:szCs w:val="24"/>
          <w:lang w:eastAsia="da-DK"/>
        </w:rPr>
        <w:t>-</w:t>
      </w:r>
      <w:r>
        <w:rPr>
          <w:spacing w:val="-3"/>
          <w:sz w:val="24"/>
          <w:szCs w:val="24"/>
          <w:lang w:eastAsia="da-DK"/>
        </w:rPr>
        <w:tab/>
      </w:r>
      <w:r w:rsidR="00317C9B" w:rsidRPr="00317C9B">
        <w:rPr>
          <w:spacing w:val="-3"/>
          <w:sz w:val="24"/>
          <w:szCs w:val="24"/>
          <w:lang w:eastAsia="da-DK"/>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201E41" w:rsidRPr="00201E41" w:rsidRDefault="00201E41" w:rsidP="00201E41">
      <w:pPr>
        <w:ind w:left="851"/>
        <w:rPr>
          <w:sz w:val="24"/>
          <w:szCs w:val="24"/>
          <w:lang w:eastAsia="da-DK"/>
        </w:rPr>
      </w:pPr>
      <w:r w:rsidRPr="00201E41">
        <w:rPr>
          <w:sz w:val="24"/>
          <w:szCs w:val="24"/>
          <w:lang w:eastAsia="da-DK"/>
        </w:rPr>
        <w:t>Lægemidlets sikkerhed under drægtighed (hos fostre/nyfødte) og under laktation er ikke fastlagt.</w:t>
      </w:r>
      <w:bookmarkStart w:id="9" w:name="_Hlk499816192"/>
      <w:r w:rsidRPr="00201E41">
        <w:rPr>
          <w:sz w:val="24"/>
          <w:szCs w:val="24"/>
          <w:lang w:eastAsia="da-DK"/>
        </w:rPr>
        <w:t xml:space="preserve"> </w:t>
      </w:r>
    </w:p>
    <w:p w:rsidR="00201E41" w:rsidRPr="00201E41" w:rsidRDefault="00201E41" w:rsidP="00201E41">
      <w:pPr>
        <w:ind w:left="851"/>
        <w:rPr>
          <w:sz w:val="24"/>
          <w:szCs w:val="24"/>
          <w:lang w:eastAsia="da-DK"/>
        </w:rPr>
      </w:pPr>
      <w:r w:rsidRPr="00201E41">
        <w:rPr>
          <w:sz w:val="24"/>
          <w:szCs w:val="24"/>
          <w:lang w:eastAsia="da-DK"/>
        </w:rPr>
        <w:t>Propofol passerer placenta. Studier, der bruger propofol til drægtige rotter og kaniner har ikke vist skadelige virkninger på drægtigheden hos de behandlede dyr, eller på reproduktionsevnen af deres afkom.</w:t>
      </w:r>
      <w:bookmarkEnd w:id="9"/>
      <w:r w:rsidRPr="00201E41">
        <w:rPr>
          <w:sz w:val="24"/>
          <w:szCs w:val="24"/>
          <w:lang w:eastAsia="da-DK"/>
        </w:rPr>
        <w:t xml:space="preserve"> </w:t>
      </w:r>
      <w:bookmarkStart w:id="10" w:name="_Hlk527546852"/>
      <w:bookmarkStart w:id="11" w:name="_Hlk499816181"/>
      <w:r w:rsidRPr="00201E41">
        <w:rPr>
          <w:sz w:val="24"/>
          <w:szCs w:val="24"/>
          <w:lang w:eastAsia="da-DK"/>
        </w:rPr>
        <w:t>Ifølge den tilgængelige videnskabelige litteratur er eksponeringen (ikke</w:t>
      </w:r>
      <w:r w:rsidRPr="00201E41">
        <w:rPr>
          <w:sz w:val="24"/>
          <w:szCs w:val="24"/>
          <w:lang w:eastAsia="da-DK"/>
        </w:rPr>
        <w:noBreakHyphen/>
        <w:t>humane primater, moderat anæstesiniveau i 5 timer, rotter: 0,3</w:t>
      </w:r>
      <w:r w:rsidRPr="00201E41">
        <w:rPr>
          <w:sz w:val="24"/>
          <w:szCs w:val="24"/>
          <w:lang w:eastAsia="da-DK"/>
        </w:rPr>
        <w:noBreakHyphen/>
        <w:t>0,6 mg/kg/min i 1</w:t>
      </w:r>
      <w:r w:rsidRPr="00201E41">
        <w:rPr>
          <w:sz w:val="24"/>
          <w:szCs w:val="24"/>
          <w:lang w:eastAsia="da-DK"/>
        </w:rPr>
        <w:noBreakHyphen/>
        <w:t xml:space="preserve">2 timer) til propofol i løbet af perioden med hjerneudvikling kan påvirke den neurologiske udvikling hos foster og nyfødte negativt. </w:t>
      </w:r>
    </w:p>
    <w:p w:rsidR="00201E41" w:rsidRPr="00201E41" w:rsidRDefault="00201E41" w:rsidP="00201E41">
      <w:pPr>
        <w:ind w:left="851"/>
        <w:rPr>
          <w:sz w:val="24"/>
          <w:szCs w:val="24"/>
          <w:lang w:eastAsia="da-DK"/>
        </w:rPr>
      </w:pPr>
      <w:r w:rsidRPr="00201E41">
        <w:rPr>
          <w:sz w:val="24"/>
          <w:szCs w:val="24"/>
          <w:lang w:eastAsia="da-DK"/>
        </w:rPr>
        <w:lastRenderedPageBreak/>
        <w:t>Studier hos mennesker viste, at små mængder (&lt; 0,1 % af dosis hos moderdyret i løbet af 24 timer efter dosering) af propofol udskilles i humant brystmælk.</w:t>
      </w:r>
    </w:p>
    <w:p w:rsidR="00201E41" w:rsidRPr="00201E41" w:rsidRDefault="00201E41" w:rsidP="00201E41">
      <w:pPr>
        <w:ind w:left="851"/>
        <w:rPr>
          <w:sz w:val="24"/>
          <w:szCs w:val="24"/>
          <w:lang w:eastAsia="da-DK"/>
        </w:rPr>
      </w:pPr>
      <w:bookmarkStart w:id="12" w:name="_Hlk527547097"/>
      <w:bookmarkEnd w:id="10"/>
      <w:r w:rsidRPr="00201E41">
        <w:rPr>
          <w:sz w:val="24"/>
          <w:szCs w:val="24"/>
          <w:lang w:eastAsia="da-DK"/>
        </w:rPr>
        <w:t xml:space="preserve">Må kun anvendes i overensstemmelse med den ansvarlige dyrlæges vurdering af benefit/risk forholdet. </w:t>
      </w:r>
    </w:p>
    <w:p w:rsidR="005B0036" w:rsidRPr="00406EE7" w:rsidRDefault="00201E41" w:rsidP="00201E41">
      <w:pPr>
        <w:ind w:left="851"/>
        <w:rPr>
          <w:sz w:val="24"/>
          <w:szCs w:val="24"/>
          <w:lang w:eastAsia="da-DK"/>
        </w:rPr>
      </w:pPr>
      <w:r w:rsidRPr="00201E41">
        <w:rPr>
          <w:sz w:val="24"/>
          <w:szCs w:val="24"/>
          <w:lang w:eastAsia="da-DK"/>
        </w:rPr>
        <w:t>Propofol har vist sig at være sikker at bruge hos hunde til induktion af anæstesi, før hvalpene fødes ved kejsersnit.</w:t>
      </w:r>
      <w:bookmarkEnd w:id="11"/>
      <w:r w:rsidRPr="00201E41">
        <w:rPr>
          <w:sz w:val="24"/>
          <w:szCs w:val="24"/>
          <w:lang w:eastAsia="da-DK"/>
        </w:rPr>
        <w:t xml:space="preserve"> På grund af risikoen for neonatal død, bør propofol ikke anvendes til at opretholde anæstesi under kejsersnittet.</w:t>
      </w:r>
      <w:bookmarkEnd w:id="12"/>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BA2F48" w:rsidRPr="00BA2F48" w:rsidRDefault="00BA2F48" w:rsidP="00BA2F48">
      <w:pPr>
        <w:ind w:left="851"/>
        <w:rPr>
          <w:strike/>
          <w:sz w:val="24"/>
          <w:szCs w:val="24"/>
          <w:lang w:eastAsia="da-DK"/>
        </w:rPr>
      </w:pPr>
      <w:r w:rsidRPr="00BA2F48">
        <w:rPr>
          <w:sz w:val="24"/>
          <w:szCs w:val="24"/>
          <w:lang w:eastAsia="da-DK"/>
        </w:rPr>
        <w:t>Propofol er blevet anvendt i forbindelse med almindeligt anvendt præmedicin (f.eks. atropin, acepromazin, benzodiazepiner [f.eks. diazepam, midazolam], α</w:t>
      </w:r>
      <w:r w:rsidRPr="00BA2F48">
        <w:rPr>
          <w:sz w:val="24"/>
          <w:szCs w:val="24"/>
          <w:lang w:eastAsia="da-DK"/>
        </w:rPr>
        <w:noBreakHyphen/>
        <w:t>2-agonister [f.eks. medetomidin, dexmedetomidin], opioider [f.eks. methadon, buprenorphin]), andre induktionsstoffer (f.eks. ketamin) og tidligere vedligeholdelse med inhalationsstoffer (f.eks. halothan, dinitrogenoxid, isofluran, sevofluran).</w:t>
      </w:r>
    </w:p>
    <w:p w:rsidR="00BA2F48" w:rsidRPr="00BA2F48" w:rsidRDefault="00BA2F48" w:rsidP="00BA2F48">
      <w:pPr>
        <w:ind w:left="851"/>
        <w:rPr>
          <w:sz w:val="24"/>
          <w:szCs w:val="24"/>
          <w:lang w:eastAsia="da-DK"/>
        </w:rPr>
      </w:pPr>
      <w:r w:rsidRPr="00BA2F48">
        <w:rPr>
          <w:sz w:val="24"/>
          <w:szCs w:val="24"/>
          <w:lang w:eastAsia="da-DK"/>
        </w:rPr>
        <w:t>Det er muligt, at den samtidige anvendelse af sederende eller analgetiske lægemidler reducerer den dosis af propofol, der er nødvendig til induktion og vedligeholdelse af anæstesi. Se pkt. 4.9.</w:t>
      </w:r>
    </w:p>
    <w:p w:rsidR="00BA2F48" w:rsidRPr="00BA2F48" w:rsidRDefault="00BA2F48" w:rsidP="00BA2F48">
      <w:pPr>
        <w:ind w:left="851"/>
        <w:rPr>
          <w:sz w:val="24"/>
          <w:szCs w:val="24"/>
          <w:lang w:eastAsia="da-DK"/>
        </w:rPr>
      </w:pPr>
      <w:r w:rsidRPr="00BA2F48">
        <w:rPr>
          <w:sz w:val="24"/>
          <w:szCs w:val="24"/>
          <w:lang w:eastAsia="da-DK"/>
        </w:rPr>
        <w:t>Samtidig anvendelse af propofol og opioider kan forårsage signifikant respirationsundertrykkelse og en betydelig reduktion af hjertefrekvensen. Der er blevet observeret hjertestop hos hunde, der fik propofol efterfulgt af alfentanil. For at nedsætte risikoen for apnø, skal propofol administreres langsomt, for eksempel i løbet af 40</w:t>
      </w:r>
      <w:r w:rsidRPr="00BA2F48">
        <w:rPr>
          <w:sz w:val="24"/>
          <w:szCs w:val="24"/>
          <w:lang w:eastAsia="da-DK"/>
        </w:rPr>
        <w:noBreakHyphen/>
        <w:t>60 sekunder.</w:t>
      </w:r>
      <w:bookmarkStart w:id="13" w:name="_Hlk527547792"/>
      <w:r w:rsidRPr="00BA2F48">
        <w:rPr>
          <w:sz w:val="24"/>
          <w:szCs w:val="24"/>
          <w:lang w:eastAsia="da-DK"/>
        </w:rPr>
        <w:t xml:space="preserve"> Se også pkt. 4.5.</w:t>
      </w:r>
    </w:p>
    <w:p w:rsidR="00BA2F48" w:rsidRPr="00BA2F48" w:rsidRDefault="00BA2F48" w:rsidP="00BA2F48">
      <w:pPr>
        <w:ind w:left="851"/>
        <w:rPr>
          <w:sz w:val="24"/>
          <w:szCs w:val="24"/>
          <w:lang w:eastAsia="da-DK"/>
        </w:rPr>
      </w:pPr>
      <w:bookmarkStart w:id="14" w:name="_Hlk499729220"/>
      <w:bookmarkEnd w:id="13"/>
      <w:r w:rsidRPr="00BA2F48">
        <w:rPr>
          <w:sz w:val="24"/>
          <w:szCs w:val="24"/>
          <w:lang w:eastAsia="da-DK"/>
        </w:rPr>
        <w:t>Samtidig administration af propofol- og opioidinfusioner (f.eks. fentanyl, alfentanil) til at opretholde generel anæstesi kan føre til en længere konvalescens.</w:t>
      </w:r>
      <w:bookmarkEnd w:id="14"/>
    </w:p>
    <w:p w:rsidR="005B0036" w:rsidRPr="00D245C7" w:rsidRDefault="00BA2F48" w:rsidP="00D245C7">
      <w:pPr>
        <w:ind w:left="851"/>
        <w:rPr>
          <w:strike/>
          <w:sz w:val="24"/>
          <w:szCs w:val="24"/>
          <w:lang w:eastAsia="da-DK"/>
        </w:rPr>
      </w:pPr>
      <w:r w:rsidRPr="00BA2F48">
        <w:rPr>
          <w:sz w:val="24"/>
          <w:szCs w:val="24"/>
          <w:lang w:eastAsia="da-DK"/>
        </w:rPr>
        <w:t>Administration af propofol sammen med andre lægemidler, der metaboliseres af cytokrom P450 (isoenzym 2B11 hos hunde), såsom f.eks. chloramphenicol, ketoconazol og loperamid, nedsætter clearance af propofol og forlænger konvalescensen fra anæstesi.</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1F13F1" w:rsidRDefault="001F13F1" w:rsidP="001F13F1">
      <w:pPr>
        <w:ind w:left="851"/>
        <w:rPr>
          <w:sz w:val="24"/>
          <w:szCs w:val="24"/>
          <w:lang w:eastAsia="da-DK"/>
        </w:rPr>
      </w:pPr>
      <w:r w:rsidRPr="001F13F1">
        <w:rPr>
          <w:sz w:val="24"/>
          <w:szCs w:val="24"/>
          <w:lang w:eastAsia="da-DK"/>
        </w:rPr>
        <w:t xml:space="preserve">Til intravenøs </w:t>
      </w:r>
      <w:r>
        <w:rPr>
          <w:sz w:val="24"/>
          <w:szCs w:val="24"/>
          <w:lang w:eastAsia="da-DK"/>
        </w:rPr>
        <w:t>anvendelse</w:t>
      </w:r>
      <w:r w:rsidRPr="001F13F1">
        <w:rPr>
          <w:sz w:val="24"/>
          <w:szCs w:val="24"/>
          <w:lang w:eastAsia="da-DK"/>
        </w:rPr>
        <w:t>.</w:t>
      </w:r>
    </w:p>
    <w:p w:rsidR="001F13F1" w:rsidRPr="001F13F1" w:rsidRDefault="001F13F1" w:rsidP="001F13F1">
      <w:pPr>
        <w:ind w:left="851"/>
        <w:rPr>
          <w:sz w:val="24"/>
          <w:szCs w:val="24"/>
          <w:lang w:eastAsia="da-DK"/>
        </w:rPr>
      </w:pPr>
    </w:p>
    <w:p w:rsidR="001F13F1" w:rsidRPr="001F13F1" w:rsidRDefault="001F13F1" w:rsidP="001F13F1">
      <w:pPr>
        <w:ind w:left="851"/>
        <w:rPr>
          <w:sz w:val="24"/>
          <w:szCs w:val="24"/>
          <w:lang w:eastAsia="da-DK"/>
        </w:rPr>
      </w:pPr>
      <w:r w:rsidRPr="001F13F1">
        <w:rPr>
          <w:sz w:val="24"/>
          <w:szCs w:val="24"/>
          <w:lang w:eastAsia="da-DK"/>
        </w:rPr>
        <w:t>Hætteglasset omrystes forsigtigt</w:t>
      </w:r>
      <w:r>
        <w:rPr>
          <w:sz w:val="24"/>
          <w:szCs w:val="24"/>
          <w:lang w:eastAsia="da-DK"/>
        </w:rPr>
        <w:t>,</w:t>
      </w:r>
      <w:r w:rsidRPr="001F13F1">
        <w:rPr>
          <w:sz w:val="24"/>
          <w:szCs w:val="24"/>
          <w:lang w:eastAsia="da-DK"/>
        </w:rPr>
        <w:t xml:space="preserve"> men omhyggeligt</w:t>
      </w:r>
      <w:r>
        <w:rPr>
          <w:sz w:val="24"/>
          <w:szCs w:val="24"/>
          <w:lang w:eastAsia="da-DK"/>
        </w:rPr>
        <w:t>,</w:t>
      </w:r>
      <w:r w:rsidRPr="001F13F1">
        <w:rPr>
          <w:sz w:val="24"/>
          <w:szCs w:val="24"/>
          <w:lang w:eastAsia="da-DK"/>
        </w:rPr>
        <w:t xml:space="preserve"> før åbning. Se pkt. 4.4.</w:t>
      </w:r>
    </w:p>
    <w:p w:rsidR="001F13F1" w:rsidRPr="001F13F1" w:rsidRDefault="001F13F1" w:rsidP="001F13F1">
      <w:pPr>
        <w:ind w:left="851"/>
        <w:rPr>
          <w:sz w:val="24"/>
          <w:szCs w:val="24"/>
          <w:lang w:eastAsia="da-DK"/>
        </w:rPr>
      </w:pPr>
    </w:p>
    <w:p w:rsidR="001F13F1" w:rsidRPr="001F13F1" w:rsidRDefault="001F13F1" w:rsidP="001F13F1">
      <w:pPr>
        <w:keepNext/>
        <w:ind w:left="851"/>
        <w:rPr>
          <w:sz w:val="24"/>
          <w:szCs w:val="24"/>
          <w:u w:val="single"/>
          <w:lang w:eastAsia="da-DK"/>
        </w:rPr>
      </w:pPr>
      <w:r>
        <w:rPr>
          <w:sz w:val="24"/>
          <w:szCs w:val="24"/>
          <w:u w:val="single"/>
          <w:lang w:eastAsia="da-DK"/>
        </w:rPr>
        <w:t>Induktion af anæstesi</w:t>
      </w:r>
    </w:p>
    <w:p w:rsidR="001F13F1" w:rsidRPr="001F13F1" w:rsidRDefault="001F13F1" w:rsidP="001F13F1">
      <w:pPr>
        <w:ind w:left="851"/>
        <w:rPr>
          <w:sz w:val="24"/>
          <w:szCs w:val="24"/>
          <w:lang w:eastAsia="da-DK"/>
        </w:rPr>
      </w:pPr>
      <w:r w:rsidRPr="001F13F1">
        <w:rPr>
          <w:sz w:val="24"/>
          <w:szCs w:val="24"/>
          <w:lang w:eastAsia="da-DK"/>
        </w:rPr>
        <w:t xml:space="preserve">Induktionsdosen af veterinærlægemidlet, som er angivet i tabellen nedenfor, er baseret på publicerede data fra kontrollerede laboratorie- og feltstudier, samt klinisk erfaring, og udgør den gennemsnitlige induktionsdosis til hunde og katte. Disse doser er kun vejledende. </w:t>
      </w:r>
      <w:r w:rsidRPr="001F13F1">
        <w:rPr>
          <w:b/>
          <w:sz w:val="24"/>
          <w:szCs w:val="24"/>
          <w:lang w:eastAsia="da-DK"/>
        </w:rPr>
        <w:t>Den reelle dosis skal titreres mod responset for den enkelte patient, og kan være signifikant lavere eller højere end den gennemsnitlige dosis.</w:t>
      </w:r>
    </w:p>
    <w:p w:rsidR="001F13F1" w:rsidRPr="001F13F1" w:rsidRDefault="001F13F1" w:rsidP="001F13F1">
      <w:pPr>
        <w:ind w:left="851"/>
        <w:rPr>
          <w:sz w:val="24"/>
          <w:szCs w:val="24"/>
          <w:lang w:eastAsia="da-DK"/>
        </w:rPr>
      </w:pPr>
      <w:r w:rsidRPr="001F13F1">
        <w:rPr>
          <w:sz w:val="24"/>
          <w:szCs w:val="24"/>
          <w:lang w:eastAsia="da-DK"/>
        </w:rPr>
        <w:t xml:space="preserve">Doseringssprøjten skal forberedes baseret på dosisvolumen af præparatet, der vises nedenfor, beregnet i henhold til legemsvægt. Præparatet skal administreres til virkning, indtil dybden af anæstesi er tilstrækkelig til endotrakeal intubering. </w:t>
      </w:r>
      <w:bookmarkStart w:id="15" w:name="_Hlk527981460"/>
      <w:r w:rsidRPr="001F13F1">
        <w:rPr>
          <w:sz w:val="24"/>
          <w:szCs w:val="24"/>
          <w:lang w:eastAsia="da-DK"/>
        </w:rPr>
        <w:t>Når der induceres anæstesi med propofol, skal det injiceres tilstrækkeligt langsomt for at nå en ligevægt mellem plasma og virkningsstedet, og tilstrækkeligt hurtigt til at undgå genfordeling fra hjernen, hvilket ville føre til et utilstrækkeligt anæstesiniveau (dvs. administration over en periode på ca. 10</w:t>
      </w:r>
      <w:r w:rsidRPr="001F13F1">
        <w:rPr>
          <w:sz w:val="24"/>
          <w:szCs w:val="24"/>
          <w:lang w:eastAsia="da-DK"/>
        </w:rPr>
        <w:noBreakHyphen/>
        <w:t>40 sekunder)</w:t>
      </w:r>
      <w:bookmarkEnd w:id="15"/>
      <w:r w:rsidRPr="001F13F1">
        <w:rPr>
          <w:sz w:val="24"/>
          <w:szCs w:val="24"/>
          <w:lang w:eastAsia="da-DK"/>
        </w:rPr>
        <w:t>. Når der anvendes propofol sammen med et opioid, skal det administreres langsommere, f.eks. i løbet af 40</w:t>
      </w:r>
      <w:r w:rsidRPr="001F13F1">
        <w:rPr>
          <w:sz w:val="24"/>
          <w:szCs w:val="24"/>
          <w:lang w:eastAsia="da-DK"/>
        </w:rPr>
        <w:noBreakHyphen/>
        <w:t>60 sekunder. Se pkt. 4.8.</w:t>
      </w:r>
    </w:p>
    <w:p w:rsidR="001F13F1" w:rsidRPr="001F13F1" w:rsidRDefault="001F13F1" w:rsidP="001F13F1">
      <w:pPr>
        <w:ind w:left="851"/>
        <w:rPr>
          <w:sz w:val="24"/>
          <w:szCs w:val="24"/>
          <w:lang w:eastAsia="da-DK"/>
        </w:rPr>
      </w:pPr>
      <w:r w:rsidRPr="001F13F1">
        <w:rPr>
          <w:sz w:val="24"/>
          <w:szCs w:val="24"/>
          <w:lang w:eastAsia="da-DK"/>
        </w:rPr>
        <w:t>Anvendelsen af præanæstetika (præmedicin) kan reducere behovet for propofol markant, afhængig af typen og dosen af det anvendte præanæstetikum. Når propofol anvendes i kombination med f.eks. ketamin, fentanyl eller benzodiazepiner til induktion af anæstesi (såkaldt co</w:t>
      </w:r>
      <w:r w:rsidRPr="001F13F1">
        <w:rPr>
          <w:sz w:val="24"/>
          <w:szCs w:val="24"/>
          <w:lang w:eastAsia="da-DK"/>
        </w:rPr>
        <w:noBreakHyphen/>
        <w:t>induktion), kan den totale dosis propofol yderligere nedsættes.</w:t>
      </w:r>
    </w:p>
    <w:p w:rsidR="001F13F1" w:rsidRPr="001F13F1" w:rsidRDefault="001F13F1" w:rsidP="001F13F1">
      <w:pPr>
        <w:ind w:left="851"/>
        <w:rPr>
          <w:sz w:val="24"/>
          <w:szCs w:val="24"/>
          <w:lang w:eastAsia="da-DK"/>
        </w:rPr>
      </w:pPr>
    </w:p>
    <w:p w:rsidR="001F13F1" w:rsidRPr="001F13F1" w:rsidRDefault="001F13F1" w:rsidP="001F13F1">
      <w:pPr>
        <w:keepNext/>
        <w:ind w:left="851"/>
        <w:rPr>
          <w:b/>
          <w:bCs/>
          <w:sz w:val="24"/>
          <w:szCs w:val="24"/>
          <w:lang w:eastAsia="da-DK"/>
        </w:rPr>
      </w:pPr>
      <w:r w:rsidRPr="001F13F1">
        <w:rPr>
          <w:b/>
          <w:bCs/>
          <w:sz w:val="24"/>
          <w:szCs w:val="24"/>
          <w:lang w:eastAsia="da-DK"/>
        </w:rPr>
        <w:t>Doseringsanbefal</w:t>
      </w:r>
      <w:r>
        <w:rPr>
          <w:b/>
          <w:bCs/>
          <w:sz w:val="24"/>
          <w:szCs w:val="24"/>
          <w:lang w:eastAsia="da-DK"/>
        </w:rPr>
        <w:t>inger til induktion af anæstesi</w:t>
      </w:r>
    </w:p>
    <w:tbl>
      <w:tblPr>
        <w:tblW w:w="51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gridCol w:w="2254"/>
        <w:gridCol w:w="1856"/>
      </w:tblGrid>
      <w:tr w:rsidR="001F13F1" w:rsidRPr="001F13F1" w:rsidTr="005A6254">
        <w:trPr>
          <w:trHeight w:val="174"/>
        </w:trPr>
        <w:tc>
          <w:tcPr>
            <w:tcW w:w="2936" w:type="pct"/>
            <w:tcBorders>
              <w:left w:val="nil"/>
              <w:right w:val="nil"/>
            </w:tcBorders>
          </w:tcPr>
          <w:p w:rsidR="001F13F1" w:rsidRPr="001F13F1" w:rsidRDefault="001F13F1" w:rsidP="001F13F1">
            <w:pPr>
              <w:keepNext/>
              <w:ind w:left="851"/>
              <w:rPr>
                <w:b/>
                <w:sz w:val="24"/>
                <w:szCs w:val="24"/>
                <w:lang w:eastAsia="da-DK"/>
              </w:rPr>
            </w:pPr>
          </w:p>
        </w:tc>
        <w:tc>
          <w:tcPr>
            <w:tcW w:w="1132" w:type="pct"/>
            <w:tcBorders>
              <w:left w:val="nil"/>
              <w:right w:val="nil"/>
            </w:tcBorders>
          </w:tcPr>
          <w:p w:rsidR="001F13F1" w:rsidRPr="001F13F1" w:rsidRDefault="001F13F1" w:rsidP="005A6254">
            <w:pPr>
              <w:keepNext/>
              <w:ind w:left="34"/>
              <w:rPr>
                <w:b/>
                <w:iCs/>
                <w:sz w:val="24"/>
                <w:szCs w:val="24"/>
                <w:lang w:eastAsia="da-DK"/>
              </w:rPr>
            </w:pPr>
            <w:r w:rsidRPr="001F13F1">
              <w:rPr>
                <w:b/>
                <w:sz w:val="24"/>
                <w:szCs w:val="24"/>
                <w:lang w:eastAsia="da-DK"/>
              </w:rPr>
              <w:t>Dosis</w:t>
            </w:r>
          </w:p>
          <w:p w:rsidR="001F13F1" w:rsidRPr="001F13F1" w:rsidRDefault="001F13F1" w:rsidP="005A6254">
            <w:pPr>
              <w:keepNext/>
              <w:ind w:left="34"/>
              <w:rPr>
                <w:b/>
                <w:iCs/>
                <w:sz w:val="24"/>
                <w:szCs w:val="24"/>
                <w:lang w:eastAsia="da-DK"/>
              </w:rPr>
            </w:pPr>
            <w:r w:rsidRPr="001F13F1">
              <w:rPr>
                <w:b/>
                <w:sz w:val="24"/>
                <w:szCs w:val="24"/>
                <w:lang w:eastAsia="da-DK"/>
              </w:rPr>
              <w:t>mg/kg</w:t>
            </w:r>
          </w:p>
          <w:p w:rsidR="001F13F1" w:rsidRPr="001F13F1" w:rsidRDefault="001F13F1" w:rsidP="005A6254">
            <w:pPr>
              <w:keepNext/>
              <w:ind w:left="34"/>
              <w:rPr>
                <w:b/>
                <w:iCs/>
                <w:sz w:val="24"/>
                <w:szCs w:val="24"/>
                <w:lang w:eastAsia="da-DK"/>
              </w:rPr>
            </w:pPr>
            <w:r w:rsidRPr="001F13F1">
              <w:rPr>
                <w:b/>
                <w:sz w:val="24"/>
                <w:szCs w:val="24"/>
                <w:lang w:eastAsia="da-DK"/>
              </w:rPr>
              <w:t>legemsvægt</w:t>
            </w:r>
          </w:p>
        </w:tc>
        <w:tc>
          <w:tcPr>
            <w:tcW w:w="933" w:type="pct"/>
            <w:tcBorders>
              <w:left w:val="nil"/>
              <w:right w:val="nil"/>
            </w:tcBorders>
          </w:tcPr>
          <w:p w:rsidR="001F13F1" w:rsidRPr="001F13F1" w:rsidRDefault="001F13F1" w:rsidP="005A6254">
            <w:pPr>
              <w:keepNext/>
              <w:ind w:left="189"/>
              <w:rPr>
                <w:b/>
                <w:iCs/>
                <w:sz w:val="24"/>
                <w:szCs w:val="24"/>
                <w:lang w:eastAsia="da-DK"/>
              </w:rPr>
            </w:pPr>
            <w:r w:rsidRPr="001F13F1">
              <w:rPr>
                <w:b/>
                <w:sz w:val="24"/>
                <w:szCs w:val="24"/>
                <w:lang w:eastAsia="da-DK"/>
              </w:rPr>
              <w:t>Dosisvolumen</w:t>
            </w:r>
          </w:p>
          <w:p w:rsidR="001F13F1" w:rsidRPr="001F13F1" w:rsidRDefault="001F13F1" w:rsidP="005A6254">
            <w:pPr>
              <w:keepNext/>
              <w:ind w:left="189"/>
              <w:rPr>
                <w:b/>
                <w:iCs/>
                <w:sz w:val="24"/>
                <w:szCs w:val="24"/>
                <w:lang w:eastAsia="da-DK"/>
              </w:rPr>
            </w:pPr>
            <w:r w:rsidRPr="001F13F1">
              <w:rPr>
                <w:b/>
                <w:sz w:val="24"/>
                <w:szCs w:val="24"/>
                <w:lang w:eastAsia="da-DK"/>
              </w:rPr>
              <w:t>ml/kg</w:t>
            </w:r>
          </w:p>
          <w:p w:rsidR="001F13F1" w:rsidRPr="001F13F1" w:rsidRDefault="001F13F1" w:rsidP="005A6254">
            <w:pPr>
              <w:keepNext/>
              <w:ind w:left="189"/>
              <w:rPr>
                <w:b/>
                <w:iCs/>
                <w:sz w:val="24"/>
                <w:szCs w:val="24"/>
                <w:lang w:eastAsia="da-DK"/>
              </w:rPr>
            </w:pPr>
            <w:r w:rsidRPr="001F13F1">
              <w:rPr>
                <w:b/>
                <w:sz w:val="24"/>
                <w:szCs w:val="24"/>
                <w:lang w:eastAsia="da-DK"/>
              </w:rPr>
              <w:t>legemsvægt</w:t>
            </w:r>
          </w:p>
        </w:tc>
      </w:tr>
      <w:tr w:rsidR="001F13F1" w:rsidRPr="001F13F1" w:rsidTr="005A6254">
        <w:trPr>
          <w:trHeight w:val="264"/>
        </w:trPr>
        <w:tc>
          <w:tcPr>
            <w:tcW w:w="2936" w:type="pct"/>
            <w:tcBorders>
              <w:left w:val="nil"/>
              <w:bottom w:val="nil"/>
              <w:right w:val="nil"/>
            </w:tcBorders>
            <w:vAlign w:val="center"/>
          </w:tcPr>
          <w:p w:rsidR="001F13F1" w:rsidRPr="001F13F1" w:rsidRDefault="001F13F1" w:rsidP="001F13F1">
            <w:pPr>
              <w:keepNext/>
              <w:ind w:left="851"/>
              <w:outlineLvl w:val="2"/>
              <w:rPr>
                <w:b/>
                <w:bCs/>
                <w:sz w:val="24"/>
                <w:szCs w:val="24"/>
                <w:lang w:eastAsia="da-DK"/>
              </w:rPr>
            </w:pPr>
            <w:r w:rsidRPr="001F13F1">
              <w:rPr>
                <w:b/>
                <w:bCs/>
                <w:sz w:val="24"/>
                <w:szCs w:val="24"/>
                <w:lang w:eastAsia="da-DK"/>
              </w:rPr>
              <w:t>HUNDE</w:t>
            </w:r>
          </w:p>
        </w:tc>
        <w:tc>
          <w:tcPr>
            <w:tcW w:w="1132" w:type="pct"/>
            <w:tcBorders>
              <w:left w:val="nil"/>
              <w:bottom w:val="nil"/>
              <w:right w:val="nil"/>
            </w:tcBorders>
            <w:vAlign w:val="center"/>
          </w:tcPr>
          <w:p w:rsidR="001F13F1" w:rsidRPr="001F13F1" w:rsidRDefault="001F13F1" w:rsidP="005A6254">
            <w:pPr>
              <w:keepNext/>
              <w:ind w:left="34"/>
              <w:rPr>
                <w:sz w:val="24"/>
                <w:szCs w:val="24"/>
                <w:lang w:eastAsia="da-DK"/>
              </w:rPr>
            </w:pPr>
          </w:p>
        </w:tc>
        <w:tc>
          <w:tcPr>
            <w:tcW w:w="933" w:type="pct"/>
            <w:tcBorders>
              <w:left w:val="nil"/>
              <w:bottom w:val="nil"/>
              <w:right w:val="nil"/>
            </w:tcBorders>
            <w:vAlign w:val="center"/>
          </w:tcPr>
          <w:p w:rsidR="001F13F1" w:rsidRPr="001F13F1" w:rsidRDefault="001F13F1" w:rsidP="005A6254">
            <w:pPr>
              <w:keepNext/>
              <w:ind w:left="189"/>
              <w:rPr>
                <w:sz w:val="24"/>
                <w:szCs w:val="24"/>
                <w:lang w:eastAsia="da-DK"/>
              </w:rPr>
            </w:pPr>
          </w:p>
        </w:tc>
      </w:tr>
      <w:tr w:rsidR="001F13F1" w:rsidRPr="001F13F1" w:rsidTr="005A6254">
        <w:trPr>
          <w:trHeight w:val="122"/>
        </w:trPr>
        <w:tc>
          <w:tcPr>
            <w:tcW w:w="2936" w:type="pct"/>
            <w:tcBorders>
              <w:top w:val="nil"/>
              <w:left w:val="nil"/>
              <w:bottom w:val="nil"/>
              <w:right w:val="nil"/>
            </w:tcBorders>
            <w:vAlign w:val="center"/>
          </w:tcPr>
          <w:p w:rsidR="001F13F1" w:rsidRPr="001F13F1" w:rsidRDefault="001F13F1" w:rsidP="001F13F1">
            <w:pPr>
              <w:keepNext/>
              <w:ind w:left="851"/>
              <w:rPr>
                <w:sz w:val="24"/>
                <w:szCs w:val="24"/>
                <w:lang w:eastAsia="da-DK"/>
              </w:rPr>
            </w:pPr>
            <w:r w:rsidRPr="001F13F1">
              <w:rPr>
                <w:sz w:val="24"/>
                <w:szCs w:val="24"/>
                <w:lang w:eastAsia="da-DK"/>
              </w:rPr>
              <w:t>Ikke præmedicinerede</w:t>
            </w:r>
          </w:p>
        </w:tc>
        <w:tc>
          <w:tcPr>
            <w:tcW w:w="1132" w:type="pct"/>
            <w:tcBorders>
              <w:top w:val="nil"/>
              <w:left w:val="nil"/>
              <w:bottom w:val="nil"/>
              <w:right w:val="nil"/>
            </w:tcBorders>
            <w:vAlign w:val="center"/>
          </w:tcPr>
          <w:p w:rsidR="001F13F1" w:rsidRPr="001F13F1" w:rsidRDefault="001F13F1" w:rsidP="005A6254">
            <w:pPr>
              <w:keepNext/>
              <w:ind w:left="34"/>
              <w:rPr>
                <w:sz w:val="24"/>
                <w:szCs w:val="24"/>
                <w:lang w:eastAsia="da-DK"/>
              </w:rPr>
            </w:pPr>
            <w:r w:rsidRPr="001F13F1">
              <w:rPr>
                <w:sz w:val="24"/>
                <w:szCs w:val="24"/>
                <w:lang w:eastAsia="da-DK"/>
              </w:rPr>
              <w:t>6,5 mg/kg</w:t>
            </w:r>
          </w:p>
        </w:tc>
        <w:tc>
          <w:tcPr>
            <w:tcW w:w="933" w:type="pct"/>
            <w:tcBorders>
              <w:top w:val="nil"/>
              <w:left w:val="nil"/>
              <w:bottom w:val="nil"/>
              <w:right w:val="nil"/>
            </w:tcBorders>
            <w:vAlign w:val="center"/>
          </w:tcPr>
          <w:p w:rsidR="001F13F1" w:rsidRPr="001F13F1" w:rsidRDefault="001F13F1" w:rsidP="005A6254">
            <w:pPr>
              <w:keepNext/>
              <w:ind w:left="189"/>
              <w:rPr>
                <w:sz w:val="24"/>
                <w:szCs w:val="24"/>
                <w:lang w:eastAsia="da-DK"/>
              </w:rPr>
            </w:pPr>
            <w:r w:rsidRPr="001F13F1">
              <w:rPr>
                <w:sz w:val="24"/>
                <w:szCs w:val="24"/>
                <w:lang w:eastAsia="da-DK"/>
              </w:rPr>
              <w:t>0,65 ml/kg</w:t>
            </w:r>
          </w:p>
        </w:tc>
      </w:tr>
      <w:tr w:rsidR="001F13F1" w:rsidRPr="001F13F1" w:rsidTr="005A6254">
        <w:trPr>
          <w:trHeight w:val="80"/>
        </w:trPr>
        <w:tc>
          <w:tcPr>
            <w:tcW w:w="2936" w:type="pct"/>
            <w:tcBorders>
              <w:top w:val="nil"/>
              <w:left w:val="nil"/>
              <w:bottom w:val="nil"/>
              <w:right w:val="nil"/>
            </w:tcBorders>
            <w:vAlign w:val="center"/>
          </w:tcPr>
          <w:p w:rsidR="001F13F1" w:rsidRPr="001F13F1" w:rsidRDefault="001F13F1" w:rsidP="001F13F1">
            <w:pPr>
              <w:keepNext/>
              <w:ind w:left="851"/>
              <w:rPr>
                <w:sz w:val="24"/>
                <w:szCs w:val="24"/>
                <w:lang w:eastAsia="da-DK"/>
              </w:rPr>
            </w:pPr>
            <w:r w:rsidRPr="001F13F1">
              <w:rPr>
                <w:sz w:val="24"/>
                <w:szCs w:val="24"/>
                <w:lang w:eastAsia="da-DK"/>
              </w:rPr>
              <w:t>Præmedicinerede</w:t>
            </w:r>
          </w:p>
        </w:tc>
        <w:tc>
          <w:tcPr>
            <w:tcW w:w="1132" w:type="pct"/>
            <w:tcBorders>
              <w:top w:val="nil"/>
              <w:left w:val="nil"/>
              <w:bottom w:val="nil"/>
              <w:right w:val="nil"/>
            </w:tcBorders>
            <w:vAlign w:val="center"/>
          </w:tcPr>
          <w:p w:rsidR="001F13F1" w:rsidRPr="001F13F1" w:rsidRDefault="001F13F1" w:rsidP="005A6254">
            <w:pPr>
              <w:keepNext/>
              <w:ind w:left="34"/>
              <w:rPr>
                <w:sz w:val="24"/>
                <w:szCs w:val="24"/>
                <w:lang w:eastAsia="da-DK"/>
              </w:rPr>
            </w:pPr>
          </w:p>
        </w:tc>
        <w:tc>
          <w:tcPr>
            <w:tcW w:w="933" w:type="pct"/>
            <w:tcBorders>
              <w:top w:val="nil"/>
              <w:left w:val="nil"/>
              <w:bottom w:val="nil"/>
              <w:right w:val="nil"/>
            </w:tcBorders>
            <w:vAlign w:val="center"/>
          </w:tcPr>
          <w:p w:rsidR="001F13F1" w:rsidRPr="001F13F1" w:rsidRDefault="001F13F1" w:rsidP="005A6254">
            <w:pPr>
              <w:keepNext/>
              <w:ind w:left="189"/>
              <w:rPr>
                <w:sz w:val="24"/>
                <w:szCs w:val="24"/>
                <w:lang w:eastAsia="da-DK"/>
              </w:rPr>
            </w:pPr>
          </w:p>
        </w:tc>
      </w:tr>
      <w:tr w:rsidR="001F13F1" w:rsidRPr="001F13F1" w:rsidTr="005A6254">
        <w:trPr>
          <w:trHeight w:val="80"/>
        </w:trPr>
        <w:tc>
          <w:tcPr>
            <w:tcW w:w="2936" w:type="pct"/>
            <w:tcBorders>
              <w:top w:val="nil"/>
              <w:left w:val="nil"/>
              <w:bottom w:val="nil"/>
              <w:right w:val="nil"/>
            </w:tcBorders>
            <w:vAlign w:val="center"/>
          </w:tcPr>
          <w:p w:rsidR="001F13F1" w:rsidRPr="001F13F1" w:rsidRDefault="001F13F1" w:rsidP="001F13F1">
            <w:pPr>
              <w:keepNext/>
              <w:ind w:left="851"/>
              <w:rPr>
                <w:sz w:val="24"/>
                <w:szCs w:val="24"/>
                <w:lang w:eastAsia="da-DK"/>
              </w:rPr>
            </w:pPr>
            <w:r w:rsidRPr="001F13F1">
              <w:rPr>
                <w:sz w:val="24"/>
                <w:szCs w:val="24"/>
                <w:lang w:eastAsia="da-DK"/>
              </w:rPr>
              <w:t xml:space="preserve">      Med non</w:t>
            </w:r>
            <w:r w:rsidRPr="001F13F1">
              <w:rPr>
                <w:sz w:val="24"/>
                <w:szCs w:val="24"/>
                <w:lang w:eastAsia="da-DK"/>
              </w:rPr>
              <w:noBreakHyphen/>
              <w:t>α</w:t>
            </w:r>
            <w:r w:rsidRPr="001F13F1">
              <w:rPr>
                <w:sz w:val="24"/>
                <w:szCs w:val="24"/>
                <w:lang w:eastAsia="da-DK"/>
              </w:rPr>
              <w:noBreakHyphen/>
              <w:t>2-agonist (acepromazinbaseret)</w:t>
            </w:r>
          </w:p>
        </w:tc>
        <w:tc>
          <w:tcPr>
            <w:tcW w:w="1132" w:type="pct"/>
            <w:tcBorders>
              <w:top w:val="nil"/>
              <w:left w:val="nil"/>
              <w:bottom w:val="nil"/>
              <w:right w:val="nil"/>
            </w:tcBorders>
            <w:vAlign w:val="center"/>
          </w:tcPr>
          <w:p w:rsidR="001F13F1" w:rsidRPr="001F13F1" w:rsidRDefault="001F13F1" w:rsidP="005A6254">
            <w:pPr>
              <w:keepNext/>
              <w:ind w:left="34"/>
              <w:rPr>
                <w:sz w:val="24"/>
                <w:szCs w:val="24"/>
                <w:lang w:eastAsia="da-DK"/>
              </w:rPr>
            </w:pPr>
            <w:r w:rsidRPr="001F13F1">
              <w:rPr>
                <w:sz w:val="24"/>
                <w:szCs w:val="24"/>
                <w:lang w:eastAsia="da-DK"/>
              </w:rPr>
              <w:t>4,0 mg/kg</w:t>
            </w:r>
          </w:p>
        </w:tc>
        <w:tc>
          <w:tcPr>
            <w:tcW w:w="933" w:type="pct"/>
            <w:tcBorders>
              <w:top w:val="nil"/>
              <w:left w:val="nil"/>
              <w:bottom w:val="nil"/>
              <w:right w:val="nil"/>
            </w:tcBorders>
            <w:vAlign w:val="center"/>
          </w:tcPr>
          <w:p w:rsidR="001F13F1" w:rsidRPr="001F13F1" w:rsidRDefault="001F13F1" w:rsidP="005A6254">
            <w:pPr>
              <w:keepNext/>
              <w:ind w:left="189"/>
              <w:rPr>
                <w:sz w:val="24"/>
                <w:szCs w:val="24"/>
                <w:lang w:eastAsia="da-DK"/>
              </w:rPr>
            </w:pPr>
            <w:r w:rsidRPr="001F13F1">
              <w:rPr>
                <w:sz w:val="24"/>
                <w:szCs w:val="24"/>
                <w:lang w:eastAsia="da-DK"/>
              </w:rPr>
              <w:t>0,40 ml/kg</w:t>
            </w:r>
          </w:p>
        </w:tc>
      </w:tr>
      <w:tr w:rsidR="001F13F1" w:rsidRPr="001F13F1" w:rsidTr="005A6254">
        <w:trPr>
          <w:trHeight w:val="148"/>
        </w:trPr>
        <w:tc>
          <w:tcPr>
            <w:tcW w:w="2936" w:type="pct"/>
            <w:tcBorders>
              <w:top w:val="nil"/>
              <w:left w:val="nil"/>
              <w:right w:val="nil"/>
            </w:tcBorders>
            <w:vAlign w:val="center"/>
          </w:tcPr>
          <w:p w:rsidR="001F13F1" w:rsidRPr="001F13F1" w:rsidRDefault="001F13F1" w:rsidP="001F13F1">
            <w:pPr>
              <w:keepNext/>
              <w:ind w:left="851"/>
              <w:rPr>
                <w:sz w:val="24"/>
                <w:szCs w:val="24"/>
                <w:lang w:eastAsia="da-DK"/>
              </w:rPr>
            </w:pPr>
            <w:r w:rsidRPr="001F13F1">
              <w:rPr>
                <w:sz w:val="24"/>
                <w:szCs w:val="24"/>
                <w:lang w:eastAsia="da-DK"/>
              </w:rPr>
              <w:t xml:space="preserve">      Med α</w:t>
            </w:r>
            <w:r w:rsidRPr="001F13F1">
              <w:rPr>
                <w:sz w:val="24"/>
                <w:szCs w:val="24"/>
                <w:lang w:eastAsia="da-DK"/>
              </w:rPr>
              <w:noBreakHyphen/>
              <w:t>2</w:t>
            </w:r>
            <w:r w:rsidRPr="001F13F1">
              <w:rPr>
                <w:sz w:val="24"/>
                <w:szCs w:val="24"/>
                <w:lang w:eastAsia="da-DK"/>
              </w:rPr>
              <w:noBreakHyphen/>
              <w:t>agonist</w:t>
            </w:r>
          </w:p>
        </w:tc>
        <w:tc>
          <w:tcPr>
            <w:tcW w:w="1132" w:type="pct"/>
            <w:tcBorders>
              <w:top w:val="nil"/>
              <w:left w:val="nil"/>
              <w:right w:val="nil"/>
            </w:tcBorders>
            <w:vAlign w:val="center"/>
          </w:tcPr>
          <w:p w:rsidR="001F13F1" w:rsidRPr="001F13F1" w:rsidRDefault="001F13F1" w:rsidP="005A6254">
            <w:pPr>
              <w:keepNext/>
              <w:ind w:left="34"/>
              <w:rPr>
                <w:sz w:val="24"/>
                <w:szCs w:val="24"/>
                <w:lang w:eastAsia="da-DK"/>
              </w:rPr>
            </w:pPr>
            <w:r w:rsidRPr="001F13F1">
              <w:rPr>
                <w:sz w:val="24"/>
                <w:szCs w:val="24"/>
                <w:lang w:eastAsia="da-DK"/>
              </w:rPr>
              <w:t>2,0 mg/kg</w:t>
            </w:r>
          </w:p>
        </w:tc>
        <w:tc>
          <w:tcPr>
            <w:tcW w:w="933" w:type="pct"/>
            <w:tcBorders>
              <w:top w:val="nil"/>
              <w:left w:val="nil"/>
              <w:right w:val="nil"/>
            </w:tcBorders>
            <w:vAlign w:val="center"/>
          </w:tcPr>
          <w:p w:rsidR="001F13F1" w:rsidRPr="001F13F1" w:rsidRDefault="001F13F1" w:rsidP="005A6254">
            <w:pPr>
              <w:keepNext/>
              <w:ind w:left="189"/>
              <w:rPr>
                <w:sz w:val="24"/>
                <w:szCs w:val="24"/>
                <w:lang w:eastAsia="da-DK"/>
              </w:rPr>
            </w:pPr>
            <w:r w:rsidRPr="001F13F1">
              <w:rPr>
                <w:sz w:val="24"/>
                <w:szCs w:val="24"/>
                <w:lang w:eastAsia="da-DK"/>
              </w:rPr>
              <w:t>0,20 ml/kg</w:t>
            </w:r>
          </w:p>
        </w:tc>
      </w:tr>
      <w:tr w:rsidR="001F13F1" w:rsidRPr="001F13F1" w:rsidTr="005A6254">
        <w:trPr>
          <w:trHeight w:val="172"/>
        </w:trPr>
        <w:tc>
          <w:tcPr>
            <w:tcW w:w="2936" w:type="pct"/>
            <w:tcBorders>
              <w:left w:val="nil"/>
              <w:bottom w:val="nil"/>
              <w:right w:val="nil"/>
            </w:tcBorders>
            <w:vAlign w:val="center"/>
          </w:tcPr>
          <w:p w:rsidR="001F13F1" w:rsidRPr="001F13F1" w:rsidRDefault="001F13F1" w:rsidP="001F13F1">
            <w:pPr>
              <w:keepNext/>
              <w:ind w:left="851"/>
              <w:rPr>
                <w:b/>
                <w:bCs/>
                <w:sz w:val="24"/>
                <w:szCs w:val="24"/>
                <w:lang w:eastAsia="da-DK"/>
              </w:rPr>
            </w:pPr>
            <w:r w:rsidRPr="001F13F1">
              <w:rPr>
                <w:b/>
                <w:sz w:val="24"/>
                <w:szCs w:val="24"/>
                <w:lang w:eastAsia="da-DK"/>
              </w:rPr>
              <w:t>KATTE</w:t>
            </w:r>
          </w:p>
        </w:tc>
        <w:tc>
          <w:tcPr>
            <w:tcW w:w="1132" w:type="pct"/>
            <w:tcBorders>
              <w:left w:val="nil"/>
              <w:bottom w:val="nil"/>
              <w:right w:val="nil"/>
            </w:tcBorders>
            <w:vAlign w:val="center"/>
          </w:tcPr>
          <w:p w:rsidR="001F13F1" w:rsidRPr="001F13F1" w:rsidRDefault="001F13F1" w:rsidP="005A6254">
            <w:pPr>
              <w:keepNext/>
              <w:ind w:left="34"/>
              <w:rPr>
                <w:sz w:val="24"/>
                <w:szCs w:val="24"/>
                <w:lang w:eastAsia="da-DK"/>
              </w:rPr>
            </w:pPr>
          </w:p>
        </w:tc>
        <w:tc>
          <w:tcPr>
            <w:tcW w:w="933" w:type="pct"/>
            <w:tcBorders>
              <w:left w:val="nil"/>
              <w:bottom w:val="nil"/>
              <w:right w:val="nil"/>
            </w:tcBorders>
            <w:vAlign w:val="center"/>
          </w:tcPr>
          <w:p w:rsidR="001F13F1" w:rsidRPr="001F13F1" w:rsidRDefault="001F13F1" w:rsidP="005A6254">
            <w:pPr>
              <w:keepNext/>
              <w:ind w:left="189"/>
              <w:rPr>
                <w:sz w:val="24"/>
                <w:szCs w:val="24"/>
                <w:lang w:eastAsia="da-DK"/>
              </w:rPr>
            </w:pPr>
          </w:p>
        </w:tc>
      </w:tr>
      <w:tr w:rsidR="001F13F1" w:rsidRPr="001F13F1" w:rsidTr="005A6254">
        <w:trPr>
          <w:trHeight w:val="80"/>
        </w:trPr>
        <w:tc>
          <w:tcPr>
            <w:tcW w:w="2936" w:type="pct"/>
            <w:tcBorders>
              <w:top w:val="nil"/>
              <w:left w:val="nil"/>
              <w:bottom w:val="nil"/>
              <w:right w:val="nil"/>
            </w:tcBorders>
            <w:vAlign w:val="center"/>
          </w:tcPr>
          <w:p w:rsidR="001F13F1" w:rsidRPr="001F13F1" w:rsidRDefault="001F13F1" w:rsidP="001F13F1">
            <w:pPr>
              <w:keepNext/>
              <w:ind w:left="851"/>
              <w:rPr>
                <w:sz w:val="24"/>
                <w:szCs w:val="24"/>
                <w:lang w:eastAsia="da-DK"/>
              </w:rPr>
            </w:pPr>
            <w:r w:rsidRPr="001F13F1">
              <w:rPr>
                <w:sz w:val="24"/>
                <w:szCs w:val="24"/>
                <w:lang w:eastAsia="da-DK"/>
              </w:rPr>
              <w:t>Ikke præmedicinerede</w:t>
            </w:r>
          </w:p>
        </w:tc>
        <w:tc>
          <w:tcPr>
            <w:tcW w:w="1132" w:type="pct"/>
            <w:tcBorders>
              <w:top w:val="nil"/>
              <w:left w:val="nil"/>
              <w:bottom w:val="nil"/>
              <w:right w:val="nil"/>
            </w:tcBorders>
            <w:vAlign w:val="center"/>
          </w:tcPr>
          <w:p w:rsidR="001F13F1" w:rsidRPr="001F13F1" w:rsidRDefault="001F13F1" w:rsidP="005A6254">
            <w:pPr>
              <w:keepNext/>
              <w:ind w:left="34"/>
              <w:rPr>
                <w:sz w:val="24"/>
                <w:szCs w:val="24"/>
                <w:lang w:eastAsia="da-DK"/>
              </w:rPr>
            </w:pPr>
            <w:r w:rsidRPr="001F13F1">
              <w:rPr>
                <w:sz w:val="24"/>
                <w:szCs w:val="24"/>
                <w:lang w:eastAsia="da-DK"/>
              </w:rPr>
              <w:t>8,0 mg/kg</w:t>
            </w:r>
          </w:p>
        </w:tc>
        <w:tc>
          <w:tcPr>
            <w:tcW w:w="933" w:type="pct"/>
            <w:tcBorders>
              <w:top w:val="nil"/>
              <w:left w:val="nil"/>
              <w:bottom w:val="nil"/>
              <w:right w:val="nil"/>
            </w:tcBorders>
            <w:vAlign w:val="center"/>
          </w:tcPr>
          <w:p w:rsidR="001F13F1" w:rsidRPr="001F13F1" w:rsidRDefault="001F13F1" w:rsidP="005A6254">
            <w:pPr>
              <w:keepNext/>
              <w:ind w:left="189"/>
              <w:rPr>
                <w:sz w:val="24"/>
                <w:szCs w:val="24"/>
                <w:lang w:eastAsia="da-DK"/>
              </w:rPr>
            </w:pPr>
            <w:r w:rsidRPr="001F13F1">
              <w:rPr>
                <w:sz w:val="24"/>
                <w:szCs w:val="24"/>
                <w:lang w:eastAsia="da-DK"/>
              </w:rPr>
              <w:t>0,80 ml/kg</w:t>
            </w:r>
          </w:p>
        </w:tc>
      </w:tr>
      <w:tr w:rsidR="001F13F1" w:rsidRPr="001F13F1" w:rsidTr="005A6254">
        <w:trPr>
          <w:trHeight w:val="80"/>
        </w:trPr>
        <w:tc>
          <w:tcPr>
            <w:tcW w:w="2936" w:type="pct"/>
            <w:tcBorders>
              <w:top w:val="nil"/>
              <w:left w:val="nil"/>
              <w:bottom w:val="nil"/>
              <w:right w:val="nil"/>
            </w:tcBorders>
            <w:vAlign w:val="center"/>
          </w:tcPr>
          <w:p w:rsidR="001F13F1" w:rsidRPr="001F13F1" w:rsidRDefault="001F13F1" w:rsidP="001F13F1">
            <w:pPr>
              <w:keepNext/>
              <w:ind w:left="851"/>
              <w:rPr>
                <w:sz w:val="24"/>
                <w:szCs w:val="24"/>
                <w:lang w:eastAsia="da-DK"/>
              </w:rPr>
            </w:pPr>
            <w:r w:rsidRPr="001F13F1">
              <w:rPr>
                <w:sz w:val="24"/>
                <w:szCs w:val="24"/>
                <w:lang w:eastAsia="da-DK"/>
              </w:rPr>
              <w:t>Præmedicinerede</w:t>
            </w:r>
          </w:p>
        </w:tc>
        <w:tc>
          <w:tcPr>
            <w:tcW w:w="1132" w:type="pct"/>
            <w:tcBorders>
              <w:top w:val="nil"/>
              <w:left w:val="nil"/>
              <w:bottom w:val="nil"/>
              <w:right w:val="nil"/>
            </w:tcBorders>
            <w:vAlign w:val="center"/>
          </w:tcPr>
          <w:p w:rsidR="001F13F1" w:rsidRPr="001F13F1" w:rsidRDefault="001F13F1" w:rsidP="005A6254">
            <w:pPr>
              <w:keepNext/>
              <w:ind w:left="34"/>
              <w:rPr>
                <w:sz w:val="24"/>
                <w:szCs w:val="24"/>
                <w:lang w:eastAsia="da-DK"/>
              </w:rPr>
            </w:pPr>
          </w:p>
        </w:tc>
        <w:tc>
          <w:tcPr>
            <w:tcW w:w="933" w:type="pct"/>
            <w:tcBorders>
              <w:top w:val="nil"/>
              <w:left w:val="nil"/>
              <w:bottom w:val="nil"/>
              <w:right w:val="nil"/>
            </w:tcBorders>
            <w:vAlign w:val="center"/>
          </w:tcPr>
          <w:p w:rsidR="001F13F1" w:rsidRPr="001F13F1" w:rsidRDefault="001F13F1" w:rsidP="005A6254">
            <w:pPr>
              <w:keepNext/>
              <w:ind w:left="189"/>
              <w:rPr>
                <w:sz w:val="24"/>
                <w:szCs w:val="24"/>
                <w:lang w:eastAsia="da-DK"/>
              </w:rPr>
            </w:pPr>
          </w:p>
        </w:tc>
      </w:tr>
      <w:tr w:rsidR="001F13F1" w:rsidRPr="001F13F1" w:rsidTr="005A6254">
        <w:trPr>
          <w:trHeight w:val="80"/>
        </w:trPr>
        <w:tc>
          <w:tcPr>
            <w:tcW w:w="2936" w:type="pct"/>
            <w:tcBorders>
              <w:top w:val="nil"/>
              <w:left w:val="nil"/>
              <w:bottom w:val="nil"/>
              <w:right w:val="nil"/>
            </w:tcBorders>
            <w:vAlign w:val="center"/>
          </w:tcPr>
          <w:p w:rsidR="001F13F1" w:rsidRPr="001F13F1" w:rsidRDefault="001F13F1" w:rsidP="001F13F1">
            <w:pPr>
              <w:keepNext/>
              <w:ind w:left="851"/>
              <w:rPr>
                <w:sz w:val="24"/>
                <w:szCs w:val="24"/>
                <w:lang w:eastAsia="da-DK"/>
              </w:rPr>
            </w:pPr>
            <w:r w:rsidRPr="001F13F1">
              <w:rPr>
                <w:sz w:val="24"/>
                <w:szCs w:val="24"/>
                <w:lang w:eastAsia="da-DK"/>
              </w:rPr>
              <w:t xml:space="preserve">      Med non</w:t>
            </w:r>
            <w:r w:rsidRPr="001F13F1">
              <w:rPr>
                <w:sz w:val="24"/>
                <w:szCs w:val="24"/>
                <w:lang w:eastAsia="da-DK"/>
              </w:rPr>
              <w:noBreakHyphen/>
              <w:t>α</w:t>
            </w:r>
            <w:r w:rsidRPr="001F13F1">
              <w:rPr>
                <w:sz w:val="24"/>
                <w:szCs w:val="24"/>
                <w:lang w:eastAsia="da-DK"/>
              </w:rPr>
              <w:noBreakHyphen/>
              <w:t>2-agonist (acepromazinbaseret)</w:t>
            </w:r>
          </w:p>
        </w:tc>
        <w:tc>
          <w:tcPr>
            <w:tcW w:w="1132" w:type="pct"/>
            <w:tcBorders>
              <w:top w:val="nil"/>
              <w:left w:val="nil"/>
              <w:bottom w:val="nil"/>
              <w:right w:val="nil"/>
            </w:tcBorders>
            <w:vAlign w:val="center"/>
          </w:tcPr>
          <w:p w:rsidR="001F13F1" w:rsidRPr="001F13F1" w:rsidRDefault="001F13F1" w:rsidP="005A6254">
            <w:pPr>
              <w:keepNext/>
              <w:ind w:left="34"/>
              <w:rPr>
                <w:sz w:val="24"/>
                <w:szCs w:val="24"/>
                <w:lang w:eastAsia="da-DK"/>
              </w:rPr>
            </w:pPr>
            <w:r w:rsidRPr="001F13F1">
              <w:rPr>
                <w:sz w:val="24"/>
                <w:szCs w:val="24"/>
                <w:lang w:eastAsia="da-DK"/>
              </w:rPr>
              <w:t>6,0 mg/kg</w:t>
            </w:r>
          </w:p>
        </w:tc>
        <w:tc>
          <w:tcPr>
            <w:tcW w:w="933" w:type="pct"/>
            <w:tcBorders>
              <w:top w:val="nil"/>
              <w:left w:val="nil"/>
              <w:bottom w:val="nil"/>
              <w:right w:val="nil"/>
            </w:tcBorders>
            <w:vAlign w:val="center"/>
          </w:tcPr>
          <w:p w:rsidR="001F13F1" w:rsidRPr="001F13F1" w:rsidRDefault="001F13F1" w:rsidP="005A6254">
            <w:pPr>
              <w:keepNext/>
              <w:ind w:left="189"/>
              <w:rPr>
                <w:sz w:val="24"/>
                <w:szCs w:val="24"/>
                <w:lang w:eastAsia="da-DK"/>
              </w:rPr>
            </w:pPr>
            <w:r w:rsidRPr="001F13F1">
              <w:rPr>
                <w:sz w:val="24"/>
                <w:szCs w:val="24"/>
                <w:lang w:eastAsia="da-DK"/>
              </w:rPr>
              <w:t>0,60 ml/kg</w:t>
            </w:r>
          </w:p>
        </w:tc>
      </w:tr>
      <w:tr w:rsidR="001F13F1" w:rsidRPr="001F13F1" w:rsidTr="005A6254">
        <w:trPr>
          <w:trHeight w:val="80"/>
        </w:trPr>
        <w:tc>
          <w:tcPr>
            <w:tcW w:w="2936" w:type="pct"/>
            <w:tcBorders>
              <w:top w:val="nil"/>
              <w:left w:val="nil"/>
              <w:right w:val="nil"/>
            </w:tcBorders>
            <w:vAlign w:val="center"/>
          </w:tcPr>
          <w:p w:rsidR="001F13F1" w:rsidRPr="001F13F1" w:rsidRDefault="001F13F1" w:rsidP="001F13F1">
            <w:pPr>
              <w:keepNext/>
              <w:ind w:left="851"/>
              <w:rPr>
                <w:sz w:val="24"/>
                <w:szCs w:val="24"/>
                <w:lang w:eastAsia="da-DK"/>
              </w:rPr>
            </w:pPr>
            <w:r w:rsidRPr="001F13F1">
              <w:rPr>
                <w:sz w:val="24"/>
                <w:szCs w:val="24"/>
                <w:lang w:eastAsia="da-DK"/>
              </w:rPr>
              <w:t xml:space="preserve">      Med α</w:t>
            </w:r>
            <w:r w:rsidRPr="001F13F1">
              <w:rPr>
                <w:sz w:val="24"/>
                <w:szCs w:val="24"/>
                <w:lang w:eastAsia="da-DK"/>
              </w:rPr>
              <w:noBreakHyphen/>
              <w:t>2</w:t>
            </w:r>
            <w:r w:rsidRPr="001F13F1">
              <w:rPr>
                <w:sz w:val="24"/>
                <w:szCs w:val="24"/>
                <w:lang w:eastAsia="da-DK"/>
              </w:rPr>
              <w:noBreakHyphen/>
              <w:t>agonist</w:t>
            </w:r>
          </w:p>
        </w:tc>
        <w:tc>
          <w:tcPr>
            <w:tcW w:w="1132" w:type="pct"/>
            <w:tcBorders>
              <w:top w:val="nil"/>
              <w:left w:val="nil"/>
              <w:right w:val="nil"/>
            </w:tcBorders>
            <w:vAlign w:val="center"/>
          </w:tcPr>
          <w:p w:rsidR="001F13F1" w:rsidRPr="001F13F1" w:rsidRDefault="001F13F1" w:rsidP="005A6254">
            <w:pPr>
              <w:ind w:left="34"/>
              <w:rPr>
                <w:sz w:val="24"/>
                <w:szCs w:val="24"/>
                <w:lang w:eastAsia="da-DK"/>
              </w:rPr>
            </w:pPr>
            <w:r w:rsidRPr="001F13F1">
              <w:rPr>
                <w:sz w:val="24"/>
                <w:szCs w:val="24"/>
                <w:lang w:eastAsia="da-DK"/>
              </w:rPr>
              <w:t>4,5 mg/kg</w:t>
            </w:r>
          </w:p>
        </w:tc>
        <w:tc>
          <w:tcPr>
            <w:tcW w:w="933" w:type="pct"/>
            <w:tcBorders>
              <w:top w:val="nil"/>
              <w:left w:val="nil"/>
              <w:right w:val="nil"/>
            </w:tcBorders>
            <w:vAlign w:val="center"/>
          </w:tcPr>
          <w:p w:rsidR="001F13F1" w:rsidRPr="001F13F1" w:rsidRDefault="001F13F1" w:rsidP="005A6254">
            <w:pPr>
              <w:ind w:left="189"/>
              <w:rPr>
                <w:sz w:val="24"/>
                <w:szCs w:val="24"/>
                <w:lang w:eastAsia="da-DK"/>
              </w:rPr>
            </w:pPr>
            <w:r w:rsidRPr="001F13F1">
              <w:rPr>
                <w:sz w:val="24"/>
                <w:szCs w:val="24"/>
                <w:lang w:eastAsia="da-DK"/>
              </w:rPr>
              <w:t>0,45 ml/kg</w:t>
            </w:r>
          </w:p>
        </w:tc>
      </w:tr>
    </w:tbl>
    <w:p w:rsidR="001F13F1" w:rsidRPr="001F13F1" w:rsidRDefault="001F13F1" w:rsidP="001F13F1">
      <w:pPr>
        <w:ind w:left="851"/>
        <w:rPr>
          <w:sz w:val="24"/>
          <w:szCs w:val="24"/>
          <w:u w:val="single"/>
          <w:lang w:eastAsia="da-DK"/>
        </w:rPr>
      </w:pPr>
    </w:p>
    <w:p w:rsidR="001F13F1" w:rsidRPr="001F13F1" w:rsidRDefault="001F13F1" w:rsidP="001F13F1">
      <w:pPr>
        <w:ind w:left="851"/>
        <w:rPr>
          <w:sz w:val="24"/>
          <w:szCs w:val="24"/>
          <w:lang w:eastAsia="da-DK"/>
        </w:rPr>
      </w:pPr>
      <w:r w:rsidRPr="001F13F1">
        <w:rPr>
          <w:sz w:val="24"/>
          <w:szCs w:val="24"/>
          <w:lang w:eastAsia="da-DK"/>
        </w:rPr>
        <w:t>Propofol er blevet anvendt som et induktionsstof i kombination med andre præmedicineringsprogrammer, se pkt. 4.8 for yderligere detaljer.</w:t>
      </w:r>
    </w:p>
    <w:p w:rsidR="001F13F1" w:rsidRPr="001F13F1" w:rsidRDefault="001F13F1" w:rsidP="001F13F1">
      <w:pPr>
        <w:ind w:left="851"/>
        <w:rPr>
          <w:sz w:val="24"/>
          <w:szCs w:val="24"/>
          <w:u w:val="single"/>
          <w:lang w:eastAsia="da-DK"/>
        </w:rPr>
      </w:pPr>
    </w:p>
    <w:p w:rsidR="001F13F1" w:rsidRPr="001F13F1" w:rsidRDefault="001F13F1" w:rsidP="001F13F1">
      <w:pPr>
        <w:keepNext/>
        <w:ind w:left="851"/>
        <w:rPr>
          <w:sz w:val="24"/>
          <w:szCs w:val="24"/>
          <w:lang w:eastAsia="da-DK"/>
        </w:rPr>
      </w:pPr>
      <w:r w:rsidRPr="001F13F1">
        <w:rPr>
          <w:sz w:val="24"/>
          <w:szCs w:val="24"/>
          <w:u w:val="single"/>
          <w:lang w:eastAsia="da-DK"/>
        </w:rPr>
        <w:t>Vedligeholdelse af anæstesi</w:t>
      </w:r>
    </w:p>
    <w:p w:rsidR="001F13F1" w:rsidRDefault="001F13F1" w:rsidP="001F13F1">
      <w:pPr>
        <w:ind w:left="851"/>
        <w:rPr>
          <w:sz w:val="24"/>
          <w:szCs w:val="24"/>
          <w:lang w:eastAsia="da-DK"/>
        </w:rPr>
      </w:pPr>
      <w:r w:rsidRPr="001F13F1">
        <w:rPr>
          <w:sz w:val="24"/>
          <w:szCs w:val="24"/>
          <w:lang w:eastAsia="da-DK"/>
        </w:rPr>
        <w:t>Efter induktion af anæstesi med veterinærlægemidlet, kan dyret intuberes og vedligeholdes på veterinærlægemidlet eller et anæstetisk inhalationsstof. Vedligeholdelsesdoserne af veterinærlægemidlet kan gives som gentagne bolusinjektioner, eller som en kontinuerlig infusion. Vedvarende og langvarig eksponering kan føre til en mere langsom konvalescens, især hos katte.</w:t>
      </w:r>
    </w:p>
    <w:p w:rsidR="005A6254" w:rsidRPr="001F13F1" w:rsidRDefault="005A6254" w:rsidP="001F13F1">
      <w:pPr>
        <w:ind w:left="851"/>
        <w:rPr>
          <w:sz w:val="24"/>
          <w:szCs w:val="24"/>
          <w:lang w:eastAsia="da-DK"/>
        </w:rPr>
      </w:pPr>
    </w:p>
    <w:p w:rsidR="001F13F1" w:rsidRPr="001F13F1" w:rsidRDefault="005A6254" w:rsidP="001F13F1">
      <w:pPr>
        <w:keepNext/>
        <w:ind w:left="851"/>
        <w:rPr>
          <w:i/>
          <w:sz w:val="24"/>
          <w:szCs w:val="24"/>
          <w:lang w:eastAsia="da-DK"/>
        </w:rPr>
      </w:pPr>
      <w:r>
        <w:rPr>
          <w:i/>
          <w:sz w:val="24"/>
          <w:szCs w:val="24"/>
          <w:lang w:eastAsia="da-DK"/>
        </w:rPr>
        <w:t>Gentagne bolusinjektioner</w:t>
      </w:r>
    </w:p>
    <w:p w:rsidR="001F13F1" w:rsidRDefault="001F13F1" w:rsidP="001F13F1">
      <w:pPr>
        <w:ind w:left="851"/>
        <w:rPr>
          <w:sz w:val="24"/>
          <w:szCs w:val="24"/>
          <w:lang w:eastAsia="da-DK"/>
        </w:rPr>
      </w:pPr>
      <w:bookmarkStart w:id="16" w:name="_Hlk527980416"/>
      <w:r w:rsidRPr="001F13F1">
        <w:rPr>
          <w:sz w:val="24"/>
          <w:szCs w:val="24"/>
          <w:lang w:eastAsia="da-DK"/>
        </w:rPr>
        <w:t xml:space="preserve">Når anæstesien vedligeholdes med gentagne bolusinjektioner, vil doseringshastigheden og varigheden af virkningen variere fra dyr til dyr. </w:t>
      </w:r>
      <w:bookmarkEnd w:id="16"/>
      <w:r w:rsidRPr="001F13F1">
        <w:rPr>
          <w:sz w:val="24"/>
          <w:szCs w:val="24"/>
          <w:lang w:eastAsia="da-DK"/>
        </w:rPr>
        <w:t>En stigende dosis på ca. 1</w:t>
      </w:r>
      <w:r w:rsidRPr="001F13F1">
        <w:rPr>
          <w:sz w:val="24"/>
          <w:szCs w:val="24"/>
          <w:lang w:eastAsia="da-DK"/>
        </w:rPr>
        <w:noBreakHyphen/>
        <w:t>2 mg/kg (0,1</w:t>
      </w:r>
      <w:r w:rsidRPr="001F13F1">
        <w:rPr>
          <w:sz w:val="24"/>
          <w:szCs w:val="24"/>
          <w:lang w:eastAsia="da-DK"/>
        </w:rPr>
        <w:noBreakHyphen/>
        <w:t>0,2 ml/kg legemsvægt) til hunde, og 0,5</w:t>
      </w:r>
      <w:r w:rsidRPr="001F13F1">
        <w:rPr>
          <w:sz w:val="24"/>
          <w:szCs w:val="24"/>
          <w:lang w:eastAsia="da-DK"/>
        </w:rPr>
        <w:noBreakHyphen/>
        <w:t>2 mg/kg (0,05</w:t>
      </w:r>
      <w:r w:rsidRPr="001F13F1">
        <w:rPr>
          <w:sz w:val="24"/>
          <w:szCs w:val="24"/>
          <w:lang w:eastAsia="da-DK"/>
        </w:rPr>
        <w:noBreakHyphen/>
        <w:t>0,2 ml/kg legemsvægt) til katte kan gives til virkning, når anæstesien bliver for let. Denne dosis kan gentages efter behov for at opretholde en passende dyb anæstesi.</w:t>
      </w:r>
    </w:p>
    <w:p w:rsidR="00040CCD" w:rsidRPr="001F13F1" w:rsidRDefault="00040CCD" w:rsidP="001F13F1">
      <w:pPr>
        <w:ind w:left="851"/>
        <w:rPr>
          <w:sz w:val="24"/>
          <w:szCs w:val="24"/>
          <w:lang w:eastAsia="da-DK"/>
        </w:rPr>
      </w:pPr>
    </w:p>
    <w:p w:rsidR="001F13F1" w:rsidRPr="001F13F1" w:rsidRDefault="00040CCD" w:rsidP="001F13F1">
      <w:pPr>
        <w:keepNext/>
        <w:ind w:left="851"/>
        <w:rPr>
          <w:i/>
          <w:sz w:val="24"/>
          <w:szCs w:val="24"/>
          <w:lang w:eastAsia="da-DK"/>
        </w:rPr>
      </w:pPr>
      <w:r>
        <w:rPr>
          <w:i/>
          <w:sz w:val="24"/>
          <w:szCs w:val="24"/>
          <w:lang w:eastAsia="da-DK"/>
        </w:rPr>
        <w:t>Vedvarende infusion</w:t>
      </w:r>
    </w:p>
    <w:p w:rsidR="001F13F1" w:rsidRPr="001F13F1" w:rsidRDefault="001F13F1" w:rsidP="001F13F1">
      <w:pPr>
        <w:ind w:left="851"/>
        <w:rPr>
          <w:sz w:val="24"/>
          <w:szCs w:val="24"/>
          <w:lang w:eastAsia="da-DK"/>
        </w:rPr>
      </w:pPr>
      <w:r w:rsidRPr="001F13F1">
        <w:rPr>
          <w:sz w:val="24"/>
          <w:szCs w:val="24"/>
          <w:lang w:eastAsia="da-DK"/>
        </w:rPr>
        <w:t>For anæstesi ved vedvarende infusion er den anbefalede hastighed af startdosis 0,3</w:t>
      </w:r>
      <w:r w:rsidRPr="001F13F1">
        <w:rPr>
          <w:sz w:val="24"/>
          <w:szCs w:val="24"/>
          <w:lang w:eastAsia="da-DK"/>
        </w:rPr>
        <w:noBreakHyphen/>
        <w:t>0,4 mg/kg/min (1,8</w:t>
      </w:r>
      <w:r w:rsidRPr="001F13F1">
        <w:rPr>
          <w:sz w:val="24"/>
          <w:szCs w:val="24"/>
          <w:lang w:eastAsia="da-DK"/>
        </w:rPr>
        <w:noBreakHyphen/>
        <w:t>2,4 ml/kg/time) til hunde, og 0,2</w:t>
      </w:r>
      <w:r w:rsidRPr="001F13F1">
        <w:rPr>
          <w:sz w:val="24"/>
          <w:szCs w:val="24"/>
          <w:lang w:eastAsia="da-DK"/>
        </w:rPr>
        <w:noBreakHyphen/>
        <w:t>0,3 mg/kg/min (1,2</w:t>
      </w:r>
      <w:r w:rsidRPr="001F13F1">
        <w:rPr>
          <w:sz w:val="24"/>
          <w:szCs w:val="24"/>
          <w:lang w:eastAsia="da-DK"/>
        </w:rPr>
        <w:noBreakHyphen/>
        <w:t>1,8 ml/kg/time) til katte. Anvendelsen af præanæstetiske lægemidler (præmedicin) eller samtidig infusion af f.eks. ketamin eller opioider kan nedsætte propofolbehovet, afhængigt af type og dosis af de anvendte lægemidler. Den reelle infusionshastighed skal baseres på responset hos den enkelte patient og den ønskede anæstesidybde, og kan justeres med stigninger på 0,01</w:t>
      </w:r>
      <w:r w:rsidRPr="001F13F1">
        <w:rPr>
          <w:sz w:val="24"/>
          <w:szCs w:val="24"/>
          <w:lang w:eastAsia="da-DK"/>
        </w:rPr>
        <w:noBreakHyphen/>
        <w:t>0,05 mg/kg/minut (0,06</w:t>
      </w:r>
      <w:r w:rsidRPr="001F13F1">
        <w:rPr>
          <w:sz w:val="24"/>
          <w:szCs w:val="24"/>
          <w:lang w:eastAsia="da-DK"/>
        </w:rPr>
        <w:noBreakHyphen/>
        <w:t>0,3 ml/kg/time), baseret på vurderingen af anæstesidybden og det kardiovaskulære respons. Når en hurtig øgning i anæstesidybden er ønskelig, kan der administreres en ekstra bolus af propofol (0,5</w:t>
      </w:r>
      <w:r w:rsidRPr="001F13F1">
        <w:rPr>
          <w:sz w:val="24"/>
          <w:szCs w:val="24"/>
          <w:lang w:eastAsia="da-DK"/>
        </w:rPr>
        <w:noBreakHyphen/>
        <w:t>1 mg/kg [0,05</w:t>
      </w:r>
      <w:r w:rsidRPr="001F13F1">
        <w:rPr>
          <w:sz w:val="24"/>
          <w:szCs w:val="24"/>
          <w:lang w:eastAsia="da-DK"/>
        </w:rPr>
        <w:noBreakHyphen/>
        <w:t>0,1 ml/kg] til hunde, og 0,2</w:t>
      </w:r>
      <w:r w:rsidRPr="001F13F1">
        <w:rPr>
          <w:sz w:val="24"/>
          <w:szCs w:val="24"/>
          <w:lang w:eastAsia="da-DK"/>
        </w:rPr>
        <w:noBreakHyphen/>
        <w:t>0,5 mg/kg [0,02</w:t>
      </w:r>
      <w:r w:rsidRPr="001F13F1">
        <w:rPr>
          <w:sz w:val="24"/>
          <w:szCs w:val="24"/>
          <w:lang w:eastAsia="da-DK"/>
        </w:rPr>
        <w:noBreakHyphen/>
        <w:t>0,05 ml/kg] til katte).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040CCD" w:rsidRPr="00040CCD" w:rsidRDefault="00040CCD" w:rsidP="00040CCD">
      <w:pPr>
        <w:ind w:left="851"/>
        <w:rPr>
          <w:sz w:val="24"/>
          <w:szCs w:val="24"/>
          <w:lang w:eastAsia="da-DK"/>
        </w:rPr>
      </w:pPr>
      <w:r w:rsidRPr="00040CCD">
        <w:rPr>
          <w:sz w:val="24"/>
          <w:szCs w:val="24"/>
          <w:lang w:eastAsia="da-DK"/>
        </w:rPr>
        <w:t>Utilsigtet overdosering kan sandsynligvis føre til kardiorespirationsundertrykkelse. Respirationsundertrykkelse skal behandles med assisteret eller kontrolleret ventilation med ilt. Den kardiovaskulære funktion skal støttes ved at administrere pressorstoffer og intravenøse væsker.</w:t>
      </w:r>
    </w:p>
    <w:p w:rsidR="00040CCD" w:rsidRPr="00040CCD" w:rsidRDefault="00040CCD" w:rsidP="00040CCD">
      <w:pPr>
        <w:ind w:left="851"/>
        <w:rPr>
          <w:sz w:val="24"/>
          <w:szCs w:val="24"/>
          <w:lang w:eastAsia="da-DK"/>
        </w:rPr>
      </w:pPr>
      <w:r w:rsidRPr="00040CCD">
        <w:rPr>
          <w:sz w:val="24"/>
          <w:szCs w:val="24"/>
          <w:lang w:eastAsia="da-DK"/>
        </w:rPr>
        <w:lastRenderedPageBreak/>
        <w:t>Hos hunde kan doser over 9 mg/kg, administreret med en hastighed på 2 mg/s, forårsage cyanose i slimhinderne. Der kan også observeret mydriasis efter en overdosering. Cyanose og mydriasis giver en indikation for, at ilttilskud er nødvendigt. Ved doser over 16.5 mg/kg, administreret med en hastighed på 2 mg/s, er det blevet rapporteret, at apnø varede længere end 90 sekunder. Ved doser på 20 mg/kg og derover, administreret med en hastighed på 0,5 mg/s, er der blevet rapporteret dødsfald.</w:t>
      </w:r>
    </w:p>
    <w:p w:rsidR="00040CCD" w:rsidRPr="00040CCD" w:rsidRDefault="00040CCD" w:rsidP="00040CCD">
      <w:pPr>
        <w:ind w:left="851"/>
        <w:rPr>
          <w:sz w:val="24"/>
          <w:szCs w:val="24"/>
          <w:lang w:eastAsia="da-DK"/>
        </w:rPr>
      </w:pPr>
      <w:r w:rsidRPr="00040CCD">
        <w:rPr>
          <w:sz w:val="24"/>
          <w:szCs w:val="24"/>
          <w:lang w:eastAsia="da-DK"/>
        </w:rPr>
        <w:t>Hos hunde førte gentagne infusioner på 0,6</w:t>
      </w:r>
      <w:r w:rsidRPr="00040CCD">
        <w:rPr>
          <w:sz w:val="24"/>
          <w:szCs w:val="24"/>
          <w:lang w:eastAsia="da-DK"/>
        </w:rPr>
        <w:noBreakHyphen/>
        <w:t>0,7 mg/kg/min i ca.1 time dagligt i 14 på hinanden følgende dage til en stigning i hjertefrekvensen og det gennemsnitlige arterielle blodtryk, mens der blev bemærket et nedsat antal røde blodlegemer, hæmaglobin og hæmatokrit. Selvom dyrene blev mekanisk ventileret, var der evidens for respirationsacidose, sandsynligvis som følge af en undertrykkelse af respirationscentrene, hvilket førte til utilstrækkelig alveolær ventilation og CO</w:t>
      </w:r>
      <w:r w:rsidRPr="00040CCD">
        <w:rPr>
          <w:sz w:val="24"/>
          <w:szCs w:val="24"/>
          <w:vertAlign w:val="subscript"/>
          <w:lang w:eastAsia="da-DK"/>
        </w:rPr>
        <w:t>2</w:t>
      </w:r>
      <w:r w:rsidRPr="00040CCD">
        <w:rPr>
          <w:sz w:val="24"/>
          <w:szCs w:val="24"/>
          <w:lang w:eastAsia="da-DK"/>
        </w:rPr>
        <w:noBreakHyphen/>
        <w:t>akkumulation.</w:t>
      </w:r>
    </w:p>
    <w:p w:rsidR="005B0036" w:rsidRPr="00406EE7" w:rsidRDefault="00040CCD" w:rsidP="00040CCD">
      <w:pPr>
        <w:ind w:left="851"/>
        <w:rPr>
          <w:sz w:val="24"/>
          <w:szCs w:val="24"/>
          <w:lang w:eastAsia="da-DK"/>
        </w:rPr>
      </w:pPr>
      <w:r w:rsidRPr="00040CCD">
        <w:rPr>
          <w:sz w:val="24"/>
          <w:szCs w:val="24"/>
          <w:lang w:eastAsia="da-DK"/>
        </w:rPr>
        <w:t>Et dødsfald som følge af apnø blev rapporteret hos en kat efter en injektion af 19,5 mg/kg, administreret som en enkeltdosis.</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5B0036" w:rsidRPr="00406EE7" w:rsidRDefault="00817B60" w:rsidP="005B0036">
      <w:pPr>
        <w:tabs>
          <w:tab w:val="left" w:pos="851"/>
          <w:tab w:val="left" w:pos="8222"/>
        </w:tabs>
        <w:ind w:left="851"/>
        <w:rPr>
          <w:sz w:val="24"/>
          <w:szCs w:val="24"/>
        </w:rPr>
      </w:pPr>
      <w:r>
        <w:rPr>
          <w:sz w:val="24"/>
          <w:szCs w:val="24"/>
        </w:rPr>
        <w:t>Ikke relevant.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1005A0" w:rsidRDefault="005B0036" w:rsidP="005B0036">
      <w:pPr>
        <w:tabs>
          <w:tab w:val="left" w:pos="8222"/>
        </w:tabs>
        <w:ind w:left="851" w:hanging="851"/>
        <w:rPr>
          <w:b/>
          <w:sz w:val="24"/>
          <w:szCs w:val="24"/>
        </w:rPr>
      </w:pPr>
      <w:r w:rsidRPr="001005A0">
        <w:rPr>
          <w:b/>
          <w:sz w:val="24"/>
          <w:szCs w:val="24"/>
        </w:rPr>
        <w:t>5.</w:t>
      </w:r>
      <w:r w:rsidRPr="001005A0">
        <w:rPr>
          <w:b/>
          <w:sz w:val="24"/>
          <w:szCs w:val="24"/>
        </w:rPr>
        <w:tab/>
        <w:t>FARMAKOLOGISKE EGENSKABER</w:t>
      </w:r>
    </w:p>
    <w:p w:rsidR="005B0036" w:rsidRPr="001005A0" w:rsidRDefault="005B0036" w:rsidP="005B0036">
      <w:pPr>
        <w:tabs>
          <w:tab w:val="left" w:pos="8222"/>
        </w:tabs>
        <w:ind w:left="851"/>
        <w:rPr>
          <w:sz w:val="24"/>
          <w:szCs w:val="24"/>
        </w:rPr>
      </w:pPr>
    </w:p>
    <w:p w:rsidR="001005A0" w:rsidRPr="001005A0" w:rsidRDefault="001005A0" w:rsidP="001005A0">
      <w:pPr>
        <w:ind w:left="851"/>
        <w:rPr>
          <w:sz w:val="24"/>
          <w:szCs w:val="24"/>
          <w:lang w:eastAsia="da-DK"/>
        </w:rPr>
      </w:pPr>
      <w:r w:rsidRPr="001005A0">
        <w:rPr>
          <w:sz w:val="24"/>
          <w:szCs w:val="24"/>
          <w:lang w:eastAsia="da-DK"/>
        </w:rPr>
        <w:t>Farmakoterapeutisk gruppe: Anæstetika, generelle.</w:t>
      </w:r>
    </w:p>
    <w:p w:rsidR="005B0036" w:rsidRPr="001005A0" w:rsidRDefault="001005A0" w:rsidP="001005A0">
      <w:pPr>
        <w:ind w:left="851"/>
        <w:rPr>
          <w:sz w:val="24"/>
          <w:szCs w:val="24"/>
        </w:rPr>
      </w:pPr>
      <w:r w:rsidRPr="001005A0">
        <w:rPr>
          <w:sz w:val="24"/>
          <w:szCs w:val="24"/>
          <w:lang w:eastAsia="da-DK"/>
        </w:rPr>
        <w:t>ATCvet</w:t>
      </w:r>
      <w:r w:rsidRPr="001005A0">
        <w:rPr>
          <w:sz w:val="24"/>
          <w:szCs w:val="24"/>
          <w:lang w:eastAsia="da-DK"/>
        </w:rPr>
        <w:noBreakHyphen/>
        <w:t>kode: QN 01 AX 10.</w:t>
      </w:r>
      <w:r w:rsidRPr="001005A0">
        <w:rPr>
          <w:sz w:val="24"/>
          <w:szCs w:val="24"/>
        </w:rPr>
        <w:t xml:space="preserve"> </w:t>
      </w:r>
    </w:p>
    <w:p w:rsidR="005B0036" w:rsidRPr="001005A0" w:rsidRDefault="005B0036" w:rsidP="005B0036">
      <w:pPr>
        <w:tabs>
          <w:tab w:val="left" w:pos="8222"/>
        </w:tabs>
        <w:ind w:left="851"/>
        <w:rPr>
          <w:sz w:val="24"/>
          <w:szCs w:val="24"/>
        </w:rPr>
      </w:pPr>
    </w:p>
    <w:p w:rsidR="005B0036" w:rsidRPr="001005A0" w:rsidRDefault="005B0036" w:rsidP="005B0036">
      <w:pPr>
        <w:tabs>
          <w:tab w:val="left" w:pos="851"/>
          <w:tab w:val="left" w:pos="8222"/>
        </w:tabs>
        <w:rPr>
          <w:b/>
          <w:sz w:val="24"/>
          <w:szCs w:val="24"/>
        </w:rPr>
      </w:pPr>
      <w:r w:rsidRPr="001005A0">
        <w:rPr>
          <w:b/>
          <w:sz w:val="24"/>
          <w:szCs w:val="24"/>
        </w:rPr>
        <w:t>5.1</w:t>
      </w:r>
      <w:r w:rsidRPr="001005A0">
        <w:rPr>
          <w:b/>
          <w:sz w:val="24"/>
          <w:szCs w:val="24"/>
        </w:rPr>
        <w:tab/>
        <w:t>Farmakodynamiske egenskaber</w:t>
      </w:r>
    </w:p>
    <w:p w:rsidR="001005A0" w:rsidRPr="001005A0" w:rsidRDefault="001005A0" w:rsidP="001005A0">
      <w:pPr>
        <w:ind w:left="851"/>
        <w:rPr>
          <w:sz w:val="24"/>
          <w:szCs w:val="24"/>
          <w:lang w:eastAsia="da-DK"/>
        </w:rPr>
      </w:pPr>
      <w:bookmarkStart w:id="17" w:name="_Hlk526947566"/>
      <w:r w:rsidRPr="001005A0">
        <w:rPr>
          <w:sz w:val="24"/>
          <w:szCs w:val="24"/>
          <w:lang w:eastAsia="da-DK"/>
        </w:rPr>
        <w:t xml:space="preserve">Propofol er et generelt anæstetikum, karakteriseret ved en hurtigt indsættende virkning og en kortvarig anæstesi. </w:t>
      </w:r>
      <w:bookmarkEnd w:id="17"/>
      <w:r w:rsidRPr="001005A0">
        <w:rPr>
          <w:sz w:val="24"/>
          <w:szCs w:val="24"/>
          <w:lang w:eastAsia="da-DK"/>
        </w:rPr>
        <w:t>Konvalescensen fra anæstetika er normalt hurtig.</w:t>
      </w:r>
    </w:p>
    <w:p w:rsidR="005B0036" w:rsidRPr="001005A0" w:rsidRDefault="001005A0" w:rsidP="001005A0">
      <w:pPr>
        <w:ind w:left="851"/>
        <w:rPr>
          <w:sz w:val="24"/>
          <w:szCs w:val="24"/>
          <w:lang w:eastAsia="da-DK"/>
        </w:rPr>
      </w:pPr>
      <w:r w:rsidRPr="001005A0">
        <w:rPr>
          <w:sz w:val="24"/>
          <w:szCs w:val="24"/>
          <w:lang w:eastAsia="da-DK"/>
        </w:rPr>
        <w:t>Propofol virker primært ved at forstærke den hæmmende synaptiske neurotransmission medieret ved GABA (gamma</w:t>
      </w:r>
      <w:r w:rsidRPr="001005A0">
        <w:rPr>
          <w:sz w:val="24"/>
          <w:szCs w:val="24"/>
          <w:lang w:eastAsia="da-DK"/>
        </w:rPr>
        <w:noBreakHyphen/>
        <w:t>aminobutansyre) via binding til GABA type A (GABA</w:t>
      </w:r>
      <w:r w:rsidRPr="001005A0">
        <w:rPr>
          <w:sz w:val="24"/>
          <w:szCs w:val="24"/>
          <w:vertAlign w:val="subscript"/>
          <w:lang w:eastAsia="da-DK"/>
        </w:rPr>
        <w:t>A</w:t>
      </w:r>
      <w:r w:rsidRPr="001005A0">
        <w:rPr>
          <w:sz w:val="24"/>
          <w:szCs w:val="24"/>
          <w:lang w:eastAsia="da-DK"/>
        </w:rPr>
        <w:t>)-receptoren. De glutaminerge og noradrenerge neurotransmittersystemer menes imidlertid også at spille en rolle i den medierende virkning af propofol.</w:t>
      </w:r>
    </w:p>
    <w:p w:rsidR="005B0036" w:rsidRPr="001005A0" w:rsidRDefault="005B0036" w:rsidP="005B0036">
      <w:pPr>
        <w:tabs>
          <w:tab w:val="left" w:pos="851"/>
          <w:tab w:val="left" w:pos="8222"/>
        </w:tabs>
        <w:ind w:left="851"/>
        <w:rPr>
          <w:sz w:val="24"/>
          <w:szCs w:val="24"/>
        </w:rPr>
      </w:pPr>
    </w:p>
    <w:p w:rsidR="005B0036" w:rsidRPr="001005A0" w:rsidRDefault="005B0036" w:rsidP="005B0036">
      <w:pPr>
        <w:tabs>
          <w:tab w:val="left" w:pos="851"/>
          <w:tab w:val="left" w:pos="8222"/>
        </w:tabs>
        <w:rPr>
          <w:b/>
          <w:sz w:val="24"/>
          <w:szCs w:val="24"/>
        </w:rPr>
      </w:pPr>
      <w:r w:rsidRPr="001005A0">
        <w:rPr>
          <w:b/>
          <w:sz w:val="24"/>
          <w:szCs w:val="24"/>
        </w:rPr>
        <w:t>5.2</w:t>
      </w:r>
      <w:r w:rsidRPr="001005A0">
        <w:rPr>
          <w:b/>
          <w:sz w:val="24"/>
          <w:szCs w:val="24"/>
        </w:rPr>
        <w:tab/>
        <w:t>Farmakokinetiske egenskaber</w:t>
      </w:r>
    </w:p>
    <w:p w:rsidR="001005A0" w:rsidRPr="001005A0" w:rsidRDefault="001005A0" w:rsidP="001005A0">
      <w:pPr>
        <w:ind w:left="851"/>
        <w:rPr>
          <w:sz w:val="24"/>
          <w:szCs w:val="24"/>
          <w:lang w:eastAsia="da-DK"/>
        </w:rPr>
      </w:pPr>
      <w:bookmarkStart w:id="18" w:name="_Hlk525198801"/>
      <w:r w:rsidRPr="001005A0">
        <w:rPr>
          <w:sz w:val="24"/>
          <w:szCs w:val="24"/>
          <w:lang w:eastAsia="da-DK"/>
        </w:rPr>
        <w:t xml:space="preserve">Efter intravenøs injektion er blodkoncentrationerne af propofol karakteriseret ved en hurtig fordelingsfase, elimination af lægemidlet fra kroppen, og en langsommere genfordelingsfase fra et dybt compartment. </w:t>
      </w:r>
      <w:bookmarkEnd w:id="18"/>
      <w:r w:rsidRPr="001005A0">
        <w:rPr>
          <w:sz w:val="24"/>
          <w:szCs w:val="24"/>
          <w:lang w:eastAsia="da-DK"/>
        </w:rPr>
        <w:t xml:space="preserve">Denne første fase, med en fordelingshalveringstid på ca. 10 min, er klinisk relevant, da konvalescensen fra anæstetika finder sted efter genfordelingen af propofol fra hjernen. Den terminale fase anses for at udgøre den langsomme frigivelse af lægemidlet fra dårligt vaskulariseret væv, hvilket er af ringe relevans for den praktiske brug. Hos hunde er der ikke blevet observeret nogen akkumulation af niveauerne i blodet efter gentagne, daglige doseringer. Generelt er clearance højere hos hunde end hos katte, selvom der er raceforskelle hos hunde, sikkert som følge af en forskellig metabolisme. Hos hunde er clearance højere end leverblodgennemstrømningen, hvilket tyder på en ekstrahepatisk metabolisme. </w:t>
      </w:r>
      <w:bookmarkStart w:id="19" w:name="_Hlk525200560"/>
      <w:r w:rsidRPr="001005A0">
        <w:rPr>
          <w:sz w:val="24"/>
          <w:szCs w:val="24"/>
          <w:lang w:eastAsia="da-DK"/>
        </w:rPr>
        <w:t xml:space="preserve">Clearance er imidlertid reduceret ved langvarig infusion (4 timer), hvilket nok er forårsaget af en reduktion i leverblodgennemstrømningen. </w:t>
      </w:r>
      <w:bookmarkEnd w:id="19"/>
      <w:r w:rsidRPr="001005A0">
        <w:rPr>
          <w:sz w:val="24"/>
          <w:szCs w:val="24"/>
          <w:lang w:eastAsia="da-DK"/>
        </w:rPr>
        <w:t xml:space="preserve">Fordelingsvoluminet er højt hos både hunde og katte. </w:t>
      </w:r>
    </w:p>
    <w:p w:rsidR="001005A0" w:rsidRPr="001005A0" w:rsidRDefault="001005A0" w:rsidP="001005A0">
      <w:pPr>
        <w:ind w:left="851"/>
        <w:rPr>
          <w:sz w:val="24"/>
          <w:szCs w:val="24"/>
          <w:lang w:eastAsia="da-DK"/>
        </w:rPr>
      </w:pPr>
      <w:r w:rsidRPr="001005A0">
        <w:rPr>
          <w:sz w:val="24"/>
          <w:szCs w:val="24"/>
          <w:lang w:eastAsia="da-DK"/>
        </w:rPr>
        <w:t>Propofol bindes i høj grad til plasmaproteiner (96</w:t>
      </w:r>
      <w:r w:rsidRPr="001005A0">
        <w:rPr>
          <w:sz w:val="24"/>
          <w:szCs w:val="24"/>
          <w:lang w:eastAsia="da-DK"/>
        </w:rPr>
        <w:noBreakHyphen/>
        <w:t>98 %).</w:t>
      </w:r>
    </w:p>
    <w:p w:rsidR="001005A0" w:rsidRPr="001005A0" w:rsidRDefault="001005A0" w:rsidP="001005A0">
      <w:pPr>
        <w:ind w:left="851"/>
        <w:rPr>
          <w:sz w:val="24"/>
          <w:szCs w:val="24"/>
          <w:lang w:eastAsia="da-DK"/>
        </w:rPr>
      </w:pPr>
      <w:r w:rsidRPr="001005A0">
        <w:rPr>
          <w:sz w:val="24"/>
          <w:szCs w:val="24"/>
          <w:lang w:eastAsia="da-DK"/>
        </w:rPr>
        <w:t>Clearance af lægemidlet forekommer via levermetabolismen, efterfulgt af en udskillelse af de konjugerede metabolitter i nyrerne. En lille mængde udskilles via fæces.</w:t>
      </w:r>
    </w:p>
    <w:p w:rsidR="00282EEC" w:rsidRPr="00406EE7" w:rsidRDefault="001005A0" w:rsidP="00282EEC">
      <w:pPr>
        <w:ind w:left="851"/>
        <w:rPr>
          <w:sz w:val="24"/>
          <w:szCs w:val="24"/>
          <w:lang w:eastAsia="da-DK"/>
        </w:rPr>
      </w:pPr>
      <w:r w:rsidRPr="001005A0">
        <w:rPr>
          <w:sz w:val="24"/>
          <w:szCs w:val="24"/>
          <w:lang w:eastAsia="da-DK"/>
        </w:rPr>
        <w:lastRenderedPageBreak/>
        <w:t>Lægemiddelophobninger er ikke blevet evalueret hos katte. Baseret på tilgængelige farmakokinetiske data er det sandsynligt, at der forekommer lægemiddelophobninger i denne art ved gentagne daglige doseringer.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025EF4" w:rsidRPr="00025EF4" w:rsidRDefault="00AD31FD" w:rsidP="00025EF4">
      <w:pPr>
        <w:suppressAutoHyphens/>
        <w:overflowPunct w:val="0"/>
        <w:autoSpaceDE w:val="0"/>
        <w:autoSpaceDN w:val="0"/>
        <w:adjustRightInd w:val="0"/>
        <w:ind w:left="851"/>
        <w:rPr>
          <w:sz w:val="24"/>
          <w:szCs w:val="24"/>
          <w:lang w:eastAsia="da-DK"/>
        </w:rPr>
      </w:pPr>
      <w:r>
        <w:rPr>
          <w:sz w:val="24"/>
          <w:szCs w:val="24"/>
          <w:lang w:eastAsia="da-DK"/>
        </w:rPr>
        <w:t>Æggeph</w:t>
      </w:r>
      <w:r w:rsidR="00025EF4" w:rsidRPr="00025EF4">
        <w:rPr>
          <w:sz w:val="24"/>
          <w:szCs w:val="24"/>
          <w:lang w:eastAsia="da-DK"/>
        </w:rPr>
        <w:t>os</w:t>
      </w:r>
      <w:r>
        <w:rPr>
          <w:sz w:val="24"/>
          <w:szCs w:val="24"/>
          <w:lang w:eastAsia="da-DK"/>
        </w:rPr>
        <w:t>pholipider til parenteral anvendelse</w:t>
      </w:r>
    </w:p>
    <w:p w:rsidR="00025EF4" w:rsidRPr="00025EF4" w:rsidRDefault="00025EF4" w:rsidP="00025EF4">
      <w:pPr>
        <w:suppressAutoHyphens/>
        <w:overflowPunct w:val="0"/>
        <w:autoSpaceDE w:val="0"/>
        <w:autoSpaceDN w:val="0"/>
        <w:adjustRightInd w:val="0"/>
        <w:ind w:left="851"/>
        <w:rPr>
          <w:sz w:val="24"/>
          <w:szCs w:val="24"/>
          <w:lang w:eastAsia="da-DK"/>
        </w:rPr>
      </w:pPr>
      <w:r w:rsidRPr="00025EF4">
        <w:rPr>
          <w:sz w:val="24"/>
          <w:szCs w:val="24"/>
          <w:lang w:eastAsia="da-DK"/>
        </w:rPr>
        <w:t>Glycerol</w:t>
      </w:r>
    </w:p>
    <w:p w:rsidR="00025EF4" w:rsidRPr="00025EF4" w:rsidRDefault="00025EF4" w:rsidP="00025EF4">
      <w:pPr>
        <w:suppressAutoHyphens/>
        <w:overflowPunct w:val="0"/>
        <w:autoSpaceDE w:val="0"/>
        <w:autoSpaceDN w:val="0"/>
        <w:adjustRightInd w:val="0"/>
        <w:ind w:left="851"/>
        <w:rPr>
          <w:sz w:val="24"/>
          <w:szCs w:val="24"/>
          <w:lang w:eastAsia="da-DK"/>
        </w:rPr>
      </w:pPr>
      <w:r w:rsidRPr="00025EF4">
        <w:rPr>
          <w:sz w:val="24"/>
          <w:szCs w:val="24"/>
          <w:lang w:eastAsia="da-DK"/>
        </w:rPr>
        <w:t>Sojaolie, renset</w:t>
      </w:r>
    </w:p>
    <w:p w:rsidR="00025EF4" w:rsidRPr="00025EF4" w:rsidRDefault="00025EF4" w:rsidP="00025EF4">
      <w:pPr>
        <w:suppressAutoHyphens/>
        <w:overflowPunct w:val="0"/>
        <w:autoSpaceDE w:val="0"/>
        <w:autoSpaceDN w:val="0"/>
        <w:adjustRightInd w:val="0"/>
        <w:ind w:left="851"/>
        <w:rPr>
          <w:sz w:val="24"/>
          <w:szCs w:val="24"/>
          <w:lang w:eastAsia="da-DK"/>
        </w:rPr>
      </w:pPr>
      <w:r w:rsidRPr="00025EF4">
        <w:rPr>
          <w:sz w:val="24"/>
          <w:szCs w:val="24"/>
          <w:lang w:eastAsia="da-DK"/>
        </w:rPr>
        <w:t>Natriumhydroxid (til pH</w:t>
      </w:r>
      <w:r w:rsidRPr="00025EF4">
        <w:rPr>
          <w:sz w:val="24"/>
          <w:szCs w:val="24"/>
          <w:lang w:eastAsia="da-DK"/>
        </w:rPr>
        <w:noBreakHyphen/>
        <w:t>justering)</w:t>
      </w:r>
    </w:p>
    <w:p w:rsidR="00025EF4" w:rsidRPr="00025EF4" w:rsidRDefault="00025EF4" w:rsidP="00025EF4">
      <w:pPr>
        <w:suppressAutoHyphens/>
        <w:overflowPunct w:val="0"/>
        <w:autoSpaceDE w:val="0"/>
        <w:autoSpaceDN w:val="0"/>
        <w:adjustRightInd w:val="0"/>
        <w:ind w:left="851"/>
        <w:rPr>
          <w:sz w:val="24"/>
          <w:szCs w:val="24"/>
          <w:lang w:eastAsia="da-DK"/>
        </w:rPr>
      </w:pPr>
      <w:r w:rsidRPr="00025EF4">
        <w:rPr>
          <w:sz w:val="24"/>
          <w:szCs w:val="24"/>
          <w:lang w:eastAsia="da-DK"/>
        </w:rPr>
        <w:t>Vand til injektionsvæsker</w:t>
      </w:r>
    </w:p>
    <w:p w:rsidR="005B0036" w:rsidRPr="00996BBA" w:rsidRDefault="00025EF4" w:rsidP="00996BBA">
      <w:pPr>
        <w:suppressAutoHyphens/>
        <w:overflowPunct w:val="0"/>
        <w:autoSpaceDE w:val="0"/>
        <w:autoSpaceDN w:val="0"/>
        <w:adjustRightInd w:val="0"/>
        <w:ind w:left="851"/>
        <w:rPr>
          <w:spacing w:val="-3"/>
          <w:sz w:val="24"/>
          <w:szCs w:val="24"/>
          <w:lang w:eastAsia="da-DK"/>
        </w:rPr>
      </w:pPr>
      <w:r w:rsidRPr="00025EF4">
        <w:rPr>
          <w:spacing w:val="-3"/>
          <w:sz w:val="24"/>
          <w:szCs w:val="24"/>
          <w:lang w:eastAsia="da-DK"/>
        </w:rPr>
        <w:t>Nitrogen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5B0036" w:rsidRPr="00406EE7" w:rsidRDefault="00025EF4" w:rsidP="00AD31FD">
      <w:pPr>
        <w:ind w:left="851"/>
        <w:rPr>
          <w:sz w:val="24"/>
          <w:szCs w:val="24"/>
          <w:lang w:eastAsia="da-DK"/>
        </w:rPr>
      </w:pPr>
      <w:bookmarkStart w:id="20" w:name="_Hlk504559250"/>
      <w:bookmarkStart w:id="21" w:name="_Hlk504377452"/>
      <w:r w:rsidRPr="00025EF4">
        <w:rPr>
          <w:sz w:val="24"/>
          <w:szCs w:val="24"/>
          <w:lang w:eastAsia="da-DK"/>
        </w:rPr>
        <w:t>Må ikke blande</w:t>
      </w:r>
      <w:r w:rsidR="00AD31FD">
        <w:rPr>
          <w:sz w:val="24"/>
          <w:szCs w:val="24"/>
          <w:lang w:eastAsia="da-DK"/>
        </w:rPr>
        <w:t>s med andre veterinærlægemidler</w:t>
      </w:r>
      <w:r w:rsidRPr="00025EF4">
        <w:rPr>
          <w:sz w:val="24"/>
          <w:szCs w:val="24"/>
          <w:lang w:eastAsia="da-DK"/>
        </w:rPr>
        <w:t xml:space="preserve"> med undtagelse af </w:t>
      </w:r>
      <w:r w:rsidR="003B49FA">
        <w:rPr>
          <w:sz w:val="24"/>
          <w:szCs w:val="24"/>
          <w:lang w:eastAsia="da-DK"/>
        </w:rPr>
        <w:t>glucose</w:t>
      </w:r>
      <w:r w:rsidRPr="00025EF4">
        <w:rPr>
          <w:sz w:val="24"/>
          <w:szCs w:val="24"/>
          <w:lang w:eastAsia="da-DK"/>
        </w:rPr>
        <w:t xml:space="preserve"> 5 % intravenøs infusion</w:t>
      </w:r>
      <w:r w:rsidR="003B49FA">
        <w:rPr>
          <w:sz w:val="24"/>
          <w:szCs w:val="24"/>
          <w:lang w:eastAsia="da-DK"/>
        </w:rPr>
        <w:t>svæske</w:t>
      </w:r>
      <w:r w:rsidRPr="00025EF4">
        <w:rPr>
          <w:sz w:val="24"/>
          <w:szCs w:val="24"/>
          <w:lang w:eastAsia="da-DK"/>
        </w:rPr>
        <w:t xml:space="preserve"> eller natriumchlorid 0,9 % intravenøs infusion</w:t>
      </w:r>
      <w:r w:rsidR="003B49FA">
        <w:rPr>
          <w:sz w:val="24"/>
          <w:szCs w:val="24"/>
          <w:lang w:eastAsia="da-DK"/>
        </w:rPr>
        <w:t>svæske</w:t>
      </w:r>
      <w:r w:rsidRPr="00025EF4">
        <w:rPr>
          <w:sz w:val="24"/>
          <w:szCs w:val="24"/>
          <w:lang w:eastAsia="da-DK"/>
        </w:rPr>
        <w:t>.</w:t>
      </w:r>
      <w:bookmarkEnd w:id="20"/>
      <w:bookmarkEnd w:id="21"/>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025EF4" w:rsidRPr="00025EF4" w:rsidRDefault="00AE255D" w:rsidP="00025EF4">
      <w:pPr>
        <w:ind w:left="851"/>
        <w:rPr>
          <w:sz w:val="24"/>
          <w:szCs w:val="24"/>
          <w:lang w:eastAsia="da-DK"/>
        </w:rPr>
      </w:pPr>
      <w:bookmarkStart w:id="22" w:name="_Hlk504377331"/>
      <w:r>
        <w:rPr>
          <w:sz w:val="24"/>
          <w:szCs w:val="24"/>
          <w:lang w:eastAsia="da-DK"/>
        </w:rPr>
        <w:t>I</w:t>
      </w:r>
      <w:r w:rsidR="00025EF4" w:rsidRPr="00025EF4">
        <w:rPr>
          <w:sz w:val="24"/>
          <w:szCs w:val="24"/>
          <w:lang w:eastAsia="da-DK"/>
        </w:rPr>
        <w:t xml:space="preserve"> salgspakning: 2 år</w:t>
      </w:r>
      <w:r>
        <w:rPr>
          <w:sz w:val="24"/>
          <w:szCs w:val="24"/>
          <w:lang w:eastAsia="da-DK"/>
        </w:rPr>
        <w:t>.</w:t>
      </w:r>
    </w:p>
    <w:p w:rsidR="005B0036" w:rsidRPr="00406EE7" w:rsidRDefault="00AE255D" w:rsidP="00AE255D">
      <w:pPr>
        <w:ind w:left="851"/>
        <w:rPr>
          <w:sz w:val="24"/>
          <w:szCs w:val="24"/>
          <w:lang w:eastAsia="da-DK"/>
        </w:rPr>
      </w:pPr>
      <w:r>
        <w:rPr>
          <w:sz w:val="24"/>
          <w:szCs w:val="24"/>
          <w:lang w:eastAsia="da-DK"/>
        </w:rPr>
        <w:t>Ef</w:t>
      </w:r>
      <w:r w:rsidR="00025EF4" w:rsidRPr="00025EF4">
        <w:rPr>
          <w:sz w:val="24"/>
          <w:szCs w:val="24"/>
          <w:lang w:eastAsia="da-DK"/>
        </w:rPr>
        <w:t xml:space="preserve">ter første </w:t>
      </w:r>
      <w:r>
        <w:rPr>
          <w:sz w:val="24"/>
          <w:szCs w:val="24"/>
          <w:lang w:eastAsia="da-DK"/>
        </w:rPr>
        <w:t>åbning af den indre emballage: A</w:t>
      </w:r>
      <w:r w:rsidR="00025EF4" w:rsidRPr="00025EF4">
        <w:rPr>
          <w:sz w:val="24"/>
          <w:szCs w:val="24"/>
          <w:lang w:eastAsia="da-DK"/>
        </w:rPr>
        <w:t>nvendes straks.</w:t>
      </w:r>
      <w:bookmarkEnd w:id="22"/>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025EF4" w:rsidRPr="00025EF4" w:rsidRDefault="00025EF4" w:rsidP="00025EF4">
      <w:pPr>
        <w:ind w:left="851"/>
        <w:rPr>
          <w:sz w:val="24"/>
          <w:szCs w:val="24"/>
          <w:lang w:eastAsia="da-DK"/>
        </w:rPr>
      </w:pPr>
      <w:bookmarkStart w:id="23" w:name="_Hlk501441243"/>
      <w:bookmarkStart w:id="24" w:name="_Hlk504377357"/>
      <w:r w:rsidRPr="00025EF4">
        <w:rPr>
          <w:sz w:val="24"/>
          <w:szCs w:val="24"/>
          <w:lang w:eastAsia="da-DK"/>
        </w:rPr>
        <w:t>Må ikke nedfryses.</w:t>
      </w:r>
    </w:p>
    <w:p w:rsidR="00025EF4" w:rsidRPr="00025EF4" w:rsidRDefault="00025EF4" w:rsidP="00025EF4">
      <w:pPr>
        <w:ind w:left="851"/>
        <w:rPr>
          <w:sz w:val="24"/>
          <w:szCs w:val="24"/>
          <w:lang w:eastAsia="da-DK"/>
        </w:rPr>
      </w:pPr>
      <w:r w:rsidRPr="00025EF4">
        <w:rPr>
          <w:sz w:val="24"/>
          <w:szCs w:val="24"/>
          <w:lang w:eastAsia="da-DK"/>
        </w:rPr>
        <w:t>Opbevares i den ydre karton for at beskytte mod lys.</w:t>
      </w:r>
    </w:p>
    <w:p w:rsidR="004D0B34" w:rsidRDefault="004D0B34" w:rsidP="00025EF4">
      <w:pPr>
        <w:ind w:left="851"/>
        <w:rPr>
          <w:sz w:val="24"/>
          <w:szCs w:val="24"/>
          <w:lang w:eastAsia="da-DK"/>
        </w:rPr>
      </w:pPr>
    </w:p>
    <w:p w:rsidR="005B0036" w:rsidRPr="00406EE7" w:rsidRDefault="00025EF4" w:rsidP="004D0B34">
      <w:pPr>
        <w:ind w:left="851"/>
        <w:rPr>
          <w:sz w:val="24"/>
          <w:szCs w:val="24"/>
          <w:lang w:eastAsia="da-DK"/>
        </w:rPr>
      </w:pPr>
      <w:r w:rsidRPr="00025EF4">
        <w:rPr>
          <w:sz w:val="24"/>
          <w:szCs w:val="24"/>
          <w:lang w:eastAsia="da-DK"/>
        </w:rPr>
        <w:t>Det optrukne præparat skal straks anvendes. Tiloversblevet præparat i hætteglasset skal bortskaffes.</w:t>
      </w:r>
      <w:bookmarkEnd w:id="23"/>
      <w:bookmarkEnd w:id="24"/>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025EF4" w:rsidRDefault="00025EF4" w:rsidP="00025EF4">
      <w:pPr>
        <w:ind w:left="851"/>
        <w:rPr>
          <w:sz w:val="24"/>
          <w:szCs w:val="24"/>
          <w:lang w:eastAsia="da-DK"/>
        </w:rPr>
      </w:pPr>
      <w:r w:rsidRPr="00025EF4">
        <w:rPr>
          <w:sz w:val="24"/>
          <w:szCs w:val="24"/>
          <w:lang w:eastAsia="da-DK"/>
        </w:rPr>
        <w:t>Farveløs</w:t>
      </w:r>
      <w:r w:rsidR="00A35364">
        <w:rPr>
          <w:sz w:val="24"/>
          <w:szCs w:val="24"/>
          <w:lang w:eastAsia="da-DK"/>
        </w:rPr>
        <w:t>t</w:t>
      </w:r>
      <w:r w:rsidRPr="00025EF4">
        <w:rPr>
          <w:sz w:val="24"/>
          <w:szCs w:val="24"/>
          <w:lang w:eastAsia="da-DK"/>
        </w:rPr>
        <w:t xml:space="preserve"> type I hætteglas</w:t>
      </w:r>
      <w:r w:rsidR="00A35364">
        <w:rPr>
          <w:sz w:val="24"/>
          <w:szCs w:val="24"/>
          <w:lang w:eastAsia="da-DK"/>
        </w:rPr>
        <w:t>,</w:t>
      </w:r>
      <w:r w:rsidRPr="00025EF4">
        <w:rPr>
          <w:sz w:val="24"/>
          <w:szCs w:val="24"/>
          <w:lang w:eastAsia="da-DK"/>
        </w:rPr>
        <w:t xml:space="preserve"> lukket med en prop belagt med brombutylgummi og et aluminiumslåg</w:t>
      </w:r>
      <w:r w:rsidR="00B3536F">
        <w:rPr>
          <w:sz w:val="24"/>
          <w:szCs w:val="24"/>
          <w:lang w:eastAsia="da-DK"/>
        </w:rPr>
        <w:t>,</w:t>
      </w:r>
      <w:r w:rsidRPr="00025EF4">
        <w:rPr>
          <w:sz w:val="24"/>
          <w:szCs w:val="24"/>
          <w:lang w:eastAsia="da-DK"/>
        </w:rPr>
        <w:t xml:space="preserve"> i en kartonæske.</w:t>
      </w:r>
    </w:p>
    <w:p w:rsidR="00A35364" w:rsidRDefault="00A35364" w:rsidP="00025EF4">
      <w:pPr>
        <w:ind w:left="851"/>
        <w:rPr>
          <w:sz w:val="24"/>
          <w:szCs w:val="24"/>
          <w:lang w:eastAsia="da-DK"/>
        </w:rPr>
      </w:pPr>
    </w:p>
    <w:p w:rsidR="00A35364" w:rsidRPr="00025EF4" w:rsidRDefault="00A35364" w:rsidP="00025EF4">
      <w:pPr>
        <w:ind w:left="851"/>
        <w:rPr>
          <w:sz w:val="24"/>
          <w:szCs w:val="24"/>
          <w:lang w:eastAsia="da-DK"/>
        </w:rPr>
      </w:pPr>
      <w:r>
        <w:rPr>
          <w:sz w:val="24"/>
          <w:szCs w:val="24"/>
          <w:lang w:eastAsia="da-DK"/>
        </w:rPr>
        <w:t>Pakningsstørrelser: 20 ml, 50 ml og 100 ml.</w:t>
      </w:r>
    </w:p>
    <w:p w:rsidR="005B0036" w:rsidRPr="00406EE7" w:rsidRDefault="00025EF4" w:rsidP="00B3536F">
      <w:pPr>
        <w:ind w:left="851"/>
        <w:rPr>
          <w:sz w:val="24"/>
          <w:szCs w:val="24"/>
          <w:lang w:eastAsia="da-DK"/>
        </w:rPr>
      </w:pPr>
      <w:r w:rsidRPr="00025EF4">
        <w:rPr>
          <w:sz w:val="24"/>
          <w:szCs w:val="24"/>
          <w:lang w:eastAsia="da-DK"/>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5B0036" w:rsidRPr="00406EE7" w:rsidRDefault="00025EF4" w:rsidP="00025EF4">
      <w:pPr>
        <w:ind w:left="851"/>
        <w:rPr>
          <w:sz w:val="24"/>
          <w:szCs w:val="24"/>
          <w:lang w:eastAsia="da-DK"/>
        </w:rPr>
      </w:pPr>
      <w:r w:rsidRPr="00025EF4">
        <w:rPr>
          <w:sz w:val="24"/>
          <w:szCs w:val="24"/>
          <w:lang w:eastAsia="da-DK"/>
        </w:rPr>
        <w:t>Ikk</w:t>
      </w:r>
      <w:r>
        <w:rPr>
          <w:sz w:val="24"/>
          <w:szCs w:val="24"/>
          <w:lang w:eastAsia="da-DK"/>
        </w:rPr>
        <w:t>e anvendte veterinærlægemidler s</w:t>
      </w:r>
      <w:r w:rsidRPr="00025EF4">
        <w:rPr>
          <w:sz w:val="24"/>
          <w:szCs w:val="24"/>
          <w:lang w:eastAsia="da-DK"/>
        </w:rPr>
        <w:t>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996BBA" w:rsidRPr="00996BBA" w:rsidRDefault="00996BBA" w:rsidP="00996BBA">
      <w:pPr>
        <w:ind w:left="851"/>
        <w:rPr>
          <w:sz w:val="24"/>
          <w:szCs w:val="24"/>
          <w:lang w:eastAsia="da-DK"/>
        </w:rPr>
      </w:pPr>
      <w:r w:rsidRPr="00996BBA">
        <w:rPr>
          <w:sz w:val="24"/>
          <w:szCs w:val="24"/>
          <w:lang w:eastAsia="da-DK"/>
        </w:rPr>
        <w:t>Dechra Regulatory B.V.</w:t>
      </w:r>
    </w:p>
    <w:p w:rsidR="00996BBA" w:rsidRPr="00996BBA" w:rsidRDefault="00996BBA" w:rsidP="00996BBA">
      <w:pPr>
        <w:ind w:left="851"/>
        <w:rPr>
          <w:sz w:val="24"/>
          <w:szCs w:val="24"/>
          <w:lang w:eastAsia="da-DK"/>
        </w:rPr>
      </w:pPr>
      <w:r w:rsidRPr="00996BBA">
        <w:rPr>
          <w:sz w:val="24"/>
          <w:szCs w:val="24"/>
          <w:lang w:eastAsia="da-DK"/>
        </w:rPr>
        <w:t>Handelsweg 25</w:t>
      </w:r>
    </w:p>
    <w:p w:rsidR="00996BBA" w:rsidRPr="00996BBA" w:rsidRDefault="00996BBA" w:rsidP="00996BBA">
      <w:pPr>
        <w:ind w:left="851"/>
        <w:rPr>
          <w:sz w:val="24"/>
          <w:szCs w:val="24"/>
          <w:lang w:eastAsia="da-DK"/>
        </w:rPr>
      </w:pPr>
      <w:r w:rsidRPr="00996BBA">
        <w:rPr>
          <w:sz w:val="24"/>
          <w:szCs w:val="24"/>
          <w:lang w:eastAsia="da-DK"/>
        </w:rPr>
        <w:t>5531 AE Bladel</w:t>
      </w:r>
    </w:p>
    <w:p w:rsidR="00996BBA" w:rsidRPr="00996BBA" w:rsidRDefault="00996BBA" w:rsidP="00996BBA">
      <w:pPr>
        <w:ind w:left="851"/>
        <w:rPr>
          <w:sz w:val="24"/>
          <w:szCs w:val="24"/>
          <w:lang w:eastAsia="da-DK"/>
        </w:rPr>
      </w:pPr>
      <w:r w:rsidRPr="00996BBA">
        <w:rPr>
          <w:sz w:val="24"/>
          <w:szCs w:val="24"/>
          <w:lang w:eastAsia="da-DK"/>
        </w:rPr>
        <w:t>Holland</w:t>
      </w:r>
    </w:p>
    <w:p w:rsidR="00996BBA" w:rsidRPr="00996BBA" w:rsidRDefault="00996BBA" w:rsidP="00996BBA">
      <w:pPr>
        <w:suppressAutoHyphens/>
        <w:overflowPunct w:val="0"/>
        <w:autoSpaceDE w:val="0"/>
        <w:autoSpaceDN w:val="0"/>
        <w:adjustRightInd w:val="0"/>
        <w:ind w:left="851"/>
        <w:rPr>
          <w:spacing w:val="-3"/>
          <w:sz w:val="24"/>
          <w:szCs w:val="24"/>
          <w:lang w:eastAsia="da-DK"/>
        </w:rPr>
      </w:pPr>
    </w:p>
    <w:p w:rsidR="00996BBA" w:rsidRPr="00996BBA" w:rsidRDefault="00996BBA" w:rsidP="00996BBA">
      <w:pPr>
        <w:suppressAutoHyphens/>
        <w:overflowPunct w:val="0"/>
        <w:autoSpaceDE w:val="0"/>
        <w:autoSpaceDN w:val="0"/>
        <w:adjustRightInd w:val="0"/>
        <w:ind w:left="851"/>
        <w:rPr>
          <w:b/>
          <w:sz w:val="24"/>
          <w:szCs w:val="24"/>
          <w:lang w:eastAsia="da-DK"/>
        </w:rPr>
      </w:pPr>
      <w:r w:rsidRPr="00996BBA">
        <w:rPr>
          <w:b/>
          <w:sz w:val="24"/>
          <w:szCs w:val="24"/>
          <w:lang w:eastAsia="da-DK"/>
        </w:rPr>
        <w:t>Repræsentant</w:t>
      </w:r>
    </w:p>
    <w:p w:rsidR="00996BBA" w:rsidRPr="00996BBA" w:rsidRDefault="00996BBA" w:rsidP="00996BBA">
      <w:pPr>
        <w:tabs>
          <w:tab w:val="left" w:pos="-720"/>
        </w:tabs>
        <w:suppressAutoHyphens/>
        <w:ind w:left="851"/>
        <w:rPr>
          <w:sz w:val="24"/>
          <w:szCs w:val="24"/>
          <w:lang w:eastAsia="da-DK"/>
        </w:rPr>
      </w:pPr>
      <w:r w:rsidRPr="00996BBA">
        <w:rPr>
          <w:sz w:val="24"/>
          <w:szCs w:val="24"/>
          <w:lang w:eastAsia="da-DK"/>
        </w:rPr>
        <w:t>Dechra Veterinary Products A/S</w:t>
      </w:r>
    </w:p>
    <w:p w:rsidR="00996BBA" w:rsidRPr="00996BBA" w:rsidRDefault="00996BBA" w:rsidP="00996BBA">
      <w:pPr>
        <w:tabs>
          <w:tab w:val="left" w:pos="-720"/>
        </w:tabs>
        <w:suppressAutoHyphens/>
        <w:ind w:left="851"/>
        <w:rPr>
          <w:noProof/>
          <w:sz w:val="24"/>
          <w:szCs w:val="24"/>
          <w:lang w:eastAsia="da-DK"/>
        </w:rPr>
      </w:pPr>
      <w:r w:rsidRPr="00996BBA">
        <w:rPr>
          <w:noProof/>
          <w:sz w:val="24"/>
          <w:szCs w:val="24"/>
          <w:lang w:eastAsia="da-DK"/>
        </w:rPr>
        <w:t>Mekuvej 9</w:t>
      </w:r>
    </w:p>
    <w:p w:rsidR="005B0036" w:rsidRPr="00406EE7" w:rsidRDefault="00996BBA" w:rsidP="000850FB">
      <w:pPr>
        <w:tabs>
          <w:tab w:val="left" w:pos="-720"/>
        </w:tabs>
        <w:suppressAutoHyphens/>
        <w:ind w:left="851"/>
        <w:rPr>
          <w:noProof/>
          <w:sz w:val="24"/>
          <w:szCs w:val="24"/>
          <w:lang w:eastAsia="da-DK"/>
        </w:rPr>
      </w:pPr>
      <w:r w:rsidRPr="00996BBA">
        <w:rPr>
          <w:noProof/>
          <w:sz w:val="24"/>
          <w:szCs w:val="24"/>
          <w:lang w:eastAsia="da-DK"/>
        </w:rPr>
        <w:t>7171 Uldum</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0850FB" w:rsidP="005B0036">
      <w:pPr>
        <w:tabs>
          <w:tab w:val="left" w:pos="851"/>
          <w:tab w:val="left" w:pos="8222"/>
        </w:tabs>
        <w:ind w:left="851"/>
        <w:rPr>
          <w:sz w:val="24"/>
          <w:szCs w:val="24"/>
        </w:rPr>
      </w:pPr>
      <w:r>
        <w:rPr>
          <w:sz w:val="24"/>
          <w:szCs w:val="24"/>
        </w:rPr>
        <w:t>61294</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781C07" w:rsidP="005B0036">
      <w:pPr>
        <w:tabs>
          <w:tab w:val="left" w:pos="851"/>
          <w:tab w:val="left" w:pos="8222"/>
        </w:tabs>
        <w:ind w:left="851"/>
        <w:rPr>
          <w:sz w:val="24"/>
          <w:szCs w:val="24"/>
        </w:rPr>
      </w:pPr>
      <w:r>
        <w:rPr>
          <w:sz w:val="24"/>
          <w:szCs w:val="24"/>
        </w:rPr>
        <w:t>28. august 2019</w:t>
      </w:r>
      <w:bookmarkStart w:id="25" w:name="_GoBack"/>
      <w:bookmarkEnd w:id="25"/>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0850FB"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0850FB" w:rsidRDefault="000850FB" w:rsidP="000850FB">
      <w:pPr>
        <w:pStyle w:val="Sidehoved"/>
        <w:tabs>
          <w:tab w:val="clear" w:pos="4819"/>
          <w:tab w:val="left" w:pos="851"/>
          <w:tab w:val="left" w:pos="8222"/>
        </w:tabs>
        <w:ind w:left="851"/>
        <w:rPr>
          <w:szCs w:val="24"/>
        </w:rPr>
      </w:pPr>
      <w:r>
        <w:rPr>
          <w:szCs w:val="24"/>
        </w:rPr>
        <w:t>B</w:t>
      </w:r>
    </w:p>
    <w:sectPr w:rsidR="0003527F" w:rsidRPr="000850F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AC7" w:rsidRDefault="00643AC7">
      <w:r>
        <w:separator/>
      </w:r>
    </w:p>
  </w:endnote>
  <w:endnote w:type="continuationSeparator" w:id="0">
    <w:p w:rsidR="00643AC7" w:rsidRDefault="0064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36885">
      <w:rPr>
        <w:i/>
        <w:noProof/>
        <w:snapToGrid w:val="0"/>
        <w:sz w:val="18"/>
      </w:rPr>
      <w:t>Propodine, injektions--infusionsvæske, emulsion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781C07">
      <w:rPr>
        <w:i/>
        <w:noProof/>
        <w:snapToGrid w:val="0"/>
        <w:sz w:val="18"/>
      </w:rPr>
      <w:t>7</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781C07">
      <w:rPr>
        <w:i/>
        <w:noProof/>
        <w:snapToGrid w:val="0"/>
        <w:sz w:val="18"/>
      </w:rPr>
      <w:t>8</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36885">
      <w:rPr>
        <w:i/>
        <w:noProof/>
        <w:snapToGrid w:val="0"/>
        <w:sz w:val="18"/>
      </w:rPr>
      <w:t>Propodine, injektions--infusionsvæske, emulsion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A36885">
      <w:rPr>
        <w:i/>
        <w:noProof/>
        <w:snapToGrid w:val="0"/>
        <w:sz w:val="18"/>
      </w:rPr>
      <w:t>8</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AC7" w:rsidRDefault="00643AC7">
      <w:r>
        <w:separator/>
      </w:r>
    </w:p>
  </w:footnote>
  <w:footnote w:type="continuationSeparator" w:id="0">
    <w:p w:rsidR="00643AC7" w:rsidRDefault="00643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F1E5F"/>
    <w:multiLevelType w:val="hybridMultilevel"/>
    <w:tmpl w:val="CF18806E"/>
    <w:lvl w:ilvl="0" w:tplc="FF7CC7B6">
      <w:start w:val="1"/>
      <w:numFmt w:val="bullet"/>
      <w:lvlText w:val=""/>
      <w:lvlJc w:val="left"/>
      <w:pPr>
        <w:ind w:left="1429" w:hanging="360"/>
      </w:pPr>
      <w:rPr>
        <w:rFonts w:ascii="Symbol" w:hAnsi="Symbol" w:hint="default"/>
      </w:rPr>
    </w:lvl>
    <w:lvl w:ilvl="1" w:tplc="A7EEFB3E" w:tentative="1">
      <w:start w:val="1"/>
      <w:numFmt w:val="bullet"/>
      <w:lvlText w:val="o"/>
      <w:lvlJc w:val="left"/>
      <w:pPr>
        <w:ind w:left="2149" w:hanging="360"/>
      </w:pPr>
      <w:rPr>
        <w:rFonts w:ascii="Courier New" w:hAnsi="Courier New" w:hint="default"/>
      </w:rPr>
    </w:lvl>
    <w:lvl w:ilvl="2" w:tplc="06A2EF68" w:tentative="1">
      <w:start w:val="1"/>
      <w:numFmt w:val="bullet"/>
      <w:lvlText w:val=""/>
      <w:lvlJc w:val="left"/>
      <w:pPr>
        <w:ind w:left="2869" w:hanging="360"/>
      </w:pPr>
      <w:rPr>
        <w:rFonts w:ascii="Wingdings" w:hAnsi="Wingdings" w:hint="default"/>
      </w:rPr>
    </w:lvl>
    <w:lvl w:ilvl="3" w:tplc="F82087C2" w:tentative="1">
      <w:start w:val="1"/>
      <w:numFmt w:val="bullet"/>
      <w:lvlText w:val=""/>
      <w:lvlJc w:val="left"/>
      <w:pPr>
        <w:ind w:left="3589" w:hanging="360"/>
      </w:pPr>
      <w:rPr>
        <w:rFonts w:ascii="Symbol" w:hAnsi="Symbol" w:hint="default"/>
      </w:rPr>
    </w:lvl>
    <w:lvl w:ilvl="4" w:tplc="919487CC" w:tentative="1">
      <w:start w:val="1"/>
      <w:numFmt w:val="bullet"/>
      <w:lvlText w:val="o"/>
      <w:lvlJc w:val="left"/>
      <w:pPr>
        <w:ind w:left="4309" w:hanging="360"/>
      </w:pPr>
      <w:rPr>
        <w:rFonts w:ascii="Courier New" w:hAnsi="Courier New" w:hint="default"/>
      </w:rPr>
    </w:lvl>
    <w:lvl w:ilvl="5" w:tplc="2E643D94" w:tentative="1">
      <w:start w:val="1"/>
      <w:numFmt w:val="bullet"/>
      <w:lvlText w:val=""/>
      <w:lvlJc w:val="left"/>
      <w:pPr>
        <w:ind w:left="5029" w:hanging="360"/>
      </w:pPr>
      <w:rPr>
        <w:rFonts w:ascii="Wingdings" w:hAnsi="Wingdings" w:hint="default"/>
      </w:rPr>
    </w:lvl>
    <w:lvl w:ilvl="6" w:tplc="E1B695C0" w:tentative="1">
      <w:start w:val="1"/>
      <w:numFmt w:val="bullet"/>
      <w:lvlText w:val=""/>
      <w:lvlJc w:val="left"/>
      <w:pPr>
        <w:ind w:left="5749" w:hanging="360"/>
      </w:pPr>
      <w:rPr>
        <w:rFonts w:ascii="Symbol" w:hAnsi="Symbol" w:hint="default"/>
      </w:rPr>
    </w:lvl>
    <w:lvl w:ilvl="7" w:tplc="8DC8C854" w:tentative="1">
      <w:start w:val="1"/>
      <w:numFmt w:val="bullet"/>
      <w:lvlText w:val="o"/>
      <w:lvlJc w:val="left"/>
      <w:pPr>
        <w:ind w:left="6469" w:hanging="360"/>
      </w:pPr>
      <w:rPr>
        <w:rFonts w:ascii="Courier New" w:hAnsi="Courier New" w:hint="default"/>
      </w:rPr>
    </w:lvl>
    <w:lvl w:ilvl="8" w:tplc="CEFE76A4" w:tentative="1">
      <w:start w:val="1"/>
      <w:numFmt w:val="bullet"/>
      <w:lvlText w:val=""/>
      <w:lvlJc w:val="left"/>
      <w:pPr>
        <w:ind w:left="7189" w:hanging="360"/>
      </w:pPr>
      <w:rPr>
        <w:rFonts w:ascii="Wingdings" w:hAnsi="Wingdings" w:hint="default"/>
      </w:rPr>
    </w:lvl>
  </w:abstractNum>
  <w:abstractNum w:abstractNumId="1" w15:restartNumberingAfterBreak="0">
    <w:nsid w:val="345D033D"/>
    <w:multiLevelType w:val="hybridMultilevel"/>
    <w:tmpl w:val="B89CB8CE"/>
    <w:lvl w:ilvl="0" w:tplc="0406000F">
      <w:start w:val="1"/>
      <w:numFmt w:val="decimal"/>
      <w:lvlText w:val="%1."/>
      <w:lvlJc w:val="left"/>
      <w:pPr>
        <w:ind w:left="1429" w:hanging="360"/>
      </w:pPr>
      <w:rPr>
        <w:rFonts w:hint="default"/>
      </w:rPr>
    </w:lvl>
    <w:lvl w:ilvl="1" w:tplc="A7EEFB3E" w:tentative="1">
      <w:start w:val="1"/>
      <w:numFmt w:val="bullet"/>
      <w:lvlText w:val="o"/>
      <w:lvlJc w:val="left"/>
      <w:pPr>
        <w:ind w:left="2149" w:hanging="360"/>
      </w:pPr>
      <w:rPr>
        <w:rFonts w:ascii="Courier New" w:hAnsi="Courier New" w:hint="default"/>
      </w:rPr>
    </w:lvl>
    <w:lvl w:ilvl="2" w:tplc="06A2EF68" w:tentative="1">
      <w:start w:val="1"/>
      <w:numFmt w:val="bullet"/>
      <w:lvlText w:val=""/>
      <w:lvlJc w:val="left"/>
      <w:pPr>
        <w:ind w:left="2869" w:hanging="360"/>
      </w:pPr>
      <w:rPr>
        <w:rFonts w:ascii="Wingdings" w:hAnsi="Wingdings" w:hint="default"/>
      </w:rPr>
    </w:lvl>
    <w:lvl w:ilvl="3" w:tplc="F82087C2" w:tentative="1">
      <w:start w:val="1"/>
      <w:numFmt w:val="bullet"/>
      <w:lvlText w:val=""/>
      <w:lvlJc w:val="left"/>
      <w:pPr>
        <w:ind w:left="3589" w:hanging="360"/>
      </w:pPr>
      <w:rPr>
        <w:rFonts w:ascii="Symbol" w:hAnsi="Symbol" w:hint="default"/>
      </w:rPr>
    </w:lvl>
    <w:lvl w:ilvl="4" w:tplc="919487CC" w:tentative="1">
      <w:start w:val="1"/>
      <w:numFmt w:val="bullet"/>
      <w:lvlText w:val="o"/>
      <w:lvlJc w:val="left"/>
      <w:pPr>
        <w:ind w:left="4309" w:hanging="360"/>
      </w:pPr>
      <w:rPr>
        <w:rFonts w:ascii="Courier New" w:hAnsi="Courier New" w:hint="default"/>
      </w:rPr>
    </w:lvl>
    <w:lvl w:ilvl="5" w:tplc="2E643D94" w:tentative="1">
      <w:start w:val="1"/>
      <w:numFmt w:val="bullet"/>
      <w:lvlText w:val=""/>
      <w:lvlJc w:val="left"/>
      <w:pPr>
        <w:ind w:left="5029" w:hanging="360"/>
      </w:pPr>
      <w:rPr>
        <w:rFonts w:ascii="Wingdings" w:hAnsi="Wingdings" w:hint="default"/>
      </w:rPr>
    </w:lvl>
    <w:lvl w:ilvl="6" w:tplc="E1B695C0" w:tentative="1">
      <w:start w:val="1"/>
      <w:numFmt w:val="bullet"/>
      <w:lvlText w:val=""/>
      <w:lvlJc w:val="left"/>
      <w:pPr>
        <w:ind w:left="5749" w:hanging="360"/>
      </w:pPr>
      <w:rPr>
        <w:rFonts w:ascii="Symbol" w:hAnsi="Symbol" w:hint="default"/>
      </w:rPr>
    </w:lvl>
    <w:lvl w:ilvl="7" w:tplc="8DC8C854" w:tentative="1">
      <w:start w:val="1"/>
      <w:numFmt w:val="bullet"/>
      <w:lvlText w:val="o"/>
      <w:lvlJc w:val="left"/>
      <w:pPr>
        <w:ind w:left="6469" w:hanging="360"/>
      </w:pPr>
      <w:rPr>
        <w:rFonts w:ascii="Courier New" w:hAnsi="Courier New" w:hint="default"/>
      </w:rPr>
    </w:lvl>
    <w:lvl w:ilvl="8" w:tplc="CEFE76A4" w:tentative="1">
      <w:start w:val="1"/>
      <w:numFmt w:val="bullet"/>
      <w:lvlText w:val=""/>
      <w:lvlJc w:val="left"/>
      <w:pPr>
        <w:ind w:left="7189"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58073F3"/>
    <w:multiLevelType w:val="hybridMultilevel"/>
    <w:tmpl w:val="E4DEC5AE"/>
    <w:lvl w:ilvl="0" w:tplc="45CC0600">
      <w:start w:val="1"/>
      <w:numFmt w:val="bullet"/>
      <w:lvlText w:val=""/>
      <w:lvlJc w:val="left"/>
      <w:pPr>
        <w:ind w:left="1429" w:hanging="360"/>
      </w:pPr>
      <w:rPr>
        <w:rFonts w:ascii="Symbol" w:hAnsi="Symbol" w:hint="default"/>
      </w:rPr>
    </w:lvl>
    <w:lvl w:ilvl="1" w:tplc="A7EEFB3E" w:tentative="1">
      <w:start w:val="1"/>
      <w:numFmt w:val="bullet"/>
      <w:lvlText w:val="o"/>
      <w:lvlJc w:val="left"/>
      <w:pPr>
        <w:ind w:left="2149" w:hanging="360"/>
      </w:pPr>
      <w:rPr>
        <w:rFonts w:ascii="Courier New" w:hAnsi="Courier New" w:hint="default"/>
      </w:rPr>
    </w:lvl>
    <w:lvl w:ilvl="2" w:tplc="06A2EF68" w:tentative="1">
      <w:start w:val="1"/>
      <w:numFmt w:val="bullet"/>
      <w:lvlText w:val=""/>
      <w:lvlJc w:val="left"/>
      <w:pPr>
        <w:ind w:left="2869" w:hanging="360"/>
      </w:pPr>
      <w:rPr>
        <w:rFonts w:ascii="Wingdings" w:hAnsi="Wingdings" w:hint="default"/>
      </w:rPr>
    </w:lvl>
    <w:lvl w:ilvl="3" w:tplc="F82087C2" w:tentative="1">
      <w:start w:val="1"/>
      <w:numFmt w:val="bullet"/>
      <w:lvlText w:val=""/>
      <w:lvlJc w:val="left"/>
      <w:pPr>
        <w:ind w:left="3589" w:hanging="360"/>
      </w:pPr>
      <w:rPr>
        <w:rFonts w:ascii="Symbol" w:hAnsi="Symbol" w:hint="default"/>
      </w:rPr>
    </w:lvl>
    <w:lvl w:ilvl="4" w:tplc="919487CC" w:tentative="1">
      <w:start w:val="1"/>
      <w:numFmt w:val="bullet"/>
      <w:lvlText w:val="o"/>
      <w:lvlJc w:val="left"/>
      <w:pPr>
        <w:ind w:left="4309" w:hanging="360"/>
      </w:pPr>
      <w:rPr>
        <w:rFonts w:ascii="Courier New" w:hAnsi="Courier New" w:hint="default"/>
      </w:rPr>
    </w:lvl>
    <w:lvl w:ilvl="5" w:tplc="2E643D94" w:tentative="1">
      <w:start w:val="1"/>
      <w:numFmt w:val="bullet"/>
      <w:lvlText w:val=""/>
      <w:lvlJc w:val="left"/>
      <w:pPr>
        <w:ind w:left="5029" w:hanging="360"/>
      </w:pPr>
      <w:rPr>
        <w:rFonts w:ascii="Wingdings" w:hAnsi="Wingdings" w:hint="default"/>
      </w:rPr>
    </w:lvl>
    <w:lvl w:ilvl="6" w:tplc="E1B695C0" w:tentative="1">
      <w:start w:val="1"/>
      <w:numFmt w:val="bullet"/>
      <w:lvlText w:val=""/>
      <w:lvlJc w:val="left"/>
      <w:pPr>
        <w:ind w:left="5749" w:hanging="360"/>
      </w:pPr>
      <w:rPr>
        <w:rFonts w:ascii="Symbol" w:hAnsi="Symbol" w:hint="default"/>
      </w:rPr>
    </w:lvl>
    <w:lvl w:ilvl="7" w:tplc="8DC8C854" w:tentative="1">
      <w:start w:val="1"/>
      <w:numFmt w:val="bullet"/>
      <w:lvlText w:val="o"/>
      <w:lvlJc w:val="left"/>
      <w:pPr>
        <w:ind w:left="6469" w:hanging="360"/>
      </w:pPr>
      <w:rPr>
        <w:rFonts w:ascii="Courier New" w:hAnsi="Courier New" w:hint="default"/>
      </w:rPr>
    </w:lvl>
    <w:lvl w:ilvl="8" w:tplc="CEFE76A4"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AC7"/>
    <w:rsid w:val="00025EF4"/>
    <w:rsid w:val="0003527F"/>
    <w:rsid w:val="00040CCD"/>
    <w:rsid w:val="00065C7D"/>
    <w:rsid w:val="000850FB"/>
    <w:rsid w:val="000C6CD4"/>
    <w:rsid w:val="001005A0"/>
    <w:rsid w:val="001577E4"/>
    <w:rsid w:val="001858CA"/>
    <w:rsid w:val="001C4AEF"/>
    <w:rsid w:val="001D3CC5"/>
    <w:rsid w:val="001F13F1"/>
    <w:rsid w:val="00201E41"/>
    <w:rsid w:val="00225B06"/>
    <w:rsid w:val="00282EEC"/>
    <w:rsid w:val="0028567E"/>
    <w:rsid w:val="00317C9B"/>
    <w:rsid w:val="00322BDE"/>
    <w:rsid w:val="003B49FA"/>
    <w:rsid w:val="003C0FCC"/>
    <w:rsid w:val="00406EE7"/>
    <w:rsid w:val="00407013"/>
    <w:rsid w:val="004A62CC"/>
    <w:rsid w:val="004D0B34"/>
    <w:rsid w:val="00565A74"/>
    <w:rsid w:val="005A6254"/>
    <w:rsid w:val="005B0036"/>
    <w:rsid w:val="005F5831"/>
    <w:rsid w:val="00643AC7"/>
    <w:rsid w:val="00662012"/>
    <w:rsid w:val="00666B01"/>
    <w:rsid w:val="006B1539"/>
    <w:rsid w:val="006E18E2"/>
    <w:rsid w:val="006F3DF0"/>
    <w:rsid w:val="006F5621"/>
    <w:rsid w:val="007148CC"/>
    <w:rsid w:val="00781C07"/>
    <w:rsid w:val="007E2A00"/>
    <w:rsid w:val="008010F2"/>
    <w:rsid w:val="00817B60"/>
    <w:rsid w:val="009202AE"/>
    <w:rsid w:val="00934D3A"/>
    <w:rsid w:val="00996BBA"/>
    <w:rsid w:val="009D66C6"/>
    <w:rsid w:val="00A35364"/>
    <w:rsid w:val="00A36885"/>
    <w:rsid w:val="00A65DC1"/>
    <w:rsid w:val="00A928F6"/>
    <w:rsid w:val="00A96525"/>
    <w:rsid w:val="00AB3F95"/>
    <w:rsid w:val="00AD31FD"/>
    <w:rsid w:val="00AE255D"/>
    <w:rsid w:val="00AE29E5"/>
    <w:rsid w:val="00AE5757"/>
    <w:rsid w:val="00B25EB8"/>
    <w:rsid w:val="00B3536F"/>
    <w:rsid w:val="00BA2F48"/>
    <w:rsid w:val="00BC634B"/>
    <w:rsid w:val="00BF2AE0"/>
    <w:rsid w:val="00C31FC1"/>
    <w:rsid w:val="00C4596C"/>
    <w:rsid w:val="00C479BF"/>
    <w:rsid w:val="00D245C7"/>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1F98BF-4544-45AE-9A77-2DFD36D1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link w:val="Overskrift3Tegn"/>
    <w:uiPriority w:val="9"/>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3Tegn">
    <w:name w:val="Overskrift 3 Tegn"/>
    <w:basedOn w:val="Standardskrifttypeiafsnit"/>
    <w:link w:val="Overskrift3"/>
    <w:uiPriority w:val="9"/>
    <w:locked/>
    <w:rsid w:val="001F13F1"/>
    <w:rPr>
      <w:rFonts w:ascii="Arial" w:hAnsi="Arial"/>
      <w:sz w:val="24"/>
      <w:lang w:eastAsia="en-US"/>
    </w:rPr>
  </w:style>
  <w:style w:type="paragraph" w:styleId="Billedtekst">
    <w:name w:val="caption"/>
    <w:basedOn w:val="Normal"/>
    <w:next w:val="Normal"/>
    <w:uiPriority w:val="35"/>
    <w:unhideWhenUsed/>
    <w:qFormat/>
    <w:rsid w:val="001F13F1"/>
    <w:rPr>
      <w:b/>
      <w:bCs/>
      <w:sz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51</TotalTime>
  <Pages>8</Pages>
  <Words>2416</Words>
  <Characters>15468</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2018062400 mt</dc:description>
  <cp:lastModifiedBy>Hanne Thy Iversen</cp:lastModifiedBy>
  <cp:revision>22</cp:revision>
  <cp:lastPrinted>2019-08-23T14:36:00Z</cp:lastPrinted>
  <dcterms:created xsi:type="dcterms:W3CDTF">2019-08-23T13:37:00Z</dcterms:created>
  <dcterms:modified xsi:type="dcterms:W3CDTF">2019-08-28T09:46:00Z</dcterms:modified>
</cp:coreProperties>
</file>