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D7" w:rsidRPr="00BD1A16" w:rsidRDefault="00E122D7" w:rsidP="00E122D7">
      <w:pPr>
        <w:rPr>
          <w:sz w:val="24"/>
          <w:szCs w:val="24"/>
        </w:rPr>
      </w:pPr>
      <w:bookmarkStart w:id="0" w:name="_GoBack"/>
      <w:bookmarkEnd w:id="0"/>
      <w:r w:rsidRPr="00BD1A16">
        <w:rPr>
          <w:noProof/>
          <w:sz w:val="24"/>
          <w:szCs w:val="24"/>
          <w:lang w:eastAsia="da-DK"/>
        </w:rPr>
        <w:drawing>
          <wp:inline distT="0" distB="0" distL="0" distR="0" wp14:anchorId="16485378" wp14:editId="6FB6D5E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D7" w:rsidRPr="00BD1A16" w:rsidRDefault="00E122D7" w:rsidP="00E122D7">
      <w:pPr>
        <w:rPr>
          <w:sz w:val="24"/>
          <w:szCs w:val="24"/>
        </w:rPr>
      </w:pPr>
    </w:p>
    <w:p w:rsidR="00E122D7" w:rsidRPr="00BD1A16" w:rsidRDefault="00E122D7" w:rsidP="00E122D7">
      <w:pPr>
        <w:tabs>
          <w:tab w:val="right" w:pos="9356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ab/>
      </w:r>
      <w:r w:rsidR="001611BC">
        <w:rPr>
          <w:b/>
          <w:sz w:val="24"/>
          <w:szCs w:val="24"/>
        </w:rPr>
        <w:t>4. oktober 2021</w:t>
      </w:r>
    </w:p>
    <w:p w:rsidR="00E122D7" w:rsidRPr="00BD1A16" w:rsidRDefault="00E122D7" w:rsidP="00E122D7">
      <w:pPr>
        <w:tabs>
          <w:tab w:val="left" w:pos="8222"/>
        </w:tabs>
        <w:rPr>
          <w:b/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PRODUKTRESUMÉ</w:t>
      </w: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for</w:t>
      </w: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BD1A16">
        <w:rPr>
          <w:b/>
          <w:sz w:val="24"/>
          <w:szCs w:val="24"/>
        </w:rPr>
        <w:t>Proposure</w:t>
      </w:r>
      <w:proofErr w:type="spellEnd"/>
      <w:r w:rsidRPr="00BD1A16">
        <w:rPr>
          <w:b/>
          <w:sz w:val="24"/>
          <w:szCs w:val="24"/>
        </w:rPr>
        <w:t>, injektionsvæske, emulsion</w:t>
      </w:r>
    </w:p>
    <w:p w:rsidR="00E122D7" w:rsidRPr="00BD1A16" w:rsidRDefault="00E122D7" w:rsidP="00E122D7">
      <w:pPr>
        <w:tabs>
          <w:tab w:val="left" w:pos="8222"/>
        </w:tabs>
        <w:jc w:val="both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jc w:val="both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0.</w:t>
      </w:r>
      <w:r w:rsidRPr="00BD1A16">
        <w:rPr>
          <w:b/>
          <w:sz w:val="24"/>
          <w:szCs w:val="24"/>
        </w:rPr>
        <w:tab/>
        <w:t>D.SP.NR.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30161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1.</w:t>
      </w:r>
      <w:r w:rsidRPr="00BD1A16">
        <w:rPr>
          <w:b/>
          <w:sz w:val="24"/>
          <w:szCs w:val="24"/>
        </w:rPr>
        <w:tab/>
        <w:t>VETERINÆRLÆGEMIDLETS NAVN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D1A16">
        <w:rPr>
          <w:sz w:val="24"/>
          <w:szCs w:val="24"/>
        </w:rPr>
        <w:t>Proposure</w:t>
      </w:r>
      <w:proofErr w:type="spellEnd"/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2.</w:t>
      </w:r>
      <w:r w:rsidRPr="00BD1A16">
        <w:rPr>
          <w:b/>
          <w:sz w:val="24"/>
          <w:szCs w:val="24"/>
        </w:rPr>
        <w:tab/>
        <w:t>KVALITATIV OG KVANTITATIV SAMMENSÆTNING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Hver ml indeholder: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  <w:u w:val="single"/>
        </w:rPr>
        <w:t>Aktivt stof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D1A16">
        <w:rPr>
          <w:sz w:val="24"/>
          <w:szCs w:val="24"/>
        </w:rPr>
        <w:t>Propofol</w:t>
      </w:r>
      <w:proofErr w:type="spellEnd"/>
      <w:r w:rsidRPr="00BD1A16">
        <w:rPr>
          <w:sz w:val="24"/>
          <w:szCs w:val="24"/>
        </w:rPr>
        <w:t xml:space="preserve"> 10 mg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  <w:u w:val="single"/>
        </w:rPr>
        <w:t>Hjælpestoffer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Alle hjælpestoffer er anført under pkt. 6.1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3.</w:t>
      </w:r>
      <w:r w:rsidRPr="00BD1A16">
        <w:rPr>
          <w:b/>
          <w:sz w:val="24"/>
          <w:szCs w:val="24"/>
        </w:rPr>
        <w:tab/>
        <w:t>LÆGEMIDDELFORM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Injektionsvæske, emulsion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Hvid eller næsten hvid, homogen emulsion.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</w:t>
      </w:r>
      <w:r w:rsidRPr="00BD1A16">
        <w:rPr>
          <w:b/>
          <w:sz w:val="24"/>
          <w:szCs w:val="24"/>
        </w:rPr>
        <w:tab/>
        <w:t>KLINISKE OPLYSNINGER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BD1A16">
        <w:rPr>
          <w:b/>
          <w:sz w:val="24"/>
          <w:szCs w:val="24"/>
        </w:rPr>
        <w:t>4.1</w:t>
      </w:r>
      <w:r w:rsidRPr="00BD1A16">
        <w:rPr>
          <w:b/>
          <w:sz w:val="24"/>
          <w:szCs w:val="24"/>
        </w:rPr>
        <w:tab/>
        <w:t>Dyrearter</w:t>
      </w:r>
    </w:p>
    <w:p w:rsidR="00E122D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Hund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Kat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BD1A16">
        <w:rPr>
          <w:b/>
          <w:szCs w:val="24"/>
        </w:rPr>
        <w:t>4.2</w:t>
      </w:r>
      <w:r w:rsidRPr="00BD1A16">
        <w:rPr>
          <w:b/>
          <w:szCs w:val="24"/>
        </w:rPr>
        <w:tab/>
        <w:t>Terapeutiske indikationer</w:t>
      </w:r>
    </w:p>
    <w:p w:rsidR="001611BC" w:rsidRDefault="001611BC" w:rsidP="001611BC">
      <w:pPr>
        <w:tabs>
          <w:tab w:val="left" w:pos="0"/>
          <w:tab w:val="left" w:pos="851"/>
        </w:tabs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 xml:space="preserve">Universelt </w:t>
      </w:r>
      <w:proofErr w:type="spellStart"/>
      <w:r>
        <w:rPr>
          <w:szCs w:val="22"/>
        </w:rPr>
        <w:t>anæstetikum</w:t>
      </w:r>
      <w:proofErr w:type="spellEnd"/>
      <w:r>
        <w:rPr>
          <w:szCs w:val="22"/>
        </w:rPr>
        <w:t xml:space="preserve"> til korte procedurer varende op til 5 minutter.</w:t>
      </w:r>
    </w:p>
    <w:p w:rsidR="001611BC" w:rsidRDefault="001611BC" w:rsidP="001611BC">
      <w:pPr>
        <w:tabs>
          <w:tab w:val="left" w:pos="0"/>
        </w:tabs>
        <w:rPr>
          <w:szCs w:val="22"/>
        </w:rPr>
      </w:pPr>
    </w:p>
    <w:p w:rsidR="001611BC" w:rsidRDefault="001611BC" w:rsidP="001611BC">
      <w:pPr>
        <w:tabs>
          <w:tab w:val="left" w:pos="0"/>
          <w:tab w:val="left" w:pos="851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>Induktion og vedligeholdelse af generel anæstesi ved titrering af dosis til effekt.</w:t>
      </w:r>
    </w:p>
    <w:p w:rsidR="001611BC" w:rsidRDefault="001611BC" w:rsidP="001611BC">
      <w:pPr>
        <w:tabs>
          <w:tab w:val="left" w:pos="0"/>
        </w:tabs>
        <w:rPr>
          <w:szCs w:val="22"/>
        </w:rPr>
      </w:pPr>
    </w:p>
    <w:p w:rsidR="00E122D7" w:rsidRPr="00BD1A16" w:rsidRDefault="001611BC" w:rsidP="001611B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Cs w:val="22"/>
        </w:rPr>
        <w:t>Induktion af generel anæstesi, hvor vedligeholdelsen af anæstesien sker ved hjælp af inhalationsanæstesi.</w:t>
      </w:r>
    </w:p>
    <w:p w:rsidR="001611BC" w:rsidRDefault="001611BC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122D7" w:rsidRPr="00BD1A16" w:rsidRDefault="00E122D7" w:rsidP="00E122D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E122D7" w:rsidRPr="00BD1A16" w:rsidRDefault="00E122D7" w:rsidP="00E122D7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BD1A16">
        <w:rPr>
          <w:b/>
          <w:szCs w:val="24"/>
        </w:rPr>
        <w:t>4.3</w:t>
      </w:r>
      <w:r w:rsidRPr="00BD1A16">
        <w:rPr>
          <w:b/>
          <w:szCs w:val="24"/>
        </w:rPr>
        <w:tab/>
        <w:t>Kontraindikationer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E122D7" w:rsidRPr="00BD1A16" w:rsidRDefault="00E122D7" w:rsidP="00E122D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4.4</w:t>
      </w:r>
      <w:r w:rsidRPr="00BD1A16">
        <w:rPr>
          <w:b/>
          <w:sz w:val="24"/>
          <w:szCs w:val="24"/>
        </w:rPr>
        <w:tab/>
        <w:t>Særlige advarsler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Produktet er en stabil emulsion. </w:t>
      </w:r>
    </w:p>
    <w:p w:rsidR="00E122D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1611BC" w:rsidRDefault="001611BC" w:rsidP="001611BC">
      <w:pPr>
        <w:tabs>
          <w:tab w:val="left" w:pos="851"/>
          <w:tab w:val="left" w:pos="1304"/>
        </w:tabs>
        <w:rPr>
          <w:rStyle w:val="y2iqfc"/>
          <w:color w:val="202124"/>
          <w:sz w:val="22"/>
          <w:szCs w:val="22"/>
        </w:rPr>
      </w:pPr>
      <w:r>
        <w:rPr>
          <w:rStyle w:val="y2iqfc"/>
          <w:color w:val="202124"/>
          <w:szCs w:val="22"/>
        </w:rPr>
        <w:tab/>
      </w:r>
      <w:r>
        <w:rPr>
          <w:rStyle w:val="y2iqfc"/>
          <w:color w:val="202124"/>
          <w:szCs w:val="22"/>
        </w:rPr>
        <w:t>Bør ikke bruges, hvis der er tegn på faseadskillelse efter let omrystning.</w:t>
      </w:r>
    </w:p>
    <w:p w:rsidR="001611BC" w:rsidRPr="00BD1A16" w:rsidRDefault="001611BC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Før brug bør produktet inspiceres visuelt for fravær af synlige bobler, fremmede partikler eller faseseparation og kasseres, hvis de konstateres.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Hvis produktet injiceres for langsomt, kan det resultere i, at en tilstrækkelig anæstesidybde ikke opnås, da tærskelværdien for den farmakologiske aktivitet ikke nås.</w:t>
      </w:r>
    </w:p>
    <w:p w:rsidR="00E122D7" w:rsidRPr="00BD1A16" w:rsidRDefault="00E122D7" w:rsidP="00E122D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4.5</w:t>
      </w:r>
      <w:r w:rsidRPr="00BD1A16">
        <w:rPr>
          <w:b/>
          <w:sz w:val="24"/>
          <w:szCs w:val="24"/>
        </w:rPr>
        <w:tab/>
        <w:t>Særlige forsigtighedsregler vedrørende brugen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Særlige forsigtighedsregler for dyret</w:t>
      </w: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>Under induktion af anæstesi kan der forekomme let hypotension og forbigående apnø.</w:t>
      </w: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Hvis produktet bliver injiceret for hurtigt, kan der forekomme </w:t>
      </w:r>
      <w:proofErr w:type="spellStart"/>
      <w:r w:rsidRPr="00C97224">
        <w:rPr>
          <w:sz w:val="24"/>
          <w:szCs w:val="24"/>
        </w:rPr>
        <w:t>kardiopulmonær</w:t>
      </w:r>
      <w:proofErr w:type="spellEnd"/>
      <w:r w:rsidRPr="00C97224">
        <w:rPr>
          <w:sz w:val="24"/>
          <w:szCs w:val="24"/>
        </w:rPr>
        <w:t xml:space="preserve"> depression (apnø, bradykardi, hypotension).</w:t>
      </w: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Ved brug af dette veterinære produkt skal der være udstyr til at sikre frie luftveje, kunstig ventilation og supplerende ilt tilgængeligt. Efter induktion af </w:t>
      </w:r>
      <w:proofErr w:type="spellStart"/>
      <w:r w:rsidRPr="00C97224">
        <w:rPr>
          <w:sz w:val="24"/>
          <w:szCs w:val="24"/>
        </w:rPr>
        <w:t>anæstetikum</w:t>
      </w:r>
      <w:proofErr w:type="spellEnd"/>
      <w:r w:rsidRPr="00C97224">
        <w:rPr>
          <w:sz w:val="24"/>
          <w:szCs w:val="24"/>
        </w:rPr>
        <w:t xml:space="preserve">, er brugen af </w:t>
      </w:r>
      <w:proofErr w:type="spellStart"/>
      <w:r w:rsidRPr="00C97224">
        <w:rPr>
          <w:sz w:val="24"/>
          <w:szCs w:val="24"/>
        </w:rPr>
        <w:t>endotrakeal</w:t>
      </w:r>
      <w:proofErr w:type="spellEnd"/>
      <w:r w:rsidRPr="00C97224">
        <w:rPr>
          <w:sz w:val="24"/>
          <w:szCs w:val="24"/>
        </w:rPr>
        <w:t xml:space="preserve"> </w:t>
      </w:r>
      <w:proofErr w:type="spellStart"/>
      <w:r w:rsidRPr="00C97224">
        <w:rPr>
          <w:sz w:val="24"/>
          <w:szCs w:val="24"/>
        </w:rPr>
        <w:t>tubus</w:t>
      </w:r>
      <w:proofErr w:type="spellEnd"/>
      <w:r w:rsidRPr="00C97224">
        <w:rPr>
          <w:sz w:val="24"/>
          <w:szCs w:val="24"/>
        </w:rPr>
        <w:t xml:space="preserve"> anbefalet. Det er anbefalet at administrere supplerende ilt i vedligeholdelsesfasen af </w:t>
      </w:r>
      <w:proofErr w:type="spellStart"/>
      <w:r w:rsidRPr="00C97224">
        <w:rPr>
          <w:sz w:val="24"/>
          <w:szCs w:val="24"/>
        </w:rPr>
        <w:t>ænæstesien</w:t>
      </w:r>
      <w:proofErr w:type="spellEnd"/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Der skal udvises forsigtighed hos hunde og katte med nedsat hjerte-, respirations-, nyre- eller leverfunktion samt hos </w:t>
      </w:r>
      <w:proofErr w:type="spellStart"/>
      <w:r w:rsidRPr="00C97224">
        <w:rPr>
          <w:sz w:val="24"/>
          <w:szCs w:val="24"/>
        </w:rPr>
        <w:t>hypovolæmiske</w:t>
      </w:r>
      <w:proofErr w:type="spellEnd"/>
      <w:r w:rsidRPr="00C97224">
        <w:rPr>
          <w:sz w:val="24"/>
          <w:szCs w:val="24"/>
        </w:rPr>
        <w:t>, afmagrede, gamle eller svækkede dyr.</w:t>
      </w: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Hvis </w:t>
      </w:r>
      <w:proofErr w:type="spellStart"/>
      <w:r w:rsidRPr="00C97224">
        <w:rPr>
          <w:sz w:val="24"/>
          <w:szCs w:val="24"/>
        </w:rPr>
        <w:t>propofol</w:t>
      </w:r>
      <w:proofErr w:type="spellEnd"/>
      <w:r w:rsidRPr="00C97224">
        <w:rPr>
          <w:sz w:val="24"/>
          <w:szCs w:val="24"/>
        </w:rPr>
        <w:t xml:space="preserve"> bruges samtidig med opioider, kan der bruges et </w:t>
      </w:r>
      <w:proofErr w:type="spellStart"/>
      <w:r w:rsidRPr="00C97224">
        <w:rPr>
          <w:sz w:val="24"/>
          <w:szCs w:val="24"/>
        </w:rPr>
        <w:t>antikolinerg</w:t>
      </w:r>
      <w:proofErr w:type="spellEnd"/>
      <w:r w:rsidRPr="00C97224">
        <w:rPr>
          <w:sz w:val="24"/>
          <w:szCs w:val="24"/>
        </w:rPr>
        <w:t xml:space="preserve"> middel (fx </w:t>
      </w:r>
      <w:proofErr w:type="spellStart"/>
      <w:r w:rsidRPr="00C97224">
        <w:rPr>
          <w:sz w:val="24"/>
          <w:szCs w:val="24"/>
        </w:rPr>
        <w:t>atropine</w:t>
      </w:r>
      <w:proofErr w:type="spellEnd"/>
      <w:r w:rsidRPr="00C97224">
        <w:rPr>
          <w:sz w:val="24"/>
          <w:szCs w:val="24"/>
        </w:rPr>
        <w:t>) i tilfælde af bradykardi i forhold til fordel/</w:t>
      </w:r>
      <w:proofErr w:type="spellStart"/>
      <w:r w:rsidRPr="00C97224">
        <w:rPr>
          <w:sz w:val="24"/>
          <w:szCs w:val="24"/>
        </w:rPr>
        <w:t>risiko-vurdering</w:t>
      </w:r>
      <w:proofErr w:type="spellEnd"/>
      <w:r w:rsidRPr="00C97224">
        <w:rPr>
          <w:sz w:val="24"/>
          <w:szCs w:val="24"/>
        </w:rPr>
        <w:t xml:space="preserve"> af den ansvarlige dyrlæge. Se afsnit 4.8</w:t>
      </w: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color w:val="202124"/>
          <w:sz w:val="24"/>
          <w:szCs w:val="24"/>
        </w:rPr>
      </w:pPr>
      <w:r w:rsidRPr="00C97224">
        <w:rPr>
          <w:sz w:val="24"/>
          <w:szCs w:val="24"/>
        </w:rPr>
        <w:t xml:space="preserve">Der skal udvises forsigtighed ved administration af produktet til patienter med </w:t>
      </w:r>
      <w:proofErr w:type="spellStart"/>
      <w:r w:rsidRPr="00C97224">
        <w:rPr>
          <w:color w:val="202124"/>
          <w:sz w:val="24"/>
          <w:szCs w:val="24"/>
        </w:rPr>
        <w:t>hypoproteinanæmi</w:t>
      </w:r>
      <w:proofErr w:type="spellEnd"/>
      <w:r w:rsidRPr="00C97224">
        <w:rPr>
          <w:color w:val="202124"/>
          <w:sz w:val="24"/>
          <w:szCs w:val="24"/>
        </w:rPr>
        <w:t xml:space="preserve">, </w:t>
      </w:r>
      <w:proofErr w:type="spellStart"/>
      <w:r w:rsidRPr="00C97224">
        <w:rPr>
          <w:color w:val="202124"/>
          <w:sz w:val="24"/>
          <w:szCs w:val="24"/>
        </w:rPr>
        <w:t>hyperlipidæmi</w:t>
      </w:r>
      <w:proofErr w:type="spellEnd"/>
      <w:r w:rsidRPr="00C97224">
        <w:rPr>
          <w:color w:val="202124"/>
          <w:sz w:val="24"/>
          <w:szCs w:val="24"/>
        </w:rPr>
        <w:t xml:space="preserve"> eller meget tynde dyr, da disse dyr kan være mere modtagelige for bivirkninger.</w:t>
      </w: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color w:val="202124"/>
          <w:sz w:val="24"/>
          <w:szCs w:val="24"/>
        </w:rPr>
      </w:pP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color w:val="202124"/>
          <w:sz w:val="24"/>
          <w:szCs w:val="24"/>
        </w:rPr>
      </w:pPr>
      <w:proofErr w:type="spellStart"/>
      <w:r w:rsidRPr="00C97224">
        <w:rPr>
          <w:color w:val="202124"/>
          <w:sz w:val="24"/>
          <w:szCs w:val="24"/>
        </w:rPr>
        <w:t>Propofol</w:t>
      </w:r>
      <w:proofErr w:type="spellEnd"/>
      <w:r w:rsidRPr="00C97224">
        <w:rPr>
          <w:color w:val="202124"/>
          <w:sz w:val="24"/>
          <w:szCs w:val="24"/>
        </w:rPr>
        <w:t xml:space="preserve"> har ingen smertestillende effekt, derfor skal supplerende smertestillende midler gives, i tilfælde hvor procedurer forventes at være smertefulde.</w:t>
      </w: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Det er blevet rapporteret, at udskillelsen af </w:t>
      </w:r>
      <w:proofErr w:type="spellStart"/>
      <w:r w:rsidRPr="00C97224">
        <w:rPr>
          <w:sz w:val="24"/>
          <w:szCs w:val="24"/>
        </w:rPr>
        <w:t>propofol</w:t>
      </w:r>
      <w:proofErr w:type="spellEnd"/>
      <w:r w:rsidRPr="00C97224">
        <w:rPr>
          <w:sz w:val="24"/>
          <w:szCs w:val="24"/>
        </w:rPr>
        <w:t xml:space="preserve"> er langsommere og forekomst af apnø er større hos hunde over 8 år end hos yngre dyr. Der bør udvises ekstra forsigtighed, når produktet anvendes til disse dyr. Navnlig kan en lavere dosis af </w:t>
      </w:r>
      <w:proofErr w:type="spellStart"/>
      <w:r w:rsidRPr="00C97224">
        <w:rPr>
          <w:sz w:val="24"/>
          <w:szCs w:val="24"/>
        </w:rPr>
        <w:t>propofol</w:t>
      </w:r>
      <w:proofErr w:type="spellEnd"/>
      <w:r w:rsidRPr="00C97224">
        <w:rPr>
          <w:sz w:val="24"/>
          <w:szCs w:val="24"/>
        </w:rPr>
        <w:t xml:space="preserve"> være tilstrækkelig til induktion i sådanne tilfælde.</w:t>
      </w:r>
    </w:p>
    <w:p w:rsidR="00C97224" w:rsidRPr="00C97224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 xml:space="preserve">Det er blevet rapporteret at mynder har en lavere udskillelse af </w:t>
      </w:r>
      <w:proofErr w:type="spellStart"/>
      <w:r w:rsidRPr="00C97224">
        <w:rPr>
          <w:sz w:val="24"/>
          <w:szCs w:val="24"/>
        </w:rPr>
        <w:t>propofol</w:t>
      </w:r>
      <w:proofErr w:type="spellEnd"/>
      <w:r w:rsidRPr="00C97224">
        <w:rPr>
          <w:sz w:val="24"/>
          <w:szCs w:val="24"/>
        </w:rPr>
        <w:t xml:space="preserve"> og kan have en lidt forlænget opvågning efter anæstesien, sammenlignet med andre hunderacer.</w:t>
      </w:r>
    </w:p>
    <w:p w:rsidR="00C97224" w:rsidRPr="00C97224" w:rsidRDefault="00C97224" w:rsidP="00C97224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C97224" w:rsidP="00C97224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97224">
        <w:rPr>
          <w:sz w:val="24"/>
          <w:szCs w:val="24"/>
        </w:rPr>
        <w:t>Anvend aseptiske teknik, når produktet administreres, da det ikke indeholder et konserveringsmiddel.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Særlige forsigtighedsregler for personer, der administrerer lægemidlet</w:t>
      </w:r>
    </w:p>
    <w:p w:rsidR="00E122D7" w:rsidRPr="00BD1A16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 w:rsidRPr="00BD1A16">
        <w:rPr>
          <w:sz w:val="24"/>
          <w:szCs w:val="24"/>
        </w:rPr>
        <w:t>Propofol</w:t>
      </w:r>
      <w:proofErr w:type="spellEnd"/>
      <w:r w:rsidRPr="00BD1A16">
        <w:rPr>
          <w:sz w:val="24"/>
          <w:szCs w:val="24"/>
        </w:rPr>
        <w:t xml:space="preserve"> er et potent, universelt </w:t>
      </w:r>
      <w:proofErr w:type="spellStart"/>
      <w:r w:rsidRPr="00BD1A16">
        <w:rPr>
          <w:sz w:val="24"/>
          <w:szCs w:val="24"/>
        </w:rPr>
        <w:t>anæstetikum</w:t>
      </w:r>
      <w:proofErr w:type="spellEnd"/>
      <w:r w:rsidRPr="00BD1A16">
        <w:rPr>
          <w:sz w:val="24"/>
          <w:szCs w:val="24"/>
        </w:rPr>
        <w:t>, og forsigtighed bør udvises for at undgå utilsigtet selvinjektion. Kanylen bør helst være beskyttet med en hætte indtil injektionen.</w:t>
      </w:r>
    </w:p>
    <w:p w:rsidR="00E122D7" w:rsidRPr="00396AEF" w:rsidRDefault="00E122D7" w:rsidP="00396AEF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396AEF" w:rsidP="00396AEF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I tilfælde af selvinjektion ved hændeligt uheld skal der straks søges lægehjælp, og indlægssedlen eller etiketten bør vises til lægen, men før ikke et køretøj, da der kan forekomme sedation.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Personer med kendt overfølsomhed over for </w:t>
      </w:r>
      <w:proofErr w:type="spellStart"/>
      <w:r w:rsidRPr="00BD1A16">
        <w:rPr>
          <w:sz w:val="24"/>
          <w:szCs w:val="24"/>
        </w:rPr>
        <w:t>propofol</w:t>
      </w:r>
      <w:proofErr w:type="spellEnd"/>
      <w:r w:rsidRPr="00BD1A16">
        <w:rPr>
          <w:sz w:val="24"/>
          <w:szCs w:val="24"/>
        </w:rPr>
        <w:t xml:space="preserve"> eller et af hjælpestofferne bør undgå kontakt med veterinærlægemidlet.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Undgå kontakt med hud og øjne, da lægemidlet kan forårsage irritation.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Stænk på huden eller i øjnene skal straks vaskes væk med rigeligt, rent vand.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396AEF" w:rsidRPr="00396AEF" w:rsidRDefault="00E122D7" w:rsidP="00396AEF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b/>
          <w:sz w:val="24"/>
          <w:szCs w:val="24"/>
        </w:rPr>
        <w:t>Rådgivning til lægen</w:t>
      </w:r>
      <w:r w:rsidRPr="00BD1A16">
        <w:rPr>
          <w:sz w:val="24"/>
          <w:szCs w:val="24"/>
        </w:rPr>
        <w:t>: Efterlad ikke patienten uden opsyn.</w:t>
      </w:r>
      <w:r w:rsidR="00396AEF" w:rsidRPr="00396AEF">
        <w:rPr>
          <w:sz w:val="22"/>
          <w:szCs w:val="22"/>
        </w:rPr>
        <w:t xml:space="preserve"> </w:t>
      </w:r>
      <w:r w:rsidR="00396AEF" w:rsidRPr="00396AEF">
        <w:rPr>
          <w:sz w:val="24"/>
          <w:szCs w:val="24"/>
        </w:rPr>
        <w:t>Oprethold frie luftveje, og sikre symptomatisk og støttende behandling.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4.6</w:t>
      </w:r>
      <w:r w:rsidRPr="00BD1A16">
        <w:rPr>
          <w:b/>
          <w:sz w:val="24"/>
          <w:szCs w:val="24"/>
        </w:rPr>
        <w:tab/>
        <w:t>Bivirkninger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lastRenderedPageBreak/>
        <w:t xml:space="preserve">Induktion forløber generelt ubesværet, dog er få tegn på ekscitation (padler med benene, </w:t>
      </w:r>
      <w:proofErr w:type="spellStart"/>
      <w:r w:rsidRPr="00396AEF">
        <w:rPr>
          <w:sz w:val="24"/>
          <w:szCs w:val="24"/>
        </w:rPr>
        <w:t>myoklonus</w:t>
      </w:r>
      <w:proofErr w:type="spellEnd"/>
      <w:r w:rsidRPr="00396AEF">
        <w:rPr>
          <w:sz w:val="24"/>
          <w:szCs w:val="24"/>
        </w:rPr>
        <w:t>, nystagmus, opistotonus) almindelig. Under induktion af anæstesi er det meget almindelig at observere let hypotension og forbigående apnø.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 xml:space="preserve">Hos katte er der i sjældne tilfælde observeret karakteristika som </w:t>
      </w:r>
      <w:proofErr w:type="spellStart"/>
      <w:r w:rsidRPr="00396AEF">
        <w:rPr>
          <w:sz w:val="24"/>
          <w:szCs w:val="24"/>
        </w:rPr>
        <w:t>nysen</w:t>
      </w:r>
      <w:proofErr w:type="spellEnd"/>
      <w:r w:rsidRPr="00396AEF">
        <w:rPr>
          <w:sz w:val="24"/>
          <w:szCs w:val="24"/>
        </w:rPr>
        <w:t>, lejlighedsvis opkastning og slikken af poter/ansigt observeret under opvågningen.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Under opvågningen er der i sjældne tilfælde rapporteret opkastning og ekscitation.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 xml:space="preserve">På grund af øget følsomhed, kan gentagen anæstesi med </w:t>
      </w:r>
      <w:proofErr w:type="spellStart"/>
      <w:r w:rsidRPr="00396AEF">
        <w:rPr>
          <w:sz w:val="24"/>
          <w:szCs w:val="24"/>
        </w:rPr>
        <w:t>propofol</w:t>
      </w:r>
      <w:proofErr w:type="spellEnd"/>
      <w:r w:rsidRPr="00396AEF">
        <w:rPr>
          <w:sz w:val="24"/>
          <w:szCs w:val="24"/>
        </w:rPr>
        <w:t xml:space="preserve"> hos katte sjældent forårsage </w:t>
      </w:r>
      <w:proofErr w:type="spellStart"/>
      <w:r w:rsidRPr="00396AEF">
        <w:rPr>
          <w:sz w:val="24"/>
          <w:szCs w:val="24"/>
        </w:rPr>
        <w:t>oxidativ</w:t>
      </w:r>
      <w:proofErr w:type="spellEnd"/>
      <w:r w:rsidRPr="00396AEF">
        <w:rPr>
          <w:sz w:val="24"/>
          <w:szCs w:val="24"/>
        </w:rPr>
        <w:t xml:space="preserve"> skade og dannelse af Heinz-legemer samt uspecifikke symptomer som anoreksi, diarré og mildt ødem i ansigtet. Rekonvalescens kan også blive forlænget. Hvis gentagen anæstesi begrænses til intervaller på over 48 timer, vil risikoen reduceres.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Hyppigheden af bivirkninger er defineret som;</w:t>
      </w:r>
    </w:p>
    <w:p w:rsid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Meget almindelig (flere end 1 ud af 10 behandlede dyr, der viser bivirkninger i løbet af en behandling).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Almindelig (flere end 1, men færre end 10 dyr af 100 behandlede dyr).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Ikke almindelig (flere end 1, men færre end 10 dyr af 1000 behandlede dyr).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Sjælden (flere end 1, men færre end 10 dyr ud af 10.000 behandlede dyr).</w:t>
      </w:r>
    </w:p>
    <w:p w:rsidR="00396AEF" w:rsidRPr="00396AEF" w:rsidRDefault="00396AEF" w:rsidP="00396AE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96AEF">
        <w:rPr>
          <w:sz w:val="24"/>
          <w:szCs w:val="24"/>
        </w:rPr>
        <w:t>Meget sjælden (færre end 1 dyr ud af 10.000 behandlede dyr, herunder isolerede rapporter).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4.7</w:t>
      </w:r>
      <w:r w:rsidRPr="00BD1A16">
        <w:rPr>
          <w:b/>
          <w:sz w:val="24"/>
          <w:szCs w:val="24"/>
        </w:rPr>
        <w:tab/>
        <w:t>Drægtighed, diegivning eller æglægning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Lægemidlets sikkerhed for fostre/nyfødte og under diegivning er ikke fastlagt.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Der er rapporteret om succesfuld anvendelse af lægemidlet til hunde til induktion før kejsersnit.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BD1A16">
        <w:rPr>
          <w:sz w:val="24"/>
          <w:szCs w:val="24"/>
        </w:rPr>
        <w:t>risk</w:t>
      </w:r>
      <w:proofErr w:type="spellEnd"/>
      <w:r w:rsidRPr="00BD1A16">
        <w:rPr>
          <w:sz w:val="24"/>
          <w:szCs w:val="24"/>
        </w:rPr>
        <w:t>-benefit-forholdet.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4.8</w:t>
      </w:r>
      <w:r w:rsidRPr="00BD1A16">
        <w:rPr>
          <w:b/>
          <w:sz w:val="24"/>
          <w:szCs w:val="24"/>
        </w:rPr>
        <w:tab/>
        <w:t>Interaktion med andre lægemidler og andre former for interaktion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kan anvendes sammen med præmedicinering som eksempelvis atropin, </w:t>
      </w:r>
      <w:proofErr w:type="spellStart"/>
      <w:r w:rsidRPr="00154C66">
        <w:rPr>
          <w:sz w:val="24"/>
          <w:szCs w:val="24"/>
        </w:rPr>
        <w:t>glycopyrrolat</w:t>
      </w:r>
      <w:proofErr w:type="spellEnd"/>
      <w:r w:rsidRPr="00154C66">
        <w:rPr>
          <w:sz w:val="24"/>
          <w:szCs w:val="24"/>
        </w:rPr>
        <w:t>, α-2-agonister (</w:t>
      </w:r>
      <w:proofErr w:type="spellStart"/>
      <w:r w:rsidRPr="00154C66">
        <w:rPr>
          <w:sz w:val="24"/>
          <w:szCs w:val="24"/>
        </w:rPr>
        <w:t>medetomidin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dexmedetomidin</w:t>
      </w:r>
      <w:proofErr w:type="spellEnd"/>
      <w:r w:rsidRPr="00154C66">
        <w:rPr>
          <w:sz w:val="24"/>
          <w:szCs w:val="24"/>
        </w:rPr>
        <w:t xml:space="preserve">), </w:t>
      </w:r>
      <w:proofErr w:type="spellStart"/>
      <w:r w:rsidRPr="00154C66">
        <w:rPr>
          <w:sz w:val="24"/>
          <w:szCs w:val="24"/>
        </w:rPr>
        <w:t>acepromazin</w:t>
      </w:r>
      <w:proofErr w:type="spellEnd"/>
      <w:r w:rsidRPr="00154C66">
        <w:rPr>
          <w:sz w:val="24"/>
          <w:szCs w:val="24"/>
        </w:rPr>
        <w:t>, benzodiazepiner (</w:t>
      </w:r>
      <w:proofErr w:type="spellStart"/>
      <w:r w:rsidRPr="00154C66">
        <w:rPr>
          <w:sz w:val="24"/>
          <w:szCs w:val="24"/>
        </w:rPr>
        <w:t>diazepam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midazolam</w:t>
      </w:r>
      <w:proofErr w:type="spellEnd"/>
      <w:r w:rsidRPr="00154C66">
        <w:rPr>
          <w:sz w:val="24"/>
          <w:szCs w:val="24"/>
        </w:rPr>
        <w:t>);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inhalationslægemidler (fx </w:t>
      </w:r>
      <w:proofErr w:type="spellStart"/>
      <w:r w:rsidRPr="00154C66">
        <w:rPr>
          <w:sz w:val="24"/>
          <w:szCs w:val="24"/>
        </w:rPr>
        <w:t>halothan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isofluran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sevofluran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enfluran</w:t>
      </w:r>
      <w:proofErr w:type="spellEnd"/>
      <w:r w:rsidRPr="00154C66">
        <w:rPr>
          <w:sz w:val="24"/>
          <w:szCs w:val="24"/>
        </w:rPr>
        <w:t xml:space="preserve"> og </w:t>
      </w:r>
      <w:proofErr w:type="spellStart"/>
      <w:r w:rsidRPr="00154C66">
        <w:rPr>
          <w:sz w:val="24"/>
          <w:szCs w:val="24"/>
        </w:rPr>
        <w:t>dinitrogenoxid</w:t>
      </w:r>
      <w:proofErr w:type="spellEnd"/>
      <w:r w:rsidRPr="00154C66">
        <w:rPr>
          <w:sz w:val="24"/>
          <w:szCs w:val="24"/>
        </w:rPr>
        <w:t xml:space="preserve">); samt analgetiske lægemidler som </w:t>
      </w:r>
      <w:proofErr w:type="spellStart"/>
      <w:r w:rsidRPr="00154C66">
        <w:rPr>
          <w:sz w:val="24"/>
          <w:szCs w:val="24"/>
        </w:rPr>
        <w:t>pethidin</w:t>
      </w:r>
      <w:proofErr w:type="spellEnd"/>
      <w:r w:rsidRPr="00154C66">
        <w:rPr>
          <w:sz w:val="24"/>
          <w:szCs w:val="24"/>
        </w:rPr>
        <w:t xml:space="preserve"> og </w:t>
      </w:r>
      <w:proofErr w:type="spellStart"/>
      <w:r w:rsidRPr="00154C66">
        <w:rPr>
          <w:sz w:val="24"/>
          <w:szCs w:val="24"/>
        </w:rPr>
        <w:t>buprenorphin</w:t>
      </w:r>
      <w:proofErr w:type="spellEnd"/>
      <w:r w:rsidRPr="00154C66">
        <w:rPr>
          <w:sz w:val="24"/>
          <w:szCs w:val="24"/>
        </w:rPr>
        <w:t>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Samtidig anvendelse af sedative eller analgetiske lægemidler vil sandsynligvis reducere den dosis af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>, der er nødvendig for at inducere og vedligeholde anæstesi. Se sektion 4.9.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Samtidig brug af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og opioider kan forårsage betydelig respirationsdepression og et betydeligt fald i hjerterytme. Hos katte er det blevet rapporteret, at samtidig brug af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og </w:t>
      </w:r>
      <w:proofErr w:type="spellStart"/>
      <w:r w:rsidRPr="00154C66">
        <w:rPr>
          <w:sz w:val="24"/>
          <w:szCs w:val="24"/>
        </w:rPr>
        <w:t>ketamin</w:t>
      </w:r>
      <w:proofErr w:type="spellEnd"/>
      <w:r w:rsidRPr="00154C66">
        <w:rPr>
          <w:sz w:val="24"/>
          <w:szCs w:val="24"/>
        </w:rPr>
        <w:t xml:space="preserve">, medfører apnø hyppigere end når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anvendes sammen med anden præmedicinering.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For at reducere risikoen for apnø, skal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administreres langsomt over 60 sekunder. Se også sektion 4.5.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Lægemidlet kan gives samtidigt med opløsninger af </w:t>
      </w:r>
      <w:proofErr w:type="spellStart"/>
      <w:r w:rsidRPr="00154C66">
        <w:rPr>
          <w:sz w:val="24"/>
          <w:szCs w:val="24"/>
        </w:rPr>
        <w:t>glucose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natriumchlorid</w:t>
      </w:r>
      <w:proofErr w:type="spellEnd"/>
      <w:r w:rsidRPr="00154C66">
        <w:rPr>
          <w:sz w:val="24"/>
          <w:szCs w:val="24"/>
        </w:rPr>
        <w:t xml:space="preserve"> og </w:t>
      </w:r>
      <w:proofErr w:type="spellStart"/>
      <w:r w:rsidRPr="00154C66">
        <w:rPr>
          <w:sz w:val="24"/>
          <w:szCs w:val="24"/>
        </w:rPr>
        <w:t>glucose</w:t>
      </w:r>
      <w:r w:rsidRPr="00154C66">
        <w:rPr>
          <w:sz w:val="24"/>
          <w:szCs w:val="24"/>
        </w:rPr>
        <w:noBreakHyphen/>
        <w:t>natriumchlorid</w:t>
      </w:r>
      <w:proofErr w:type="spellEnd"/>
      <w:r w:rsidRPr="00154C66">
        <w:rPr>
          <w:sz w:val="24"/>
          <w:szCs w:val="24"/>
        </w:rPr>
        <w:t>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>Lægemidlet kan blandes med glukoseopløsning til infusion eller fysiologisk saltvandsopløsning.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Samtidig anvendelse af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og infusion af et opioid (fx fentanyl, </w:t>
      </w:r>
      <w:proofErr w:type="spellStart"/>
      <w:r w:rsidRPr="00154C66">
        <w:rPr>
          <w:sz w:val="24"/>
          <w:szCs w:val="24"/>
        </w:rPr>
        <w:t>alfentanil</w:t>
      </w:r>
      <w:proofErr w:type="spellEnd"/>
      <w:r w:rsidRPr="00154C66">
        <w:rPr>
          <w:sz w:val="24"/>
          <w:szCs w:val="24"/>
        </w:rPr>
        <w:t xml:space="preserve">) til vedligeholdelse af universel anæstesi kan resultere i en forlænget opvågning. Hjertestop er set hos hunde, som har fået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efterfulgt af </w:t>
      </w:r>
      <w:proofErr w:type="spellStart"/>
      <w:r w:rsidRPr="00154C66">
        <w:rPr>
          <w:sz w:val="24"/>
          <w:szCs w:val="24"/>
        </w:rPr>
        <w:t>alfentanil</w:t>
      </w:r>
      <w:proofErr w:type="spellEnd"/>
      <w:r w:rsidRPr="00154C66">
        <w:rPr>
          <w:sz w:val="24"/>
          <w:szCs w:val="24"/>
        </w:rPr>
        <w:t>.</w:t>
      </w:r>
    </w:p>
    <w:p w:rsidR="00154C66" w:rsidRPr="00154C6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154C66" w:rsidP="00154C66">
      <w:pPr>
        <w:tabs>
          <w:tab w:val="left" w:pos="851"/>
        </w:tabs>
        <w:ind w:left="851"/>
        <w:rPr>
          <w:sz w:val="24"/>
          <w:szCs w:val="24"/>
        </w:rPr>
      </w:pPr>
      <w:r w:rsidRPr="00154C66">
        <w:rPr>
          <w:sz w:val="24"/>
          <w:szCs w:val="24"/>
        </w:rPr>
        <w:t xml:space="preserve">Administration af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sammen med andre lægemidler, som </w:t>
      </w:r>
      <w:proofErr w:type="spellStart"/>
      <w:r w:rsidRPr="00154C66">
        <w:rPr>
          <w:sz w:val="24"/>
          <w:szCs w:val="24"/>
        </w:rPr>
        <w:t>metaboliseres</w:t>
      </w:r>
      <w:proofErr w:type="spellEnd"/>
      <w:r w:rsidRPr="00154C66">
        <w:rPr>
          <w:sz w:val="24"/>
          <w:szCs w:val="24"/>
        </w:rPr>
        <w:t xml:space="preserve"> af </w:t>
      </w:r>
      <w:proofErr w:type="spellStart"/>
      <w:r w:rsidRPr="00154C66">
        <w:rPr>
          <w:sz w:val="24"/>
          <w:szCs w:val="24"/>
        </w:rPr>
        <w:t>cytochrome</w:t>
      </w:r>
      <w:proofErr w:type="spellEnd"/>
      <w:r w:rsidRPr="00154C66">
        <w:rPr>
          <w:sz w:val="24"/>
          <w:szCs w:val="24"/>
        </w:rPr>
        <w:t xml:space="preserve"> P450 (</w:t>
      </w:r>
      <w:proofErr w:type="spellStart"/>
      <w:r w:rsidRPr="00154C66">
        <w:rPr>
          <w:sz w:val="24"/>
          <w:szCs w:val="24"/>
        </w:rPr>
        <w:t>isoenzym</w:t>
      </w:r>
      <w:proofErr w:type="spellEnd"/>
      <w:r w:rsidRPr="00154C66">
        <w:rPr>
          <w:sz w:val="24"/>
          <w:szCs w:val="24"/>
        </w:rPr>
        <w:t xml:space="preserve"> 2B11 i hunde), fx </w:t>
      </w:r>
      <w:proofErr w:type="spellStart"/>
      <w:r w:rsidRPr="00154C66">
        <w:rPr>
          <w:sz w:val="24"/>
          <w:szCs w:val="24"/>
        </w:rPr>
        <w:t>chloramfenicol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ketoconazol</w:t>
      </w:r>
      <w:proofErr w:type="spellEnd"/>
      <w:r w:rsidRPr="00154C66">
        <w:rPr>
          <w:sz w:val="24"/>
          <w:szCs w:val="24"/>
        </w:rPr>
        <w:t xml:space="preserve">, </w:t>
      </w:r>
      <w:proofErr w:type="spellStart"/>
      <w:r w:rsidRPr="00154C66">
        <w:rPr>
          <w:sz w:val="24"/>
          <w:szCs w:val="24"/>
        </w:rPr>
        <w:t>loperamid</w:t>
      </w:r>
      <w:proofErr w:type="spellEnd"/>
      <w:r w:rsidRPr="00154C66">
        <w:rPr>
          <w:sz w:val="24"/>
          <w:szCs w:val="24"/>
        </w:rPr>
        <w:t xml:space="preserve">, reducerer </w:t>
      </w:r>
      <w:proofErr w:type="spellStart"/>
      <w:r w:rsidRPr="00154C66">
        <w:rPr>
          <w:sz w:val="24"/>
          <w:szCs w:val="24"/>
        </w:rPr>
        <w:t>propofol</w:t>
      </w:r>
      <w:proofErr w:type="spellEnd"/>
      <w:r w:rsidRPr="00154C66">
        <w:rPr>
          <w:sz w:val="24"/>
          <w:szCs w:val="24"/>
        </w:rPr>
        <w:t xml:space="preserve"> udskillelsen og forlænger opvågningen efter anæstesi.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4.9</w:t>
      </w:r>
      <w:r w:rsidRPr="00BD1A16">
        <w:rPr>
          <w:b/>
          <w:sz w:val="24"/>
          <w:szCs w:val="24"/>
        </w:rPr>
        <w:tab/>
        <w:t>Dosering og indgivelsesmåde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Lægemidlet er et sterilt præparat til intravenøs administration.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Omryst forsigtigt inden anvendelse.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lastRenderedPageBreak/>
        <w:t>Dosis kan variere signifikant imellem individer og bliver påvirket af en række faktorer (</w:t>
      </w:r>
      <w:r>
        <w:rPr>
          <w:sz w:val="24"/>
          <w:szCs w:val="24"/>
        </w:rPr>
        <w:t>s</w:t>
      </w:r>
      <w:r w:rsidRPr="00BD1A16">
        <w:rPr>
          <w:sz w:val="24"/>
          <w:szCs w:val="24"/>
        </w:rPr>
        <w:t>e pkt. 4.5 og pkt. 4.8</w:t>
      </w:r>
      <w:r>
        <w:rPr>
          <w:sz w:val="24"/>
          <w:szCs w:val="24"/>
        </w:rPr>
        <w:t>)</w:t>
      </w:r>
      <w:r w:rsidRPr="00BD1A16">
        <w:rPr>
          <w:sz w:val="24"/>
          <w:szCs w:val="24"/>
        </w:rPr>
        <w:t>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Især brugen af præanæstetiske </w:t>
      </w:r>
      <w:r w:rsidR="006E4ADE" w:rsidRPr="00BD1A16">
        <w:rPr>
          <w:sz w:val="24"/>
          <w:szCs w:val="24"/>
        </w:rPr>
        <w:t>lægemidler</w:t>
      </w:r>
      <w:r w:rsidRPr="00BD1A16">
        <w:rPr>
          <w:sz w:val="24"/>
          <w:szCs w:val="24"/>
        </w:rPr>
        <w:t xml:space="preserve"> (præmedicinering) kan reducere mængden af </w:t>
      </w:r>
      <w:proofErr w:type="spellStart"/>
      <w:r w:rsidRPr="00BD1A16">
        <w:rPr>
          <w:sz w:val="24"/>
          <w:szCs w:val="24"/>
        </w:rPr>
        <w:t>propofol</w:t>
      </w:r>
      <w:proofErr w:type="spellEnd"/>
      <w:r w:rsidRPr="00BD1A16">
        <w:rPr>
          <w:sz w:val="24"/>
          <w:szCs w:val="24"/>
        </w:rPr>
        <w:t xml:space="preserve"> betydeligt afhængigt af, hvilken type og dosis af præanæstetisk lægemiddel der er anvendt.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Den dosis, som skal administreres, skal bestemmes på basis af gennemsnitsdosen ved forberedelse af anæstesien. Det enkelte dyrs faktiske dosis kan være betydeligt lavere eller højere end den gennemsnitlige dosis.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6E4ADE" w:rsidRDefault="006E4AD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E122D7" w:rsidRPr="006A3494" w:rsidRDefault="00E122D7" w:rsidP="00E122D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3494">
        <w:rPr>
          <w:sz w:val="24"/>
          <w:szCs w:val="24"/>
          <w:u w:val="single"/>
        </w:rPr>
        <w:t>Induktion af anæstesi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Induktionsdosen for veterinærlægemidlet, som er præsenteret i tabellen nedenunder er baseret på data fra kontrolleret laboratorie- og feltstudier og er den gennemsnitlige mængde af lægemiddel, som er påkrævet for hunde og katte for at blive succesfuldt inducereret til anæstesi.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6E4ADE" w:rsidRPr="006E4ADE" w:rsidRDefault="006E4ADE" w:rsidP="006E4ADE">
      <w:pPr>
        <w:tabs>
          <w:tab w:val="left" w:pos="851"/>
        </w:tabs>
        <w:ind w:left="851"/>
        <w:rPr>
          <w:sz w:val="24"/>
          <w:szCs w:val="24"/>
        </w:rPr>
      </w:pPr>
      <w:r w:rsidRPr="006E4ADE">
        <w:rPr>
          <w:b/>
          <w:bCs/>
          <w:sz w:val="24"/>
          <w:szCs w:val="24"/>
        </w:rPr>
        <w:t>Den faktiske dosis som gives skal baseres og titreres på det enkelte dyrs kliniske respons</w:t>
      </w:r>
      <w:r w:rsidRPr="006E4ADE">
        <w:rPr>
          <w:sz w:val="24"/>
          <w:szCs w:val="24"/>
        </w:rPr>
        <w:t>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394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86"/>
        <w:gridCol w:w="2265"/>
      </w:tblGrid>
      <w:tr w:rsidR="00E122D7" w:rsidRPr="00BD1A16" w:rsidTr="00AB5E79">
        <w:tc>
          <w:tcPr>
            <w:tcW w:w="1869" w:type="pct"/>
            <w:shd w:val="clear" w:color="auto" w:fill="auto"/>
          </w:tcPr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</w:p>
        </w:tc>
        <w:tc>
          <w:tcPr>
            <w:tcW w:w="1638" w:type="pct"/>
          </w:tcPr>
          <w:p w:rsidR="00E122D7" w:rsidRPr="00BD1A16" w:rsidRDefault="00E122D7" w:rsidP="00AB5E79">
            <w:pPr>
              <w:ind w:left="108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 xml:space="preserve">Vejledende dosis </w:t>
            </w:r>
          </w:p>
          <w:p w:rsidR="00E122D7" w:rsidRPr="00BD1A16" w:rsidRDefault="00E122D7" w:rsidP="00AB5E79">
            <w:pPr>
              <w:ind w:left="108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mg/kg legemsvægt</w:t>
            </w:r>
          </w:p>
        </w:tc>
        <w:tc>
          <w:tcPr>
            <w:tcW w:w="1494" w:type="pct"/>
            <w:shd w:val="clear" w:color="auto" w:fill="auto"/>
          </w:tcPr>
          <w:p w:rsidR="00E122D7" w:rsidRPr="00BD1A16" w:rsidRDefault="00E122D7" w:rsidP="00AB5E79">
            <w:pPr>
              <w:ind w:left="3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D1A16">
              <w:rPr>
                <w:b/>
                <w:sz w:val="24"/>
                <w:szCs w:val="24"/>
                <w:lang w:val="en-US"/>
              </w:rPr>
              <w:t>Dosisvolumen</w:t>
            </w:r>
            <w:proofErr w:type="spellEnd"/>
            <w:r w:rsidRPr="00BD1A16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122D7" w:rsidRPr="00BD1A16" w:rsidRDefault="00E122D7" w:rsidP="00AB5E79">
            <w:pPr>
              <w:ind w:left="33"/>
              <w:rPr>
                <w:b/>
                <w:sz w:val="24"/>
                <w:szCs w:val="24"/>
                <w:lang w:val="en-US"/>
              </w:rPr>
            </w:pPr>
            <w:r w:rsidRPr="00BD1A16">
              <w:rPr>
                <w:b/>
                <w:sz w:val="24"/>
                <w:szCs w:val="24"/>
                <w:lang w:val="en-US"/>
              </w:rPr>
              <w:t xml:space="preserve">ml/kg </w:t>
            </w:r>
            <w:proofErr w:type="spellStart"/>
            <w:r w:rsidRPr="00BD1A16">
              <w:rPr>
                <w:b/>
                <w:sz w:val="24"/>
                <w:szCs w:val="24"/>
                <w:lang w:val="en-US"/>
              </w:rPr>
              <w:t>legemsvægt</w:t>
            </w:r>
            <w:proofErr w:type="spellEnd"/>
          </w:p>
        </w:tc>
      </w:tr>
      <w:tr w:rsidR="00E122D7" w:rsidRPr="00BD1A16" w:rsidTr="00AB5E79">
        <w:tc>
          <w:tcPr>
            <w:tcW w:w="1869" w:type="pct"/>
            <w:shd w:val="clear" w:color="auto" w:fill="auto"/>
          </w:tcPr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Hunde</w:t>
            </w:r>
          </w:p>
        </w:tc>
        <w:tc>
          <w:tcPr>
            <w:tcW w:w="1638" w:type="pct"/>
          </w:tcPr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</w:p>
        </w:tc>
      </w:tr>
      <w:tr w:rsidR="00E122D7" w:rsidRPr="00BD1A16" w:rsidTr="00AB5E79">
        <w:tc>
          <w:tcPr>
            <w:tcW w:w="1869" w:type="pct"/>
            <w:shd w:val="clear" w:color="auto" w:fill="auto"/>
          </w:tcPr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Ikke præmedicinerede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Præmedicinerede*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 xml:space="preserve">- </w:t>
            </w:r>
            <w:r w:rsidRPr="00BD1A16">
              <w:rPr>
                <w:b/>
                <w:sz w:val="24"/>
                <w:szCs w:val="24"/>
              </w:rPr>
              <w:sym w:font="Symbol" w:char="F061"/>
            </w:r>
            <w:r w:rsidRPr="00BD1A16">
              <w:rPr>
                <w:b/>
                <w:sz w:val="24"/>
                <w:szCs w:val="24"/>
              </w:rPr>
              <w:t>-2-agonist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D1A16">
              <w:rPr>
                <w:b/>
                <w:sz w:val="24"/>
                <w:szCs w:val="24"/>
              </w:rPr>
              <w:t>acepromazin</w:t>
            </w:r>
            <w:proofErr w:type="spellEnd"/>
          </w:p>
        </w:tc>
        <w:tc>
          <w:tcPr>
            <w:tcW w:w="1638" w:type="pct"/>
          </w:tcPr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6,5</w:t>
            </w: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3,0</w:t>
            </w: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4,5</w:t>
            </w:r>
          </w:p>
        </w:tc>
        <w:tc>
          <w:tcPr>
            <w:tcW w:w="1494" w:type="pct"/>
            <w:shd w:val="clear" w:color="auto" w:fill="auto"/>
          </w:tcPr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0,65</w:t>
            </w: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0,3</w:t>
            </w: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0,45</w:t>
            </w:r>
          </w:p>
        </w:tc>
      </w:tr>
      <w:tr w:rsidR="00E122D7" w:rsidRPr="00BD1A16" w:rsidTr="00AB5E79">
        <w:tc>
          <w:tcPr>
            <w:tcW w:w="1869" w:type="pct"/>
            <w:shd w:val="clear" w:color="auto" w:fill="auto"/>
          </w:tcPr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Katte</w:t>
            </w:r>
          </w:p>
        </w:tc>
        <w:tc>
          <w:tcPr>
            <w:tcW w:w="1638" w:type="pct"/>
          </w:tcPr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</w:p>
        </w:tc>
      </w:tr>
      <w:tr w:rsidR="00E122D7" w:rsidRPr="00BD1A16" w:rsidTr="00AB5E79">
        <w:tc>
          <w:tcPr>
            <w:tcW w:w="1869" w:type="pct"/>
            <w:shd w:val="clear" w:color="auto" w:fill="auto"/>
          </w:tcPr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Ikke præmedicinerede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>Præmedicinerede*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 xml:space="preserve">- </w:t>
            </w:r>
            <w:r w:rsidRPr="00BD1A16">
              <w:rPr>
                <w:b/>
                <w:sz w:val="24"/>
                <w:szCs w:val="24"/>
              </w:rPr>
              <w:sym w:font="Symbol" w:char="F061"/>
            </w:r>
            <w:r w:rsidRPr="00BD1A16">
              <w:rPr>
                <w:b/>
                <w:sz w:val="24"/>
                <w:szCs w:val="24"/>
              </w:rPr>
              <w:t>-2-agonist</w:t>
            </w:r>
          </w:p>
          <w:p w:rsidR="00E122D7" w:rsidRPr="00BD1A16" w:rsidRDefault="00E122D7" w:rsidP="00AB5E79">
            <w:pPr>
              <w:ind w:left="29"/>
              <w:rPr>
                <w:b/>
                <w:sz w:val="24"/>
                <w:szCs w:val="24"/>
              </w:rPr>
            </w:pPr>
            <w:r w:rsidRPr="00BD1A1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D1A16">
              <w:rPr>
                <w:b/>
                <w:sz w:val="24"/>
                <w:szCs w:val="24"/>
              </w:rPr>
              <w:t>acepromazin</w:t>
            </w:r>
            <w:proofErr w:type="spellEnd"/>
          </w:p>
        </w:tc>
        <w:tc>
          <w:tcPr>
            <w:tcW w:w="1638" w:type="pct"/>
          </w:tcPr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8,0</w:t>
            </w: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2,0</w:t>
            </w:r>
          </w:p>
          <w:p w:rsidR="00E122D7" w:rsidRPr="00BD1A16" w:rsidRDefault="00E122D7" w:rsidP="00AB5E79">
            <w:pPr>
              <w:ind w:left="108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6,0</w:t>
            </w:r>
          </w:p>
        </w:tc>
        <w:tc>
          <w:tcPr>
            <w:tcW w:w="1494" w:type="pct"/>
            <w:shd w:val="clear" w:color="auto" w:fill="auto"/>
          </w:tcPr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0,8</w:t>
            </w: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0,2</w:t>
            </w:r>
          </w:p>
          <w:p w:rsidR="00E122D7" w:rsidRPr="00BD1A16" w:rsidRDefault="00E122D7" w:rsidP="00AB5E79">
            <w:pPr>
              <w:ind w:left="33"/>
              <w:rPr>
                <w:sz w:val="24"/>
                <w:szCs w:val="24"/>
              </w:rPr>
            </w:pPr>
            <w:r w:rsidRPr="00BD1A16">
              <w:rPr>
                <w:sz w:val="24"/>
                <w:szCs w:val="24"/>
              </w:rPr>
              <w:t>0,6</w:t>
            </w:r>
          </w:p>
        </w:tc>
      </w:tr>
    </w:tbl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*Induktionsdoser signifikant lavere end den gennemsnitlige dosis kan være effektive efter præmedicinering med α-2-adrenoceptorbaseret protokol i nogle dyr.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Dosis bør forberedes baseret på dosisvolumen angivet ovenfor, beregnet ud fra legemsvægt. Dosen gives langsomt til effekt, og administreringen bør fortsætte, indtil dyrlægen vurderer, at anæstesidybden er tilstrækkelig til </w:t>
      </w:r>
      <w:proofErr w:type="spellStart"/>
      <w:r w:rsidRPr="00BD1A16">
        <w:rPr>
          <w:sz w:val="24"/>
          <w:szCs w:val="24"/>
        </w:rPr>
        <w:t>endotrakeal</w:t>
      </w:r>
      <w:proofErr w:type="spellEnd"/>
      <w:r w:rsidRPr="00BD1A16">
        <w:rPr>
          <w:sz w:val="24"/>
          <w:szCs w:val="24"/>
        </w:rPr>
        <w:t xml:space="preserve"> </w:t>
      </w:r>
      <w:proofErr w:type="spellStart"/>
      <w:r w:rsidRPr="00BD1A16">
        <w:rPr>
          <w:sz w:val="24"/>
          <w:szCs w:val="24"/>
        </w:rPr>
        <w:t>intubering</w:t>
      </w:r>
      <w:proofErr w:type="spellEnd"/>
      <w:r w:rsidRPr="00BD1A16">
        <w:rPr>
          <w:sz w:val="24"/>
          <w:szCs w:val="24"/>
        </w:rPr>
        <w:t xml:space="preserve">.  Vejledende bør produktet indgives over en periode på 10-40 sekunder.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6A3494" w:rsidRDefault="00E122D7" w:rsidP="00E122D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3494">
        <w:rPr>
          <w:sz w:val="24"/>
          <w:szCs w:val="24"/>
          <w:u w:val="single"/>
        </w:rPr>
        <w:t xml:space="preserve">Vedligeholdelse af </w:t>
      </w:r>
      <w:proofErr w:type="spellStart"/>
      <w:r w:rsidRPr="006A3494">
        <w:rPr>
          <w:sz w:val="24"/>
          <w:szCs w:val="24"/>
          <w:u w:val="single"/>
        </w:rPr>
        <w:t>propofolanæstesi</w:t>
      </w:r>
      <w:proofErr w:type="spellEnd"/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Når anæstesien vedligeholdes ved titrering af lægemidlet, vil dosis og varighed af effekten variere fra dyr til dyr.  Titreringsdosen, der kræves for at vedligeholde anæstesien, er ofte lavere i præmedicinerede dyr i forhold til ikke-præmedicinerede dyr.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En titreringsdosis på cirka 0,15 ml/kg (1,5 mg/kg legemsvægt) til hunde og ca. 0,2 ml/kg (2,0 mg/kg legemsvægt) til katte kan gives, når anæstesien bliver for overfladisk. Denne dosis kan gentages efter behov med 20-30 sekunder imellem hver dosis for at vurdere effekten. Hver titreringsdosis bør indgives langsomt til effekt. 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Vedvarende og langvarig eksponering (mere end 30 min.) kan medføre langsommere opvågning, især hos katte.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6A3494" w:rsidRDefault="00E122D7" w:rsidP="00E122D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3494">
        <w:rPr>
          <w:sz w:val="24"/>
          <w:szCs w:val="24"/>
          <w:u w:val="single"/>
        </w:rPr>
        <w:lastRenderedPageBreak/>
        <w:t>Vedligeholdelse af anæstesien med inhalation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Når der anvendes inhalationslægemidler til at vedligeholde generel anæstesi, kan det være nødvendigt at bruge en højere indledende koncentration af </w:t>
      </w:r>
      <w:proofErr w:type="spellStart"/>
      <w:r w:rsidRPr="00BD1A16">
        <w:rPr>
          <w:sz w:val="24"/>
          <w:szCs w:val="24"/>
        </w:rPr>
        <w:t>inhalationsanæstetikummet</w:t>
      </w:r>
      <w:proofErr w:type="spellEnd"/>
      <w:r w:rsidRPr="00BD1A16">
        <w:rPr>
          <w:sz w:val="24"/>
          <w:szCs w:val="24"/>
        </w:rPr>
        <w:t>, end der normalt behøves efter barbiturater.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Se også pkt. 4.5.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4.10</w:t>
      </w:r>
      <w:r w:rsidRPr="00BD1A16">
        <w:rPr>
          <w:b/>
          <w:sz w:val="24"/>
          <w:szCs w:val="24"/>
        </w:rPr>
        <w:tab/>
        <w:t>Overdosering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 xml:space="preserve">Utilsigtet overdosering vil sandsynligvis medføre </w:t>
      </w:r>
      <w:proofErr w:type="spellStart"/>
      <w:r w:rsidRPr="00BD1A16">
        <w:rPr>
          <w:sz w:val="24"/>
          <w:szCs w:val="24"/>
        </w:rPr>
        <w:t>kardiorespiratorisk</w:t>
      </w:r>
      <w:proofErr w:type="spellEnd"/>
      <w:r w:rsidRPr="00BD1A16">
        <w:rPr>
          <w:sz w:val="24"/>
          <w:szCs w:val="24"/>
        </w:rPr>
        <w:t xml:space="preserve"> depression. I tilfælde af </w:t>
      </w:r>
      <w:proofErr w:type="spellStart"/>
      <w:r w:rsidRPr="00BD1A16">
        <w:rPr>
          <w:sz w:val="24"/>
          <w:szCs w:val="24"/>
        </w:rPr>
        <w:t>kardiorespiratorisk</w:t>
      </w:r>
      <w:proofErr w:type="spellEnd"/>
      <w:r w:rsidRPr="00BD1A16">
        <w:rPr>
          <w:sz w:val="24"/>
          <w:szCs w:val="24"/>
        </w:rPr>
        <w:t xml:space="preserve"> depression skal der sikres frie luftveje, og der skal påbegyndes assisteret eller kontrolleret ventilation med ilt samt behandles med lægemidler, som modvirker blodtryksfald, og intravenøs væske for at støtte den </w:t>
      </w:r>
      <w:proofErr w:type="spellStart"/>
      <w:r w:rsidRPr="00BD1A16">
        <w:rPr>
          <w:sz w:val="24"/>
          <w:szCs w:val="24"/>
        </w:rPr>
        <w:t>kardiovaskulære</w:t>
      </w:r>
      <w:proofErr w:type="spellEnd"/>
      <w:r w:rsidRPr="00BD1A16">
        <w:rPr>
          <w:sz w:val="24"/>
          <w:szCs w:val="24"/>
        </w:rPr>
        <w:t xml:space="preserve"> funktion.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4.11</w:t>
      </w:r>
      <w:r w:rsidRPr="00BD1A16">
        <w:rPr>
          <w:b/>
          <w:sz w:val="24"/>
          <w:szCs w:val="24"/>
        </w:rPr>
        <w:tab/>
        <w:t>Tilbageholdelsestid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D1A16">
        <w:rPr>
          <w:sz w:val="24"/>
          <w:szCs w:val="24"/>
        </w:rPr>
        <w:t>Ikke relevant.</w:t>
      </w:r>
    </w:p>
    <w:p w:rsidR="00E122D7" w:rsidRPr="00BD1A16" w:rsidRDefault="00E122D7" w:rsidP="00E122D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5.</w:t>
      </w:r>
      <w:r w:rsidRPr="00BD1A16">
        <w:rPr>
          <w:b/>
          <w:sz w:val="24"/>
          <w:szCs w:val="24"/>
        </w:rPr>
        <w:tab/>
        <w:t>FARMAKOLOGISKE EGENSKABER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9C45B8" w:rsidRDefault="00E122D7" w:rsidP="00E122D7">
      <w:pPr>
        <w:tabs>
          <w:tab w:val="left" w:pos="851"/>
        </w:tabs>
        <w:ind w:left="851"/>
        <w:rPr>
          <w:rFonts w:ascii="TimesNewRoman,Italic" w:hAnsi="TimesNewRoman,Italic"/>
          <w:sz w:val="24"/>
          <w:szCs w:val="24"/>
        </w:rPr>
      </w:pPr>
      <w:proofErr w:type="spellStart"/>
      <w:r w:rsidRPr="009C45B8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9C45B8">
        <w:rPr>
          <w:rFonts w:ascii="TimesNewRoman,Italic" w:hAnsi="TimesNewRoman,Italic"/>
          <w:sz w:val="24"/>
          <w:szCs w:val="24"/>
        </w:rPr>
        <w:t xml:space="preserve"> gruppe: </w:t>
      </w:r>
      <w:proofErr w:type="spellStart"/>
      <w:r w:rsidRPr="009C45B8">
        <w:rPr>
          <w:rFonts w:ascii="TimesNewRoman,Italic" w:hAnsi="TimesNewRoman,Italic"/>
          <w:sz w:val="24"/>
          <w:szCs w:val="24"/>
        </w:rPr>
        <w:t>Anæstetika</w:t>
      </w:r>
      <w:proofErr w:type="spellEnd"/>
      <w:r w:rsidRPr="009C45B8">
        <w:rPr>
          <w:rFonts w:ascii="TimesNewRoman,Italic" w:hAnsi="TimesNewRoman,Italic"/>
          <w:sz w:val="24"/>
          <w:szCs w:val="24"/>
        </w:rPr>
        <w:t xml:space="preserve">, </w:t>
      </w:r>
      <w:r w:rsidR="006E4ADE">
        <w:rPr>
          <w:rFonts w:ascii="TimesNewRoman,Italic" w:hAnsi="TimesNewRoman,Italic"/>
          <w:sz w:val="24"/>
          <w:szCs w:val="24"/>
        </w:rPr>
        <w:t xml:space="preserve">andre </w:t>
      </w:r>
      <w:r w:rsidRPr="009C45B8">
        <w:rPr>
          <w:rFonts w:ascii="TimesNewRoman,Italic" w:hAnsi="TimesNewRoman,Italic"/>
          <w:sz w:val="24"/>
          <w:szCs w:val="24"/>
        </w:rPr>
        <w:t>generelle</w:t>
      </w:r>
      <w:r w:rsidR="006E4ADE">
        <w:rPr>
          <w:rFonts w:ascii="TimesNewRoman,Italic" w:hAnsi="TimesNewRoman,Italic"/>
          <w:sz w:val="24"/>
          <w:szCs w:val="24"/>
        </w:rPr>
        <w:t xml:space="preserve"> </w:t>
      </w:r>
      <w:proofErr w:type="spellStart"/>
      <w:r w:rsidR="006E4ADE">
        <w:rPr>
          <w:rFonts w:ascii="TimesNewRoman,Italic" w:hAnsi="TimesNewRoman,Italic"/>
          <w:sz w:val="24"/>
          <w:szCs w:val="24"/>
        </w:rPr>
        <w:t>anæstetika</w:t>
      </w:r>
      <w:proofErr w:type="spellEnd"/>
      <w:r w:rsidRPr="009C45B8">
        <w:rPr>
          <w:rFonts w:ascii="TimesNewRoman,Italic" w:hAnsi="TimesNewRoman,Italic"/>
          <w:sz w:val="24"/>
          <w:szCs w:val="24"/>
        </w:rPr>
        <w:t>.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C45B8">
        <w:rPr>
          <w:rFonts w:ascii="TimesNewRoman,Italic" w:hAnsi="TimesNewRoman,Italic"/>
          <w:sz w:val="24"/>
          <w:szCs w:val="24"/>
        </w:rPr>
        <w:t>ATCvet</w:t>
      </w:r>
      <w:proofErr w:type="spellEnd"/>
      <w:r w:rsidRPr="009C45B8">
        <w:rPr>
          <w:rFonts w:ascii="TimesNewRoman,Italic" w:hAnsi="TimesNewRoman,Italic"/>
          <w:sz w:val="24"/>
          <w:szCs w:val="24"/>
        </w:rPr>
        <w:t xml:space="preserve">-kode: </w:t>
      </w:r>
      <w:r w:rsidRPr="009C45B8">
        <w:rPr>
          <w:sz w:val="24"/>
          <w:szCs w:val="24"/>
        </w:rPr>
        <w:t>QN</w:t>
      </w:r>
      <w:r>
        <w:rPr>
          <w:sz w:val="24"/>
          <w:szCs w:val="24"/>
        </w:rPr>
        <w:t xml:space="preserve"> </w:t>
      </w:r>
      <w:r w:rsidRPr="009C45B8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9C45B8">
        <w:rPr>
          <w:sz w:val="24"/>
          <w:szCs w:val="24"/>
        </w:rPr>
        <w:t>AX</w:t>
      </w:r>
      <w:r>
        <w:rPr>
          <w:sz w:val="24"/>
          <w:szCs w:val="24"/>
        </w:rPr>
        <w:t xml:space="preserve"> </w:t>
      </w:r>
      <w:r w:rsidRPr="009C45B8">
        <w:rPr>
          <w:sz w:val="24"/>
          <w:szCs w:val="24"/>
        </w:rPr>
        <w:t>10.</w:t>
      </w:r>
    </w:p>
    <w:p w:rsidR="00E122D7" w:rsidRPr="00BD1A16" w:rsidRDefault="00E122D7" w:rsidP="00E122D7">
      <w:pPr>
        <w:tabs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5.1</w:t>
      </w:r>
      <w:r w:rsidRPr="00BD1A16">
        <w:rPr>
          <w:b/>
          <w:sz w:val="24"/>
          <w:szCs w:val="24"/>
        </w:rPr>
        <w:tab/>
      </w:r>
      <w:proofErr w:type="spellStart"/>
      <w:r w:rsidRPr="00BD1A16">
        <w:rPr>
          <w:b/>
          <w:sz w:val="24"/>
          <w:szCs w:val="24"/>
        </w:rPr>
        <w:t>Farmakodynamiske</w:t>
      </w:r>
      <w:proofErr w:type="spellEnd"/>
      <w:r w:rsidRPr="00BD1A16">
        <w:rPr>
          <w:b/>
          <w:sz w:val="24"/>
          <w:szCs w:val="24"/>
        </w:rPr>
        <w:t xml:space="preserve"> egenskaber</w:t>
      </w:r>
    </w:p>
    <w:p w:rsidR="00E122D7" w:rsidRPr="00BD5EA9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 w:rsidRPr="00BD5EA9">
        <w:rPr>
          <w:sz w:val="24"/>
          <w:szCs w:val="24"/>
        </w:rPr>
        <w:t>Propofol</w:t>
      </w:r>
      <w:proofErr w:type="spellEnd"/>
      <w:r w:rsidRPr="00BD5EA9">
        <w:rPr>
          <w:sz w:val="24"/>
          <w:szCs w:val="24"/>
        </w:rPr>
        <w:t xml:space="preserve"> er et kortvirkende intravenøs universelt </w:t>
      </w:r>
      <w:proofErr w:type="spellStart"/>
      <w:r w:rsidRPr="00BD5EA9">
        <w:rPr>
          <w:sz w:val="24"/>
          <w:szCs w:val="24"/>
        </w:rPr>
        <w:t>anæstetikum</w:t>
      </w:r>
      <w:proofErr w:type="spellEnd"/>
      <w:r w:rsidRPr="00BD5EA9">
        <w:rPr>
          <w:sz w:val="24"/>
          <w:szCs w:val="24"/>
        </w:rPr>
        <w:t xml:space="preserve"> karakteriseret ved hurtigt indsættende effekt, kort varighed af anæstesien og en hurtig opvågning. </w:t>
      </w:r>
      <w:proofErr w:type="spellStart"/>
      <w:r w:rsidRPr="00BD5EA9">
        <w:rPr>
          <w:sz w:val="24"/>
          <w:szCs w:val="24"/>
        </w:rPr>
        <w:t>Propofol</w:t>
      </w:r>
      <w:proofErr w:type="spellEnd"/>
      <w:r w:rsidRPr="00BD5EA9">
        <w:rPr>
          <w:sz w:val="24"/>
          <w:szCs w:val="24"/>
        </w:rPr>
        <w:t xml:space="preserve"> frembringer bevidstløshed ved at hæmme centralnervesystemet. </w:t>
      </w:r>
    </w:p>
    <w:p w:rsidR="00E122D7" w:rsidRPr="00BD5EA9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BD5EA9">
        <w:rPr>
          <w:sz w:val="24"/>
          <w:szCs w:val="24"/>
        </w:rPr>
        <w:t xml:space="preserve">Den hæmmende effekt af </w:t>
      </w:r>
      <w:proofErr w:type="spellStart"/>
      <w:r w:rsidRPr="00BD5EA9">
        <w:rPr>
          <w:sz w:val="24"/>
          <w:szCs w:val="24"/>
        </w:rPr>
        <w:t>propofol</w:t>
      </w:r>
      <w:proofErr w:type="spellEnd"/>
      <w:r w:rsidRPr="00BD5EA9">
        <w:rPr>
          <w:sz w:val="24"/>
          <w:szCs w:val="24"/>
        </w:rPr>
        <w:t xml:space="preserve"> er hovedsageligt medieret ved potensering af </w:t>
      </w:r>
      <w:proofErr w:type="spellStart"/>
      <w:r w:rsidRPr="00BD5EA9">
        <w:rPr>
          <w:sz w:val="24"/>
          <w:szCs w:val="24"/>
        </w:rPr>
        <w:t>postsynaptiske</w:t>
      </w:r>
      <w:proofErr w:type="spellEnd"/>
      <w:r w:rsidRPr="00BD5EA9">
        <w:rPr>
          <w:sz w:val="24"/>
          <w:szCs w:val="24"/>
        </w:rPr>
        <w:t xml:space="preserve"> </w:t>
      </w:r>
      <w:proofErr w:type="gramStart"/>
      <w:r w:rsidRPr="00BD5EA9">
        <w:rPr>
          <w:sz w:val="24"/>
          <w:szCs w:val="24"/>
        </w:rPr>
        <w:t>GABA</w:t>
      </w:r>
      <w:r w:rsidRPr="00BD5EA9">
        <w:rPr>
          <w:sz w:val="24"/>
          <w:szCs w:val="24"/>
          <w:vertAlign w:val="subscript"/>
        </w:rPr>
        <w:t>A</w:t>
      </w:r>
      <w:r w:rsidRPr="00BD5EA9">
        <w:rPr>
          <w:sz w:val="24"/>
          <w:szCs w:val="24"/>
        </w:rPr>
        <w:t xml:space="preserve"> receptorer</w:t>
      </w:r>
      <w:proofErr w:type="gramEnd"/>
      <w:r w:rsidRPr="00BD5EA9">
        <w:rPr>
          <w:sz w:val="24"/>
          <w:szCs w:val="24"/>
        </w:rPr>
        <w:t xml:space="preserve"> i centralnervesystemet. Det </w:t>
      </w:r>
      <w:proofErr w:type="spellStart"/>
      <w:r w:rsidRPr="00BD5EA9">
        <w:rPr>
          <w:sz w:val="24"/>
          <w:szCs w:val="24"/>
        </w:rPr>
        <w:t>glutamigene</w:t>
      </w:r>
      <w:proofErr w:type="spellEnd"/>
      <w:r w:rsidRPr="00BD5EA9">
        <w:rPr>
          <w:sz w:val="24"/>
          <w:szCs w:val="24"/>
        </w:rPr>
        <w:t xml:space="preserve"> og </w:t>
      </w:r>
      <w:proofErr w:type="spellStart"/>
      <w:r w:rsidRPr="00BD5EA9">
        <w:rPr>
          <w:sz w:val="24"/>
          <w:szCs w:val="24"/>
        </w:rPr>
        <w:t>noradrenogene</w:t>
      </w:r>
      <w:proofErr w:type="spellEnd"/>
      <w:r w:rsidRPr="00BD5EA9">
        <w:rPr>
          <w:sz w:val="24"/>
          <w:szCs w:val="24"/>
        </w:rPr>
        <w:t xml:space="preserve"> neurotransmittersystem antages også at have en rolle i at mediere </w:t>
      </w:r>
      <w:proofErr w:type="spellStart"/>
      <w:r w:rsidRPr="00BD5EA9">
        <w:rPr>
          <w:sz w:val="24"/>
          <w:szCs w:val="24"/>
        </w:rPr>
        <w:t>propofols</w:t>
      </w:r>
      <w:proofErr w:type="spellEnd"/>
      <w:r w:rsidRPr="00BD5EA9">
        <w:rPr>
          <w:sz w:val="24"/>
          <w:szCs w:val="24"/>
        </w:rPr>
        <w:t xml:space="preserve"> effekt.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5.2</w:t>
      </w:r>
      <w:r w:rsidRPr="00BD1A16">
        <w:rPr>
          <w:b/>
          <w:sz w:val="24"/>
          <w:szCs w:val="24"/>
        </w:rPr>
        <w:tab/>
      </w:r>
      <w:proofErr w:type="spellStart"/>
      <w:r w:rsidRPr="00BD1A16">
        <w:rPr>
          <w:b/>
          <w:sz w:val="24"/>
          <w:szCs w:val="24"/>
        </w:rPr>
        <w:t>Farmakokinetiske</w:t>
      </w:r>
      <w:proofErr w:type="spellEnd"/>
      <w:r w:rsidRPr="00BD1A16">
        <w:rPr>
          <w:b/>
          <w:sz w:val="24"/>
          <w:szCs w:val="24"/>
        </w:rPr>
        <w:t xml:space="preserve"> egenskaber</w:t>
      </w:r>
    </w:p>
    <w:p w:rsidR="00E122D7" w:rsidRPr="008A1894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8A1894">
        <w:rPr>
          <w:sz w:val="24"/>
          <w:szCs w:val="24"/>
        </w:rPr>
        <w:t xml:space="preserve">Koncentrationen af </w:t>
      </w:r>
      <w:proofErr w:type="spellStart"/>
      <w:r w:rsidRPr="008A1894">
        <w:rPr>
          <w:sz w:val="24"/>
          <w:szCs w:val="24"/>
        </w:rPr>
        <w:t>propofol</w:t>
      </w:r>
      <w:proofErr w:type="spellEnd"/>
      <w:r w:rsidRPr="008A1894">
        <w:rPr>
          <w:sz w:val="24"/>
          <w:szCs w:val="24"/>
        </w:rPr>
        <w:t xml:space="preserve"> i blodet viser et </w:t>
      </w:r>
      <w:proofErr w:type="spellStart"/>
      <w:r w:rsidRPr="008A1894">
        <w:rPr>
          <w:sz w:val="24"/>
          <w:szCs w:val="24"/>
        </w:rPr>
        <w:t>tri</w:t>
      </w:r>
      <w:proofErr w:type="spellEnd"/>
      <w:r w:rsidRPr="008A1894">
        <w:rPr>
          <w:sz w:val="24"/>
          <w:szCs w:val="24"/>
        </w:rPr>
        <w:t xml:space="preserve">-eksponentielt fald i både hunde og katte. Dette afspejler sandsynligvis hurtig fordeling af </w:t>
      </w:r>
      <w:proofErr w:type="spellStart"/>
      <w:r w:rsidRPr="008A1894">
        <w:rPr>
          <w:sz w:val="24"/>
          <w:szCs w:val="24"/>
        </w:rPr>
        <w:t>propofol</w:t>
      </w:r>
      <w:proofErr w:type="spellEnd"/>
      <w:r w:rsidRPr="008A1894">
        <w:rPr>
          <w:sz w:val="24"/>
          <w:szCs w:val="24"/>
        </w:rPr>
        <w:t xml:space="preserve"> fra blodet og hjernen til mindre vel-</w:t>
      </w:r>
      <w:proofErr w:type="spellStart"/>
      <w:r w:rsidRPr="008A1894">
        <w:rPr>
          <w:sz w:val="24"/>
          <w:szCs w:val="24"/>
        </w:rPr>
        <w:t>vaskulariseret</w:t>
      </w:r>
      <w:proofErr w:type="spellEnd"/>
      <w:r w:rsidRPr="008A1894">
        <w:rPr>
          <w:sz w:val="24"/>
          <w:szCs w:val="24"/>
        </w:rPr>
        <w:t xml:space="preserve"> væv, hurtig metabolisk udskillelse og langsommere omfordeling fra dårligt </w:t>
      </w:r>
      <w:proofErr w:type="spellStart"/>
      <w:r w:rsidRPr="008A1894">
        <w:rPr>
          <w:sz w:val="24"/>
          <w:szCs w:val="24"/>
        </w:rPr>
        <w:t>vaskulariseret</w:t>
      </w:r>
      <w:proofErr w:type="spellEnd"/>
      <w:r w:rsidRPr="008A1894">
        <w:rPr>
          <w:sz w:val="24"/>
          <w:szCs w:val="24"/>
        </w:rPr>
        <w:t xml:space="preserve"> væv til blodet. Det er den første fase (t</w:t>
      </w:r>
      <w:r w:rsidRPr="008A1894">
        <w:rPr>
          <w:sz w:val="24"/>
          <w:szCs w:val="24"/>
          <w:vertAlign w:val="subscript"/>
        </w:rPr>
        <w:t>1/2, alfa</w:t>
      </w:r>
      <w:r w:rsidRPr="008A1894">
        <w:rPr>
          <w:sz w:val="24"/>
          <w:szCs w:val="24"/>
        </w:rPr>
        <w:t xml:space="preserve"> ca. 10 minutter), som er klinisk relevant, siden dyrene vågner efter den indledende omfordeling af </w:t>
      </w:r>
      <w:proofErr w:type="spellStart"/>
      <w:r w:rsidRPr="008A1894">
        <w:rPr>
          <w:sz w:val="24"/>
          <w:szCs w:val="24"/>
        </w:rPr>
        <w:t>propofol</w:t>
      </w:r>
      <w:proofErr w:type="spellEnd"/>
      <w:r w:rsidRPr="008A1894">
        <w:rPr>
          <w:sz w:val="24"/>
          <w:szCs w:val="24"/>
        </w:rPr>
        <w:t xml:space="preserve"> fra hjernen. Udskillelsen af stoffet er høj i hunde (58,6 ml/kg/min) og lavere i katte (8,6 ml/kg/min), muligvis grundet i forskellig metabolisme imellem arterne. </w:t>
      </w:r>
    </w:p>
    <w:p w:rsidR="00E122D7" w:rsidRPr="008A1894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8A1894">
        <w:rPr>
          <w:sz w:val="24"/>
          <w:szCs w:val="24"/>
        </w:rPr>
        <w:t xml:space="preserve">I hunde er udskillelsen højere end leverens blodgennemstrømning, hvilket indiker, at </w:t>
      </w:r>
      <w:proofErr w:type="spellStart"/>
      <w:r w:rsidRPr="008A1894">
        <w:rPr>
          <w:sz w:val="24"/>
          <w:szCs w:val="24"/>
        </w:rPr>
        <w:t>metabolisering</w:t>
      </w:r>
      <w:proofErr w:type="spellEnd"/>
      <w:r w:rsidRPr="008A1894">
        <w:rPr>
          <w:sz w:val="24"/>
          <w:szCs w:val="24"/>
        </w:rPr>
        <w:t xml:space="preserve"> finder sted andre steder foruden i leveren. Fordelingsvolumen er høj i både hunde (4,91/kg) og katte (8,41/kg).</w:t>
      </w:r>
    </w:p>
    <w:p w:rsidR="00E122D7" w:rsidRPr="008A1894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 w:rsidRPr="008A1894">
        <w:rPr>
          <w:sz w:val="24"/>
          <w:szCs w:val="24"/>
        </w:rPr>
        <w:t xml:space="preserve">Den vigtigste metode til eliminering er gennem </w:t>
      </w:r>
      <w:proofErr w:type="spellStart"/>
      <w:r w:rsidRPr="008A1894">
        <w:rPr>
          <w:sz w:val="24"/>
          <w:szCs w:val="24"/>
        </w:rPr>
        <w:t>renal</w:t>
      </w:r>
      <w:proofErr w:type="spellEnd"/>
      <w:r w:rsidRPr="008A1894">
        <w:rPr>
          <w:sz w:val="24"/>
          <w:szCs w:val="24"/>
        </w:rPr>
        <w:t xml:space="preserve"> udskillelse af </w:t>
      </w:r>
      <w:proofErr w:type="spellStart"/>
      <w:r w:rsidRPr="008A1894">
        <w:rPr>
          <w:sz w:val="24"/>
          <w:szCs w:val="24"/>
        </w:rPr>
        <w:t>propofolmetabolitter</w:t>
      </w:r>
      <w:proofErr w:type="spellEnd"/>
      <w:r w:rsidRPr="008A1894">
        <w:rPr>
          <w:sz w:val="24"/>
          <w:szCs w:val="24"/>
        </w:rPr>
        <w:t>.</w:t>
      </w:r>
    </w:p>
    <w:p w:rsidR="00E122D7" w:rsidRDefault="00E122D7" w:rsidP="00E122D7">
      <w:pPr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</w:t>
      </w:r>
      <w:r w:rsidRPr="00BD1A16">
        <w:rPr>
          <w:b/>
          <w:sz w:val="24"/>
          <w:szCs w:val="24"/>
        </w:rPr>
        <w:tab/>
        <w:t>FARMACEUTISKE OPLYSNINGER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6.1</w:t>
      </w:r>
      <w:r w:rsidRPr="00BD1A16">
        <w:rPr>
          <w:b/>
          <w:sz w:val="24"/>
          <w:szCs w:val="24"/>
        </w:rPr>
        <w:tab/>
        <w:t>Hjælpestoffer</w:t>
      </w:r>
    </w:p>
    <w:p w:rsidR="00E122D7" w:rsidRPr="001A29E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1A29E7">
        <w:rPr>
          <w:sz w:val="24"/>
          <w:szCs w:val="24"/>
        </w:rPr>
        <w:t>Fosfolipider fra æg</w:t>
      </w:r>
    </w:p>
    <w:p w:rsidR="00E122D7" w:rsidRPr="001A29E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1A29E7">
        <w:rPr>
          <w:sz w:val="24"/>
          <w:szCs w:val="24"/>
        </w:rPr>
        <w:t>Glycerol</w:t>
      </w:r>
    </w:p>
    <w:p w:rsidR="00E122D7" w:rsidRPr="001A29E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1A29E7">
        <w:rPr>
          <w:sz w:val="24"/>
          <w:szCs w:val="24"/>
        </w:rPr>
        <w:t>Sojaolie, renset</w:t>
      </w:r>
    </w:p>
    <w:p w:rsidR="00E122D7" w:rsidRPr="001A29E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1A29E7">
        <w:rPr>
          <w:sz w:val="24"/>
          <w:szCs w:val="24"/>
        </w:rPr>
        <w:t>Natriumhydroxid (</w:t>
      </w:r>
      <w:r w:rsidR="006E4ADE">
        <w:rPr>
          <w:sz w:val="24"/>
          <w:szCs w:val="24"/>
        </w:rPr>
        <w:t>t</w:t>
      </w:r>
      <w:r w:rsidRPr="001A29E7">
        <w:rPr>
          <w:sz w:val="24"/>
          <w:szCs w:val="24"/>
        </w:rPr>
        <w:t>il pH regulering)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1A29E7">
        <w:rPr>
          <w:sz w:val="24"/>
          <w:szCs w:val="24"/>
        </w:rPr>
        <w:t>Vand til injektionsvæsker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6.2</w:t>
      </w:r>
      <w:r w:rsidRPr="00BD1A16">
        <w:rPr>
          <w:b/>
          <w:sz w:val="24"/>
          <w:szCs w:val="24"/>
        </w:rPr>
        <w:tab/>
        <w:t>Uforligeligheder</w:t>
      </w: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3A067B">
        <w:rPr>
          <w:sz w:val="24"/>
          <w:szCs w:val="24"/>
        </w:rPr>
        <w:t xml:space="preserve">Må ikke blandes med lægemidler til dyr undtaget </w:t>
      </w:r>
      <w:r>
        <w:rPr>
          <w:sz w:val="24"/>
          <w:szCs w:val="24"/>
        </w:rPr>
        <w:t>glu</w:t>
      </w:r>
      <w:r w:rsidR="006E4ADE">
        <w:rPr>
          <w:sz w:val="24"/>
          <w:szCs w:val="24"/>
        </w:rPr>
        <w:t>k</w:t>
      </w:r>
      <w:r w:rsidRPr="003A067B">
        <w:rPr>
          <w:sz w:val="24"/>
          <w:szCs w:val="24"/>
        </w:rPr>
        <w:t xml:space="preserve">oseopløsning til infusion </w:t>
      </w:r>
      <w:r>
        <w:rPr>
          <w:sz w:val="24"/>
          <w:szCs w:val="24"/>
        </w:rPr>
        <w:t>samt</w:t>
      </w:r>
      <w:r w:rsidRPr="003A067B">
        <w:rPr>
          <w:sz w:val="24"/>
          <w:szCs w:val="24"/>
        </w:rPr>
        <w:t xml:space="preserve"> fysiologisk saltvandsopløsning.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E4ADE" w:rsidRDefault="006E4A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6.3</w:t>
      </w:r>
      <w:r w:rsidRPr="00BD1A16">
        <w:rPr>
          <w:b/>
          <w:sz w:val="24"/>
          <w:szCs w:val="24"/>
        </w:rPr>
        <w:tab/>
        <w:t>Opbevaringstid</w:t>
      </w:r>
    </w:p>
    <w:p w:rsidR="00E122D7" w:rsidRPr="009E7FE4" w:rsidRDefault="00E122D7" w:rsidP="00E122D7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>I</w:t>
      </w:r>
      <w:r w:rsidRPr="009E7FE4">
        <w:rPr>
          <w:sz w:val="24"/>
          <w:szCs w:val="24"/>
        </w:rPr>
        <w:t xml:space="preserve"> salgspakning: 2 år.</w:t>
      </w:r>
    </w:p>
    <w:p w:rsidR="00E122D7" w:rsidRPr="00BD1A16" w:rsidRDefault="00E122D7" w:rsidP="00E122D7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>E</w:t>
      </w:r>
      <w:r w:rsidRPr="009E7FE4">
        <w:rPr>
          <w:sz w:val="24"/>
          <w:szCs w:val="24"/>
        </w:rPr>
        <w:t>fter første åbning af den indre emballage:</w:t>
      </w:r>
      <w:r>
        <w:rPr>
          <w:sz w:val="24"/>
          <w:szCs w:val="24"/>
        </w:rPr>
        <w:t xml:space="preserve"> A</w:t>
      </w:r>
      <w:r w:rsidRPr="009E7FE4">
        <w:rPr>
          <w:sz w:val="24"/>
          <w:szCs w:val="24"/>
        </w:rPr>
        <w:t>nvendes straks.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6.4</w:t>
      </w:r>
      <w:r w:rsidRPr="00BD1A16">
        <w:rPr>
          <w:b/>
          <w:sz w:val="24"/>
          <w:szCs w:val="24"/>
        </w:rPr>
        <w:tab/>
        <w:t>Særlige opbevaringsforhold</w:t>
      </w:r>
    </w:p>
    <w:p w:rsidR="00E122D7" w:rsidRPr="0052469F" w:rsidRDefault="00E122D7" w:rsidP="00E122D7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52469F">
        <w:rPr>
          <w:noProof/>
          <w:sz w:val="24"/>
          <w:szCs w:val="24"/>
        </w:rPr>
        <w:t>Må ikke nedfryses.</w:t>
      </w:r>
    </w:p>
    <w:p w:rsidR="00E122D7" w:rsidRDefault="00E122D7" w:rsidP="00E122D7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6E4ADE" w:rsidRPr="006E4ADE" w:rsidRDefault="006E4ADE" w:rsidP="006E4ADE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6E4ADE">
        <w:rPr>
          <w:noProof/>
          <w:sz w:val="24"/>
          <w:szCs w:val="24"/>
        </w:rPr>
        <w:t>Lægemidlet skal anvendes straks efter åbning af hætteglasset.</w:t>
      </w:r>
    </w:p>
    <w:p w:rsidR="00E122D7" w:rsidRPr="00BD1A16" w:rsidRDefault="00E122D7" w:rsidP="00E122D7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52469F">
        <w:rPr>
          <w:noProof/>
          <w:sz w:val="24"/>
          <w:szCs w:val="24"/>
        </w:rPr>
        <w:t>Rester af lægemidlet i hætteglasset skal kasseres.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6.5</w:t>
      </w:r>
      <w:r w:rsidRPr="00BD1A16">
        <w:rPr>
          <w:b/>
          <w:sz w:val="24"/>
          <w:szCs w:val="24"/>
        </w:rPr>
        <w:tab/>
        <w:t>Emballage</w:t>
      </w:r>
    </w:p>
    <w:p w:rsidR="00E122D7" w:rsidRPr="00B471B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proofErr w:type="gramStart"/>
      <w:r w:rsidRPr="00B471B7">
        <w:rPr>
          <w:sz w:val="24"/>
          <w:szCs w:val="24"/>
        </w:rPr>
        <w:t>Farveløs</w:t>
      </w:r>
      <w:r>
        <w:rPr>
          <w:sz w:val="24"/>
          <w:szCs w:val="24"/>
        </w:rPr>
        <w:t>t</w:t>
      </w:r>
      <w:r w:rsidRPr="00B471B7">
        <w:rPr>
          <w:sz w:val="24"/>
          <w:szCs w:val="24"/>
        </w:rPr>
        <w:t xml:space="preserve"> type</w:t>
      </w:r>
      <w:proofErr w:type="gramEnd"/>
      <w:r w:rsidRPr="00B471B7">
        <w:rPr>
          <w:sz w:val="24"/>
          <w:szCs w:val="24"/>
        </w:rPr>
        <w:t xml:space="preserve"> I-hætteglas forseglet med </w:t>
      </w:r>
      <w:proofErr w:type="spellStart"/>
      <w:r w:rsidRPr="00B471B7">
        <w:rPr>
          <w:sz w:val="24"/>
          <w:szCs w:val="24"/>
        </w:rPr>
        <w:t>silikoniseret</w:t>
      </w:r>
      <w:proofErr w:type="spellEnd"/>
      <w:r w:rsidRPr="00B471B7">
        <w:rPr>
          <w:sz w:val="24"/>
          <w:szCs w:val="24"/>
        </w:rPr>
        <w:t xml:space="preserve"> </w:t>
      </w:r>
      <w:proofErr w:type="spellStart"/>
      <w:r w:rsidRPr="00B471B7">
        <w:rPr>
          <w:sz w:val="24"/>
          <w:szCs w:val="24"/>
        </w:rPr>
        <w:t>bromobutylgummiprop</w:t>
      </w:r>
      <w:proofErr w:type="spellEnd"/>
      <w:r w:rsidRPr="00B471B7">
        <w:rPr>
          <w:sz w:val="24"/>
          <w:szCs w:val="24"/>
        </w:rPr>
        <w:t xml:space="preserve"> og et aluminiumslåg. </w:t>
      </w:r>
    </w:p>
    <w:p w:rsidR="00E122D7" w:rsidRPr="00B471B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430147">
        <w:rPr>
          <w:sz w:val="24"/>
          <w:szCs w:val="24"/>
        </w:rPr>
        <w:t xml:space="preserve">Pakningsstørrelser: </w:t>
      </w:r>
      <w:r w:rsidR="006E4ADE" w:rsidRPr="006E4ADE">
        <w:rPr>
          <w:sz w:val="24"/>
          <w:szCs w:val="24"/>
        </w:rPr>
        <w:t>5 x 20 ml og 1 x 50 ml</w:t>
      </w:r>
      <w:r w:rsidR="006E4ADE">
        <w:rPr>
          <w:sz w:val="24"/>
          <w:szCs w:val="24"/>
        </w:rPr>
        <w:t>.</w:t>
      </w:r>
    </w:p>
    <w:p w:rsidR="006E4ADE" w:rsidRPr="00430147" w:rsidRDefault="006E4ADE" w:rsidP="00E122D7">
      <w:pPr>
        <w:tabs>
          <w:tab w:val="left" w:pos="851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B471B7">
        <w:rPr>
          <w:sz w:val="24"/>
          <w:szCs w:val="24"/>
        </w:rPr>
        <w:t>Ikke alle pakningsstørrelser er nødvendigvis markedsført.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6.6</w:t>
      </w:r>
      <w:r w:rsidRPr="00BD1A16">
        <w:rPr>
          <w:b/>
          <w:sz w:val="24"/>
          <w:szCs w:val="24"/>
        </w:rPr>
        <w:tab/>
        <w:t>Særlige forholdsregler ved bortskaffelse af rester af lægemidlet eller affald</w:t>
      </w:r>
    </w:p>
    <w:p w:rsidR="00E122D7" w:rsidRPr="00BD1A16" w:rsidRDefault="00E122D7" w:rsidP="00E122D7">
      <w:pPr>
        <w:tabs>
          <w:tab w:val="left" w:pos="851"/>
        </w:tabs>
        <w:ind w:left="851" w:right="-318"/>
        <w:rPr>
          <w:sz w:val="24"/>
          <w:szCs w:val="24"/>
        </w:rPr>
      </w:pPr>
      <w:r w:rsidRPr="004F5BA4">
        <w:rPr>
          <w:sz w:val="24"/>
          <w:szCs w:val="24"/>
        </w:rPr>
        <w:t>Ik</w:t>
      </w:r>
      <w:r>
        <w:rPr>
          <w:sz w:val="24"/>
          <w:szCs w:val="24"/>
        </w:rPr>
        <w:t>ke anvendte veterinærlægemidler</w:t>
      </w:r>
      <w:r w:rsidRPr="004F5BA4">
        <w:rPr>
          <w:sz w:val="24"/>
          <w:szCs w:val="24"/>
        </w:rPr>
        <w:t xml:space="preserve"> samt affald heraf bør destrueres i henhold til lokale </w:t>
      </w:r>
      <w:proofErr w:type="spellStart"/>
      <w:r w:rsidRPr="004F5BA4">
        <w:rPr>
          <w:sz w:val="24"/>
          <w:szCs w:val="24"/>
        </w:rPr>
        <w:t>retningslinier</w:t>
      </w:r>
      <w:proofErr w:type="spellEnd"/>
      <w:r w:rsidRPr="004F5BA4">
        <w:rPr>
          <w:sz w:val="24"/>
          <w:szCs w:val="24"/>
        </w:rPr>
        <w:t>.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7.</w:t>
      </w:r>
      <w:r w:rsidRPr="00BD1A16">
        <w:rPr>
          <w:b/>
          <w:sz w:val="24"/>
          <w:szCs w:val="24"/>
        </w:rPr>
        <w:tab/>
        <w:t>INDEHAVER AF MARKEDSFØRINGSTILLADELSEN</w:t>
      </w:r>
    </w:p>
    <w:p w:rsidR="00E122D7" w:rsidRPr="00D6259B" w:rsidRDefault="00E122D7" w:rsidP="00E122D7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D6259B">
        <w:rPr>
          <w:bCs/>
          <w:sz w:val="24"/>
          <w:szCs w:val="24"/>
        </w:rPr>
        <w:t>Axience</w:t>
      </w:r>
      <w:proofErr w:type="spellEnd"/>
      <w:r w:rsidRPr="00D6259B">
        <w:rPr>
          <w:bCs/>
          <w:sz w:val="24"/>
          <w:szCs w:val="24"/>
        </w:rPr>
        <w:t xml:space="preserve">  </w:t>
      </w:r>
    </w:p>
    <w:p w:rsidR="00E122D7" w:rsidRPr="00D6259B" w:rsidRDefault="00E122D7" w:rsidP="00E122D7">
      <w:pPr>
        <w:tabs>
          <w:tab w:val="left" w:pos="851"/>
        </w:tabs>
        <w:ind w:left="851"/>
        <w:rPr>
          <w:bCs/>
          <w:sz w:val="24"/>
          <w:szCs w:val="24"/>
        </w:rPr>
      </w:pPr>
      <w:r w:rsidRPr="00D6259B">
        <w:rPr>
          <w:bCs/>
          <w:sz w:val="24"/>
          <w:szCs w:val="24"/>
        </w:rPr>
        <w:t xml:space="preserve">Tour </w:t>
      </w:r>
      <w:proofErr w:type="spellStart"/>
      <w:r w:rsidRPr="00D6259B">
        <w:rPr>
          <w:bCs/>
          <w:sz w:val="24"/>
          <w:szCs w:val="24"/>
        </w:rPr>
        <w:t>Essor</w:t>
      </w:r>
      <w:proofErr w:type="spellEnd"/>
      <w:r w:rsidRPr="00D6259B">
        <w:rPr>
          <w:bCs/>
          <w:sz w:val="24"/>
          <w:szCs w:val="24"/>
        </w:rPr>
        <w:t xml:space="preserve"> </w:t>
      </w:r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967A6">
        <w:rPr>
          <w:sz w:val="24"/>
          <w:szCs w:val="24"/>
          <w:lang w:val="en-US"/>
        </w:rPr>
        <w:t xml:space="preserve">14, Rue </w:t>
      </w:r>
      <w:proofErr w:type="spellStart"/>
      <w:r w:rsidRPr="000967A6">
        <w:rPr>
          <w:sz w:val="24"/>
          <w:szCs w:val="24"/>
          <w:lang w:val="en-US"/>
        </w:rPr>
        <w:t>Scandicci</w:t>
      </w:r>
      <w:proofErr w:type="spellEnd"/>
      <w:r w:rsidRPr="000967A6">
        <w:rPr>
          <w:sz w:val="24"/>
          <w:szCs w:val="24"/>
          <w:lang w:val="en-US"/>
        </w:rPr>
        <w:t xml:space="preserve"> </w:t>
      </w:r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967A6">
        <w:rPr>
          <w:sz w:val="24"/>
          <w:szCs w:val="24"/>
          <w:lang w:val="en-US"/>
        </w:rPr>
        <w:t xml:space="preserve">93500 </w:t>
      </w:r>
      <w:proofErr w:type="spellStart"/>
      <w:r w:rsidRPr="000967A6">
        <w:rPr>
          <w:sz w:val="24"/>
          <w:szCs w:val="24"/>
          <w:lang w:val="en-US"/>
        </w:rPr>
        <w:t>Pantin</w:t>
      </w:r>
      <w:proofErr w:type="spellEnd"/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0967A6">
        <w:rPr>
          <w:sz w:val="24"/>
          <w:szCs w:val="24"/>
          <w:lang w:val="en-US"/>
        </w:rPr>
        <w:t>Frankrig</w:t>
      </w:r>
      <w:proofErr w:type="spellEnd"/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0967A6">
        <w:rPr>
          <w:b/>
          <w:sz w:val="24"/>
          <w:szCs w:val="24"/>
          <w:lang w:val="en-US"/>
        </w:rPr>
        <w:t>Repræsentant</w:t>
      </w:r>
      <w:proofErr w:type="spellEnd"/>
    </w:p>
    <w:p w:rsidR="00E122D7" w:rsidRPr="004031CF" w:rsidRDefault="00E122D7" w:rsidP="00E122D7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031CF">
        <w:rPr>
          <w:sz w:val="24"/>
          <w:szCs w:val="24"/>
          <w:lang w:val="en-US"/>
        </w:rPr>
        <w:t>ScanVet</w:t>
      </w:r>
      <w:proofErr w:type="spellEnd"/>
      <w:r w:rsidRPr="004031CF">
        <w:rPr>
          <w:sz w:val="24"/>
          <w:szCs w:val="24"/>
          <w:lang w:val="en-US"/>
        </w:rPr>
        <w:t xml:space="preserve"> Animal Health A/S</w:t>
      </w:r>
    </w:p>
    <w:p w:rsidR="00E122D7" w:rsidRPr="000967A6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0967A6">
        <w:rPr>
          <w:sz w:val="24"/>
          <w:szCs w:val="24"/>
        </w:rPr>
        <w:t>Kongevejen 66</w:t>
      </w:r>
    </w:p>
    <w:p w:rsidR="00E122D7" w:rsidRPr="004031CF" w:rsidRDefault="00E122D7" w:rsidP="00E122D7">
      <w:pPr>
        <w:tabs>
          <w:tab w:val="left" w:pos="851"/>
        </w:tabs>
        <w:ind w:left="851"/>
        <w:rPr>
          <w:sz w:val="24"/>
          <w:szCs w:val="24"/>
        </w:rPr>
      </w:pPr>
      <w:r w:rsidRPr="004031CF">
        <w:rPr>
          <w:sz w:val="24"/>
          <w:szCs w:val="24"/>
        </w:rPr>
        <w:t>3480</w:t>
      </w:r>
      <w:r>
        <w:rPr>
          <w:sz w:val="24"/>
          <w:szCs w:val="24"/>
        </w:rPr>
        <w:t xml:space="preserve"> Fredensborg</w:t>
      </w:r>
    </w:p>
    <w:p w:rsidR="00E122D7" w:rsidRPr="00D6259B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8.</w:t>
      </w:r>
      <w:r w:rsidRPr="00BD1A16">
        <w:rPr>
          <w:b/>
          <w:sz w:val="24"/>
          <w:szCs w:val="24"/>
        </w:rPr>
        <w:tab/>
        <w:t>MARKEDSFØRINGSTILLADELSESNUMMER (NUMRE)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57282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9.</w:t>
      </w:r>
      <w:r w:rsidRPr="00BD1A16">
        <w:rPr>
          <w:b/>
          <w:sz w:val="24"/>
          <w:szCs w:val="24"/>
        </w:rPr>
        <w:tab/>
        <w:t>DATO FOR FØRSTE MARKEDSFØRINGSTILLADELSE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december 2016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10.</w:t>
      </w:r>
      <w:r w:rsidRPr="00BD1A16">
        <w:rPr>
          <w:b/>
          <w:sz w:val="24"/>
          <w:szCs w:val="24"/>
        </w:rPr>
        <w:tab/>
        <w:t>DATO FOR ÆNDRING AF TEKSTEN</w:t>
      </w:r>
    </w:p>
    <w:p w:rsidR="00E122D7" w:rsidRPr="00BD1A16" w:rsidRDefault="006E4ADE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oktober 2021</w:t>
      </w:r>
    </w:p>
    <w:p w:rsidR="00E122D7" w:rsidRPr="00BD1A16" w:rsidRDefault="00E122D7" w:rsidP="00E122D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122D7" w:rsidRPr="00BD1A16" w:rsidRDefault="00E122D7" w:rsidP="00E122D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D1A16">
        <w:rPr>
          <w:b/>
          <w:sz w:val="24"/>
          <w:szCs w:val="24"/>
        </w:rPr>
        <w:t>11.</w:t>
      </w:r>
      <w:r w:rsidRPr="00BD1A16">
        <w:rPr>
          <w:b/>
          <w:sz w:val="24"/>
          <w:szCs w:val="24"/>
        </w:rPr>
        <w:tab/>
        <w:t>UDLEVERINGSBESTEMMELSE</w:t>
      </w:r>
    </w:p>
    <w:p w:rsidR="00E122D7" w:rsidRPr="005B0036" w:rsidRDefault="00E122D7" w:rsidP="00E122D7">
      <w:pPr>
        <w:pStyle w:val="Sidehoved"/>
        <w:tabs>
          <w:tab w:val="clear" w:pos="4819"/>
          <w:tab w:val="left" w:pos="851"/>
          <w:tab w:val="left" w:pos="8222"/>
        </w:tabs>
        <w:ind w:left="851"/>
      </w:pPr>
      <w:r>
        <w:rPr>
          <w:szCs w:val="24"/>
        </w:rPr>
        <w:t>B</w:t>
      </w:r>
    </w:p>
    <w:p w:rsidR="00E122D7" w:rsidRPr="001D45A8" w:rsidRDefault="00E122D7" w:rsidP="00E122D7"/>
    <w:p w:rsidR="0003527F" w:rsidRPr="00E122D7" w:rsidRDefault="0003527F" w:rsidP="00E122D7"/>
    <w:sectPr w:rsidR="0003527F" w:rsidRPr="00E122D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D7" w:rsidRDefault="00E122D7">
      <w:r>
        <w:separator/>
      </w:r>
    </w:p>
  </w:endnote>
  <w:endnote w:type="continuationSeparator" w:id="0">
    <w:p w:rsidR="00E122D7" w:rsidRDefault="00E1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97224">
      <w:rPr>
        <w:i/>
        <w:noProof/>
        <w:snapToGrid w:val="0"/>
        <w:sz w:val="18"/>
      </w:rPr>
      <w:t>Proposure, injektionsvæske, emulsion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97224">
      <w:rPr>
        <w:i/>
        <w:noProof/>
        <w:snapToGrid w:val="0"/>
        <w:sz w:val="18"/>
      </w:rPr>
      <w:t>Proposure, injektionsvæske, emulsion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D7" w:rsidRDefault="00E122D7">
      <w:r>
        <w:separator/>
      </w:r>
    </w:p>
  </w:footnote>
  <w:footnote w:type="continuationSeparator" w:id="0">
    <w:p w:rsidR="00E122D7" w:rsidRDefault="00E1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D7"/>
    <w:rsid w:val="0003527F"/>
    <w:rsid w:val="00065C7D"/>
    <w:rsid w:val="000967A6"/>
    <w:rsid w:val="000C6CD4"/>
    <w:rsid w:val="00154C66"/>
    <w:rsid w:val="001577E4"/>
    <w:rsid w:val="001611BC"/>
    <w:rsid w:val="001858CA"/>
    <w:rsid w:val="001C4AEF"/>
    <w:rsid w:val="001D3CC5"/>
    <w:rsid w:val="00322BDE"/>
    <w:rsid w:val="003350D3"/>
    <w:rsid w:val="00396AEF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E4ADE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97224"/>
    <w:rsid w:val="00D567AA"/>
    <w:rsid w:val="00DD6D71"/>
    <w:rsid w:val="00DF32BE"/>
    <w:rsid w:val="00E122D7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FDF50"/>
  <w15:chartTrackingRefBased/>
  <w15:docId w15:val="{AC6D1C0E-3C77-42B4-9AD4-F308C4E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y2iqfc">
    <w:name w:val="y2iqfc"/>
    <w:basedOn w:val="Standardskrifttypeiafsnit"/>
    <w:rsid w:val="0016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15</TotalTime>
  <Pages>7</Pages>
  <Words>1804</Words>
  <Characters>11702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2021041875 - MT forlængelse_x000d_
4.2, 4.4, 4.5, 4.6, 4.8, 4.9, 6.4</dc:description>
  <cp:lastModifiedBy>Helle Venn</cp:lastModifiedBy>
  <cp:revision>6</cp:revision>
  <dcterms:created xsi:type="dcterms:W3CDTF">2021-10-04T08:44:00Z</dcterms:created>
  <dcterms:modified xsi:type="dcterms:W3CDTF">2021-10-04T09:01:00Z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