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9E794" w14:textId="77777777" w:rsidR="008203A8" w:rsidRPr="008A5C19" w:rsidRDefault="008203A8" w:rsidP="008203A8">
      <w:pPr>
        <w:rPr>
          <w:sz w:val="24"/>
          <w:szCs w:val="24"/>
        </w:rPr>
      </w:pPr>
      <w:r w:rsidRPr="008A5C19">
        <w:rPr>
          <w:noProof/>
          <w:sz w:val="24"/>
          <w:szCs w:val="24"/>
          <w:lang w:eastAsia="da-DK"/>
        </w:rPr>
        <w:drawing>
          <wp:inline distT="0" distB="0" distL="0" distR="0" wp14:anchorId="25C79DC5" wp14:editId="75FC5E70">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2205D2FD" w14:textId="77777777" w:rsidR="008203A8" w:rsidRPr="008A5C19" w:rsidRDefault="008203A8" w:rsidP="008203A8">
      <w:pPr>
        <w:rPr>
          <w:sz w:val="24"/>
          <w:szCs w:val="24"/>
        </w:rPr>
      </w:pPr>
    </w:p>
    <w:p w14:paraId="547BEC8E" w14:textId="31C280F5" w:rsidR="008203A8" w:rsidRPr="008A5C19" w:rsidRDefault="008203A8" w:rsidP="008203A8">
      <w:pPr>
        <w:tabs>
          <w:tab w:val="right" w:pos="9356"/>
        </w:tabs>
        <w:rPr>
          <w:b/>
          <w:sz w:val="24"/>
          <w:szCs w:val="24"/>
        </w:rPr>
      </w:pPr>
      <w:r w:rsidRPr="008A5C19">
        <w:rPr>
          <w:b/>
          <w:sz w:val="24"/>
          <w:szCs w:val="24"/>
        </w:rPr>
        <w:tab/>
      </w:r>
      <w:r w:rsidR="00F03A3E">
        <w:rPr>
          <w:b/>
          <w:sz w:val="24"/>
          <w:szCs w:val="24"/>
        </w:rPr>
        <w:t>14. august 2026</w:t>
      </w:r>
    </w:p>
    <w:p w14:paraId="312EE9B7" w14:textId="77777777" w:rsidR="008203A8" w:rsidRPr="008A5C19" w:rsidRDefault="008203A8" w:rsidP="008203A8">
      <w:pPr>
        <w:rPr>
          <w:sz w:val="24"/>
          <w:szCs w:val="24"/>
        </w:rPr>
      </w:pPr>
    </w:p>
    <w:p w14:paraId="7B5C311A" w14:textId="77777777" w:rsidR="007C398A" w:rsidRPr="008A5C19" w:rsidRDefault="007C398A" w:rsidP="008203A8">
      <w:pPr>
        <w:rPr>
          <w:sz w:val="24"/>
          <w:szCs w:val="24"/>
        </w:rPr>
      </w:pPr>
    </w:p>
    <w:p w14:paraId="6A74F777" w14:textId="77777777" w:rsidR="007C398A" w:rsidRPr="008A5C19" w:rsidRDefault="007C398A" w:rsidP="008203A8">
      <w:pPr>
        <w:rPr>
          <w:sz w:val="24"/>
          <w:szCs w:val="24"/>
        </w:rPr>
      </w:pPr>
    </w:p>
    <w:p w14:paraId="0788B687" w14:textId="77777777" w:rsidR="008203A8" w:rsidRPr="008A5C19" w:rsidRDefault="008203A8" w:rsidP="008203A8">
      <w:pPr>
        <w:jc w:val="center"/>
        <w:rPr>
          <w:b/>
          <w:sz w:val="24"/>
          <w:szCs w:val="24"/>
        </w:rPr>
      </w:pPr>
      <w:r w:rsidRPr="008A5C19">
        <w:rPr>
          <w:b/>
          <w:sz w:val="24"/>
          <w:szCs w:val="24"/>
        </w:rPr>
        <w:t>PRODUKTRESUMÉ</w:t>
      </w:r>
    </w:p>
    <w:p w14:paraId="22CF180F" w14:textId="77777777" w:rsidR="008203A8" w:rsidRPr="008A5C19" w:rsidRDefault="008203A8" w:rsidP="008203A8">
      <w:pPr>
        <w:jc w:val="center"/>
        <w:rPr>
          <w:b/>
          <w:sz w:val="24"/>
          <w:szCs w:val="24"/>
        </w:rPr>
      </w:pPr>
    </w:p>
    <w:p w14:paraId="7DDAC812" w14:textId="77777777" w:rsidR="008203A8" w:rsidRPr="008A5C19" w:rsidRDefault="008203A8" w:rsidP="008203A8">
      <w:pPr>
        <w:jc w:val="center"/>
        <w:rPr>
          <w:b/>
          <w:sz w:val="24"/>
          <w:szCs w:val="24"/>
        </w:rPr>
      </w:pPr>
      <w:r w:rsidRPr="008A5C19">
        <w:rPr>
          <w:b/>
          <w:sz w:val="24"/>
          <w:szCs w:val="24"/>
        </w:rPr>
        <w:t>for</w:t>
      </w:r>
    </w:p>
    <w:p w14:paraId="4D3A4576" w14:textId="77777777" w:rsidR="008203A8" w:rsidRPr="008A5C19" w:rsidRDefault="008203A8" w:rsidP="008203A8">
      <w:pPr>
        <w:jc w:val="center"/>
        <w:rPr>
          <w:b/>
          <w:sz w:val="24"/>
          <w:szCs w:val="24"/>
        </w:rPr>
      </w:pPr>
    </w:p>
    <w:p w14:paraId="4F87A180" w14:textId="704E2AD2" w:rsidR="008203A8" w:rsidRPr="008A5C19" w:rsidRDefault="009B08F8" w:rsidP="008203A8">
      <w:pPr>
        <w:jc w:val="center"/>
        <w:rPr>
          <w:b/>
          <w:sz w:val="24"/>
          <w:szCs w:val="24"/>
        </w:rPr>
      </w:pPr>
      <w:r w:rsidRPr="008A5C19">
        <w:rPr>
          <w:b/>
          <w:sz w:val="24"/>
          <w:szCs w:val="24"/>
        </w:rPr>
        <w:t>Purmazole, oral opløsning</w:t>
      </w:r>
    </w:p>
    <w:p w14:paraId="676CE19D" w14:textId="77777777" w:rsidR="008203A8" w:rsidRPr="008A5C19" w:rsidRDefault="008203A8" w:rsidP="008203A8">
      <w:pPr>
        <w:jc w:val="both"/>
        <w:rPr>
          <w:sz w:val="24"/>
          <w:szCs w:val="24"/>
        </w:rPr>
      </w:pPr>
    </w:p>
    <w:p w14:paraId="57183939" w14:textId="77777777" w:rsidR="008203A8" w:rsidRPr="008A5C19" w:rsidRDefault="008203A8" w:rsidP="008203A8">
      <w:pPr>
        <w:jc w:val="both"/>
        <w:rPr>
          <w:sz w:val="24"/>
          <w:szCs w:val="24"/>
        </w:rPr>
      </w:pPr>
    </w:p>
    <w:p w14:paraId="57581CD8" w14:textId="77777777" w:rsidR="008203A8" w:rsidRPr="008A5C19" w:rsidRDefault="008203A8" w:rsidP="008203A8">
      <w:pPr>
        <w:ind w:left="851" w:hanging="851"/>
        <w:rPr>
          <w:b/>
          <w:sz w:val="24"/>
          <w:szCs w:val="24"/>
        </w:rPr>
      </w:pPr>
      <w:r w:rsidRPr="008A5C19">
        <w:rPr>
          <w:b/>
          <w:sz w:val="24"/>
          <w:szCs w:val="24"/>
        </w:rPr>
        <w:t>0.</w:t>
      </w:r>
      <w:r w:rsidRPr="008A5C19">
        <w:rPr>
          <w:b/>
          <w:sz w:val="24"/>
          <w:szCs w:val="24"/>
        </w:rPr>
        <w:tab/>
        <w:t>D.SP.NR.</w:t>
      </w:r>
    </w:p>
    <w:p w14:paraId="6A575BD7" w14:textId="7BB19EA7" w:rsidR="008203A8" w:rsidRPr="008A5C19" w:rsidRDefault="009B08F8" w:rsidP="008203A8">
      <w:pPr>
        <w:ind w:left="851"/>
        <w:rPr>
          <w:sz w:val="24"/>
          <w:szCs w:val="24"/>
        </w:rPr>
      </w:pPr>
      <w:r w:rsidRPr="008A5C19">
        <w:rPr>
          <w:sz w:val="24"/>
          <w:szCs w:val="24"/>
        </w:rPr>
        <w:t>35144</w:t>
      </w:r>
    </w:p>
    <w:p w14:paraId="346B2AFC" w14:textId="77777777" w:rsidR="008203A8" w:rsidRPr="008A5C19" w:rsidRDefault="008203A8" w:rsidP="008203A8">
      <w:pPr>
        <w:ind w:left="851"/>
        <w:rPr>
          <w:sz w:val="24"/>
          <w:szCs w:val="24"/>
        </w:rPr>
      </w:pPr>
    </w:p>
    <w:p w14:paraId="0E5CE442" w14:textId="77777777" w:rsidR="008203A8" w:rsidRPr="008A5C19" w:rsidRDefault="008203A8" w:rsidP="008203A8">
      <w:pPr>
        <w:ind w:left="851" w:hanging="851"/>
        <w:rPr>
          <w:b/>
          <w:sz w:val="24"/>
          <w:szCs w:val="24"/>
        </w:rPr>
      </w:pPr>
      <w:r w:rsidRPr="008A5C19">
        <w:rPr>
          <w:b/>
          <w:sz w:val="24"/>
          <w:szCs w:val="24"/>
        </w:rPr>
        <w:t>1.</w:t>
      </w:r>
      <w:r w:rsidRPr="008A5C19">
        <w:rPr>
          <w:b/>
          <w:sz w:val="24"/>
          <w:szCs w:val="24"/>
        </w:rPr>
        <w:tab/>
        <w:t>VETERINÆRLÆGEMIDLETS NAVN</w:t>
      </w:r>
    </w:p>
    <w:p w14:paraId="4769EB7F" w14:textId="0FE746CB" w:rsidR="008203A8" w:rsidRPr="008A5C19" w:rsidRDefault="009B08F8" w:rsidP="008203A8">
      <w:pPr>
        <w:ind w:left="851"/>
        <w:rPr>
          <w:sz w:val="24"/>
          <w:szCs w:val="24"/>
        </w:rPr>
      </w:pPr>
      <w:r w:rsidRPr="008A5C19">
        <w:rPr>
          <w:sz w:val="24"/>
          <w:szCs w:val="24"/>
        </w:rPr>
        <w:t>Purmazole</w:t>
      </w:r>
    </w:p>
    <w:p w14:paraId="333BB03B" w14:textId="77777777" w:rsidR="009B08F8" w:rsidRPr="008A5C19" w:rsidRDefault="009B08F8" w:rsidP="008203A8">
      <w:pPr>
        <w:ind w:left="851"/>
        <w:rPr>
          <w:sz w:val="24"/>
          <w:szCs w:val="24"/>
        </w:rPr>
      </w:pPr>
    </w:p>
    <w:p w14:paraId="457C4DB7" w14:textId="0D2A482C" w:rsidR="008203A8" w:rsidRPr="008A5C19" w:rsidRDefault="008203A8" w:rsidP="008203A8">
      <w:pPr>
        <w:ind w:left="851"/>
        <w:rPr>
          <w:sz w:val="24"/>
          <w:szCs w:val="24"/>
        </w:rPr>
      </w:pPr>
      <w:r w:rsidRPr="008A5C19">
        <w:rPr>
          <w:sz w:val="24"/>
          <w:szCs w:val="24"/>
        </w:rPr>
        <w:t xml:space="preserve">Lægemiddelform: </w:t>
      </w:r>
      <w:r w:rsidR="009B08F8" w:rsidRPr="008A5C19">
        <w:rPr>
          <w:sz w:val="24"/>
          <w:szCs w:val="24"/>
        </w:rPr>
        <w:t>Oral opløsning</w:t>
      </w:r>
    </w:p>
    <w:p w14:paraId="4CBE3282" w14:textId="5C30BE3E" w:rsidR="008203A8" w:rsidRPr="008A5C19" w:rsidRDefault="008203A8" w:rsidP="008203A8">
      <w:pPr>
        <w:ind w:left="851"/>
        <w:rPr>
          <w:sz w:val="24"/>
          <w:szCs w:val="24"/>
        </w:rPr>
      </w:pPr>
      <w:r w:rsidRPr="008A5C19">
        <w:rPr>
          <w:sz w:val="24"/>
          <w:szCs w:val="24"/>
        </w:rPr>
        <w:t xml:space="preserve">Styrke(r): </w:t>
      </w:r>
      <w:r w:rsidR="009B08F8" w:rsidRPr="008A5C19">
        <w:rPr>
          <w:sz w:val="24"/>
          <w:szCs w:val="24"/>
        </w:rPr>
        <w:t>5 mg/ml</w:t>
      </w:r>
    </w:p>
    <w:p w14:paraId="37A47494" w14:textId="77777777" w:rsidR="008203A8" w:rsidRPr="008A5C19" w:rsidRDefault="008203A8" w:rsidP="008203A8">
      <w:pPr>
        <w:ind w:left="851"/>
        <w:rPr>
          <w:sz w:val="24"/>
          <w:szCs w:val="24"/>
        </w:rPr>
      </w:pPr>
    </w:p>
    <w:p w14:paraId="3B1912F4" w14:textId="77777777" w:rsidR="008203A8" w:rsidRPr="008A5C19" w:rsidRDefault="008203A8" w:rsidP="008203A8">
      <w:pPr>
        <w:ind w:left="851" w:hanging="851"/>
        <w:rPr>
          <w:b/>
          <w:sz w:val="24"/>
          <w:szCs w:val="24"/>
        </w:rPr>
      </w:pPr>
      <w:r w:rsidRPr="008A5C19">
        <w:rPr>
          <w:b/>
          <w:sz w:val="24"/>
          <w:szCs w:val="24"/>
        </w:rPr>
        <w:t>2.</w:t>
      </w:r>
      <w:r w:rsidRPr="008A5C19">
        <w:rPr>
          <w:b/>
          <w:sz w:val="24"/>
          <w:szCs w:val="24"/>
        </w:rPr>
        <w:tab/>
        <w:t>KVALITATIV OG KVANTITATIV SAMMENSÆTNING</w:t>
      </w:r>
    </w:p>
    <w:p w14:paraId="35DC4B1D" w14:textId="77777777" w:rsidR="00A55780" w:rsidRPr="00A55780" w:rsidRDefault="00A55780" w:rsidP="00A55780">
      <w:pPr>
        <w:ind w:left="851"/>
        <w:rPr>
          <w:bCs/>
          <w:sz w:val="24"/>
          <w:szCs w:val="24"/>
        </w:rPr>
      </w:pPr>
      <w:r w:rsidRPr="00A55780">
        <w:rPr>
          <w:sz w:val="24"/>
          <w:szCs w:val="24"/>
        </w:rPr>
        <w:t>En ml indeholder:</w:t>
      </w:r>
    </w:p>
    <w:p w14:paraId="5F3A59C5" w14:textId="77777777" w:rsidR="00A55780" w:rsidRPr="00A55780" w:rsidRDefault="00A55780" w:rsidP="00A55780">
      <w:pPr>
        <w:ind w:left="851"/>
        <w:rPr>
          <w:bCs/>
          <w:sz w:val="24"/>
          <w:szCs w:val="24"/>
        </w:rPr>
      </w:pPr>
    </w:p>
    <w:p w14:paraId="5C92CA48" w14:textId="77777777" w:rsidR="00A55780" w:rsidRPr="00A55780" w:rsidRDefault="00A55780" w:rsidP="00A55780">
      <w:pPr>
        <w:ind w:left="851"/>
        <w:rPr>
          <w:b/>
          <w:sz w:val="24"/>
          <w:szCs w:val="24"/>
        </w:rPr>
      </w:pPr>
      <w:r w:rsidRPr="00A55780">
        <w:rPr>
          <w:b/>
          <w:sz w:val="24"/>
          <w:szCs w:val="24"/>
        </w:rPr>
        <w:t>Aktivt stof:</w:t>
      </w:r>
    </w:p>
    <w:p w14:paraId="066725B2" w14:textId="1B7F938D" w:rsidR="00A55780" w:rsidRPr="00A55780" w:rsidRDefault="00A55780" w:rsidP="00A55780">
      <w:pPr>
        <w:ind w:left="851"/>
        <w:rPr>
          <w:iCs/>
          <w:sz w:val="24"/>
          <w:szCs w:val="24"/>
        </w:rPr>
      </w:pPr>
      <w:r w:rsidRPr="00A55780">
        <w:rPr>
          <w:sz w:val="24"/>
          <w:szCs w:val="24"/>
        </w:rPr>
        <w:t>Thiamazol</w:t>
      </w:r>
      <w:r w:rsidR="007C398A" w:rsidRPr="008A5C19">
        <w:rPr>
          <w:sz w:val="24"/>
          <w:szCs w:val="24"/>
        </w:rPr>
        <w:tab/>
      </w:r>
      <w:r w:rsidRPr="00A55780">
        <w:rPr>
          <w:sz w:val="24"/>
          <w:szCs w:val="24"/>
        </w:rPr>
        <w:t>5 mg</w:t>
      </w:r>
    </w:p>
    <w:p w14:paraId="3E1DC29B" w14:textId="77777777" w:rsidR="00A55780" w:rsidRPr="00A55780" w:rsidRDefault="00A55780" w:rsidP="00A55780">
      <w:pPr>
        <w:ind w:left="851"/>
        <w:rPr>
          <w:iCs/>
          <w:sz w:val="24"/>
          <w:szCs w:val="24"/>
        </w:rPr>
      </w:pPr>
    </w:p>
    <w:p w14:paraId="16BF7CD8" w14:textId="77777777" w:rsidR="00A55780" w:rsidRPr="00A55780" w:rsidRDefault="00A55780" w:rsidP="00A55780">
      <w:pPr>
        <w:ind w:left="851"/>
        <w:rPr>
          <w:b/>
          <w:sz w:val="24"/>
          <w:szCs w:val="24"/>
        </w:rPr>
      </w:pPr>
      <w:r w:rsidRPr="00A55780">
        <w:rPr>
          <w:b/>
          <w:sz w:val="24"/>
          <w:szCs w:val="24"/>
        </w:rPr>
        <w:t>Hjælpestoffer:</w:t>
      </w:r>
    </w:p>
    <w:p w14:paraId="4B25175A" w14:textId="77777777" w:rsidR="00A55780" w:rsidRPr="00A55780" w:rsidRDefault="00A55780" w:rsidP="00A55780">
      <w:pPr>
        <w:ind w:left="851"/>
        <w:rPr>
          <w:sz w:val="24"/>
          <w:szCs w:val="24"/>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4"/>
        <w:gridCol w:w="4394"/>
      </w:tblGrid>
      <w:tr w:rsidR="00A55780" w:rsidRPr="00A55780" w14:paraId="31864F7C" w14:textId="77777777" w:rsidTr="007C398A">
        <w:trPr>
          <w:trHeight w:hRule="exact" w:val="867"/>
        </w:trPr>
        <w:tc>
          <w:tcPr>
            <w:tcW w:w="4394" w:type="dxa"/>
            <w:tcBorders>
              <w:top w:val="single" w:sz="4" w:space="0" w:color="000000"/>
              <w:left w:val="single" w:sz="4" w:space="0" w:color="000000"/>
              <w:bottom w:val="single" w:sz="4" w:space="0" w:color="000000"/>
              <w:right w:val="single" w:sz="4" w:space="0" w:color="000000"/>
            </w:tcBorders>
            <w:hideMark/>
          </w:tcPr>
          <w:p w14:paraId="68FDA9F7" w14:textId="77777777" w:rsidR="00A55780" w:rsidRPr="00A55780" w:rsidRDefault="00A55780" w:rsidP="007C398A">
            <w:pPr>
              <w:ind w:left="142"/>
              <w:rPr>
                <w:b/>
                <w:sz w:val="24"/>
                <w:szCs w:val="24"/>
              </w:rPr>
            </w:pPr>
            <w:r w:rsidRPr="00A55780">
              <w:rPr>
                <w:b/>
                <w:sz w:val="24"/>
                <w:szCs w:val="24"/>
              </w:rPr>
              <w:t>Kvalitativ sammensætning af hjælpestoffer og andre bestanddele</w:t>
            </w:r>
          </w:p>
        </w:tc>
        <w:tc>
          <w:tcPr>
            <w:tcW w:w="4394" w:type="dxa"/>
            <w:tcBorders>
              <w:top w:val="single" w:sz="4" w:space="0" w:color="000000"/>
              <w:left w:val="single" w:sz="4" w:space="0" w:color="000000"/>
              <w:bottom w:val="single" w:sz="4" w:space="0" w:color="000000"/>
              <w:right w:val="single" w:sz="4" w:space="0" w:color="000000"/>
            </w:tcBorders>
            <w:hideMark/>
          </w:tcPr>
          <w:p w14:paraId="666E5380" w14:textId="77777777" w:rsidR="00A55780" w:rsidRPr="00A55780" w:rsidRDefault="00A55780" w:rsidP="007C398A">
            <w:pPr>
              <w:ind w:left="142"/>
              <w:rPr>
                <w:b/>
                <w:sz w:val="24"/>
                <w:szCs w:val="24"/>
              </w:rPr>
            </w:pPr>
            <w:r w:rsidRPr="00A55780">
              <w:rPr>
                <w:b/>
                <w:sz w:val="24"/>
                <w:szCs w:val="24"/>
              </w:rPr>
              <w:t>Kvantitativ sammensætning, hvis oplysningen er vigtig for korrekt administration af veterinærlægemidlet</w:t>
            </w:r>
          </w:p>
        </w:tc>
      </w:tr>
      <w:tr w:rsidR="00A55780" w:rsidRPr="00A55780" w14:paraId="425F8749" w14:textId="77777777" w:rsidTr="007C398A">
        <w:trPr>
          <w:trHeight w:hRule="exact" w:val="283"/>
        </w:trPr>
        <w:tc>
          <w:tcPr>
            <w:tcW w:w="4394" w:type="dxa"/>
            <w:tcBorders>
              <w:top w:val="single" w:sz="4" w:space="0" w:color="000000"/>
              <w:left w:val="single" w:sz="4" w:space="0" w:color="000000"/>
              <w:bottom w:val="single" w:sz="4" w:space="0" w:color="000000"/>
              <w:right w:val="single" w:sz="4" w:space="0" w:color="000000"/>
            </w:tcBorders>
            <w:hideMark/>
          </w:tcPr>
          <w:p w14:paraId="08A416CD" w14:textId="77777777" w:rsidR="00A55780" w:rsidRPr="00A55780" w:rsidRDefault="00A55780" w:rsidP="007C398A">
            <w:pPr>
              <w:ind w:left="142"/>
              <w:rPr>
                <w:b/>
                <w:sz w:val="24"/>
                <w:szCs w:val="24"/>
              </w:rPr>
            </w:pPr>
            <w:r w:rsidRPr="00A55780">
              <w:rPr>
                <w:sz w:val="24"/>
                <w:szCs w:val="24"/>
              </w:rPr>
              <w:t>Natriumbenzoat (E211)</w:t>
            </w:r>
          </w:p>
        </w:tc>
        <w:tc>
          <w:tcPr>
            <w:tcW w:w="4394" w:type="dxa"/>
            <w:tcBorders>
              <w:top w:val="single" w:sz="4" w:space="0" w:color="000000"/>
              <w:left w:val="single" w:sz="4" w:space="0" w:color="000000"/>
              <w:bottom w:val="single" w:sz="4" w:space="0" w:color="000000"/>
              <w:right w:val="single" w:sz="4" w:space="0" w:color="000000"/>
            </w:tcBorders>
            <w:hideMark/>
          </w:tcPr>
          <w:p w14:paraId="1A0B6648" w14:textId="77777777" w:rsidR="00A55780" w:rsidRPr="00A55780" w:rsidRDefault="00A55780" w:rsidP="007C398A">
            <w:pPr>
              <w:ind w:left="142"/>
              <w:rPr>
                <w:sz w:val="24"/>
                <w:szCs w:val="24"/>
              </w:rPr>
            </w:pPr>
            <w:r w:rsidRPr="00A55780">
              <w:rPr>
                <w:sz w:val="24"/>
                <w:szCs w:val="24"/>
              </w:rPr>
              <w:t>1,5 mg</w:t>
            </w:r>
          </w:p>
        </w:tc>
      </w:tr>
      <w:tr w:rsidR="00A55780" w:rsidRPr="00A55780" w14:paraId="365D5A01"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65D5DF06" w14:textId="77777777" w:rsidR="00A55780" w:rsidRPr="00A55780" w:rsidRDefault="00A55780" w:rsidP="007C398A">
            <w:pPr>
              <w:ind w:left="142"/>
              <w:rPr>
                <w:sz w:val="24"/>
                <w:szCs w:val="24"/>
              </w:rPr>
            </w:pPr>
            <w:r w:rsidRPr="00A55780">
              <w:rPr>
                <w:sz w:val="24"/>
                <w:szCs w:val="24"/>
              </w:rPr>
              <w:t>Hypromellose</w:t>
            </w:r>
          </w:p>
        </w:tc>
        <w:tc>
          <w:tcPr>
            <w:tcW w:w="4394" w:type="dxa"/>
            <w:tcBorders>
              <w:top w:val="single" w:sz="4" w:space="0" w:color="000000"/>
              <w:left w:val="single" w:sz="4" w:space="0" w:color="000000"/>
              <w:bottom w:val="single" w:sz="4" w:space="0" w:color="000000"/>
              <w:right w:val="single" w:sz="4" w:space="0" w:color="000000"/>
            </w:tcBorders>
            <w:hideMark/>
          </w:tcPr>
          <w:p w14:paraId="58D9CB69" w14:textId="77777777" w:rsidR="00A55780" w:rsidRPr="00A55780" w:rsidRDefault="00A55780" w:rsidP="007C398A">
            <w:pPr>
              <w:ind w:left="142"/>
              <w:rPr>
                <w:sz w:val="24"/>
                <w:szCs w:val="24"/>
              </w:rPr>
            </w:pPr>
            <w:r w:rsidRPr="00A55780">
              <w:rPr>
                <w:sz w:val="24"/>
                <w:szCs w:val="24"/>
              </w:rPr>
              <w:t>-</w:t>
            </w:r>
          </w:p>
        </w:tc>
      </w:tr>
      <w:tr w:rsidR="00A55780" w:rsidRPr="00A55780" w14:paraId="0911C21C"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3652B08E" w14:textId="77777777" w:rsidR="00A55780" w:rsidRPr="00A55780" w:rsidRDefault="00A55780" w:rsidP="007C398A">
            <w:pPr>
              <w:ind w:left="142"/>
              <w:rPr>
                <w:sz w:val="24"/>
                <w:szCs w:val="24"/>
              </w:rPr>
            </w:pPr>
            <w:r w:rsidRPr="00A55780">
              <w:rPr>
                <w:sz w:val="24"/>
                <w:szCs w:val="24"/>
              </w:rPr>
              <w:t>Povidon K30</w:t>
            </w:r>
          </w:p>
        </w:tc>
        <w:tc>
          <w:tcPr>
            <w:tcW w:w="4394" w:type="dxa"/>
            <w:tcBorders>
              <w:top w:val="single" w:sz="4" w:space="0" w:color="000000"/>
              <w:left w:val="single" w:sz="4" w:space="0" w:color="000000"/>
              <w:bottom w:val="single" w:sz="4" w:space="0" w:color="000000"/>
              <w:right w:val="single" w:sz="4" w:space="0" w:color="000000"/>
            </w:tcBorders>
            <w:hideMark/>
          </w:tcPr>
          <w:p w14:paraId="1D4C0969" w14:textId="77777777" w:rsidR="00A55780" w:rsidRPr="00A55780" w:rsidRDefault="00A55780" w:rsidP="007C398A">
            <w:pPr>
              <w:ind w:left="142"/>
              <w:rPr>
                <w:sz w:val="24"/>
                <w:szCs w:val="24"/>
              </w:rPr>
            </w:pPr>
            <w:r w:rsidRPr="00A55780">
              <w:rPr>
                <w:sz w:val="24"/>
                <w:szCs w:val="24"/>
              </w:rPr>
              <w:t>-</w:t>
            </w:r>
          </w:p>
        </w:tc>
      </w:tr>
      <w:tr w:rsidR="00A55780" w:rsidRPr="00A55780" w14:paraId="7D575F33"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09507229" w14:textId="77777777" w:rsidR="00A55780" w:rsidRPr="00A55780" w:rsidRDefault="00A55780" w:rsidP="007C398A">
            <w:pPr>
              <w:ind w:left="142"/>
              <w:rPr>
                <w:sz w:val="24"/>
                <w:szCs w:val="24"/>
              </w:rPr>
            </w:pPr>
            <w:r w:rsidRPr="00A55780">
              <w:rPr>
                <w:sz w:val="24"/>
                <w:szCs w:val="24"/>
              </w:rPr>
              <w:t>Glycerol</w:t>
            </w:r>
          </w:p>
        </w:tc>
        <w:tc>
          <w:tcPr>
            <w:tcW w:w="4394" w:type="dxa"/>
            <w:tcBorders>
              <w:top w:val="single" w:sz="4" w:space="0" w:color="000000"/>
              <w:left w:val="single" w:sz="4" w:space="0" w:color="000000"/>
              <w:bottom w:val="single" w:sz="4" w:space="0" w:color="000000"/>
              <w:right w:val="single" w:sz="4" w:space="0" w:color="000000"/>
            </w:tcBorders>
            <w:hideMark/>
          </w:tcPr>
          <w:p w14:paraId="6E383508" w14:textId="77777777" w:rsidR="00A55780" w:rsidRPr="00A55780" w:rsidRDefault="00A55780" w:rsidP="007C398A">
            <w:pPr>
              <w:ind w:left="142"/>
              <w:rPr>
                <w:sz w:val="24"/>
                <w:szCs w:val="24"/>
              </w:rPr>
            </w:pPr>
            <w:r w:rsidRPr="00A55780">
              <w:rPr>
                <w:sz w:val="24"/>
                <w:szCs w:val="24"/>
              </w:rPr>
              <w:t>-</w:t>
            </w:r>
          </w:p>
        </w:tc>
      </w:tr>
      <w:tr w:rsidR="00A55780" w:rsidRPr="00A55780" w14:paraId="0683D773"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1BEC2BEE" w14:textId="77777777" w:rsidR="00A55780" w:rsidRPr="00A55780" w:rsidRDefault="00A55780" w:rsidP="007C398A">
            <w:pPr>
              <w:ind w:left="142"/>
              <w:rPr>
                <w:sz w:val="24"/>
                <w:szCs w:val="24"/>
              </w:rPr>
            </w:pPr>
            <w:r w:rsidRPr="00A55780">
              <w:rPr>
                <w:sz w:val="24"/>
                <w:szCs w:val="24"/>
              </w:rPr>
              <w:t>Dinatriumfosfatdihydrat</w:t>
            </w:r>
          </w:p>
        </w:tc>
        <w:tc>
          <w:tcPr>
            <w:tcW w:w="4394" w:type="dxa"/>
            <w:tcBorders>
              <w:top w:val="single" w:sz="4" w:space="0" w:color="000000"/>
              <w:left w:val="single" w:sz="4" w:space="0" w:color="000000"/>
              <w:bottom w:val="single" w:sz="4" w:space="0" w:color="000000"/>
              <w:right w:val="single" w:sz="4" w:space="0" w:color="000000"/>
            </w:tcBorders>
            <w:hideMark/>
          </w:tcPr>
          <w:p w14:paraId="4E5DFB70" w14:textId="77777777" w:rsidR="00A55780" w:rsidRPr="00A55780" w:rsidRDefault="00A55780" w:rsidP="007C398A">
            <w:pPr>
              <w:ind w:left="142"/>
              <w:rPr>
                <w:sz w:val="24"/>
                <w:szCs w:val="24"/>
              </w:rPr>
            </w:pPr>
            <w:r w:rsidRPr="00A55780">
              <w:rPr>
                <w:sz w:val="24"/>
                <w:szCs w:val="24"/>
              </w:rPr>
              <w:t>-</w:t>
            </w:r>
          </w:p>
        </w:tc>
      </w:tr>
      <w:tr w:rsidR="00A55780" w:rsidRPr="00A55780" w14:paraId="7D438B41"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0AED0F80" w14:textId="77777777" w:rsidR="00A55780" w:rsidRPr="00A55780" w:rsidRDefault="00A55780" w:rsidP="007C398A">
            <w:pPr>
              <w:ind w:left="142"/>
              <w:rPr>
                <w:sz w:val="24"/>
                <w:szCs w:val="24"/>
              </w:rPr>
            </w:pPr>
            <w:r w:rsidRPr="00A55780">
              <w:rPr>
                <w:sz w:val="24"/>
                <w:szCs w:val="24"/>
              </w:rPr>
              <w:t xml:space="preserve">Natriumdihydrogenfosfatdihydrat </w:t>
            </w:r>
          </w:p>
        </w:tc>
        <w:tc>
          <w:tcPr>
            <w:tcW w:w="4394" w:type="dxa"/>
            <w:tcBorders>
              <w:top w:val="single" w:sz="4" w:space="0" w:color="000000"/>
              <w:left w:val="single" w:sz="4" w:space="0" w:color="000000"/>
              <w:bottom w:val="single" w:sz="4" w:space="0" w:color="000000"/>
              <w:right w:val="single" w:sz="4" w:space="0" w:color="000000"/>
            </w:tcBorders>
            <w:hideMark/>
          </w:tcPr>
          <w:p w14:paraId="4378683C" w14:textId="77777777" w:rsidR="00A55780" w:rsidRPr="00A55780" w:rsidRDefault="00A55780" w:rsidP="007C398A">
            <w:pPr>
              <w:ind w:left="142"/>
              <w:rPr>
                <w:sz w:val="24"/>
                <w:szCs w:val="24"/>
              </w:rPr>
            </w:pPr>
            <w:r w:rsidRPr="00A55780">
              <w:rPr>
                <w:sz w:val="24"/>
                <w:szCs w:val="24"/>
              </w:rPr>
              <w:t>-</w:t>
            </w:r>
          </w:p>
        </w:tc>
      </w:tr>
      <w:tr w:rsidR="00A55780" w:rsidRPr="00A55780" w14:paraId="53803A5F"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23422511" w14:textId="77777777" w:rsidR="00A55780" w:rsidRPr="00A55780" w:rsidRDefault="00A55780" w:rsidP="007C398A">
            <w:pPr>
              <w:ind w:left="142"/>
              <w:rPr>
                <w:sz w:val="24"/>
                <w:szCs w:val="24"/>
              </w:rPr>
            </w:pPr>
            <w:r w:rsidRPr="00A55780">
              <w:rPr>
                <w:sz w:val="24"/>
                <w:szCs w:val="24"/>
              </w:rPr>
              <w:t xml:space="preserve">Citronsyre </w:t>
            </w:r>
          </w:p>
        </w:tc>
        <w:tc>
          <w:tcPr>
            <w:tcW w:w="4394" w:type="dxa"/>
            <w:tcBorders>
              <w:top w:val="single" w:sz="4" w:space="0" w:color="000000"/>
              <w:left w:val="single" w:sz="4" w:space="0" w:color="000000"/>
              <w:bottom w:val="single" w:sz="4" w:space="0" w:color="000000"/>
              <w:right w:val="single" w:sz="4" w:space="0" w:color="000000"/>
            </w:tcBorders>
            <w:hideMark/>
          </w:tcPr>
          <w:p w14:paraId="3B94B8BF" w14:textId="77777777" w:rsidR="00A55780" w:rsidRPr="00A55780" w:rsidRDefault="00A55780" w:rsidP="007C398A">
            <w:pPr>
              <w:ind w:left="142"/>
              <w:rPr>
                <w:sz w:val="24"/>
                <w:szCs w:val="24"/>
              </w:rPr>
            </w:pPr>
            <w:r w:rsidRPr="00A55780">
              <w:rPr>
                <w:sz w:val="24"/>
                <w:szCs w:val="24"/>
              </w:rPr>
              <w:t>-</w:t>
            </w:r>
          </w:p>
        </w:tc>
      </w:tr>
      <w:tr w:rsidR="00A55780" w:rsidRPr="00A55780" w14:paraId="740693E3"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794C372F" w14:textId="77777777" w:rsidR="00A55780" w:rsidRPr="00A55780" w:rsidRDefault="00A55780" w:rsidP="007C398A">
            <w:pPr>
              <w:ind w:left="142"/>
              <w:rPr>
                <w:sz w:val="24"/>
                <w:szCs w:val="24"/>
              </w:rPr>
            </w:pPr>
            <w:r w:rsidRPr="00A55780">
              <w:rPr>
                <w:sz w:val="24"/>
                <w:szCs w:val="24"/>
              </w:rPr>
              <w:t>Simeticon-emulsion</w:t>
            </w:r>
          </w:p>
        </w:tc>
        <w:tc>
          <w:tcPr>
            <w:tcW w:w="4394" w:type="dxa"/>
            <w:tcBorders>
              <w:top w:val="single" w:sz="4" w:space="0" w:color="000000"/>
              <w:left w:val="single" w:sz="4" w:space="0" w:color="000000"/>
              <w:bottom w:val="single" w:sz="4" w:space="0" w:color="000000"/>
              <w:right w:val="single" w:sz="4" w:space="0" w:color="000000"/>
            </w:tcBorders>
            <w:hideMark/>
          </w:tcPr>
          <w:p w14:paraId="7BEDFCC2" w14:textId="77777777" w:rsidR="00A55780" w:rsidRPr="00A55780" w:rsidRDefault="00A55780" w:rsidP="007C398A">
            <w:pPr>
              <w:ind w:left="142"/>
              <w:rPr>
                <w:sz w:val="24"/>
                <w:szCs w:val="24"/>
              </w:rPr>
            </w:pPr>
            <w:r w:rsidRPr="00A55780">
              <w:rPr>
                <w:sz w:val="24"/>
                <w:szCs w:val="24"/>
              </w:rPr>
              <w:t>-</w:t>
            </w:r>
          </w:p>
        </w:tc>
      </w:tr>
      <w:tr w:rsidR="00A55780" w:rsidRPr="00A55780" w14:paraId="4B0C7190"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3B645D95" w14:textId="77777777" w:rsidR="00A55780" w:rsidRPr="00A55780" w:rsidRDefault="00A55780" w:rsidP="007C398A">
            <w:pPr>
              <w:ind w:left="142"/>
              <w:rPr>
                <w:sz w:val="24"/>
                <w:szCs w:val="24"/>
              </w:rPr>
            </w:pPr>
            <w:r w:rsidRPr="00A55780">
              <w:rPr>
                <w:sz w:val="24"/>
                <w:szCs w:val="24"/>
              </w:rPr>
              <w:t>Honningsmag</w:t>
            </w:r>
          </w:p>
        </w:tc>
        <w:tc>
          <w:tcPr>
            <w:tcW w:w="4394" w:type="dxa"/>
            <w:tcBorders>
              <w:top w:val="single" w:sz="4" w:space="0" w:color="000000"/>
              <w:left w:val="single" w:sz="4" w:space="0" w:color="000000"/>
              <w:bottom w:val="single" w:sz="4" w:space="0" w:color="000000"/>
              <w:right w:val="single" w:sz="4" w:space="0" w:color="000000"/>
            </w:tcBorders>
            <w:hideMark/>
          </w:tcPr>
          <w:p w14:paraId="1466E92F" w14:textId="77777777" w:rsidR="00A55780" w:rsidRPr="00A55780" w:rsidRDefault="00A55780" w:rsidP="007C398A">
            <w:pPr>
              <w:ind w:left="142"/>
              <w:rPr>
                <w:sz w:val="24"/>
                <w:szCs w:val="24"/>
              </w:rPr>
            </w:pPr>
            <w:r w:rsidRPr="00A55780">
              <w:rPr>
                <w:sz w:val="24"/>
                <w:szCs w:val="24"/>
              </w:rPr>
              <w:t>-</w:t>
            </w:r>
          </w:p>
        </w:tc>
      </w:tr>
      <w:tr w:rsidR="00A55780" w:rsidRPr="00A55780" w14:paraId="0D26EB46" w14:textId="77777777" w:rsidTr="007C398A">
        <w:trPr>
          <w:trHeight w:hRule="exact" w:val="390"/>
        </w:trPr>
        <w:tc>
          <w:tcPr>
            <w:tcW w:w="4394" w:type="dxa"/>
            <w:tcBorders>
              <w:top w:val="single" w:sz="4" w:space="0" w:color="000000"/>
              <w:left w:val="single" w:sz="4" w:space="0" w:color="000000"/>
              <w:bottom w:val="single" w:sz="4" w:space="0" w:color="000000"/>
              <w:right w:val="single" w:sz="4" w:space="0" w:color="000000"/>
            </w:tcBorders>
            <w:hideMark/>
          </w:tcPr>
          <w:p w14:paraId="376D71B6" w14:textId="77777777" w:rsidR="00A55780" w:rsidRPr="00A55780" w:rsidRDefault="00A55780" w:rsidP="007C398A">
            <w:pPr>
              <w:ind w:left="142"/>
              <w:rPr>
                <w:sz w:val="24"/>
                <w:szCs w:val="24"/>
              </w:rPr>
            </w:pPr>
            <w:r w:rsidRPr="00A55780">
              <w:rPr>
                <w:sz w:val="24"/>
                <w:szCs w:val="24"/>
              </w:rPr>
              <w:t>Renset vand</w:t>
            </w:r>
          </w:p>
        </w:tc>
        <w:tc>
          <w:tcPr>
            <w:tcW w:w="4394" w:type="dxa"/>
            <w:tcBorders>
              <w:top w:val="single" w:sz="4" w:space="0" w:color="000000"/>
              <w:left w:val="single" w:sz="4" w:space="0" w:color="000000"/>
              <w:bottom w:val="single" w:sz="4" w:space="0" w:color="000000"/>
              <w:right w:val="single" w:sz="4" w:space="0" w:color="000000"/>
            </w:tcBorders>
          </w:tcPr>
          <w:p w14:paraId="7CB02922" w14:textId="77777777" w:rsidR="00A55780" w:rsidRPr="00A55780" w:rsidRDefault="00A55780" w:rsidP="007C398A">
            <w:pPr>
              <w:ind w:left="142"/>
              <w:rPr>
                <w:sz w:val="24"/>
                <w:szCs w:val="24"/>
              </w:rPr>
            </w:pPr>
          </w:p>
        </w:tc>
      </w:tr>
    </w:tbl>
    <w:p w14:paraId="291CA1E4" w14:textId="77777777" w:rsidR="00A55780" w:rsidRPr="00A55780" w:rsidRDefault="00A55780" w:rsidP="00A55780">
      <w:pPr>
        <w:ind w:left="851"/>
        <w:rPr>
          <w:sz w:val="24"/>
          <w:szCs w:val="24"/>
        </w:rPr>
      </w:pPr>
    </w:p>
    <w:p w14:paraId="4A7B69EA" w14:textId="77777777" w:rsidR="00A55780" w:rsidRPr="00A55780" w:rsidRDefault="00A55780" w:rsidP="00A55780">
      <w:pPr>
        <w:ind w:left="851"/>
        <w:rPr>
          <w:sz w:val="24"/>
          <w:szCs w:val="24"/>
        </w:rPr>
      </w:pPr>
      <w:bookmarkStart w:id="0" w:name="_Hlk219839568"/>
      <w:r w:rsidRPr="00A55780">
        <w:rPr>
          <w:sz w:val="24"/>
          <w:szCs w:val="24"/>
        </w:rPr>
        <w:lastRenderedPageBreak/>
        <w:t xml:space="preserve">Farveløs til lysegul, uigennemsigtig opløsning </w:t>
      </w:r>
      <w:bookmarkEnd w:id="0"/>
    </w:p>
    <w:p w14:paraId="28F0228C" w14:textId="77777777" w:rsidR="008203A8" w:rsidRPr="008A5C19" w:rsidRDefault="008203A8" w:rsidP="008203A8">
      <w:pPr>
        <w:ind w:left="851"/>
        <w:rPr>
          <w:sz w:val="24"/>
          <w:szCs w:val="24"/>
        </w:rPr>
      </w:pPr>
    </w:p>
    <w:p w14:paraId="1F6A1AEB" w14:textId="77777777" w:rsidR="008203A8" w:rsidRPr="008A5C19" w:rsidRDefault="008203A8" w:rsidP="008203A8">
      <w:pPr>
        <w:ind w:left="851"/>
        <w:rPr>
          <w:sz w:val="24"/>
          <w:szCs w:val="24"/>
        </w:rPr>
      </w:pPr>
    </w:p>
    <w:p w14:paraId="44977CD7" w14:textId="77777777" w:rsidR="008203A8" w:rsidRPr="008A5C19" w:rsidRDefault="008203A8" w:rsidP="008203A8">
      <w:pPr>
        <w:ind w:left="851" w:hanging="851"/>
        <w:rPr>
          <w:b/>
          <w:sz w:val="24"/>
          <w:szCs w:val="24"/>
        </w:rPr>
      </w:pPr>
      <w:r w:rsidRPr="008A5C19">
        <w:rPr>
          <w:b/>
          <w:sz w:val="24"/>
          <w:szCs w:val="24"/>
        </w:rPr>
        <w:t>3.</w:t>
      </w:r>
      <w:r w:rsidRPr="008A5C19">
        <w:rPr>
          <w:b/>
          <w:sz w:val="24"/>
          <w:szCs w:val="24"/>
        </w:rPr>
        <w:tab/>
        <w:t>KLINISKE OPLYSNINGER</w:t>
      </w:r>
    </w:p>
    <w:p w14:paraId="029D2B49" w14:textId="77777777" w:rsidR="008203A8" w:rsidRPr="008A5C19" w:rsidRDefault="008203A8" w:rsidP="008203A8">
      <w:pPr>
        <w:tabs>
          <w:tab w:val="left" w:pos="851"/>
        </w:tabs>
        <w:ind w:left="851"/>
        <w:rPr>
          <w:sz w:val="24"/>
          <w:szCs w:val="24"/>
        </w:rPr>
      </w:pPr>
    </w:p>
    <w:p w14:paraId="62924790" w14:textId="77777777" w:rsidR="008203A8" w:rsidRPr="008A5C19" w:rsidRDefault="008203A8" w:rsidP="008203A8">
      <w:pPr>
        <w:ind w:left="851" w:hanging="851"/>
        <w:rPr>
          <w:b/>
          <w:sz w:val="24"/>
          <w:szCs w:val="24"/>
          <w:u w:val="single"/>
        </w:rPr>
      </w:pPr>
      <w:r w:rsidRPr="008A5C19">
        <w:rPr>
          <w:b/>
          <w:sz w:val="24"/>
          <w:szCs w:val="24"/>
        </w:rPr>
        <w:t>3.1</w:t>
      </w:r>
      <w:r w:rsidRPr="008A5C19">
        <w:rPr>
          <w:b/>
          <w:sz w:val="24"/>
          <w:szCs w:val="24"/>
        </w:rPr>
        <w:tab/>
        <w:t>Dyrearter, som lægemidlet er beregnet til</w:t>
      </w:r>
    </w:p>
    <w:p w14:paraId="37C1AE6D" w14:textId="77777777" w:rsidR="00A55780" w:rsidRPr="00A55780" w:rsidRDefault="00A55780" w:rsidP="00A55780">
      <w:pPr>
        <w:ind w:left="851"/>
        <w:rPr>
          <w:bCs/>
          <w:sz w:val="24"/>
          <w:szCs w:val="24"/>
        </w:rPr>
      </w:pPr>
      <w:r w:rsidRPr="00A55780">
        <w:rPr>
          <w:sz w:val="24"/>
          <w:szCs w:val="24"/>
        </w:rPr>
        <w:t>Kat.</w:t>
      </w:r>
    </w:p>
    <w:p w14:paraId="7429BC6B" w14:textId="77777777" w:rsidR="008203A8" w:rsidRPr="008A5C19" w:rsidRDefault="008203A8" w:rsidP="008203A8">
      <w:pPr>
        <w:ind w:left="851"/>
        <w:rPr>
          <w:sz w:val="24"/>
          <w:szCs w:val="24"/>
        </w:rPr>
      </w:pPr>
    </w:p>
    <w:p w14:paraId="002E5740" w14:textId="77777777" w:rsidR="008203A8" w:rsidRPr="008A5C19" w:rsidRDefault="008203A8" w:rsidP="008203A8">
      <w:pPr>
        <w:pStyle w:val="Sidehoved"/>
        <w:tabs>
          <w:tab w:val="clear" w:pos="4819"/>
        </w:tabs>
        <w:ind w:left="851" w:hanging="851"/>
        <w:rPr>
          <w:b/>
          <w:szCs w:val="24"/>
        </w:rPr>
      </w:pPr>
      <w:r w:rsidRPr="008A5C19">
        <w:rPr>
          <w:b/>
          <w:szCs w:val="24"/>
        </w:rPr>
        <w:t>3.2</w:t>
      </w:r>
      <w:r w:rsidRPr="008A5C19">
        <w:rPr>
          <w:b/>
          <w:szCs w:val="24"/>
        </w:rPr>
        <w:tab/>
        <w:t>Terapeutiske indikationer for hver dyreart, som lægemidlet er beregnet til</w:t>
      </w:r>
    </w:p>
    <w:p w14:paraId="19E168B8" w14:textId="77777777" w:rsidR="007C398A" w:rsidRPr="007C398A" w:rsidRDefault="007C398A" w:rsidP="007C398A">
      <w:pPr>
        <w:pStyle w:val="Sidehoved"/>
        <w:ind w:left="851"/>
        <w:rPr>
          <w:szCs w:val="24"/>
        </w:rPr>
      </w:pPr>
      <w:r w:rsidRPr="007C398A">
        <w:rPr>
          <w:szCs w:val="24"/>
        </w:rPr>
        <w:t xml:space="preserve">Til stabilisering af hyperthyreoidisme før kirurgisk thyroidektomi. </w:t>
      </w:r>
    </w:p>
    <w:p w14:paraId="777B1A61" w14:textId="77777777" w:rsidR="007C398A" w:rsidRPr="007C398A" w:rsidRDefault="007C398A" w:rsidP="007C398A">
      <w:pPr>
        <w:pStyle w:val="Sidehoved"/>
        <w:ind w:left="851"/>
        <w:rPr>
          <w:szCs w:val="24"/>
        </w:rPr>
      </w:pPr>
      <w:r w:rsidRPr="007C398A">
        <w:rPr>
          <w:szCs w:val="24"/>
        </w:rPr>
        <w:t>Til langtidsbehandling af hyperthyreoidisme hos katte.</w:t>
      </w:r>
    </w:p>
    <w:p w14:paraId="052B5EA0" w14:textId="77777777" w:rsidR="008203A8" w:rsidRPr="008A5C19" w:rsidRDefault="008203A8" w:rsidP="008203A8">
      <w:pPr>
        <w:pStyle w:val="Sidehoved"/>
        <w:ind w:left="851"/>
        <w:rPr>
          <w:szCs w:val="24"/>
        </w:rPr>
      </w:pPr>
    </w:p>
    <w:p w14:paraId="6BD9E13A" w14:textId="77777777" w:rsidR="008203A8" w:rsidRPr="008A5C19" w:rsidRDefault="008203A8" w:rsidP="008203A8">
      <w:pPr>
        <w:pStyle w:val="Sidehoved"/>
        <w:tabs>
          <w:tab w:val="clear" w:pos="4819"/>
          <w:tab w:val="left" w:pos="851"/>
        </w:tabs>
        <w:ind w:left="851" w:hanging="851"/>
        <w:rPr>
          <w:b/>
          <w:szCs w:val="24"/>
        </w:rPr>
      </w:pPr>
      <w:r w:rsidRPr="008A5C19">
        <w:rPr>
          <w:b/>
          <w:szCs w:val="24"/>
        </w:rPr>
        <w:t>3.3</w:t>
      </w:r>
      <w:r w:rsidRPr="008A5C19">
        <w:rPr>
          <w:b/>
          <w:szCs w:val="24"/>
        </w:rPr>
        <w:tab/>
        <w:t>Kontraindikationer</w:t>
      </w:r>
    </w:p>
    <w:p w14:paraId="1BF54A12" w14:textId="77777777" w:rsidR="007C398A" w:rsidRPr="007C398A" w:rsidRDefault="007C398A" w:rsidP="007C398A">
      <w:pPr>
        <w:pStyle w:val="Sidehoved"/>
        <w:ind w:left="851"/>
        <w:rPr>
          <w:szCs w:val="24"/>
        </w:rPr>
      </w:pPr>
      <w:r w:rsidRPr="007C398A">
        <w:rPr>
          <w:szCs w:val="24"/>
        </w:rPr>
        <w:t>Må ikke anvendes til katte, der lider af systemisk sygdom som primær leversygdom eller diabetes mellitus.</w:t>
      </w:r>
    </w:p>
    <w:p w14:paraId="2C275C52" w14:textId="77777777" w:rsidR="007C398A" w:rsidRPr="007C398A" w:rsidRDefault="007C398A" w:rsidP="007C398A">
      <w:pPr>
        <w:pStyle w:val="Sidehoved"/>
        <w:ind w:left="851"/>
        <w:rPr>
          <w:szCs w:val="24"/>
        </w:rPr>
      </w:pPr>
      <w:r w:rsidRPr="007C398A">
        <w:rPr>
          <w:szCs w:val="24"/>
        </w:rPr>
        <w:t>Må ikke anvendes til katte, der viser tegn på autoimmun sygdom.</w:t>
      </w:r>
    </w:p>
    <w:p w14:paraId="7D0D9013" w14:textId="77777777" w:rsidR="007C398A" w:rsidRPr="007C398A" w:rsidRDefault="007C398A" w:rsidP="007C398A">
      <w:pPr>
        <w:pStyle w:val="Sidehoved"/>
        <w:ind w:left="851"/>
        <w:rPr>
          <w:szCs w:val="24"/>
        </w:rPr>
      </w:pPr>
      <w:r w:rsidRPr="007C398A">
        <w:rPr>
          <w:szCs w:val="24"/>
        </w:rPr>
        <w:t>Må ikke anvendes til dyr med sygdomme i hvide blodlegemer, såsom neutropeni og lymfopeni.</w:t>
      </w:r>
    </w:p>
    <w:p w14:paraId="0C5D2463" w14:textId="77777777" w:rsidR="007C398A" w:rsidRPr="007C398A" w:rsidRDefault="007C398A" w:rsidP="007C398A">
      <w:pPr>
        <w:pStyle w:val="Sidehoved"/>
        <w:ind w:left="851"/>
        <w:rPr>
          <w:szCs w:val="24"/>
        </w:rPr>
      </w:pPr>
      <w:r w:rsidRPr="007C398A">
        <w:rPr>
          <w:szCs w:val="24"/>
        </w:rPr>
        <w:t>Må ikke anvendes til dyr med trombocytforstyrrelser og koagulopatier (især trombocytopeni).</w:t>
      </w:r>
    </w:p>
    <w:p w14:paraId="6C49AAA0" w14:textId="191FD0BE" w:rsidR="007C398A" w:rsidRPr="007C398A" w:rsidRDefault="007C398A" w:rsidP="007C398A">
      <w:pPr>
        <w:pStyle w:val="Sidehoved"/>
        <w:ind w:left="851"/>
        <w:rPr>
          <w:szCs w:val="24"/>
        </w:rPr>
      </w:pPr>
      <w:r w:rsidRPr="007C398A">
        <w:rPr>
          <w:szCs w:val="24"/>
        </w:rPr>
        <w:t xml:space="preserve">Må ikke anvendes til drægtige eller diegivende dyr. Se </w:t>
      </w:r>
      <w:r w:rsidR="008A5C19">
        <w:rPr>
          <w:szCs w:val="24"/>
        </w:rPr>
        <w:t>pkt.</w:t>
      </w:r>
      <w:r w:rsidRPr="007C398A">
        <w:rPr>
          <w:szCs w:val="24"/>
        </w:rPr>
        <w:t xml:space="preserve"> 3.7.</w:t>
      </w:r>
    </w:p>
    <w:p w14:paraId="6123B2F6" w14:textId="77777777" w:rsidR="007C398A" w:rsidRPr="007C398A" w:rsidRDefault="007C398A" w:rsidP="007C398A">
      <w:pPr>
        <w:pStyle w:val="Sidehoved"/>
        <w:ind w:left="851"/>
        <w:rPr>
          <w:szCs w:val="24"/>
        </w:rPr>
      </w:pPr>
      <w:r w:rsidRPr="007C398A">
        <w:rPr>
          <w:szCs w:val="24"/>
        </w:rPr>
        <w:t>Må ikke anvendes i tilfælde af overfølsomhed over for det aktive stof eller over for et eller flere af hjælpestofferne.</w:t>
      </w:r>
    </w:p>
    <w:p w14:paraId="0F40DDBD" w14:textId="77777777" w:rsidR="008203A8" w:rsidRPr="008A5C19" w:rsidRDefault="008203A8" w:rsidP="008203A8">
      <w:pPr>
        <w:pStyle w:val="Sidehoved"/>
        <w:tabs>
          <w:tab w:val="clear" w:pos="4819"/>
        </w:tabs>
        <w:ind w:left="851"/>
        <w:rPr>
          <w:szCs w:val="24"/>
        </w:rPr>
      </w:pPr>
    </w:p>
    <w:p w14:paraId="46876457" w14:textId="77777777" w:rsidR="008203A8" w:rsidRPr="008A5C19" w:rsidRDefault="008203A8" w:rsidP="008203A8">
      <w:pPr>
        <w:tabs>
          <w:tab w:val="left" w:pos="851"/>
        </w:tabs>
        <w:ind w:left="851" w:hanging="851"/>
        <w:rPr>
          <w:b/>
          <w:sz w:val="24"/>
          <w:szCs w:val="24"/>
        </w:rPr>
      </w:pPr>
      <w:r w:rsidRPr="008A5C19">
        <w:rPr>
          <w:b/>
          <w:sz w:val="24"/>
          <w:szCs w:val="24"/>
        </w:rPr>
        <w:t>3.4</w:t>
      </w:r>
      <w:r w:rsidRPr="008A5C19">
        <w:rPr>
          <w:b/>
          <w:sz w:val="24"/>
          <w:szCs w:val="24"/>
        </w:rPr>
        <w:tab/>
        <w:t>Særlige advarsler</w:t>
      </w:r>
    </w:p>
    <w:p w14:paraId="5CD8E5F2" w14:textId="77777777" w:rsidR="007C398A" w:rsidRPr="007C398A" w:rsidRDefault="007C398A" w:rsidP="007C398A">
      <w:pPr>
        <w:pStyle w:val="Sidehoved"/>
        <w:ind w:left="851"/>
        <w:rPr>
          <w:szCs w:val="24"/>
        </w:rPr>
      </w:pPr>
      <w:r w:rsidRPr="007C398A">
        <w:rPr>
          <w:szCs w:val="24"/>
        </w:rPr>
        <w:t>For at forbedre stabiliseringen af hyperthyreoidisme patienten bør der anvendes samme fodrings- og doseringsplan dagligt.</w:t>
      </w:r>
    </w:p>
    <w:p w14:paraId="3D72956A" w14:textId="77777777" w:rsidR="008203A8" w:rsidRPr="008A5C19" w:rsidRDefault="008203A8" w:rsidP="008203A8">
      <w:pPr>
        <w:pStyle w:val="Sidehoved"/>
        <w:tabs>
          <w:tab w:val="clear" w:pos="4819"/>
        </w:tabs>
        <w:ind w:left="851"/>
        <w:rPr>
          <w:szCs w:val="24"/>
        </w:rPr>
      </w:pPr>
    </w:p>
    <w:p w14:paraId="6FDAC8AA" w14:textId="77777777" w:rsidR="008203A8" w:rsidRPr="008A5C19" w:rsidRDefault="008203A8" w:rsidP="008203A8">
      <w:pPr>
        <w:tabs>
          <w:tab w:val="left" w:pos="851"/>
        </w:tabs>
        <w:ind w:left="851" w:hanging="851"/>
        <w:rPr>
          <w:b/>
          <w:sz w:val="24"/>
          <w:szCs w:val="24"/>
        </w:rPr>
      </w:pPr>
      <w:r w:rsidRPr="008A5C19">
        <w:rPr>
          <w:b/>
          <w:sz w:val="24"/>
          <w:szCs w:val="24"/>
        </w:rPr>
        <w:t>3.5</w:t>
      </w:r>
      <w:r w:rsidRPr="008A5C19">
        <w:rPr>
          <w:b/>
          <w:sz w:val="24"/>
          <w:szCs w:val="24"/>
        </w:rPr>
        <w:tab/>
        <w:t>Særlige forholdsregler vedrørende brugen</w:t>
      </w:r>
    </w:p>
    <w:p w14:paraId="375114B3" w14:textId="77777777" w:rsidR="008203A8" w:rsidRPr="008A5C19" w:rsidRDefault="008203A8" w:rsidP="008203A8">
      <w:pPr>
        <w:tabs>
          <w:tab w:val="left" w:pos="851"/>
        </w:tabs>
        <w:ind w:left="851"/>
        <w:rPr>
          <w:sz w:val="24"/>
          <w:szCs w:val="24"/>
        </w:rPr>
      </w:pPr>
    </w:p>
    <w:p w14:paraId="3C93E315" w14:textId="77777777" w:rsidR="008203A8" w:rsidRPr="008A5C19" w:rsidRDefault="008203A8" w:rsidP="008203A8">
      <w:pPr>
        <w:tabs>
          <w:tab w:val="left" w:pos="851"/>
        </w:tabs>
        <w:ind w:left="851"/>
        <w:rPr>
          <w:sz w:val="24"/>
          <w:szCs w:val="24"/>
          <w:u w:val="single"/>
        </w:rPr>
      </w:pPr>
      <w:r w:rsidRPr="008A5C19">
        <w:rPr>
          <w:sz w:val="24"/>
          <w:szCs w:val="24"/>
          <w:u w:val="single"/>
        </w:rPr>
        <w:t>Særlige forholdsregler vedrørende sikker brug hos de dyrearter, som lægemidlet er beregnet til</w:t>
      </w:r>
    </w:p>
    <w:p w14:paraId="279100E0" w14:textId="77777777" w:rsidR="007C398A" w:rsidRPr="007C398A" w:rsidRDefault="007C398A" w:rsidP="007C398A">
      <w:pPr>
        <w:numPr>
          <w:ilvl w:val="0"/>
          <w:numId w:val="4"/>
        </w:numPr>
        <w:ind w:left="1276" w:hanging="425"/>
        <w:rPr>
          <w:sz w:val="24"/>
          <w:szCs w:val="24"/>
        </w:rPr>
      </w:pPr>
      <w:r w:rsidRPr="007C398A">
        <w:rPr>
          <w:sz w:val="24"/>
          <w:szCs w:val="24"/>
        </w:rPr>
        <w:t>Hvis der kræves mere end 10 mg thiamazol pr. dag (2 ml af veterinærlægemidlet), bør dyrene overvåges særlig omhyggeligt.</w:t>
      </w:r>
    </w:p>
    <w:p w14:paraId="00DB6B38" w14:textId="77777777" w:rsidR="007C398A" w:rsidRPr="007C398A" w:rsidRDefault="007C398A" w:rsidP="007C398A">
      <w:pPr>
        <w:ind w:left="1276" w:hanging="425"/>
        <w:rPr>
          <w:sz w:val="24"/>
          <w:szCs w:val="24"/>
        </w:rPr>
      </w:pPr>
    </w:p>
    <w:p w14:paraId="7CACEEA6" w14:textId="77777777" w:rsidR="007C398A" w:rsidRPr="007C398A" w:rsidRDefault="007C398A" w:rsidP="007C398A">
      <w:pPr>
        <w:numPr>
          <w:ilvl w:val="0"/>
          <w:numId w:val="4"/>
        </w:numPr>
        <w:ind w:left="1276" w:hanging="425"/>
        <w:rPr>
          <w:sz w:val="24"/>
          <w:szCs w:val="24"/>
        </w:rPr>
      </w:pPr>
      <w:r w:rsidRPr="007C398A">
        <w:rPr>
          <w:sz w:val="24"/>
          <w:szCs w:val="24"/>
        </w:rPr>
        <w:t>Brug af veterinærlægemidlet til katte med nedsat nyrefunktion bør underkastes en omhyggelig vurdering af fordele og risici af klinikeren. På grund af den virkning, som thiamazol kan have på reduktionen af den glomerulære filtrationshastighed, bør behandlingens virkning på nyrefunktionen overvåges nøje, da der kan forekomme forværring af en underliggende lidelse.</w:t>
      </w:r>
    </w:p>
    <w:p w14:paraId="114C5610" w14:textId="77777777" w:rsidR="007C398A" w:rsidRPr="007C398A" w:rsidRDefault="007C398A" w:rsidP="007C398A">
      <w:pPr>
        <w:ind w:left="1276" w:hanging="425"/>
        <w:rPr>
          <w:sz w:val="24"/>
          <w:szCs w:val="24"/>
        </w:rPr>
      </w:pPr>
    </w:p>
    <w:p w14:paraId="388E574A" w14:textId="77777777" w:rsidR="007C398A" w:rsidRPr="007C398A" w:rsidRDefault="007C398A" w:rsidP="007C398A">
      <w:pPr>
        <w:numPr>
          <w:ilvl w:val="0"/>
          <w:numId w:val="4"/>
        </w:numPr>
        <w:ind w:left="1276" w:hanging="425"/>
        <w:rPr>
          <w:sz w:val="24"/>
          <w:szCs w:val="24"/>
        </w:rPr>
      </w:pPr>
      <w:r w:rsidRPr="007C398A">
        <w:rPr>
          <w:sz w:val="24"/>
          <w:szCs w:val="24"/>
        </w:rPr>
        <w:t>Hæmatologien skal overvåges på grund af risiko for leukopeni eller hæmolytisk anæmi.</w:t>
      </w:r>
    </w:p>
    <w:p w14:paraId="47B7838E" w14:textId="77777777" w:rsidR="007C398A" w:rsidRPr="007C398A" w:rsidRDefault="007C398A" w:rsidP="007C398A">
      <w:pPr>
        <w:ind w:left="1276" w:hanging="425"/>
        <w:rPr>
          <w:sz w:val="24"/>
          <w:szCs w:val="24"/>
        </w:rPr>
      </w:pPr>
    </w:p>
    <w:p w14:paraId="663EB7F9" w14:textId="77777777" w:rsidR="007C398A" w:rsidRPr="007C398A" w:rsidRDefault="007C398A" w:rsidP="007C398A">
      <w:pPr>
        <w:numPr>
          <w:ilvl w:val="0"/>
          <w:numId w:val="4"/>
        </w:numPr>
        <w:ind w:left="1276" w:hanging="425"/>
        <w:rPr>
          <w:sz w:val="24"/>
          <w:szCs w:val="24"/>
        </w:rPr>
      </w:pPr>
      <w:r w:rsidRPr="007C398A">
        <w:rPr>
          <w:sz w:val="24"/>
          <w:szCs w:val="24"/>
        </w:rPr>
        <w:t>Ethvert dyr, der pludselig viser sig utilpas under behandlingen, især hvis de er febrile, bør få taget en blodprøve til rutinemæssig hæmatologi og biokemi.</w:t>
      </w:r>
    </w:p>
    <w:p w14:paraId="0F24C00C" w14:textId="77777777" w:rsidR="007C398A" w:rsidRPr="007C398A" w:rsidRDefault="007C398A" w:rsidP="007C398A">
      <w:pPr>
        <w:ind w:left="1276" w:hanging="425"/>
        <w:rPr>
          <w:sz w:val="24"/>
          <w:szCs w:val="24"/>
        </w:rPr>
      </w:pPr>
    </w:p>
    <w:p w14:paraId="0FE8581D" w14:textId="77777777" w:rsidR="007C398A" w:rsidRPr="007C398A" w:rsidRDefault="007C398A" w:rsidP="007C398A">
      <w:pPr>
        <w:numPr>
          <w:ilvl w:val="0"/>
          <w:numId w:val="4"/>
        </w:numPr>
        <w:ind w:left="1276" w:hanging="425"/>
        <w:rPr>
          <w:sz w:val="24"/>
          <w:szCs w:val="24"/>
        </w:rPr>
      </w:pPr>
      <w:r w:rsidRPr="007C398A">
        <w:rPr>
          <w:sz w:val="24"/>
          <w:szCs w:val="24"/>
        </w:rPr>
        <w:t>Neutropeniske dyr (neutrofiltal &lt; 2,5 x 10⁹/liter) bør behandles med profylaktiske, bakteriedræbende, antibakterielle lægemidler og støttende behandling.</w:t>
      </w:r>
    </w:p>
    <w:p w14:paraId="5F891C83" w14:textId="77777777" w:rsidR="007C398A" w:rsidRPr="007C398A" w:rsidRDefault="007C398A" w:rsidP="007C398A">
      <w:pPr>
        <w:ind w:left="1276" w:hanging="425"/>
        <w:rPr>
          <w:sz w:val="24"/>
          <w:szCs w:val="24"/>
        </w:rPr>
      </w:pPr>
    </w:p>
    <w:p w14:paraId="2A17AE79" w14:textId="77777777" w:rsidR="007C398A" w:rsidRPr="007C398A" w:rsidRDefault="007C398A" w:rsidP="007C398A">
      <w:pPr>
        <w:numPr>
          <w:ilvl w:val="0"/>
          <w:numId w:val="4"/>
        </w:numPr>
        <w:ind w:left="1276" w:hanging="425"/>
        <w:rPr>
          <w:sz w:val="24"/>
          <w:szCs w:val="24"/>
        </w:rPr>
      </w:pPr>
      <w:r w:rsidRPr="007C398A">
        <w:rPr>
          <w:sz w:val="24"/>
          <w:szCs w:val="24"/>
        </w:rPr>
        <w:lastRenderedPageBreak/>
        <w:t>Da thiamazol kan forårsage hæmokoncentration, bør katte altid have adgang til drikkevand.</w:t>
      </w:r>
    </w:p>
    <w:p w14:paraId="698D2C79" w14:textId="7C1BCCB0" w:rsidR="007C398A" w:rsidRPr="007C398A" w:rsidRDefault="007C398A" w:rsidP="008A5C19">
      <w:pPr>
        <w:ind w:left="1276"/>
        <w:rPr>
          <w:sz w:val="24"/>
          <w:szCs w:val="24"/>
        </w:rPr>
      </w:pPr>
      <w:r w:rsidRPr="007C398A">
        <w:rPr>
          <w:sz w:val="24"/>
          <w:szCs w:val="24"/>
        </w:rPr>
        <w:t xml:space="preserve">Der henvises til </w:t>
      </w:r>
      <w:r w:rsidR="008A5C19">
        <w:rPr>
          <w:sz w:val="24"/>
          <w:szCs w:val="24"/>
        </w:rPr>
        <w:t>pkt.</w:t>
      </w:r>
      <w:r w:rsidRPr="007C398A">
        <w:rPr>
          <w:sz w:val="24"/>
          <w:szCs w:val="24"/>
        </w:rPr>
        <w:t xml:space="preserve"> 3.9 for monitoreringsinstruktioner.</w:t>
      </w:r>
    </w:p>
    <w:p w14:paraId="67D6754B" w14:textId="77777777" w:rsidR="008203A8" w:rsidRPr="008A5C19" w:rsidRDefault="008203A8" w:rsidP="008203A8">
      <w:pPr>
        <w:tabs>
          <w:tab w:val="left" w:pos="851"/>
        </w:tabs>
        <w:ind w:left="851"/>
        <w:rPr>
          <w:sz w:val="24"/>
          <w:szCs w:val="24"/>
        </w:rPr>
      </w:pPr>
    </w:p>
    <w:p w14:paraId="295EBAA1" w14:textId="77777777" w:rsidR="008203A8" w:rsidRPr="008A5C19" w:rsidRDefault="008203A8" w:rsidP="008203A8">
      <w:pPr>
        <w:tabs>
          <w:tab w:val="left" w:pos="851"/>
        </w:tabs>
        <w:ind w:left="851"/>
        <w:rPr>
          <w:sz w:val="24"/>
          <w:szCs w:val="24"/>
          <w:u w:val="single"/>
        </w:rPr>
      </w:pPr>
      <w:r w:rsidRPr="008A5C19">
        <w:rPr>
          <w:sz w:val="24"/>
          <w:szCs w:val="24"/>
          <w:u w:val="single"/>
        </w:rPr>
        <w:t>Særlige forholdsregler for personer, der administrerer veterinærlægemidlet til dyr</w:t>
      </w:r>
    </w:p>
    <w:p w14:paraId="4FE9DFD3" w14:textId="77777777" w:rsidR="007C398A" w:rsidRPr="007C398A" w:rsidRDefault="007C398A" w:rsidP="007C398A">
      <w:pPr>
        <w:numPr>
          <w:ilvl w:val="0"/>
          <w:numId w:val="5"/>
        </w:numPr>
        <w:ind w:left="1276" w:hanging="425"/>
        <w:rPr>
          <w:sz w:val="24"/>
          <w:szCs w:val="24"/>
        </w:rPr>
      </w:pPr>
      <w:r w:rsidRPr="007C398A">
        <w:rPr>
          <w:sz w:val="24"/>
          <w:szCs w:val="24"/>
        </w:rPr>
        <w:t>Da thiamazol mistænkes for at være et humant teratogen, og det udskilles i modermælk, skal kvinder i den fødedygtige alder og ammende kvinder bære ikke-gennemtrængelige engangshandsker ved indgivelse af veterinærlægemidlet eller håndtering af afføring/opkast.</w:t>
      </w:r>
    </w:p>
    <w:p w14:paraId="5A3C890D" w14:textId="77777777" w:rsidR="007C398A" w:rsidRPr="007C398A" w:rsidRDefault="007C398A" w:rsidP="007C398A">
      <w:pPr>
        <w:ind w:left="1276" w:hanging="425"/>
        <w:rPr>
          <w:sz w:val="24"/>
          <w:szCs w:val="24"/>
        </w:rPr>
      </w:pPr>
    </w:p>
    <w:p w14:paraId="5F62AB09" w14:textId="77777777" w:rsidR="007C398A" w:rsidRPr="007C398A" w:rsidRDefault="007C398A" w:rsidP="007C398A">
      <w:pPr>
        <w:numPr>
          <w:ilvl w:val="0"/>
          <w:numId w:val="5"/>
        </w:numPr>
        <w:ind w:left="1276" w:hanging="425"/>
        <w:rPr>
          <w:sz w:val="24"/>
          <w:szCs w:val="24"/>
        </w:rPr>
      </w:pPr>
      <w:r w:rsidRPr="007C398A">
        <w:rPr>
          <w:sz w:val="24"/>
          <w:szCs w:val="24"/>
        </w:rPr>
        <w:t>Hvis du er gravid, tror du kan være gravid eller forsøger at blive gravid, bør du ikke indgive veterinærlægemidlet eller håndtere affald/opkast fra behandlede katte.</w:t>
      </w:r>
    </w:p>
    <w:p w14:paraId="67486703" w14:textId="77777777" w:rsidR="007C398A" w:rsidRPr="007C398A" w:rsidRDefault="007C398A" w:rsidP="007C398A">
      <w:pPr>
        <w:ind w:left="1276" w:hanging="425"/>
        <w:rPr>
          <w:sz w:val="24"/>
          <w:szCs w:val="24"/>
        </w:rPr>
      </w:pPr>
    </w:p>
    <w:p w14:paraId="5FA4C9C3" w14:textId="77777777" w:rsidR="007C398A" w:rsidRPr="007C398A" w:rsidRDefault="007C398A" w:rsidP="007C398A">
      <w:pPr>
        <w:numPr>
          <w:ilvl w:val="0"/>
          <w:numId w:val="5"/>
        </w:numPr>
        <w:ind w:left="1276" w:hanging="425"/>
        <w:rPr>
          <w:sz w:val="24"/>
          <w:szCs w:val="24"/>
        </w:rPr>
      </w:pPr>
      <w:r w:rsidRPr="007C398A">
        <w:rPr>
          <w:sz w:val="24"/>
          <w:szCs w:val="24"/>
        </w:rPr>
        <w:t>Dette veterinærlægemiddel kan forårsage allergiske reaktioner efter hudkontakt samt hud- og øjenirritation. Undgå hud- og øjenkontakt, herunder kontakt fra hånd til øje. Ved overfølsomhed (allergi) over for thiamazol eller natriumbenzoat bør kontakt med veterinærlægemidlet undgås. I tilfælde af utilsigtet kontakt med hud og/eller øjne skylles den udsatte hud og/eller øjne straks med rent, rindende vand. Hvis der opstår irritation og/eller allergiske symptomer, såsom hududslæt, hævelse af ansigt, læber eller øjne eller åndedrætsbesvær, skal der straks søges lægehjælp, og indlægssedlen eller etiketten bør vises til lægen.</w:t>
      </w:r>
    </w:p>
    <w:p w14:paraId="4FDD185A" w14:textId="77777777" w:rsidR="007C398A" w:rsidRPr="007C398A" w:rsidRDefault="007C398A" w:rsidP="007C398A">
      <w:pPr>
        <w:ind w:left="1276" w:hanging="425"/>
        <w:rPr>
          <w:sz w:val="24"/>
          <w:szCs w:val="24"/>
        </w:rPr>
      </w:pPr>
    </w:p>
    <w:p w14:paraId="6FFC1EB7" w14:textId="77777777" w:rsidR="007C398A" w:rsidRPr="007C398A" w:rsidRDefault="007C398A" w:rsidP="007C398A">
      <w:pPr>
        <w:numPr>
          <w:ilvl w:val="0"/>
          <w:numId w:val="5"/>
        </w:numPr>
        <w:ind w:left="1276" w:hanging="425"/>
        <w:rPr>
          <w:sz w:val="24"/>
          <w:szCs w:val="24"/>
        </w:rPr>
      </w:pPr>
      <w:r w:rsidRPr="007C398A">
        <w:rPr>
          <w:sz w:val="24"/>
          <w:szCs w:val="24"/>
        </w:rPr>
        <w:t xml:space="preserve">Thiamazol kan forårsage gastrointestinale forstyrrelser, opkastning, hovedpine, feber, artralgi (ledsmerter), pruritus (kløe) og pancytopeni (fald i blodlegemer og blodplader). Undgå eksponering gennem huden og gennem munden, herunder kontakt mellem hænder og mund, især for børn. </w:t>
      </w:r>
    </w:p>
    <w:p w14:paraId="36335382" w14:textId="77777777" w:rsidR="007C398A" w:rsidRPr="007C398A" w:rsidRDefault="007C398A" w:rsidP="007C398A">
      <w:pPr>
        <w:ind w:left="1276" w:hanging="425"/>
        <w:rPr>
          <w:sz w:val="24"/>
          <w:szCs w:val="24"/>
        </w:rPr>
      </w:pPr>
    </w:p>
    <w:p w14:paraId="6A1773F9" w14:textId="77777777" w:rsidR="007C398A" w:rsidRPr="007C398A" w:rsidRDefault="007C398A" w:rsidP="007C398A">
      <w:pPr>
        <w:numPr>
          <w:ilvl w:val="0"/>
          <w:numId w:val="5"/>
        </w:numPr>
        <w:ind w:left="1276" w:hanging="425"/>
        <w:rPr>
          <w:sz w:val="24"/>
          <w:szCs w:val="24"/>
        </w:rPr>
      </w:pPr>
      <w:r w:rsidRPr="007C398A">
        <w:rPr>
          <w:sz w:val="24"/>
          <w:szCs w:val="24"/>
        </w:rPr>
        <w:t>Spis, drik eller ryg ikke under håndtering af veterinærlægemidlet, opkast eller afføring fra behandlede dyr.</w:t>
      </w:r>
    </w:p>
    <w:p w14:paraId="20C8F7D1" w14:textId="77777777" w:rsidR="007C398A" w:rsidRPr="007C398A" w:rsidRDefault="007C398A" w:rsidP="007C398A">
      <w:pPr>
        <w:ind w:left="1276" w:hanging="425"/>
        <w:rPr>
          <w:sz w:val="24"/>
          <w:szCs w:val="24"/>
        </w:rPr>
      </w:pPr>
    </w:p>
    <w:p w14:paraId="58D7D707" w14:textId="77777777" w:rsidR="007C398A" w:rsidRPr="007C398A" w:rsidRDefault="007C398A" w:rsidP="007C398A">
      <w:pPr>
        <w:numPr>
          <w:ilvl w:val="0"/>
          <w:numId w:val="5"/>
        </w:numPr>
        <w:ind w:left="1276" w:hanging="425"/>
        <w:rPr>
          <w:sz w:val="24"/>
          <w:szCs w:val="24"/>
        </w:rPr>
      </w:pPr>
      <w:r w:rsidRPr="007C398A">
        <w:rPr>
          <w:sz w:val="24"/>
          <w:szCs w:val="24"/>
        </w:rPr>
        <w:t>Efterlad ikke fyldte sprøjter uden opsyn. Sæt hætten på igen umiddelbart efter påfyldning af sprøjten. Efter administration af veterinærlægemidlet skal eventuelle rester, der er tilbage på spidsen af doseringssprøjten, tørres af med en serviet.  Den kontaminerede serviet skal bortskaffes straks. Den anvendte sprøjte skal opbevares sammen med veterinærlægemidlet i den oprindelige karton.</w:t>
      </w:r>
    </w:p>
    <w:p w14:paraId="6B611A08" w14:textId="77777777" w:rsidR="007C398A" w:rsidRPr="007C398A" w:rsidRDefault="007C398A" w:rsidP="007C398A">
      <w:pPr>
        <w:ind w:left="1276" w:hanging="425"/>
        <w:rPr>
          <w:sz w:val="24"/>
          <w:szCs w:val="24"/>
        </w:rPr>
      </w:pPr>
    </w:p>
    <w:p w14:paraId="073093BB" w14:textId="77777777" w:rsidR="007C398A" w:rsidRPr="007C398A" w:rsidRDefault="007C398A" w:rsidP="007C398A">
      <w:pPr>
        <w:numPr>
          <w:ilvl w:val="0"/>
          <w:numId w:val="5"/>
        </w:numPr>
        <w:ind w:left="1276" w:hanging="425"/>
        <w:rPr>
          <w:sz w:val="24"/>
          <w:szCs w:val="24"/>
        </w:rPr>
      </w:pPr>
      <w:r w:rsidRPr="007C398A">
        <w:rPr>
          <w:sz w:val="24"/>
          <w:szCs w:val="24"/>
        </w:rPr>
        <w:t xml:space="preserve">Vask hænder med sæbe og vand efter administration af veterinærlægemidlet og håndtering af opkastning eller afføring fra behandlede dyr. Vask straks eventuelt spild eller sprøjt af huden. </w:t>
      </w:r>
    </w:p>
    <w:p w14:paraId="6DA012EB" w14:textId="77777777" w:rsidR="007C398A" w:rsidRPr="007C398A" w:rsidRDefault="007C398A" w:rsidP="007C398A">
      <w:pPr>
        <w:ind w:left="1276" w:hanging="425"/>
        <w:rPr>
          <w:sz w:val="24"/>
          <w:szCs w:val="24"/>
        </w:rPr>
      </w:pPr>
    </w:p>
    <w:p w14:paraId="3102C519" w14:textId="77777777" w:rsidR="007C398A" w:rsidRPr="007C398A" w:rsidRDefault="007C398A" w:rsidP="007C398A">
      <w:pPr>
        <w:numPr>
          <w:ilvl w:val="0"/>
          <w:numId w:val="5"/>
        </w:numPr>
        <w:ind w:left="1276" w:hanging="425"/>
        <w:rPr>
          <w:sz w:val="24"/>
          <w:szCs w:val="24"/>
        </w:rPr>
      </w:pPr>
      <w:r w:rsidRPr="007C398A">
        <w:rPr>
          <w:sz w:val="24"/>
          <w:szCs w:val="24"/>
        </w:rPr>
        <w:t>I tilfælde af utilsigtet indtagelse skal der straks søges lægehjælp, og indlægssedlen eller etiketten bør vises til lægen.</w:t>
      </w:r>
    </w:p>
    <w:p w14:paraId="2298E3BF" w14:textId="77777777" w:rsidR="008203A8" w:rsidRPr="008A5C19" w:rsidRDefault="008203A8" w:rsidP="008203A8">
      <w:pPr>
        <w:tabs>
          <w:tab w:val="left" w:pos="851"/>
        </w:tabs>
        <w:ind w:left="851"/>
        <w:rPr>
          <w:sz w:val="24"/>
          <w:szCs w:val="24"/>
        </w:rPr>
      </w:pPr>
    </w:p>
    <w:p w14:paraId="5E65D181" w14:textId="77777777" w:rsidR="008203A8" w:rsidRPr="008A5C19" w:rsidRDefault="008203A8" w:rsidP="008203A8">
      <w:pPr>
        <w:tabs>
          <w:tab w:val="left" w:pos="851"/>
        </w:tabs>
        <w:ind w:left="851"/>
        <w:rPr>
          <w:sz w:val="24"/>
          <w:szCs w:val="24"/>
          <w:u w:val="single"/>
        </w:rPr>
      </w:pPr>
      <w:r w:rsidRPr="008A5C19">
        <w:rPr>
          <w:sz w:val="24"/>
          <w:szCs w:val="24"/>
          <w:u w:val="single"/>
        </w:rPr>
        <w:t>Særlige forholdsregler vedrørende beskyttelse af miljøet</w:t>
      </w:r>
    </w:p>
    <w:p w14:paraId="7E38C85C" w14:textId="77777777" w:rsidR="007C398A" w:rsidRPr="007C398A" w:rsidRDefault="007C398A" w:rsidP="007C398A">
      <w:pPr>
        <w:tabs>
          <w:tab w:val="left" w:pos="851"/>
        </w:tabs>
        <w:ind w:left="851"/>
        <w:rPr>
          <w:sz w:val="24"/>
          <w:szCs w:val="24"/>
        </w:rPr>
      </w:pPr>
      <w:r w:rsidRPr="007C398A">
        <w:rPr>
          <w:sz w:val="24"/>
          <w:szCs w:val="24"/>
        </w:rPr>
        <w:t>Ikke relevant.</w:t>
      </w:r>
    </w:p>
    <w:p w14:paraId="2F40233A" w14:textId="3DA31E05" w:rsidR="008A5C19" w:rsidRDefault="008A5C19">
      <w:pPr>
        <w:rPr>
          <w:sz w:val="24"/>
          <w:szCs w:val="24"/>
        </w:rPr>
      </w:pPr>
      <w:r>
        <w:rPr>
          <w:sz w:val="24"/>
          <w:szCs w:val="24"/>
        </w:rPr>
        <w:br w:type="page"/>
      </w:r>
    </w:p>
    <w:p w14:paraId="35C36A14" w14:textId="77777777" w:rsidR="008203A8" w:rsidRPr="008A5C19" w:rsidRDefault="008203A8" w:rsidP="008203A8">
      <w:pPr>
        <w:tabs>
          <w:tab w:val="left" w:pos="851"/>
        </w:tabs>
        <w:ind w:left="851"/>
        <w:rPr>
          <w:sz w:val="24"/>
          <w:szCs w:val="24"/>
        </w:rPr>
      </w:pPr>
    </w:p>
    <w:p w14:paraId="4A9444E8" w14:textId="77777777" w:rsidR="008203A8" w:rsidRPr="008A5C19" w:rsidRDefault="008203A8" w:rsidP="008203A8">
      <w:pPr>
        <w:tabs>
          <w:tab w:val="left" w:pos="851"/>
        </w:tabs>
        <w:ind w:left="851" w:hanging="851"/>
        <w:rPr>
          <w:b/>
          <w:sz w:val="24"/>
          <w:szCs w:val="24"/>
        </w:rPr>
      </w:pPr>
      <w:r w:rsidRPr="008A5C19">
        <w:rPr>
          <w:b/>
          <w:sz w:val="24"/>
          <w:szCs w:val="24"/>
        </w:rPr>
        <w:t>3.6</w:t>
      </w:r>
      <w:r w:rsidRPr="008A5C19">
        <w:rPr>
          <w:b/>
          <w:sz w:val="24"/>
          <w:szCs w:val="24"/>
        </w:rPr>
        <w:tab/>
        <w:t>Bivirkninger</w:t>
      </w:r>
    </w:p>
    <w:p w14:paraId="32C1ECD3" w14:textId="77777777" w:rsidR="007C398A" w:rsidRPr="007C398A" w:rsidRDefault="007C398A" w:rsidP="007C398A">
      <w:pPr>
        <w:tabs>
          <w:tab w:val="left" w:pos="851"/>
        </w:tabs>
        <w:ind w:left="851"/>
        <w:rPr>
          <w:sz w:val="24"/>
          <w:szCs w:val="24"/>
        </w:rPr>
      </w:pPr>
      <w:r w:rsidRPr="007C398A">
        <w:rPr>
          <w:sz w:val="24"/>
          <w:szCs w:val="24"/>
        </w:rPr>
        <w:t>Kat:</w:t>
      </w:r>
    </w:p>
    <w:p w14:paraId="54A72D5F" w14:textId="77777777" w:rsidR="007C398A" w:rsidRPr="007C398A" w:rsidRDefault="007C398A" w:rsidP="007C398A">
      <w:pPr>
        <w:tabs>
          <w:tab w:val="left" w:pos="851"/>
        </w:tabs>
        <w:ind w:left="851"/>
        <w:rPr>
          <w:sz w:val="24"/>
          <w:szCs w:val="24"/>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1"/>
        <w:gridCol w:w="5347"/>
      </w:tblGrid>
      <w:tr w:rsidR="007C398A" w:rsidRPr="007C398A" w14:paraId="7A55823F" w14:textId="77777777" w:rsidTr="007C398A">
        <w:trPr>
          <w:trHeight w:hRule="exact" w:val="1853"/>
        </w:trPr>
        <w:tc>
          <w:tcPr>
            <w:tcW w:w="3441" w:type="dxa"/>
            <w:tcBorders>
              <w:top w:val="single" w:sz="4" w:space="0" w:color="000000"/>
              <w:left w:val="single" w:sz="4" w:space="0" w:color="000000"/>
              <w:bottom w:val="single" w:sz="4" w:space="0" w:color="000000"/>
              <w:right w:val="single" w:sz="4" w:space="0" w:color="000000"/>
            </w:tcBorders>
            <w:hideMark/>
          </w:tcPr>
          <w:p w14:paraId="2C8483BC" w14:textId="77777777" w:rsidR="007C398A" w:rsidRPr="007C398A" w:rsidRDefault="007C398A" w:rsidP="007C398A">
            <w:pPr>
              <w:ind w:left="22"/>
              <w:rPr>
                <w:sz w:val="24"/>
                <w:szCs w:val="24"/>
              </w:rPr>
            </w:pPr>
            <w:r w:rsidRPr="007C398A">
              <w:rPr>
                <w:sz w:val="24"/>
                <w:szCs w:val="24"/>
              </w:rPr>
              <w:t>Ikke almindelig</w:t>
            </w:r>
          </w:p>
          <w:p w14:paraId="72BE7E30" w14:textId="77777777" w:rsidR="007C398A" w:rsidRPr="007C398A" w:rsidRDefault="007C398A" w:rsidP="007C398A">
            <w:pPr>
              <w:ind w:left="22"/>
              <w:rPr>
                <w:sz w:val="24"/>
                <w:szCs w:val="24"/>
              </w:rPr>
            </w:pPr>
            <w:r w:rsidRPr="007C398A">
              <w:rPr>
                <w:sz w:val="24"/>
                <w:szCs w:val="24"/>
              </w:rPr>
              <w:t>(1 til 10 dyr ud af 1.000 behandlede dyr):</w:t>
            </w:r>
          </w:p>
        </w:tc>
        <w:tc>
          <w:tcPr>
            <w:tcW w:w="5347" w:type="dxa"/>
            <w:tcBorders>
              <w:top w:val="single" w:sz="4" w:space="0" w:color="000000"/>
              <w:left w:val="single" w:sz="4" w:space="0" w:color="000000"/>
              <w:bottom w:val="single" w:sz="4" w:space="0" w:color="000000"/>
              <w:right w:val="single" w:sz="4" w:space="0" w:color="000000"/>
            </w:tcBorders>
            <w:hideMark/>
          </w:tcPr>
          <w:p w14:paraId="10FBEECD" w14:textId="77777777" w:rsidR="007C398A" w:rsidRPr="007C398A" w:rsidRDefault="007C398A" w:rsidP="007C398A">
            <w:pPr>
              <w:ind w:left="22"/>
              <w:rPr>
                <w:sz w:val="24"/>
                <w:szCs w:val="24"/>
              </w:rPr>
            </w:pPr>
            <w:r w:rsidRPr="007C398A">
              <w:rPr>
                <w:sz w:val="24"/>
                <w:szCs w:val="24"/>
              </w:rPr>
              <w:t>Opkastning</w:t>
            </w:r>
            <w:r w:rsidRPr="007C398A">
              <w:rPr>
                <w:sz w:val="24"/>
                <w:szCs w:val="24"/>
                <w:vertAlign w:val="superscript"/>
              </w:rPr>
              <w:t>1</w:t>
            </w:r>
            <w:r w:rsidRPr="007C398A">
              <w:rPr>
                <w:sz w:val="24"/>
                <w:szCs w:val="24"/>
              </w:rPr>
              <w:t>, anoreksi</w:t>
            </w:r>
            <w:r w:rsidRPr="007C398A">
              <w:rPr>
                <w:sz w:val="24"/>
                <w:szCs w:val="24"/>
                <w:vertAlign w:val="superscript"/>
              </w:rPr>
              <w:t>1</w:t>
            </w:r>
            <w:r w:rsidRPr="007C398A">
              <w:rPr>
                <w:sz w:val="24"/>
                <w:szCs w:val="24"/>
              </w:rPr>
              <w:t>, nedsat appetit</w:t>
            </w:r>
            <w:r w:rsidRPr="007C398A">
              <w:rPr>
                <w:sz w:val="24"/>
                <w:szCs w:val="24"/>
                <w:vertAlign w:val="superscript"/>
              </w:rPr>
              <w:t>1</w:t>
            </w:r>
            <w:r w:rsidRPr="007C398A">
              <w:rPr>
                <w:sz w:val="24"/>
                <w:szCs w:val="24"/>
              </w:rPr>
              <w:t>, sløvhed</w:t>
            </w:r>
            <w:r w:rsidRPr="007C398A">
              <w:rPr>
                <w:sz w:val="24"/>
                <w:szCs w:val="24"/>
                <w:vertAlign w:val="superscript"/>
              </w:rPr>
              <w:t>1</w:t>
            </w:r>
            <w:r w:rsidRPr="007C398A">
              <w:rPr>
                <w:sz w:val="24"/>
                <w:szCs w:val="24"/>
              </w:rPr>
              <w:t xml:space="preserve"> Kløe</w:t>
            </w:r>
            <w:r w:rsidRPr="007C398A">
              <w:rPr>
                <w:sz w:val="24"/>
                <w:szCs w:val="24"/>
                <w:vertAlign w:val="superscript"/>
              </w:rPr>
              <w:t>1,2</w:t>
            </w:r>
            <w:r w:rsidRPr="007C398A">
              <w:rPr>
                <w:sz w:val="24"/>
                <w:szCs w:val="24"/>
              </w:rPr>
              <w:t>, hudafskrabning</w:t>
            </w:r>
            <w:r w:rsidRPr="007C398A">
              <w:rPr>
                <w:sz w:val="24"/>
                <w:szCs w:val="24"/>
                <w:vertAlign w:val="superscript"/>
              </w:rPr>
              <w:t>1,2</w:t>
            </w:r>
          </w:p>
          <w:p w14:paraId="2C04EF96" w14:textId="77777777" w:rsidR="007C398A" w:rsidRPr="007C398A" w:rsidRDefault="007C398A" w:rsidP="007C398A">
            <w:pPr>
              <w:ind w:left="22"/>
              <w:rPr>
                <w:sz w:val="24"/>
                <w:szCs w:val="24"/>
              </w:rPr>
            </w:pPr>
            <w:r w:rsidRPr="007C398A">
              <w:rPr>
                <w:sz w:val="24"/>
                <w:szCs w:val="24"/>
              </w:rPr>
              <w:t>Forlænget blødning</w:t>
            </w:r>
            <w:r w:rsidRPr="007C398A">
              <w:rPr>
                <w:sz w:val="24"/>
                <w:szCs w:val="24"/>
                <w:vertAlign w:val="superscript"/>
              </w:rPr>
              <w:t>1,3,4</w:t>
            </w:r>
            <w:r w:rsidRPr="007C398A">
              <w:rPr>
                <w:sz w:val="24"/>
                <w:szCs w:val="24"/>
              </w:rPr>
              <w:t>, ikterus</w:t>
            </w:r>
            <w:r w:rsidRPr="007C398A">
              <w:rPr>
                <w:sz w:val="24"/>
                <w:szCs w:val="24"/>
                <w:vertAlign w:val="superscript"/>
              </w:rPr>
              <w:t>1,4</w:t>
            </w:r>
            <w:r w:rsidRPr="007C398A">
              <w:rPr>
                <w:sz w:val="24"/>
                <w:szCs w:val="24"/>
              </w:rPr>
              <w:t>, hepatopati</w:t>
            </w:r>
            <w:r w:rsidRPr="007C398A">
              <w:rPr>
                <w:sz w:val="24"/>
                <w:szCs w:val="24"/>
                <w:vertAlign w:val="superscript"/>
              </w:rPr>
              <w:t>1</w:t>
            </w:r>
          </w:p>
          <w:p w14:paraId="54682169" w14:textId="77777777" w:rsidR="007C398A" w:rsidRPr="007C398A" w:rsidRDefault="007C398A" w:rsidP="007C398A">
            <w:pPr>
              <w:ind w:left="22"/>
              <w:rPr>
                <w:sz w:val="24"/>
                <w:szCs w:val="24"/>
              </w:rPr>
            </w:pPr>
            <w:r w:rsidRPr="007C398A">
              <w:rPr>
                <w:sz w:val="24"/>
                <w:szCs w:val="24"/>
              </w:rPr>
              <w:t xml:space="preserve">Eosinofili </w:t>
            </w:r>
            <w:r w:rsidRPr="007C398A">
              <w:rPr>
                <w:sz w:val="24"/>
                <w:szCs w:val="24"/>
                <w:vertAlign w:val="superscript"/>
              </w:rPr>
              <w:t>1</w:t>
            </w:r>
            <w:r w:rsidRPr="007C398A">
              <w:rPr>
                <w:sz w:val="24"/>
                <w:szCs w:val="24"/>
              </w:rPr>
              <w:t>, lymfocytose</w:t>
            </w:r>
            <w:r w:rsidRPr="007C398A">
              <w:rPr>
                <w:sz w:val="24"/>
                <w:szCs w:val="24"/>
                <w:vertAlign w:val="superscript"/>
              </w:rPr>
              <w:t>1</w:t>
            </w:r>
            <w:r w:rsidRPr="007C398A">
              <w:rPr>
                <w:sz w:val="24"/>
                <w:szCs w:val="24"/>
              </w:rPr>
              <w:t>, neutropeni</w:t>
            </w:r>
            <w:r w:rsidRPr="007C398A">
              <w:rPr>
                <w:sz w:val="24"/>
                <w:szCs w:val="24"/>
                <w:vertAlign w:val="superscript"/>
              </w:rPr>
              <w:t>1</w:t>
            </w:r>
            <w:r w:rsidRPr="007C398A">
              <w:rPr>
                <w:sz w:val="24"/>
                <w:szCs w:val="24"/>
              </w:rPr>
              <w:t>, lymfopeni</w:t>
            </w:r>
            <w:r w:rsidRPr="007C398A">
              <w:rPr>
                <w:sz w:val="24"/>
                <w:szCs w:val="24"/>
                <w:vertAlign w:val="superscript"/>
              </w:rPr>
              <w:t>1</w:t>
            </w:r>
            <w:r w:rsidRPr="007C398A">
              <w:rPr>
                <w:sz w:val="24"/>
                <w:szCs w:val="24"/>
              </w:rPr>
              <w:t>, leukopeni</w:t>
            </w:r>
            <w:r w:rsidRPr="007C398A">
              <w:rPr>
                <w:sz w:val="24"/>
                <w:szCs w:val="24"/>
                <w:vertAlign w:val="superscript"/>
              </w:rPr>
              <w:t>1,8</w:t>
            </w:r>
            <w:r w:rsidRPr="007C398A">
              <w:rPr>
                <w:sz w:val="24"/>
                <w:szCs w:val="24"/>
              </w:rPr>
              <w:t>, agranulocytose</w:t>
            </w:r>
            <w:r w:rsidRPr="007C398A">
              <w:rPr>
                <w:sz w:val="24"/>
                <w:szCs w:val="24"/>
                <w:vertAlign w:val="superscript"/>
              </w:rPr>
              <w:t>1</w:t>
            </w:r>
          </w:p>
          <w:p w14:paraId="39D6A3C5" w14:textId="77777777" w:rsidR="007C398A" w:rsidRPr="007C398A" w:rsidRDefault="007C398A" w:rsidP="007C398A">
            <w:pPr>
              <w:ind w:left="22"/>
              <w:rPr>
                <w:sz w:val="24"/>
                <w:szCs w:val="24"/>
              </w:rPr>
            </w:pPr>
            <w:r w:rsidRPr="007C398A">
              <w:rPr>
                <w:sz w:val="24"/>
                <w:szCs w:val="24"/>
              </w:rPr>
              <w:t>Trombocytopeni</w:t>
            </w:r>
            <w:r w:rsidRPr="007C398A">
              <w:rPr>
                <w:sz w:val="24"/>
                <w:szCs w:val="24"/>
                <w:vertAlign w:val="superscript"/>
              </w:rPr>
              <w:t>1,6,7</w:t>
            </w:r>
            <w:r w:rsidRPr="007C398A">
              <w:rPr>
                <w:sz w:val="24"/>
                <w:szCs w:val="24"/>
              </w:rPr>
              <w:t>, hæmolytisk anæmi</w:t>
            </w:r>
            <w:r w:rsidRPr="007C398A">
              <w:rPr>
                <w:sz w:val="24"/>
                <w:szCs w:val="24"/>
                <w:vertAlign w:val="superscript"/>
              </w:rPr>
              <w:t>1</w:t>
            </w:r>
          </w:p>
        </w:tc>
      </w:tr>
      <w:tr w:rsidR="007C398A" w:rsidRPr="007C398A" w14:paraId="27FC0D3D" w14:textId="77777777" w:rsidTr="007C398A">
        <w:trPr>
          <w:trHeight w:hRule="exact" w:val="719"/>
        </w:trPr>
        <w:tc>
          <w:tcPr>
            <w:tcW w:w="3441" w:type="dxa"/>
            <w:tcBorders>
              <w:top w:val="single" w:sz="4" w:space="0" w:color="000000"/>
              <w:left w:val="single" w:sz="4" w:space="0" w:color="000000"/>
              <w:bottom w:val="single" w:sz="4" w:space="0" w:color="000000"/>
              <w:right w:val="single" w:sz="4" w:space="0" w:color="000000"/>
            </w:tcBorders>
            <w:hideMark/>
          </w:tcPr>
          <w:p w14:paraId="3D72A83E" w14:textId="77777777" w:rsidR="007C398A" w:rsidRPr="007C398A" w:rsidRDefault="007C398A" w:rsidP="007C398A">
            <w:pPr>
              <w:ind w:left="22"/>
              <w:rPr>
                <w:sz w:val="24"/>
                <w:szCs w:val="24"/>
              </w:rPr>
            </w:pPr>
            <w:r w:rsidRPr="007C398A">
              <w:rPr>
                <w:sz w:val="24"/>
                <w:szCs w:val="24"/>
              </w:rPr>
              <w:t>Sjælden (1 til 10 dyr ud af</w:t>
            </w:r>
          </w:p>
          <w:p w14:paraId="72AD2804" w14:textId="77777777" w:rsidR="007C398A" w:rsidRPr="007C398A" w:rsidRDefault="007C398A" w:rsidP="007C398A">
            <w:pPr>
              <w:ind w:left="22"/>
              <w:rPr>
                <w:sz w:val="24"/>
                <w:szCs w:val="24"/>
              </w:rPr>
            </w:pPr>
            <w:r w:rsidRPr="007C398A">
              <w:rPr>
                <w:sz w:val="24"/>
                <w:szCs w:val="24"/>
              </w:rPr>
              <w:t>10.000 behandlede dyr):</w:t>
            </w:r>
          </w:p>
        </w:tc>
        <w:tc>
          <w:tcPr>
            <w:tcW w:w="5347" w:type="dxa"/>
            <w:tcBorders>
              <w:top w:val="single" w:sz="4" w:space="0" w:color="000000"/>
              <w:left w:val="single" w:sz="4" w:space="0" w:color="000000"/>
              <w:bottom w:val="single" w:sz="4" w:space="0" w:color="000000"/>
              <w:right w:val="single" w:sz="4" w:space="0" w:color="000000"/>
            </w:tcBorders>
            <w:hideMark/>
          </w:tcPr>
          <w:p w14:paraId="77E504F4" w14:textId="77777777" w:rsidR="007C398A" w:rsidRPr="007C398A" w:rsidRDefault="007C398A" w:rsidP="007C398A">
            <w:pPr>
              <w:ind w:left="22"/>
              <w:rPr>
                <w:sz w:val="24"/>
                <w:szCs w:val="24"/>
              </w:rPr>
            </w:pPr>
            <w:r w:rsidRPr="007C398A">
              <w:rPr>
                <w:sz w:val="24"/>
                <w:szCs w:val="24"/>
              </w:rPr>
              <w:t>Autoimmun lidelse (serum anti-nukleare antistoffer)</w:t>
            </w:r>
            <w:r w:rsidRPr="007C398A">
              <w:rPr>
                <w:sz w:val="24"/>
                <w:szCs w:val="24"/>
                <w:vertAlign w:val="superscript"/>
              </w:rPr>
              <w:t>5,7</w:t>
            </w:r>
            <w:r w:rsidRPr="007C398A">
              <w:rPr>
                <w:sz w:val="24"/>
                <w:szCs w:val="24"/>
              </w:rPr>
              <w:t xml:space="preserve">, anæmi </w:t>
            </w:r>
            <w:r w:rsidRPr="007C398A">
              <w:rPr>
                <w:sz w:val="24"/>
                <w:szCs w:val="24"/>
                <w:vertAlign w:val="superscript"/>
              </w:rPr>
              <w:t>5,7</w:t>
            </w:r>
          </w:p>
        </w:tc>
      </w:tr>
      <w:tr w:rsidR="007C398A" w:rsidRPr="007C398A" w14:paraId="5BB1B492" w14:textId="77777777" w:rsidTr="007C398A">
        <w:trPr>
          <w:trHeight w:hRule="exact" w:val="1170"/>
        </w:trPr>
        <w:tc>
          <w:tcPr>
            <w:tcW w:w="3441" w:type="dxa"/>
            <w:tcBorders>
              <w:top w:val="single" w:sz="4" w:space="0" w:color="000000"/>
              <w:left w:val="single" w:sz="4" w:space="0" w:color="000000"/>
              <w:bottom w:val="single" w:sz="4" w:space="0" w:color="000000"/>
              <w:right w:val="single" w:sz="4" w:space="0" w:color="000000"/>
            </w:tcBorders>
            <w:hideMark/>
          </w:tcPr>
          <w:p w14:paraId="0B9495BC" w14:textId="77777777" w:rsidR="007C398A" w:rsidRPr="007C398A" w:rsidRDefault="007C398A" w:rsidP="007C398A">
            <w:pPr>
              <w:ind w:left="1" w:firstLine="1"/>
              <w:rPr>
                <w:sz w:val="24"/>
                <w:szCs w:val="24"/>
              </w:rPr>
            </w:pPr>
            <w:r w:rsidRPr="007C398A">
              <w:rPr>
                <w:sz w:val="24"/>
                <w:szCs w:val="24"/>
              </w:rPr>
              <w:t>Meget sjælden</w:t>
            </w:r>
          </w:p>
          <w:p w14:paraId="5E410617" w14:textId="77777777" w:rsidR="007C398A" w:rsidRPr="007C398A" w:rsidRDefault="007C398A" w:rsidP="007C398A">
            <w:pPr>
              <w:ind w:left="1" w:firstLine="1"/>
              <w:rPr>
                <w:sz w:val="24"/>
                <w:szCs w:val="24"/>
              </w:rPr>
            </w:pPr>
            <w:r w:rsidRPr="007C398A">
              <w:rPr>
                <w:sz w:val="24"/>
                <w:szCs w:val="24"/>
              </w:rPr>
              <w:t>(&lt; 1 dyr ud af 10.000 behandlede dyr, herunder enkeltstående indberetninger):</w:t>
            </w:r>
          </w:p>
        </w:tc>
        <w:tc>
          <w:tcPr>
            <w:tcW w:w="5347" w:type="dxa"/>
            <w:tcBorders>
              <w:top w:val="single" w:sz="4" w:space="0" w:color="000000"/>
              <w:left w:val="single" w:sz="4" w:space="0" w:color="000000"/>
              <w:bottom w:val="single" w:sz="4" w:space="0" w:color="000000"/>
              <w:right w:val="single" w:sz="4" w:space="0" w:color="000000"/>
            </w:tcBorders>
            <w:hideMark/>
          </w:tcPr>
          <w:p w14:paraId="7F93946A" w14:textId="77777777" w:rsidR="007C398A" w:rsidRPr="007C398A" w:rsidRDefault="007C398A" w:rsidP="007C398A">
            <w:pPr>
              <w:ind w:left="1" w:firstLine="1"/>
              <w:rPr>
                <w:sz w:val="24"/>
                <w:szCs w:val="24"/>
              </w:rPr>
            </w:pPr>
            <w:r w:rsidRPr="007C398A">
              <w:rPr>
                <w:sz w:val="24"/>
                <w:szCs w:val="24"/>
              </w:rPr>
              <w:t>Lymfadenopati</w:t>
            </w:r>
            <w:r w:rsidRPr="007C398A">
              <w:rPr>
                <w:sz w:val="24"/>
                <w:szCs w:val="24"/>
                <w:vertAlign w:val="superscript"/>
              </w:rPr>
              <w:t>5,7</w:t>
            </w:r>
          </w:p>
        </w:tc>
      </w:tr>
    </w:tbl>
    <w:p w14:paraId="4B692DDD" w14:textId="649163A1" w:rsidR="007C398A" w:rsidRPr="007C398A" w:rsidRDefault="007C398A" w:rsidP="007C398A">
      <w:pPr>
        <w:tabs>
          <w:tab w:val="left" w:pos="851"/>
        </w:tabs>
        <w:ind w:left="1134" w:hanging="283"/>
        <w:rPr>
          <w:sz w:val="24"/>
          <w:szCs w:val="24"/>
        </w:rPr>
      </w:pPr>
      <w:r w:rsidRPr="007C398A">
        <w:rPr>
          <w:sz w:val="24"/>
          <w:szCs w:val="24"/>
          <w:vertAlign w:val="superscript"/>
        </w:rPr>
        <w:t>1</w:t>
      </w:r>
      <w:r w:rsidRPr="007C398A">
        <w:rPr>
          <w:sz w:val="24"/>
          <w:szCs w:val="24"/>
        </w:rPr>
        <w:t xml:space="preserve"> </w:t>
      </w:r>
      <w:r w:rsidRPr="008A5C19">
        <w:rPr>
          <w:sz w:val="24"/>
          <w:szCs w:val="24"/>
        </w:rPr>
        <w:tab/>
      </w:r>
      <w:r w:rsidRPr="007C398A">
        <w:rPr>
          <w:sz w:val="24"/>
          <w:szCs w:val="24"/>
        </w:rPr>
        <w:t>Disse bivirkninger forsvinder inden for 7-45 dage efter ophør med thiamazolbehandling.</w:t>
      </w:r>
    </w:p>
    <w:p w14:paraId="1D11558C" w14:textId="38A7FDD7" w:rsidR="007C398A" w:rsidRPr="007C398A" w:rsidRDefault="007C398A" w:rsidP="007C398A">
      <w:pPr>
        <w:tabs>
          <w:tab w:val="left" w:pos="851"/>
        </w:tabs>
        <w:ind w:left="1134" w:hanging="283"/>
        <w:rPr>
          <w:sz w:val="24"/>
          <w:szCs w:val="24"/>
        </w:rPr>
      </w:pPr>
      <w:r w:rsidRPr="007C398A">
        <w:rPr>
          <w:sz w:val="24"/>
          <w:szCs w:val="24"/>
          <w:vertAlign w:val="superscript"/>
        </w:rPr>
        <w:t>2</w:t>
      </w:r>
      <w:r w:rsidRPr="007C398A">
        <w:rPr>
          <w:sz w:val="24"/>
          <w:szCs w:val="24"/>
        </w:rPr>
        <w:t xml:space="preserve"> </w:t>
      </w:r>
      <w:r w:rsidRPr="008A5C19">
        <w:rPr>
          <w:sz w:val="24"/>
          <w:szCs w:val="24"/>
        </w:rPr>
        <w:tab/>
      </w:r>
      <w:r w:rsidRPr="007C398A">
        <w:rPr>
          <w:sz w:val="24"/>
          <w:szCs w:val="24"/>
        </w:rPr>
        <w:t>Alvorlig og af hoved og hals.</w:t>
      </w:r>
    </w:p>
    <w:p w14:paraId="3D0BA2AB" w14:textId="1FC1FF98" w:rsidR="007C398A" w:rsidRPr="007C398A" w:rsidRDefault="007C398A" w:rsidP="007C398A">
      <w:pPr>
        <w:tabs>
          <w:tab w:val="left" w:pos="851"/>
        </w:tabs>
        <w:ind w:left="1134" w:hanging="283"/>
        <w:rPr>
          <w:sz w:val="24"/>
          <w:szCs w:val="24"/>
        </w:rPr>
      </w:pPr>
      <w:r w:rsidRPr="007C398A">
        <w:rPr>
          <w:sz w:val="24"/>
          <w:szCs w:val="24"/>
          <w:vertAlign w:val="superscript"/>
        </w:rPr>
        <w:t>3</w:t>
      </w:r>
      <w:r w:rsidRPr="007C398A">
        <w:rPr>
          <w:sz w:val="24"/>
          <w:szCs w:val="24"/>
        </w:rPr>
        <w:t xml:space="preserve"> </w:t>
      </w:r>
      <w:r w:rsidRPr="008A5C19">
        <w:rPr>
          <w:sz w:val="24"/>
          <w:szCs w:val="24"/>
        </w:rPr>
        <w:tab/>
      </w:r>
      <w:r w:rsidRPr="007C398A">
        <w:rPr>
          <w:sz w:val="24"/>
          <w:szCs w:val="24"/>
        </w:rPr>
        <w:t>Tegn på en blødende diatese.</w:t>
      </w:r>
    </w:p>
    <w:p w14:paraId="026C468D" w14:textId="70771F91" w:rsidR="007C398A" w:rsidRPr="007C398A" w:rsidRDefault="007C398A" w:rsidP="007C398A">
      <w:pPr>
        <w:tabs>
          <w:tab w:val="left" w:pos="851"/>
        </w:tabs>
        <w:ind w:left="1134" w:hanging="283"/>
        <w:rPr>
          <w:sz w:val="24"/>
          <w:szCs w:val="24"/>
        </w:rPr>
      </w:pPr>
      <w:r w:rsidRPr="007C398A">
        <w:rPr>
          <w:sz w:val="24"/>
          <w:szCs w:val="24"/>
          <w:vertAlign w:val="superscript"/>
        </w:rPr>
        <w:t>4</w:t>
      </w:r>
      <w:r w:rsidRPr="007C398A">
        <w:rPr>
          <w:sz w:val="24"/>
          <w:szCs w:val="24"/>
        </w:rPr>
        <w:t xml:space="preserve"> </w:t>
      </w:r>
      <w:r w:rsidRPr="008A5C19">
        <w:rPr>
          <w:sz w:val="24"/>
          <w:szCs w:val="24"/>
        </w:rPr>
        <w:tab/>
      </w:r>
      <w:r w:rsidRPr="007C398A">
        <w:rPr>
          <w:sz w:val="24"/>
          <w:szCs w:val="24"/>
        </w:rPr>
        <w:t>I forbindelse med hepatopati.</w:t>
      </w:r>
    </w:p>
    <w:p w14:paraId="0EDB4D31" w14:textId="2502E41B" w:rsidR="007C398A" w:rsidRPr="007C398A" w:rsidRDefault="007C398A" w:rsidP="007C398A">
      <w:pPr>
        <w:tabs>
          <w:tab w:val="left" w:pos="851"/>
        </w:tabs>
        <w:ind w:left="1134" w:hanging="283"/>
        <w:rPr>
          <w:sz w:val="24"/>
          <w:szCs w:val="24"/>
        </w:rPr>
      </w:pPr>
      <w:r w:rsidRPr="007C398A">
        <w:rPr>
          <w:sz w:val="24"/>
          <w:szCs w:val="24"/>
          <w:vertAlign w:val="superscript"/>
        </w:rPr>
        <w:t>5</w:t>
      </w:r>
      <w:r w:rsidRPr="007C398A">
        <w:rPr>
          <w:sz w:val="24"/>
          <w:szCs w:val="24"/>
        </w:rPr>
        <w:t xml:space="preserve"> </w:t>
      </w:r>
      <w:r w:rsidRPr="008A5C19">
        <w:rPr>
          <w:sz w:val="24"/>
          <w:szCs w:val="24"/>
        </w:rPr>
        <w:tab/>
      </w:r>
      <w:r w:rsidRPr="007C398A">
        <w:rPr>
          <w:sz w:val="24"/>
          <w:szCs w:val="24"/>
        </w:rPr>
        <w:t>Immunologisk bivirkning.</w:t>
      </w:r>
    </w:p>
    <w:p w14:paraId="0E2D0C99" w14:textId="7AF59EF8" w:rsidR="007C398A" w:rsidRPr="007C398A" w:rsidRDefault="007C398A" w:rsidP="007C398A">
      <w:pPr>
        <w:tabs>
          <w:tab w:val="left" w:pos="851"/>
        </w:tabs>
        <w:ind w:left="1134" w:hanging="283"/>
        <w:rPr>
          <w:sz w:val="24"/>
          <w:szCs w:val="24"/>
        </w:rPr>
      </w:pPr>
      <w:r w:rsidRPr="007C398A">
        <w:rPr>
          <w:sz w:val="24"/>
          <w:szCs w:val="24"/>
          <w:vertAlign w:val="superscript"/>
        </w:rPr>
        <w:t>6</w:t>
      </w:r>
      <w:r w:rsidRPr="007C398A">
        <w:rPr>
          <w:sz w:val="24"/>
          <w:szCs w:val="24"/>
        </w:rPr>
        <w:t xml:space="preserve"> </w:t>
      </w:r>
      <w:r w:rsidRPr="008A5C19">
        <w:rPr>
          <w:sz w:val="24"/>
          <w:szCs w:val="24"/>
        </w:rPr>
        <w:tab/>
      </w:r>
      <w:r w:rsidRPr="007C398A">
        <w:rPr>
          <w:sz w:val="24"/>
          <w:szCs w:val="24"/>
        </w:rPr>
        <w:t>Forekommer sjældent som en hæmatologisk abnormitet og sjældent som en immunologisk bivirkning.</w:t>
      </w:r>
    </w:p>
    <w:p w14:paraId="7149121C" w14:textId="3BE09504" w:rsidR="007C398A" w:rsidRPr="007C398A" w:rsidRDefault="007C398A" w:rsidP="007C398A">
      <w:pPr>
        <w:tabs>
          <w:tab w:val="left" w:pos="851"/>
        </w:tabs>
        <w:ind w:left="1134" w:hanging="283"/>
        <w:rPr>
          <w:sz w:val="24"/>
          <w:szCs w:val="24"/>
        </w:rPr>
      </w:pPr>
      <w:r w:rsidRPr="007C398A">
        <w:rPr>
          <w:sz w:val="24"/>
          <w:szCs w:val="24"/>
          <w:vertAlign w:val="superscript"/>
        </w:rPr>
        <w:t>7</w:t>
      </w:r>
      <w:r w:rsidRPr="007C398A">
        <w:rPr>
          <w:sz w:val="24"/>
          <w:szCs w:val="24"/>
        </w:rPr>
        <w:t xml:space="preserve"> </w:t>
      </w:r>
      <w:r w:rsidRPr="008A5C19">
        <w:rPr>
          <w:sz w:val="24"/>
          <w:szCs w:val="24"/>
        </w:rPr>
        <w:tab/>
      </w:r>
      <w:r w:rsidRPr="007C398A">
        <w:rPr>
          <w:sz w:val="24"/>
          <w:szCs w:val="24"/>
        </w:rPr>
        <w:t xml:space="preserve">Behandling bør stoppes straks og alternativ behandling overvejes efter en passende periode til helbredelse.  </w:t>
      </w:r>
    </w:p>
    <w:p w14:paraId="1B48B5C8" w14:textId="1D43FDA4" w:rsidR="007C398A" w:rsidRPr="007C398A" w:rsidRDefault="007C398A" w:rsidP="007C398A">
      <w:pPr>
        <w:tabs>
          <w:tab w:val="left" w:pos="851"/>
        </w:tabs>
        <w:ind w:left="1134" w:hanging="283"/>
        <w:rPr>
          <w:sz w:val="24"/>
          <w:szCs w:val="24"/>
        </w:rPr>
      </w:pPr>
      <w:r w:rsidRPr="007C398A">
        <w:rPr>
          <w:sz w:val="24"/>
          <w:szCs w:val="24"/>
          <w:vertAlign w:val="superscript"/>
        </w:rPr>
        <w:t>8</w:t>
      </w:r>
      <w:r w:rsidRPr="007C398A">
        <w:rPr>
          <w:sz w:val="24"/>
          <w:szCs w:val="24"/>
        </w:rPr>
        <w:t xml:space="preserve"> </w:t>
      </w:r>
      <w:r w:rsidRPr="008A5C19">
        <w:rPr>
          <w:sz w:val="24"/>
          <w:szCs w:val="24"/>
        </w:rPr>
        <w:tab/>
      </w:r>
      <w:r w:rsidRPr="007C398A">
        <w:rPr>
          <w:sz w:val="24"/>
          <w:szCs w:val="24"/>
        </w:rPr>
        <w:t>Let.</w:t>
      </w:r>
    </w:p>
    <w:p w14:paraId="4F728C00" w14:textId="77777777" w:rsidR="007C398A" w:rsidRPr="007C398A" w:rsidRDefault="007C398A" w:rsidP="007C398A">
      <w:pPr>
        <w:tabs>
          <w:tab w:val="left" w:pos="851"/>
        </w:tabs>
        <w:ind w:left="851"/>
        <w:rPr>
          <w:sz w:val="24"/>
          <w:szCs w:val="24"/>
        </w:rPr>
      </w:pPr>
    </w:p>
    <w:p w14:paraId="7871CDBD" w14:textId="77777777" w:rsidR="007C398A" w:rsidRPr="007C398A" w:rsidRDefault="007C398A" w:rsidP="007C398A">
      <w:pPr>
        <w:ind w:left="851"/>
        <w:rPr>
          <w:sz w:val="24"/>
          <w:szCs w:val="24"/>
        </w:rPr>
      </w:pPr>
      <w:r w:rsidRPr="007C398A">
        <w:rPr>
          <w:sz w:val="24"/>
          <w:szCs w:val="24"/>
        </w:rPr>
        <w:t>Der er rapporteret utilsigtede hændelser efter langvarig kontrol af hyperthyreoidisme. I mange tilfælde kan tegn være milde og forbigående og ikke en grund til ophør af behandling. De mere alvorlige virkninger er hovedsageligt reversible, når medicinering ophører.</w:t>
      </w:r>
    </w:p>
    <w:p w14:paraId="40EEC186" w14:textId="77777777" w:rsidR="007C398A" w:rsidRPr="007C398A" w:rsidRDefault="007C398A" w:rsidP="007C398A">
      <w:pPr>
        <w:ind w:left="851"/>
        <w:rPr>
          <w:sz w:val="24"/>
          <w:szCs w:val="24"/>
        </w:rPr>
      </w:pPr>
    </w:p>
    <w:p w14:paraId="228300E2" w14:textId="77777777" w:rsidR="007C398A" w:rsidRPr="007C398A" w:rsidRDefault="007C398A" w:rsidP="007C398A">
      <w:pPr>
        <w:ind w:left="851"/>
        <w:rPr>
          <w:sz w:val="24"/>
          <w:szCs w:val="24"/>
        </w:rPr>
      </w:pPr>
      <w:r w:rsidRPr="007C398A">
        <w:rPr>
          <w:sz w:val="24"/>
          <w:szCs w:val="24"/>
        </w:rPr>
        <w:t>Efter langtidsbehandling med thiamazol hos gnavere er der vist en øget risiko for neoplasi i skjoldbruskkirtlen, men der foreligger ingen evidens hos katte.</w:t>
      </w:r>
    </w:p>
    <w:p w14:paraId="16C5915B" w14:textId="77777777" w:rsidR="007C398A" w:rsidRPr="007C398A" w:rsidRDefault="007C398A" w:rsidP="007C398A">
      <w:pPr>
        <w:ind w:left="851"/>
        <w:rPr>
          <w:sz w:val="24"/>
          <w:szCs w:val="24"/>
        </w:rPr>
      </w:pPr>
    </w:p>
    <w:p w14:paraId="34660CD4" w14:textId="77777777" w:rsidR="007C398A" w:rsidRPr="007C398A" w:rsidRDefault="007C398A" w:rsidP="007C398A">
      <w:pPr>
        <w:ind w:left="851"/>
        <w:rPr>
          <w:sz w:val="24"/>
          <w:szCs w:val="24"/>
        </w:rPr>
      </w:pPr>
      <w:r w:rsidRPr="007C398A">
        <w:rPr>
          <w:sz w:val="24"/>
          <w:szCs w:val="24"/>
        </w:rPr>
        <w:t>Indberetning af bivirkninger er vigtigt, da det muliggør løbende sikkerhedsovervågning af et veterinærlægemiddel. Indberetningerne sendes, helst via en dyrlæge, til enten indehaveren af markedsføringstilladelsen eller til den nationale kompetente myndighed via det nationale indberetningssystem. Se indlægssedlen for de relevante kontaktoplysninger.</w:t>
      </w:r>
    </w:p>
    <w:p w14:paraId="4DBCDD71" w14:textId="77777777" w:rsidR="008203A8" w:rsidRPr="008A5C19" w:rsidRDefault="008203A8" w:rsidP="008203A8">
      <w:pPr>
        <w:tabs>
          <w:tab w:val="left" w:pos="851"/>
        </w:tabs>
        <w:ind w:left="851"/>
        <w:rPr>
          <w:sz w:val="24"/>
          <w:szCs w:val="24"/>
        </w:rPr>
      </w:pPr>
      <w:bookmarkStart w:id="1" w:name="_Hlk66891708"/>
      <w:bookmarkEnd w:id="1"/>
    </w:p>
    <w:p w14:paraId="61881543" w14:textId="77777777" w:rsidR="008203A8" w:rsidRPr="008A5C19" w:rsidRDefault="008203A8" w:rsidP="008203A8">
      <w:pPr>
        <w:tabs>
          <w:tab w:val="left" w:pos="851"/>
        </w:tabs>
        <w:ind w:left="851" w:hanging="851"/>
        <w:rPr>
          <w:b/>
          <w:sz w:val="24"/>
          <w:szCs w:val="24"/>
        </w:rPr>
      </w:pPr>
      <w:r w:rsidRPr="008A5C19">
        <w:rPr>
          <w:b/>
          <w:sz w:val="24"/>
          <w:szCs w:val="24"/>
        </w:rPr>
        <w:t>3.7</w:t>
      </w:r>
      <w:r w:rsidRPr="008A5C19">
        <w:rPr>
          <w:b/>
          <w:sz w:val="24"/>
          <w:szCs w:val="24"/>
        </w:rPr>
        <w:tab/>
        <w:t>Anvendelse under drægtighed, laktation eller æglægning</w:t>
      </w:r>
    </w:p>
    <w:p w14:paraId="3770F883" w14:textId="77777777" w:rsidR="007C398A" w:rsidRPr="008A5C19" w:rsidRDefault="007C398A" w:rsidP="007C398A">
      <w:pPr>
        <w:ind w:left="851"/>
        <w:rPr>
          <w:sz w:val="24"/>
          <w:szCs w:val="24"/>
          <w:u w:val="single"/>
        </w:rPr>
      </w:pPr>
    </w:p>
    <w:p w14:paraId="6075CFC6" w14:textId="3789AAFA" w:rsidR="007C398A" w:rsidRPr="007C398A" w:rsidRDefault="007C398A" w:rsidP="007C398A">
      <w:pPr>
        <w:ind w:left="851"/>
        <w:rPr>
          <w:sz w:val="24"/>
          <w:szCs w:val="24"/>
          <w:u w:val="single"/>
        </w:rPr>
      </w:pPr>
      <w:r w:rsidRPr="007C398A">
        <w:rPr>
          <w:sz w:val="24"/>
          <w:szCs w:val="24"/>
          <w:u w:val="single"/>
        </w:rPr>
        <w:t>Drægtighed og diegivning</w:t>
      </w:r>
    </w:p>
    <w:p w14:paraId="22B0D458" w14:textId="77777777" w:rsidR="007C398A" w:rsidRPr="007C398A" w:rsidRDefault="007C398A" w:rsidP="007C398A">
      <w:pPr>
        <w:ind w:left="851"/>
        <w:rPr>
          <w:sz w:val="24"/>
          <w:szCs w:val="24"/>
        </w:rPr>
      </w:pPr>
      <w:r w:rsidRPr="007C398A">
        <w:rPr>
          <w:sz w:val="24"/>
          <w:szCs w:val="24"/>
        </w:rPr>
        <w:t>Laboratorieundersøgelser af rotter og mus har afsløret teratogene og embryotoksiske virkninger af thiamazol. Veterinærlægemidlets sikkerhed blev ikke vurderet hos drægtige eller diegivende katte. Må ikke anvendes til drægtige eller diegivende dyr.</w:t>
      </w:r>
    </w:p>
    <w:p w14:paraId="0E5C89F9" w14:textId="77777777" w:rsidR="008203A8" w:rsidRPr="008A5C19" w:rsidRDefault="008203A8" w:rsidP="008203A8">
      <w:pPr>
        <w:tabs>
          <w:tab w:val="left" w:pos="851"/>
        </w:tabs>
        <w:ind w:left="851"/>
        <w:rPr>
          <w:sz w:val="24"/>
          <w:szCs w:val="24"/>
        </w:rPr>
      </w:pPr>
    </w:p>
    <w:p w14:paraId="0F25CE2E" w14:textId="77777777" w:rsidR="008203A8" w:rsidRPr="008A5C19" w:rsidRDefault="008203A8" w:rsidP="008203A8">
      <w:pPr>
        <w:tabs>
          <w:tab w:val="left" w:pos="851"/>
        </w:tabs>
        <w:ind w:left="851" w:hanging="851"/>
        <w:rPr>
          <w:b/>
          <w:sz w:val="24"/>
          <w:szCs w:val="24"/>
        </w:rPr>
      </w:pPr>
      <w:r w:rsidRPr="008A5C19">
        <w:rPr>
          <w:b/>
          <w:sz w:val="24"/>
          <w:szCs w:val="24"/>
        </w:rPr>
        <w:t>3.8</w:t>
      </w:r>
      <w:r w:rsidRPr="008A5C19">
        <w:rPr>
          <w:b/>
          <w:sz w:val="24"/>
          <w:szCs w:val="24"/>
        </w:rPr>
        <w:tab/>
        <w:t>Interaktion med andre lægemidler og andre former for interaktion</w:t>
      </w:r>
    </w:p>
    <w:p w14:paraId="4067A333" w14:textId="77777777" w:rsidR="007C398A" w:rsidRPr="007C398A" w:rsidRDefault="007C398A" w:rsidP="007C398A">
      <w:pPr>
        <w:ind w:left="851"/>
        <w:rPr>
          <w:sz w:val="24"/>
          <w:szCs w:val="24"/>
        </w:rPr>
      </w:pPr>
      <w:r w:rsidRPr="007C398A">
        <w:rPr>
          <w:sz w:val="24"/>
          <w:szCs w:val="24"/>
        </w:rPr>
        <w:t>Samtidig behandling med fenobarbital kan reducere den kliniske virkning af thiamazol.</w:t>
      </w:r>
    </w:p>
    <w:p w14:paraId="62ECBC2F" w14:textId="77777777" w:rsidR="007C398A" w:rsidRPr="007C398A" w:rsidRDefault="007C398A" w:rsidP="007C398A">
      <w:pPr>
        <w:ind w:left="851"/>
        <w:rPr>
          <w:sz w:val="24"/>
          <w:szCs w:val="24"/>
        </w:rPr>
      </w:pPr>
    </w:p>
    <w:p w14:paraId="2EFC3D0E" w14:textId="77777777" w:rsidR="007C398A" w:rsidRPr="007C398A" w:rsidRDefault="007C398A" w:rsidP="007C398A">
      <w:pPr>
        <w:ind w:left="851"/>
        <w:rPr>
          <w:sz w:val="24"/>
          <w:szCs w:val="24"/>
        </w:rPr>
      </w:pPr>
      <w:r w:rsidRPr="007C398A">
        <w:rPr>
          <w:sz w:val="24"/>
          <w:szCs w:val="24"/>
        </w:rPr>
        <w:t>Thiamazol er kendt for at reducere den hepatiske oxidering af benzimidazol ormemidler og kan føre til stigninger i deres plasmakoncentrationer, når det gives samtidigt.</w:t>
      </w:r>
    </w:p>
    <w:p w14:paraId="1DBEFDBB" w14:textId="77777777" w:rsidR="007C398A" w:rsidRPr="007C398A" w:rsidRDefault="007C398A" w:rsidP="007C398A">
      <w:pPr>
        <w:ind w:left="851"/>
        <w:rPr>
          <w:sz w:val="24"/>
          <w:szCs w:val="24"/>
        </w:rPr>
      </w:pPr>
    </w:p>
    <w:p w14:paraId="4318B8E3" w14:textId="77777777" w:rsidR="007C398A" w:rsidRPr="007C398A" w:rsidRDefault="007C398A" w:rsidP="007C398A">
      <w:pPr>
        <w:ind w:left="851"/>
        <w:rPr>
          <w:sz w:val="24"/>
          <w:szCs w:val="24"/>
        </w:rPr>
      </w:pPr>
      <w:r w:rsidRPr="007C398A">
        <w:rPr>
          <w:sz w:val="24"/>
          <w:szCs w:val="24"/>
        </w:rPr>
        <w:t>Thiamazol er immunmodulerende, og dette bør derfor tages i betragtning, når vaccinationsprogrammer overvejes.</w:t>
      </w:r>
    </w:p>
    <w:p w14:paraId="5C69B7DF" w14:textId="77777777" w:rsidR="008203A8" w:rsidRPr="008A5C19" w:rsidRDefault="008203A8" w:rsidP="008203A8">
      <w:pPr>
        <w:tabs>
          <w:tab w:val="left" w:pos="851"/>
        </w:tabs>
        <w:ind w:left="851"/>
        <w:rPr>
          <w:sz w:val="24"/>
          <w:szCs w:val="24"/>
        </w:rPr>
      </w:pPr>
    </w:p>
    <w:p w14:paraId="5EBFCE76" w14:textId="77777777" w:rsidR="008203A8" w:rsidRPr="008A5C19" w:rsidRDefault="008203A8" w:rsidP="008203A8">
      <w:pPr>
        <w:tabs>
          <w:tab w:val="left" w:pos="851"/>
        </w:tabs>
        <w:ind w:left="851" w:hanging="851"/>
        <w:rPr>
          <w:b/>
          <w:sz w:val="24"/>
          <w:szCs w:val="24"/>
        </w:rPr>
      </w:pPr>
      <w:r w:rsidRPr="008A5C19">
        <w:rPr>
          <w:b/>
          <w:sz w:val="24"/>
          <w:szCs w:val="24"/>
        </w:rPr>
        <w:t>3.9</w:t>
      </w:r>
      <w:r w:rsidRPr="008A5C19">
        <w:rPr>
          <w:b/>
          <w:sz w:val="24"/>
          <w:szCs w:val="24"/>
        </w:rPr>
        <w:tab/>
        <w:t>Administrationsveje og dosering</w:t>
      </w:r>
    </w:p>
    <w:p w14:paraId="5E9D671B" w14:textId="77777777" w:rsidR="007C398A" w:rsidRPr="007C398A" w:rsidRDefault="007C398A" w:rsidP="007C398A">
      <w:pPr>
        <w:ind w:left="851"/>
        <w:rPr>
          <w:sz w:val="24"/>
          <w:szCs w:val="24"/>
        </w:rPr>
      </w:pPr>
      <w:r w:rsidRPr="007C398A">
        <w:rPr>
          <w:sz w:val="24"/>
          <w:szCs w:val="24"/>
        </w:rPr>
        <w:t xml:space="preserve">Oral anvendelse. </w:t>
      </w:r>
    </w:p>
    <w:p w14:paraId="57896BC5" w14:textId="77777777" w:rsidR="007C398A" w:rsidRPr="007C398A" w:rsidRDefault="007C398A" w:rsidP="007C398A">
      <w:pPr>
        <w:ind w:left="851"/>
        <w:rPr>
          <w:sz w:val="24"/>
          <w:szCs w:val="24"/>
        </w:rPr>
      </w:pPr>
      <w:r w:rsidRPr="007C398A">
        <w:rPr>
          <w:sz w:val="24"/>
          <w:szCs w:val="24"/>
        </w:rPr>
        <w:t>Veterinærlægemidlet bør indgives direkte i kattens mund.</w:t>
      </w:r>
    </w:p>
    <w:p w14:paraId="4DF85329" w14:textId="77777777" w:rsidR="007C398A" w:rsidRPr="007C398A" w:rsidRDefault="007C398A" w:rsidP="007C398A">
      <w:pPr>
        <w:ind w:left="851"/>
        <w:rPr>
          <w:sz w:val="24"/>
          <w:szCs w:val="24"/>
        </w:rPr>
      </w:pPr>
      <w:r w:rsidRPr="007C398A">
        <w:rPr>
          <w:sz w:val="24"/>
          <w:szCs w:val="24"/>
        </w:rPr>
        <w:t>Må ikke gives i mad, da virkningen af veterinærlægemidlet ved indgivelse på denne måde ikke er fastslået.</w:t>
      </w:r>
    </w:p>
    <w:p w14:paraId="4A9B29A1" w14:textId="77777777" w:rsidR="007C398A" w:rsidRPr="007C398A" w:rsidRDefault="007C398A" w:rsidP="007C398A">
      <w:pPr>
        <w:ind w:left="851"/>
        <w:rPr>
          <w:sz w:val="24"/>
          <w:szCs w:val="24"/>
        </w:rPr>
      </w:pPr>
    </w:p>
    <w:p w14:paraId="3D98E83F" w14:textId="77777777" w:rsidR="007C398A" w:rsidRPr="007C398A" w:rsidRDefault="007C398A" w:rsidP="007C398A">
      <w:pPr>
        <w:ind w:left="851"/>
        <w:rPr>
          <w:sz w:val="24"/>
          <w:szCs w:val="24"/>
        </w:rPr>
      </w:pPr>
      <w:r w:rsidRPr="007C398A">
        <w:rPr>
          <w:sz w:val="24"/>
          <w:szCs w:val="24"/>
        </w:rPr>
        <w:t>Til stabilisering af hyperthyreoidisme hos katte før kirurgisk thyreoidektomi og til langtidsbehandling af hyperthyreoidisme hos katte er den anbefalede startdosis 5 mg thiamazol om dagen (1 ml veterinærlægemidlet om dagen).</w:t>
      </w:r>
    </w:p>
    <w:p w14:paraId="2E127BCD" w14:textId="77777777" w:rsidR="007C398A" w:rsidRPr="007C398A" w:rsidRDefault="007C398A" w:rsidP="007C398A">
      <w:pPr>
        <w:ind w:left="851"/>
        <w:rPr>
          <w:sz w:val="24"/>
          <w:szCs w:val="24"/>
        </w:rPr>
      </w:pPr>
    </w:p>
    <w:p w14:paraId="162422D2" w14:textId="77777777" w:rsidR="007C398A" w:rsidRPr="007C398A" w:rsidRDefault="007C398A" w:rsidP="007C398A">
      <w:pPr>
        <w:ind w:left="851"/>
        <w:rPr>
          <w:sz w:val="24"/>
          <w:szCs w:val="24"/>
        </w:rPr>
      </w:pPr>
      <w:r w:rsidRPr="007C398A">
        <w:rPr>
          <w:sz w:val="24"/>
          <w:szCs w:val="24"/>
        </w:rPr>
        <w:t>Den samlede daglige dosis skal opdeles i to lige store doser og indgives morgen og aften. Hvis det af hensyn til overholdelse er at foretrække én gang daglig dosering, er dette acceptabelt, selv om en dosis to gange dagligt (2,5 mg thiamazol eller 0,5 ml veterinærlægemidlet, givet to gange) kan være mere virkningsfuld på kort sigt.  For at forbedre stabiliseringen af hyperthyreoidisme patienten bør der anvendes samme doseringsplan i relation til fodring dagligt.</w:t>
      </w:r>
    </w:p>
    <w:p w14:paraId="03588060" w14:textId="77777777" w:rsidR="007C398A" w:rsidRPr="007C398A" w:rsidRDefault="007C398A" w:rsidP="007C398A">
      <w:pPr>
        <w:ind w:left="851"/>
        <w:rPr>
          <w:sz w:val="24"/>
          <w:szCs w:val="24"/>
        </w:rPr>
      </w:pPr>
    </w:p>
    <w:p w14:paraId="75418B2F" w14:textId="77777777" w:rsidR="007C398A" w:rsidRPr="007C398A" w:rsidRDefault="007C398A" w:rsidP="007C398A">
      <w:pPr>
        <w:ind w:left="851"/>
        <w:rPr>
          <w:sz w:val="24"/>
          <w:szCs w:val="24"/>
        </w:rPr>
      </w:pPr>
      <w:r w:rsidRPr="007C398A">
        <w:rPr>
          <w:sz w:val="24"/>
          <w:szCs w:val="24"/>
        </w:rPr>
        <w:t>Brug den medfølgende sprøjte i pakningen. Sprøjten er inddelt i trin på 0,25 mg op til 5 mg og passer på flasken. For at give dosis nøjagtigt tages hætten af flasken, sprøjtespidsen sættes ind i flaskens adapter, flasken vendes om for at trække den ønskede dosis op, flasken sættes tilbage i oprejst position og sprøjten tages ud af flasken og veterinærlægemidlet gives direkte i kattens mund.</w:t>
      </w:r>
    </w:p>
    <w:p w14:paraId="6E857FA2" w14:textId="77777777" w:rsidR="007C398A" w:rsidRPr="007C398A" w:rsidRDefault="007C398A" w:rsidP="007C398A">
      <w:pPr>
        <w:ind w:left="851"/>
        <w:rPr>
          <w:sz w:val="24"/>
          <w:szCs w:val="24"/>
        </w:rPr>
      </w:pPr>
    </w:p>
    <w:p w14:paraId="127E69E8" w14:textId="77777777" w:rsidR="007C398A" w:rsidRPr="007C398A" w:rsidRDefault="007C398A" w:rsidP="007C398A">
      <w:pPr>
        <w:ind w:left="851"/>
        <w:rPr>
          <w:sz w:val="24"/>
          <w:szCs w:val="24"/>
        </w:rPr>
      </w:pPr>
      <w:r w:rsidRPr="007C398A">
        <w:rPr>
          <w:sz w:val="24"/>
          <w:szCs w:val="24"/>
        </w:rPr>
        <w:t>Hæmatologi, biokemi og serum i alt T4 skal vurderes før påbegyndelse af behandling og efter 3 uger, 6 uger, 10 uger, 20 uger og derefter hver 3. måned. Ved hvert af de anbefalede monitoreringsintervaller skal dosis titreres til virkning i forhold til de samlede T4 og til det kliniske respons på behandlingen. Dosisjusteringer bør foretages i trin på 2,5 mg thiamazol (0,5 ml af veterinærlægemidlet), og målet bør være at opnå den lavest mulige dosering. Hos katte, der kræver særlig små dosisjusteringer, kan der anvendes øgninger på 1,25 mg thiamazol (0,25 ml af veterinærlægemidlet).</w:t>
      </w:r>
    </w:p>
    <w:p w14:paraId="16B1AD18" w14:textId="77777777" w:rsidR="007C398A" w:rsidRPr="007C398A" w:rsidRDefault="007C398A" w:rsidP="007C398A">
      <w:pPr>
        <w:ind w:left="851"/>
        <w:rPr>
          <w:sz w:val="24"/>
          <w:szCs w:val="24"/>
        </w:rPr>
      </w:pPr>
    </w:p>
    <w:p w14:paraId="394A33F5" w14:textId="77777777" w:rsidR="007C398A" w:rsidRPr="007C398A" w:rsidRDefault="007C398A" w:rsidP="007C398A">
      <w:pPr>
        <w:ind w:left="851"/>
        <w:rPr>
          <w:sz w:val="24"/>
          <w:szCs w:val="24"/>
        </w:rPr>
      </w:pPr>
      <w:r w:rsidRPr="007C398A">
        <w:rPr>
          <w:sz w:val="24"/>
          <w:szCs w:val="24"/>
        </w:rPr>
        <w:t>Hvis der kræves mere end 10 mg thiamazol pr. dag (2 ml af veterinærlægemidlet), bør dyrene overvåges særlig omhyggeligt.</w:t>
      </w:r>
    </w:p>
    <w:p w14:paraId="6EB8075B" w14:textId="77777777" w:rsidR="007C398A" w:rsidRPr="007C398A" w:rsidRDefault="007C398A" w:rsidP="007C398A">
      <w:pPr>
        <w:ind w:left="851"/>
        <w:rPr>
          <w:sz w:val="24"/>
          <w:szCs w:val="24"/>
        </w:rPr>
      </w:pPr>
    </w:p>
    <w:p w14:paraId="24FF2798" w14:textId="77777777" w:rsidR="007C398A" w:rsidRPr="007C398A" w:rsidRDefault="007C398A" w:rsidP="007C398A">
      <w:pPr>
        <w:ind w:left="851"/>
        <w:rPr>
          <w:sz w:val="24"/>
          <w:szCs w:val="24"/>
        </w:rPr>
      </w:pPr>
      <w:r w:rsidRPr="007C398A">
        <w:rPr>
          <w:sz w:val="24"/>
          <w:szCs w:val="24"/>
        </w:rPr>
        <w:t>Den indgivne dosis må ikke overstige 20 mg thiamazol pr. dag (4 ml af veterinærlægemidlet).</w:t>
      </w:r>
    </w:p>
    <w:p w14:paraId="6B9EBDAB" w14:textId="77777777" w:rsidR="007C398A" w:rsidRPr="007C398A" w:rsidRDefault="007C398A" w:rsidP="007C398A">
      <w:pPr>
        <w:ind w:left="851"/>
        <w:rPr>
          <w:sz w:val="24"/>
          <w:szCs w:val="24"/>
        </w:rPr>
      </w:pPr>
      <w:r w:rsidRPr="007C398A">
        <w:rPr>
          <w:sz w:val="24"/>
          <w:szCs w:val="24"/>
        </w:rPr>
        <w:t>Til langtidsbehandling af hyperthyreoidisme skal dyret behandles hele livet.</w:t>
      </w:r>
    </w:p>
    <w:p w14:paraId="304EC9B8" w14:textId="77777777" w:rsidR="008203A8" w:rsidRPr="008A5C19" w:rsidRDefault="008203A8" w:rsidP="008203A8">
      <w:pPr>
        <w:tabs>
          <w:tab w:val="left" w:pos="851"/>
        </w:tabs>
        <w:ind w:left="851"/>
        <w:rPr>
          <w:sz w:val="24"/>
          <w:szCs w:val="24"/>
        </w:rPr>
      </w:pPr>
    </w:p>
    <w:p w14:paraId="599D6265" w14:textId="77777777" w:rsidR="008203A8" w:rsidRPr="008A5C19" w:rsidRDefault="008203A8" w:rsidP="008203A8">
      <w:pPr>
        <w:tabs>
          <w:tab w:val="left" w:pos="851"/>
        </w:tabs>
        <w:ind w:left="851" w:hanging="851"/>
        <w:rPr>
          <w:b/>
          <w:sz w:val="24"/>
          <w:szCs w:val="24"/>
        </w:rPr>
      </w:pPr>
      <w:r w:rsidRPr="008A5C19">
        <w:rPr>
          <w:b/>
          <w:sz w:val="24"/>
          <w:szCs w:val="24"/>
        </w:rPr>
        <w:t>3.10</w:t>
      </w:r>
      <w:r w:rsidRPr="008A5C19">
        <w:rPr>
          <w:b/>
          <w:sz w:val="24"/>
          <w:szCs w:val="24"/>
        </w:rPr>
        <w:tab/>
        <w:t>Symptomer på overdosering (og, hvis relevant, nødforanstaltninger og modgift)</w:t>
      </w:r>
    </w:p>
    <w:p w14:paraId="32128286" w14:textId="77777777" w:rsidR="007C398A" w:rsidRPr="007C398A" w:rsidRDefault="007C398A" w:rsidP="008A5C19">
      <w:pPr>
        <w:ind w:left="851"/>
        <w:rPr>
          <w:sz w:val="24"/>
          <w:szCs w:val="24"/>
        </w:rPr>
      </w:pPr>
      <w:r w:rsidRPr="007C398A">
        <w:rPr>
          <w:sz w:val="24"/>
          <w:szCs w:val="24"/>
        </w:rPr>
        <w:t>I toleranceundersøgelser hos unge, raske katte forekom følgende dosisrelaterede kliniske symptomer ved doser på op til 30 mg/dyr/dag: Anoreksi, opkastning, sløvhed, kløe og hæmatologiske og biokemiske abnormiteter som neutropeni, lymfopeni, reducerede serum-kalium- og fosforniveauer, forhøjede magnesium- og kreatinininniveauer og forekomsten af antistoffer. Ved en dosis på 30 mg/dag viste nogle katte tegn på hæmolytisk anæmi og alvorlig klinisk forværring. Nogle af disse tegn kan også forekomme hos hyperthyroide katte, der behandles med doser på op til 20 mg dagligt.</w:t>
      </w:r>
    </w:p>
    <w:p w14:paraId="0B262214" w14:textId="77777777" w:rsidR="007C398A" w:rsidRPr="007C398A" w:rsidRDefault="007C398A" w:rsidP="008A5C19">
      <w:pPr>
        <w:ind w:left="851"/>
        <w:rPr>
          <w:sz w:val="24"/>
          <w:szCs w:val="24"/>
        </w:rPr>
      </w:pPr>
    </w:p>
    <w:p w14:paraId="50F6131C" w14:textId="78BC691A" w:rsidR="007C398A" w:rsidRPr="007C398A" w:rsidRDefault="007C398A" w:rsidP="008A5C19">
      <w:pPr>
        <w:ind w:left="851"/>
        <w:rPr>
          <w:sz w:val="24"/>
          <w:szCs w:val="24"/>
        </w:rPr>
      </w:pPr>
      <w:r w:rsidRPr="007C398A">
        <w:rPr>
          <w:sz w:val="24"/>
          <w:szCs w:val="24"/>
        </w:rPr>
        <w:t xml:space="preserve">Overdrevne doser hos hyperthyroide katte kan resultere i tegn på hypothyreoidisme. Dette er dog usandsynligt, da hypothyreoidisme normalt korrigeres af negative feedback-mekanismer. Se </w:t>
      </w:r>
      <w:r w:rsidR="008A5C19">
        <w:rPr>
          <w:sz w:val="24"/>
          <w:szCs w:val="24"/>
        </w:rPr>
        <w:t>pkt.</w:t>
      </w:r>
      <w:r w:rsidRPr="007C398A">
        <w:rPr>
          <w:sz w:val="24"/>
          <w:szCs w:val="24"/>
        </w:rPr>
        <w:t xml:space="preserve"> 3.6: Bivirkninger.</w:t>
      </w:r>
    </w:p>
    <w:p w14:paraId="0B47FBB5" w14:textId="77777777" w:rsidR="007C398A" w:rsidRPr="007C398A" w:rsidRDefault="007C398A" w:rsidP="008A5C19">
      <w:pPr>
        <w:ind w:left="851"/>
        <w:rPr>
          <w:sz w:val="24"/>
          <w:szCs w:val="24"/>
        </w:rPr>
      </w:pPr>
    </w:p>
    <w:p w14:paraId="638FFCC2" w14:textId="77777777" w:rsidR="007C398A" w:rsidRPr="007C398A" w:rsidRDefault="007C398A" w:rsidP="008A5C19">
      <w:pPr>
        <w:ind w:left="851"/>
        <w:rPr>
          <w:sz w:val="24"/>
          <w:szCs w:val="24"/>
        </w:rPr>
      </w:pPr>
      <w:r w:rsidRPr="007C398A">
        <w:rPr>
          <w:sz w:val="24"/>
          <w:szCs w:val="24"/>
        </w:rPr>
        <w:t>Hvis der opstår overdosering, skal behandlingen stoppes og der gives symptomatisk og støttende behandling.</w:t>
      </w:r>
    </w:p>
    <w:p w14:paraId="4BD5A095" w14:textId="77777777" w:rsidR="008203A8" w:rsidRPr="008A5C19" w:rsidRDefault="008203A8" w:rsidP="008203A8">
      <w:pPr>
        <w:tabs>
          <w:tab w:val="left" w:pos="851"/>
        </w:tabs>
        <w:ind w:left="851"/>
        <w:rPr>
          <w:sz w:val="24"/>
          <w:szCs w:val="24"/>
        </w:rPr>
      </w:pPr>
    </w:p>
    <w:p w14:paraId="5D7E42A7" w14:textId="77777777" w:rsidR="008203A8" w:rsidRPr="008A5C19" w:rsidRDefault="008203A8" w:rsidP="008203A8">
      <w:pPr>
        <w:tabs>
          <w:tab w:val="left" w:pos="851"/>
        </w:tabs>
        <w:ind w:left="851" w:hanging="851"/>
        <w:rPr>
          <w:sz w:val="24"/>
          <w:szCs w:val="24"/>
        </w:rPr>
      </w:pPr>
      <w:r w:rsidRPr="008A5C19">
        <w:rPr>
          <w:b/>
          <w:sz w:val="24"/>
          <w:szCs w:val="24"/>
        </w:rPr>
        <w:t>3.11</w:t>
      </w:r>
      <w:r w:rsidRPr="008A5C19">
        <w:rPr>
          <w:sz w:val="24"/>
          <w:szCs w:val="24"/>
        </w:rPr>
        <w:tab/>
      </w:r>
      <w:r w:rsidRPr="008A5C19">
        <w:rPr>
          <w:b/>
          <w:sz w:val="24"/>
          <w:szCs w:val="24"/>
        </w:rPr>
        <w:t>Særlige begrænsninger og betingelser for anvendelse, herunder begrænsninger for anvendelsen af antimikrobielle og antiparasitære veterinærlægemidler for at begrænse risikoen for udvikling af resistens</w:t>
      </w:r>
    </w:p>
    <w:p w14:paraId="582C87B0" w14:textId="77777777" w:rsidR="007C398A" w:rsidRPr="007C398A" w:rsidRDefault="007C398A" w:rsidP="008A5C19">
      <w:pPr>
        <w:ind w:left="851"/>
        <w:rPr>
          <w:sz w:val="24"/>
          <w:szCs w:val="24"/>
        </w:rPr>
      </w:pPr>
      <w:r w:rsidRPr="007C398A">
        <w:rPr>
          <w:sz w:val="24"/>
          <w:szCs w:val="24"/>
        </w:rPr>
        <w:t>Ikke relevant.</w:t>
      </w:r>
    </w:p>
    <w:p w14:paraId="760F6719" w14:textId="77777777" w:rsidR="008203A8" w:rsidRPr="008A5C19" w:rsidRDefault="008203A8" w:rsidP="008203A8">
      <w:pPr>
        <w:tabs>
          <w:tab w:val="left" w:pos="851"/>
        </w:tabs>
        <w:ind w:left="851"/>
        <w:rPr>
          <w:sz w:val="24"/>
          <w:szCs w:val="24"/>
        </w:rPr>
      </w:pPr>
    </w:p>
    <w:p w14:paraId="47F332D3" w14:textId="77777777" w:rsidR="008203A8" w:rsidRPr="008A5C19" w:rsidRDefault="008203A8" w:rsidP="008203A8">
      <w:pPr>
        <w:tabs>
          <w:tab w:val="left" w:pos="851"/>
        </w:tabs>
        <w:ind w:left="851" w:hanging="851"/>
        <w:rPr>
          <w:b/>
          <w:sz w:val="24"/>
          <w:szCs w:val="24"/>
        </w:rPr>
      </w:pPr>
      <w:r w:rsidRPr="008A5C19">
        <w:rPr>
          <w:b/>
          <w:sz w:val="24"/>
          <w:szCs w:val="24"/>
        </w:rPr>
        <w:t>3.12</w:t>
      </w:r>
      <w:r w:rsidRPr="008A5C19">
        <w:rPr>
          <w:b/>
          <w:sz w:val="24"/>
          <w:szCs w:val="24"/>
        </w:rPr>
        <w:tab/>
        <w:t>Tilbageholdelsestid(er)</w:t>
      </w:r>
    </w:p>
    <w:p w14:paraId="40DE4F56" w14:textId="77777777" w:rsidR="007C398A" w:rsidRPr="007C398A" w:rsidRDefault="007C398A" w:rsidP="007C398A">
      <w:pPr>
        <w:pStyle w:val="Sidehoved"/>
        <w:ind w:left="851"/>
        <w:rPr>
          <w:szCs w:val="24"/>
        </w:rPr>
      </w:pPr>
      <w:r w:rsidRPr="007C398A">
        <w:rPr>
          <w:szCs w:val="24"/>
        </w:rPr>
        <w:t>Ikke relevant.</w:t>
      </w:r>
    </w:p>
    <w:p w14:paraId="6ECDAC98" w14:textId="77777777" w:rsidR="008203A8" w:rsidRPr="008A5C19" w:rsidRDefault="008203A8" w:rsidP="008203A8">
      <w:pPr>
        <w:pStyle w:val="Sidehoved"/>
        <w:tabs>
          <w:tab w:val="clear" w:pos="4819"/>
        </w:tabs>
        <w:ind w:left="851"/>
        <w:rPr>
          <w:szCs w:val="24"/>
        </w:rPr>
      </w:pPr>
    </w:p>
    <w:p w14:paraId="63633808" w14:textId="77777777" w:rsidR="008203A8" w:rsidRPr="008A5C19" w:rsidRDefault="008203A8" w:rsidP="008203A8">
      <w:pPr>
        <w:tabs>
          <w:tab w:val="left" w:pos="851"/>
        </w:tabs>
        <w:ind w:left="851"/>
        <w:rPr>
          <w:sz w:val="24"/>
          <w:szCs w:val="24"/>
        </w:rPr>
      </w:pPr>
    </w:p>
    <w:p w14:paraId="70696BA3" w14:textId="7101D144" w:rsidR="008203A8" w:rsidRPr="008A5C19" w:rsidRDefault="008203A8" w:rsidP="008203A8">
      <w:pPr>
        <w:ind w:left="851" w:hanging="851"/>
        <w:rPr>
          <w:b/>
          <w:sz w:val="24"/>
          <w:szCs w:val="24"/>
        </w:rPr>
      </w:pPr>
      <w:r w:rsidRPr="008A5C19">
        <w:rPr>
          <w:b/>
          <w:sz w:val="24"/>
          <w:szCs w:val="24"/>
        </w:rPr>
        <w:t>4.</w:t>
      </w:r>
      <w:r w:rsidRPr="008A5C19">
        <w:rPr>
          <w:b/>
          <w:sz w:val="24"/>
          <w:szCs w:val="24"/>
        </w:rPr>
        <w:tab/>
        <w:t>FARMAKOLOGISKE OPLYSNINGER</w:t>
      </w:r>
    </w:p>
    <w:p w14:paraId="1753392A" w14:textId="77777777" w:rsidR="008203A8" w:rsidRPr="008A5C19" w:rsidRDefault="008203A8" w:rsidP="008203A8">
      <w:pPr>
        <w:ind w:left="851"/>
        <w:rPr>
          <w:sz w:val="24"/>
          <w:szCs w:val="24"/>
        </w:rPr>
      </w:pPr>
    </w:p>
    <w:p w14:paraId="6EC4B7ED" w14:textId="77777777" w:rsidR="008203A8" w:rsidRPr="008A5C19" w:rsidRDefault="008203A8" w:rsidP="008203A8">
      <w:pPr>
        <w:ind w:left="851" w:hanging="851"/>
        <w:rPr>
          <w:b/>
          <w:sz w:val="24"/>
          <w:szCs w:val="24"/>
        </w:rPr>
      </w:pPr>
      <w:r w:rsidRPr="008A5C19">
        <w:rPr>
          <w:b/>
          <w:sz w:val="24"/>
          <w:szCs w:val="24"/>
        </w:rPr>
        <w:t>4.1</w:t>
      </w:r>
      <w:r w:rsidRPr="008A5C19">
        <w:rPr>
          <w:b/>
          <w:sz w:val="24"/>
          <w:szCs w:val="24"/>
        </w:rPr>
        <w:tab/>
        <w:t>ATCvet-kode</w:t>
      </w:r>
    </w:p>
    <w:p w14:paraId="34F877FF" w14:textId="77777777" w:rsidR="007C398A" w:rsidRPr="007C398A" w:rsidRDefault="007C398A" w:rsidP="007C398A">
      <w:pPr>
        <w:ind w:left="851"/>
        <w:rPr>
          <w:sz w:val="24"/>
          <w:szCs w:val="24"/>
        </w:rPr>
      </w:pPr>
      <w:r w:rsidRPr="007C398A">
        <w:rPr>
          <w:sz w:val="24"/>
          <w:szCs w:val="24"/>
        </w:rPr>
        <w:t>QH03BB02.</w:t>
      </w:r>
    </w:p>
    <w:p w14:paraId="6BA2A182" w14:textId="77777777" w:rsidR="008203A8" w:rsidRPr="008A5C19" w:rsidRDefault="008203A8" w:rsidP="008203A8">
      <w:pPr>
        <w:ind w:left="851"/>
        <w:rPr>
          <w:sz w:val="24"/>
          <w:szCs w:val="24"/>
        </w:rPr>
      </w:pPr>
    </w:p>
    <w:p w14:paraId="591AE95E" w14:textId="77777777" w:rsidR="008203A8" w:rsidRPr="008A5C19" w:rsidRDefault="008203A8" w:rsidP="008203A8">
      <w:pPr>
        <w:tabs>
          <w:tab w:val="left" w:pos="851"/>
        </w:tabs>
        <w:ind w:left="851" w:hanging="851"/>
        <w:rPr>
          <w:b/>
          <w:sz w:val="24"/>
          <w:szCs w:val="24"/>
        </w:rPr>
      </w:pPr>
      <w:r w:rsidRPr="008A5C19">
        <w:rPr>
          <w:b/>
          <w:sz w:val="24"/>
          <w:szCs w:val="24"/>
        </w:rPr>
        <w:t>4.2</w:t>
      </w:r>
      <w:r w:rsidRPr="008A5C19">
        <w:rPr>
          <w:b/>
          <w:sz w:val="24"/>
          <w:szCs w:val="24"/>
        </w:rPr>
        <w:tab/>
        <w:t>Farmakodynamiske oplysninger</w:t>
      </w:r>
    </w:p>
    <w:p w14:paraId="6FCAA742" w14:textId="77777777" w:rsidR="007C398A" w:rsidRPr="007C398A" w:rsidRDefault="007C398A" w:rsidP="008A5C19">
      <w:pPr>
        <w:ind w:left="851"/>
        <w:rPr>
          <w:sz w:val="24"/>
          <w:szCs w:val="24"/>
        </w:rPr>
      </w:pPr>
      <w:r w:rsidRPr="007C398A">
        <w:rPr>
          <w:sz w:val="24"/>
          <w:szCs w:val="24"/>
        </w:rPr>
        <w:t xml:space="preserve">Thiamazol virker ved at blokere biosyntesen af thyroideahormon </w:t>
      </w:r>
      <w:r w:rsidRPr="007C398A">
        <w:rPr>
          <w:i/>
          <w:iCs/>
          <w:sz w:val="24"/>
          <w:szCs w:val="24"/>
        </w:rPr>
        <w:t>in vivo</w:t>
      </w:r>
      <w:r w:rsidRPr="007C398A">
        <w:rPr>
          <w:sz w:val="24"/>
          <w:szCs w:val="24"/>
        </w:rPr>
        <w:t>. Den primære virkning er at hæmme bindingen af jod til enzymet thyroidperoxidase, hvorved den katalyserede jodinering af thyroglobulin og T</w:t>
      </w:r>
      <w:r w:rsidRPr="007C398A">
        <w:rPr>
          <w:sz w:val="24"/>
          <w:szCs w:val="24"/>
          <w:vertAlign w:val="subscript"/>
        </w:rPr>
        <w:t>3</w:t>
      </w:r>
      <w:r w:rsidRPr="007C398A">
        <w:rPr>
          <w:sz w:val="24"/>
          <w:szCs w:val="24"/>
        </w:rPr>
        <w:t>- og T</w:t>
      </w:r>
      <w:r w:rsidRPr="007C398A">
        <w:rPr>
          <w:sz w:val="24"/>
          <w:szCs w:val="24"/>
          <w:vertAlign w:val="subscript"/>
        </w:rPr>
        <w:t>4-</w:t>
      </w:r>
      <w:r w:rsidRPr="007C398A">
        <w:rPr>
          <w:sz w:val="24"/>
          <w:szCs w:val="24"/>
        </w:rPr>
        <w:t>syntesen forhindres.</w:t>
      </w:r>
    </w:p>
    <w:p w14:paraId="20396CF6" w14:textId="77777777" w:rsidR="008203A8" w:rsidRPr="008A5C19" w:rsidRDefault="008203A8" w:rsidP="008203A8">
      <w:pPr>
        <w:tabs>
          <w:tab w:val="left" w:pos="851"/>
        </w:tabs>
        <w:ind w:left="851"/>
        <w:rPr>
          <w:sz w:val="24"/>
          <w:szCs w:val="24"/>
        </w:rPr>
      </w:pPr>
    </w:p>
    <w:p w14:paraId="5615E0EC" w14:textId="77777777" w:rsidR="008203A8" w:rsidRPr="008A5C19" w:rsidRDefault="008203A8" w:rsidP="008203A8">
      <w:pPr>
        <w:tabs>
          <w:tab w:val="left" w:pos="851"/>
        </w:tabs>
        <w:ind w:left="851" w:hanging="851"/>
        <w:rPr>
          <w:b/>
          <w:sz w:val="24"/>
          <w:szCs w:val="24"/>
        </w:rPr>
      </w:pPr>
      <w:r w:rsidRPr="008A5C19">
        <w:rPr>
          <w:b/>
          <w:sz w:val="24"/>
          <w:szCs w:val="24"/>
        </w:rPr>
        <w:t>4.3</w:t>
      </w:r>
      <w:r w:rsidRPr="008A5C19">
        <w:rPr>
          <w:b/>
          <w:sz w:val="24"/>
          <w:szCs w:val="24"/>
        </w:rPr>
        <w:tab/>
        <w:t>Farmakokinetiske oplysninger</w:t>
      </w:r>
    </w:p>
    <w:p w14:paraId="230D14A4" w14:textId="77777777" w:rsidR="007C398A" w:rsidRPr="007C398A" w:rsidRDefault="007C398A" w:rsidP="008A5C19">
      <w:pPr>
        <w:ind w:left="851"/>
        <w:rPr>
          <w:sz w:val="24"/>
          <w:szCs w:val="24"/>
        </w:rPr>
      </w:pPr>
      <w:r w:rsidRPr="007C398A">
        <w:rPr>
          <w:sz w:val="24"/>
          <w:szCs w:val="24"/>
        </w:rPr>
        <w:t>Efter oral dosering til raske katte absorberes thiamazol hurtigt og fuldstændigt med en biotilgængelighed på &gt; 75 %. Der er dog en betydelig variation mellem dyrene. Eliminering af lægemidlet fra katteplasma er hurtig med en halveringstid på 2,3 til 8,7 timer. Maksimale plasmaniveauer forekommer ca. 0,5 til 1,5 timer efter dosering. Den gennemsnitlige C</w:t>
      </w:r>
      <w:r w:rsidRPr="007C398A">
        <w:rPr>
          <w:sz w:val="24"/>
          <w:szCs w:val="24"/>
          <w:vertAlign w:val="subscript"/>
        </w:rPr>
        <w:t>max</w:t>
      </w:r>
      <w:r w:rsidRPr="007C398A">
        <w:rPr>
          <w:sz w:val="24"/>
          <w:szCs w:val="24"/>
        </w:rPr>
        <w:t xml:space="preserve"> er 1,4 μg/ml.</w:t>
      </w:r>
    </w:p>
    <w:p w14:paraId="47DDA2A8" w14:textId="77777777" w:rsidR="007C398A" w:rsidRPr="007C398A" w:rsidRDefault="007C398A" w:rsidP="008A5C19">
      <w:pPr>
        <w:ind w:left="851"/>
        <w:rPr>
          <w:sz w:val="24"/>
          <w:szCs w:val="24"/>
        </w:rPr>
      </w:pPr>
    </w:p>
    <w:p w14:paraId="1CB5E106" w14:textId="77777777" w:rsidR="007C398A" w:rsidRPr="007C398A" w:rsidRDefault="007C398A" w:rsidP="008A5C19">
      <w:pPr>
        <w:ind w:left="851"/>
        <w:rPr>
          <w:sz w:val="24"/>
          <w:szCs w:val="24"/>
        </w:rPr>
      </w:pPr>
      <w:r w:rsidRPr="007C398A">
        <w:rPr>
          <w:sz w:val="24"/>
          <w:szCs w:val="24"/>
        </w:rPr>
        <w:t>Hos rotter har thiamazol vist sig at være dårligt bundet til plasmaprotein (5 %); 40 % var bundet til røde blodlegemer. Thiamazols metabolisme hos katte er ikke undersøgt, men hos rotter metaboliseres thiamazol hurtigt i skjoldbruskkirtlen. Omkring 64 % af den indgivne dosis udskilles i urinen og kun 7,8 % udskilles i fæces. Dette er i modsætning til mennesket, hvor leveren er vigtig for stoffets metaboliske nedbrydning. Lægemidlets opholdstid i skjoldbruskkirtlen antages at være længere end i plasma.</w:t>
      </w:r>
    </w:p>
    <w:p w14:paraId="08865C6E" w14:textId="77777777" w:rsidR="007C398A" w:rsidRPr="007C398A" w:rsidRDefault="007C398A" w:rsidP="008A5C19">
      <w:pPr>
        <w:ind w:left="851"/>
        <w:rPr>
          <w:sz w:val="24"/>
          <w:szCs w:val="24"/>
        </w:rPr>
      </w:pPr>
    </w:p>
    <w:p w14:paraId="259492BF" w14:textId="77777777" w:rsidR="007C398A" w:rsidRPr="007C398A" w:rsidRDefault="007C398A" w:rsidP="008A5C19">
      <w:pPr>
        <w:ind w:left="851"/>
        <w:rPr>
          <w:sz w:val="24"/>
          <w:szCs w:val="24"/>
        </w:rPr>
      </w:pPr>
      <w:r w:rsidRPr="007C398A">
        <w:rPr>
          <w:sz w:val="24"/>
          <w:szCs w:val="24"/>
        </w:rPr>
        <w:t>Fra mennesker og rotter er det kendt, at lægemidlet kan krydse moderkagen og koncentrerer sig i fosterets skjoldbruskkirtel. Der er også en høj overførselshastighed til modermælk.</w:t>
      </w:r>
    </w:p>
    <w:p w14:paraId="6FD743F9" w14:textId="77777777" w:rsidR="008203A8" w:rsidRPr="008A5C19" w:rsidRDefault="008203A8" w:rsidP="008203A8">
      <w:pPr>
        <w:ind w:left="851"/>
        <w:rPr>
          <w:sz w:val="24"/>
          <w:szCs w:val="24"/>
        </w:rPr>
      </w:pPr>
    </w:p>
    <w:p w14:paraId="3057929B" w14:textId="24C946F3" w:rsidR="008A5C19" w:rsidRDefault="008A5C19">
      <w:pPr>
        <w:rPr>
          <w:sz w:val="24"/>
          <w:szCs w:val="24"/>
        </w:rPr>
      </w:pPr>
      <w:r>
        <w:rPr>
          <w:sz w:val="24"/>
          <w:szCs w:val="24"/>
        </w:rPr>
        <w:br w:type="page"/>
      </w:r>
    </w:p>
    <w:p w14:paraId="58B3AF45" w14:textId="77777777" w:rsidR="008203A8" w:rsidRPr="008A5C19" w:rsidRDefault="008203A8" w:rsidP="008203A8">
      <w:pPr>
        <w:tabs>
          <w:tab w:val="left" w:pos="851"/>
        </w:tabs>
        <w:ind w:left="851"/>
        <w:rPr>
          <w:sz w:val="24"/>
          <w:szCs w:val="24"/>
        </w:rPr>
      </w:pPr>
    </w:p>
    <w:p w14:paraId="2AA0148F" w14:textId="77777777" w:rsidR="008203A8" w:rsidRPr="008A5C19" w:rsidRDefault="008203A8" w:rsidP="008203A8">
      <w:pPr>
        <w:ind w:left="851" w:hanging="851"/>
        <w:rPr>
          <w:b/>
          <w:sz w:val="24"/>
          <w:szCs w:val="24"/>
        </w:rPr>
      </w:pPr>
      <w:r w:rsidRPr="008A5C19">
        <w:rPr>
          <w:b/>
          <w:sz w:val="24"/>
          <w:szCs w:val="24"/>
        </w:rPr>
        <w:t>5.</w:t>
      </w:r>
      <w:r w:rsidRPr="008A5C19">
        <w:rPr>
          <w:b/>
          <w:sz w:val="24"/>
          <w:szCs w:val="24"/>
        </w:rPr>
        <w:tab/>
        <w:t>FARMACEUTISKE OPLYSNINGER</w:t>
      </w:r>
    </w:p>
    <w:p w14:paraId="5A417A07" w14:textId="77777777" w:rsidR="008203A8" w:rsidRPr="008A5C19" w:rsidRDefault="008203A8" w:rsidP="008203A8">
      <w:pPr>
        <w:tabs>
          <w:tab w:val="left" w:pos="851"/>
        </w:tabs>
        <w:ind w:left="851"/>
        <w:rPr>
          <w:sz w:val="24"/>
          <w:szCs w:val="24"/>
        </w:rPr>
      </w:pPr>
    </w:p>
    <w:p w14:paraId="1CF354B5" w14:textId="77777777" w:rsidR="008203A8" w:rsidRPr="008A5C19" w:rsidRDefault="008203A8" w:rsidP="008203A8">
      <w:pPr>
        <w:ind w:left="851" w:hanging="851"/>
        <w:rPr>
          <w:b/>
          <w:sz w:val="24"/>
          <w:szCs w:val="24"/>
        </w:rPr>
      </w:pPr>
      <w:r w:rsidRPr="008A5C19">
        <w:rPr>
          <w:b/>
          <w:sz w:val="24"/>
          <w:szCs w:val="24"/>
        </w:rPr>
        <w:t>5.1</w:t>
      </w:r>
      <w:r w:rsidRPr="008A5C19">
        <w:rPr>
          <w:b/>
          <w:sz w:val="24"/>
          <w:szCs w:val="24"/>
        </w:rPr>
        <w:tab/>
        <w:t>Væsentlige uforligeligheder</w:t>
      </w:r>
    </w:p>
    <w:p w14:paraId="406F5774" w14:textId="77777777" w:rsidR="007C398A" w:rsidRPr="007C398A" w:rsidRDefault="007C398A" w:rsidP="008A5C19">
      <w:pPr>
        <w:ind w:left="851"/>
        <w:rPr>
          <w:sz w:val="24"/>
          <w:szCs w:val="24"/>
        </w:rPr>
      </w:pPr>
      <w:r w:rsidRPr="007C398A">
        <w:rPr>
          <w:sz w:val="24"/>
          <w:szCs w:val="24"/>
        </w:rPr>
        <w:t>Da der ikke er undersøgelser vedrørende eventuelle uforligeligheder, må dette veterinærlægemiddel ikke blandes med andre veterinærlægemidler.</w:t>
      </w:r>
    </w:p>
    <w:p w14:paraId="7082867D" w14:textId="77777777" w:rsidR="008203A8" w:rsidRPr="008A5C19" w:rsidRDefault="008203A8" w:rsidP="008203A8">
      <w:pPr>
        <w:tabs>
          <w:tab w:val="left" w:pos="851"/>
        </w:tabs>
        <w:ind w:left="851"/>
        <w:rPr>
          <w:sz w:val="24"/>
          <w:szCs w:val="24"/>
        </w:rPr>
      </w:pPr>
    </w:p>
    <w:p w14:paraId="5A6E5229" w14:textId="77777777" w:rsidR="008203A8" w:rsidRPr="008A5C19" w:rsidRDefault="008203A8" w:rsidP="008203A8">
      <w:pPr>
        <w:ind w:left="851" w:hanging="851"/>
        <w:rPr>
          <w:b/>
          <w:sz w:val="24"/>
          <w:szCs w:val="24"/>
        </w:rPr>
      </w:pPr>
      <w:r w:rsidRPr="008A5C19">
        <w:rPr>
          <w:b/>
          <w:sz w:val="24"/>
          <w:szCs w:val="24"/>
        </w:rPr>
        <w:t>5.2</w:t>
      </w:r>
      <w:r w:rsidRPr="008A5C19">
        <w:rPr>
          <w:b/>
          <w:sz w:val="24"/>
          <w:szCs w:val="24"/>
        </w:rPr>
        <w:tab/>
        <w:t>Opbevaringstid</w:t>
      </w:r>
    </w:p>
    <w:p w14:paraId="358427ED" w14:textId="77777777" w:rsidR="007C398A" w:rsidRPr="007C398A" w:rsidRDefault="007C398A" w:rsidP="008A5C19">
      <w:pPr>
        <w:ind w:left="851"/>
        <w:rPr>
          <w:sz w:val="24"/>
          <w:szCs w:val="24"/>
        </w:rPr>
      </w:pPr>
      <w:r w:rsidRPr="007C398A">
        <w:rPr>
          <w:sz w:val="24"/>
          <w:szCs w:val="24"/>
        </w:rPr>
        <w:t>Opbevaringstid for veterinærlægemidlet i salgspakning: 2 år.</w:t>
      </w:r>
    </w:p>
    <w:p w14:paraId="29FC8498" w14:textId="77777777" w:rsidR="007C398A" w:rsidRPr="007C398A" w:rsidRDefault="007C398A" w:rsidP="008A5C19">
      <w:pPr>
        <w:ind w:left="851"/>
        <w:rPr>
          <w:sz w:val="24"/>
          <w:szCs w:val="24"/>
        </w:rPr>
      </w:pPr>
      <w:bookmarkStart w:id="2" w:name="_Hlk219841244"/>
      <w:r w:rsidRPr="007C398A">
        <w:rPr>
          <w:sz w:val="24"/>
          <w:szCs w:val="24"/>
        </w:rPr>
        <w:t>Opbevaringstid efter første åbning af den indre emballage: 6 måneder.</w:t>
      </w:r>
      <w:bookmarkEnd w:id="2"/>
    </w:p>
    <w:p w14:paraId="638FAA1B" w14:textId="77777777" w:rsidR="008203A8" w:rsidRPr="008A5C19" w:rsidRDefault="008203A8" w:rsidP="008203A8">
      <w:pPr>
        <w:tabs>
          <w:tab w:val="left" w:pos="851"/>
        </w:tabs>
        <w:ind w:left="851"/>
        <w:rPr>
          <w:sz w:val="24"/>
          <w:szCs w:val="24"/>
        </w:rPr>
      </w:pPr>
    </w:p>
    <w:p w14:paraId="197DB7FC" w14:textId="77777777" w:rsidR="008203A8" w:rsidRPr="008A5C19" w:rsidRDefault="008203A8" w:rsidP="008203A8">
      <w:pPr>
        <w:ind w:left="851" w:hanging="851"/>
        <w:rPr>
          <w:b/>
          <w:sz w:val="24"/>
          <w:szCs w:val="24"/>
        </w:rPr>
      </w:pPr>
      <w:r w:rsidRPr="008A5C19">
        <w:rPr>
          <w:b/>
          <w:sz w:val="24"/>
          <w:szCs w:val="24"/>
        </w:rPr>
        <w:t>5.3</w:t>
      </w:r>
      <w:r w:rsidRPr="008A5C19">
        <w:rPr>
          <w:b/>
          <w:sz w:val="24"/>
          <w:szCs w:val="24"/>
        </w:rPr>
        <w:tab/>
        <w:t>Særlige forholdsregler vedrørende opbevaring</w:t>
      </w:r>
    </w:p>
    <w:p w14:paraId="415129AF" w14:textId="77777777" w:rsidR="007C398A" w:rsidRPr="007C398A" w:rsidRDefault="007C398A" w:rsidP="008A5C19">
      <w:pPr>
        <w:ind w:left="851"/>
        <w:rPr>
          <w:sz w:val="24"/>
          <w:szCs w:val="24"/>
        </w:rPr>
      </w:pPr>
      <w:r w:rsidRPr="007C398A">
        <w:rPr>
          <w:sz w:val="24"/>
          <w:szCs w:val="24"/>
        </w:rPr>
        <w:t xml:space="preserve">Opbevares i den originale beholder for at beskytte mod lys. </w:t>
      </w:r>
    </w:p>
    <w:p w14:paraId="61B8E83A" w14:textId="77777777" w:rsidR="007C398A" w:rsidRPr="007C398A" w:rsidRDefault="007C398A" w:rsidP="008A5C19">
      <w:pPr>
        <w:ind w:left="851"/>
        <w:rPr>
          <w:sz w:val="24"/>
          <w:szCs w:val="24"/>
        </w:rPr>
      </w:pPr>
      <w:r w:rsidRPr="007C398A">
        <w:rPr>
          <w:sz w:val="24"/>
          <w:szCs w:val="24"/>
        </w:rPr>
        <w:t>Der er ingen særlige krav vedrørende opbevaringstemperaturer for dette veterinærlægemiddel.</w:t>
      </w:r>
    </w:p>
    <w:p w14:paraId="5912E860" w14:textId="77777777" w:rsidR="008203A8" w:rsidRPr="008A5C19" w:rsidRDefault="008203A8" w:rsidP="008203A8">
      <w:pPr>
        <w:tabs>
          <w:tab w:val="left" w:pos="851"/>
        </w:tabs>
        <w:ind w:left="851"/>
        <w:rPr>
          <w:sz w:val="24"/>
          <w:szCs w:val="24"/>
        </w:rPr>
      </w:pPr>
    </w:p>
    <w:p w14:paraId="45697E0C" w14:textId="77777777" w:rsidR="008203A8" w:rsidRPr="008A5C19" w:rsidRDefault="008203A8" w:rsidP="008203A8">
      <w:pPr>
        <w:ind w:left="851" w:hanging="851"/>
        <w:rPr>
          <w:b/>
          <w:sz w:val="24"/>
          <w:szCs w:val="24"/>
        </w:rPr>
      </w:pPr>
      <w:r w:rsidRPr="008A5C19">
        <w:rPr>
          <w:b/>
          <w:sz w:val="24"/>
          <w:szCs w:val="24"/>
        </w:rPr>
        <w:t>5.4</w:t>
      </w:r>
      <w:r w:rsidRPr="008A5C19">
        <w:rPr>
          <w:b/>
          <w:sz w:val="24"/>
          <w:szCs w:val="24"/>
        </w:rPr>
        <w:tab/>
        <w:t>Den indre emballages art og indhold</w:t>
      </w:r>
    </w:p>
    <w:p w14:paraId="1F8C26BE" w14:textId="77777777" w:rsidR="007C398A" w:rsidRPr="007C398A" w:rsidRDefault="007C398A" w:rsidP="008A5C19">
      <w:pPr>
        <w:ind w:left="851"/>
        <w:rPr>
          <w:sz w:val="24"/>
          <w:szCs w:val="24"/>
        </w:rPr>
      </w:pPr>
      <w:bookmarkStart w:id="3" w:name="_Hlk219935026"/>
      <w:r w:rsidRPr="007C398A">
        <w:rPr>
          <w:sz w:val="24"/>
          <w:szCs w:val="24"/>
        </w:rPr>
        <w:t xml:space="preserve">Polyetylentereftalat (PET) gule flasker med lavdensitetspolyetylen (LDPE) hætte og </w:t>
      </w:r>
      <w:bookmarkStart w:id="4" w:name="_Hlk219934284"/>
      <w:r w:rsidRPr="007C398A">
        <w:rPr>
          <w:sz w:val="24"/>
          <w:szCs w:val="24"/>
        </w:rPr>
        <w:t>polyethylen med høj densitet (HDPE/LDPE) eller polypropylen (PP)/HDPE</w:t>
      </w:r>
      <w:bookmarkEnd w:id="4"/>
      <w:r w:rsidRPr="007C398A">
        <w:rPr>
          <w:sz w:val="24"/>
          <w:szCs w:val="24"/>
        </w:rPr>
        <w:t xml:space="preserve"> børnesikrede hætter med manipulationssikrede forseglinger i en papæske. </w:t>
      </w:r>
    </w:p>
    <w:p w14:paraId="5EB6FEB2" w14:textId="77777777" w:rsidR="007C398A" w:rsidRPr="007C398A" w:rsidRDefault="007C398A" w:rsidP="008A5C19">
      <w:pPr>
        <w:ind w:left="851"/>
        <w:rPr>
          <w:sz w:val="24"/>
          <w:szCs w:val="24"/>
        </w:rPr>
      </w:pPr>
      <w:r w:rsidRPr="007C398A">
        <w:rPr>
          <w:sz w:val="24"/>
          <w:szCs w:val="24"/>
        </w:rPr>
        <w:t>Veterinærlægemidlet leveres med en 1 ml målesprøjte med 0,25 mg trin op til 5 mg, fremstillet af HDPE-stempel og en PP-cylinder.</w:t>
      </w:r>
    </w:p>
    <w:bookmarkEnd w:id="3"/>
    <w:p w14:paraId="2D55CAEE" w14:textId="77777777" w:rsidR="007C398A" w:rsidRPr="007C398A" w:rsidRDefault="007C398A" w:rsidP="008A5C19">
      <w:pPr>
        <w:ind w:left="851"/>
        <w:rPr>
          <w:sz w:val="24"/>
          <w:szCs w:val="24"/>
        </w:rPr>
      </w:pPr>
    </w:p>
    <w:p w14:paraId="4F56E540" w14:textId="77777777" w:rsidR="007C398A" w:rsidRPr="007C398A" w:rsidRDefault="007C398A" w:rsidP="008A5C19">
      <w:pPr>
        <w:ind w:left="851"/>
        <w:rPr>
          <w:sz w:val="24"/>
          <w:szCs w:val="24"/>
          <w:u w:val="single"/>
        </w:rPr>
      </w:pPr>
      <w:bookmarkStart w:id="5" w:name="_Hlk219935038"/>
      <w:r w:rsidRPr="007C398A">
        <w:rPr>
          <w:sz w:val="24"/>
          <w:szCs w:val="24"/>
          <w:u w:val="single"/>
        </w:rPr>
        <w:t>Pakningsstørrelse:</w:t>
      </w:r>
    </w:p>
    <w:p w14:paraId="53A5AB74" w14:textId="4159D495" w:rsidR="007C398A" w:rsidRPr="007C398A" w:rsidRDefault="007C398A" w:rsidP="008A5C19">
      <w:pPr>
        <w:ind w:left="851"/>
        <w:rPr>
          <w:i/>
          <w:sz w:val="24"/>
          <w:szCs w:val="24"/>
        </w:rPr>
      </w:pPr>
      <w:r w:rsidRPr="007C398A">
        <w:rPr>
          <w:sz w:val="24"/>
          <w:szCs w:val="24"/>
        </w:rPr>
        <w:t>Papæske med 1 flaske med 30 ml oral opløsning og 1 oral sprøjte med 1 ml inddelt i 0,25</w:t>
      </w:r>
      <w:r w:rsidR="008A5C19">
        <w:rPr>
          <w:sz w:val="24"/>
          <w:szCs w:val="24"/>
        </w:rPr>
        <w:t> </w:t>
      </w:r>
      <w:r w:rsidRPr="007C398A">
        <w:rPr>
          <w:sz w:val="24"/>
          <w:szCs w:val="24"/>
        </w:rPr>
        <w:t>mg.</w:t>
      </w:r>
    </w:p>
    <w:p w14:paraId="15AF6DDD" w14:textId="7E92E18D" w:rsidR="007C398A" w:rsidRPr="007C398A" w:rsidRDefault="007C398A" w:rsidP="008A5C19">
      <w:pPr>
        <w:ind w:left="851"/>
        <w:rPr>
          <w:sz w:val="24"/>
          <w:szCs w:val="24"/>
          <w:u w:val="single"/>
        </w:rPr>
      </w:pPr>
      <w:r w:rsidRPr="007C398A">
        <w:rPr>
          <w:sz w:val="24"/>
          <w:szCs w:val="24"/>
        </w:rPr>
        <w:t>Papæske med 1 flaske med 100 ml oral opløsning og 1 oral sprøjte med 1 ml inddelt i 0,25</w:t>
      </w:r>
      <w:r w:rsidR="008A5C19">
        <w:rPr>
          <w:sz w:val="24"/>
          <w:szCs w:val="24"/>
        </w:rPr>
        <w:t> </w:t>
      </w:r>
      <w:r w:rsidRPr="007C398A">
        <w:rPr>
          <w:sz w:val="24"/>
          <w:szCs w:val="24"/>
        </w:rPr>
        <w:t>mg.</w:t>
      </w:r>
    </w:p>
    <w:bookmarkEnd w:id="5"/>
    <w:p w14:paraId="06168045" w14:textId="61120615" w:rsidR="007C398A" w:rsidRPr="007C398A" w:rsidRDefault="007C398A" w:rsidP="008A5C19">
      <w:pPr>
        <w:ind w:left="851"/>
        <w:rPr>
          <w:sz w:val="24"/>
          <w:szCs w:val="24"/>
        </w:rPr>
      </w:pPr>
      <w:r w:rsidRPr="007C398A">
        <w:rPr>
          <w:sz w:val="24"/>
          <w:szCs w:val="24"/>
        </w:rPr>
        <w:t xml:space="preserve">Ikke alle pakningsstørrelser er nødvendigvis markedsført. </w:t>
      </w:r>
    </w:p>
    <w:p w14:paraId="7DB70B49" w14:textId="77777777" w:rsidR="008203A8" w:rsidRPr="008A5C19" w:rsidRDefault="008203A8" w:rsidP="008203A8">
      <w:pPr>
        <w:tabs>
          <w:tab w:val="left" w:pos="851"/>
        </w:tabs>
        <w:ind w:left="851"/>
        <w:rPr>
          <w:sz w:val="24"/>
          <w:szCs w:val="24"/>
        </w:rPr>
      </w:pPr>
    </w:p>
    <w:p w14:paraId="7238E920" w14:textId="77777777" w:rsidR="008203A8" w:rsidRPr="008A5C19" w:rsidRDefault="008203A8" w:rsidP="008203A8">
      <w:pPr>
        <w:tabs>
          <w:tab w:val="left" w:pos="851"/>
        </w:tabs>
        <w:ind w:left="851" w:hanging="851"/>
        <w:rPr>
          <w:sz w:val="24"/>
          <w:szCs w:val="24"/>
        </w:rPr>
      </w:pPr>
      <w:r w:rsidRPr="008A5C19">
        <w:rPr>
          <w:b/>
          <w:sz w:val="24"/>
          <w:szCs w:val="24"/>
        </w:rPr>
        <w:t>5.5</w:t>
      </w:r>
      <w:r w:rsidRPr="008A5C19">
        <w:rPr>
          <w:b/>
          <w:sz w:val="24"/>
          <w:szCs w:val="24"/>
        </w:rPr>
        <w:tab/>
        <w:t>Særlige forholdsregler vedrørende bortskaffelse af ubrugte veterinærlægemidler eller affaldsmaterialer fra brugen heraf</w:t>
      </w:r>
    </w:p>
    <w:p w14:paraId="48A4A2E8" w14:textId="77777777" w:rsidR="007C398A" w:rsidRPr="007C398A" w:rsidRDefault="007C398A" w:rsidP="008A5C19">
      <w:pPr>
        <w:tabs>
          <w:tab w:val="left" w:pos="8222"/>
        </w:tabs>
        <w:ind w:left="851"/>
        <w:rPr>
          <w:sz w:val="24"/>
          <w:szCs w:val="24"/>
        </w:rPr>
      </w:pPr>
      <w:r w:rsidRPr="007C398A">
        <w:rPr>
          <w:sz w:val="24"/>
          <w:szCs w:val="24"/>
        </w:rPr>
        <w:t>Lægemidler må ikke bortskaffes sammen med spildevand eller husholdningsaffald.</w:t>
      </w:r>
    </w:p>
    <w:p w14:paraId="6F0A6BC1" w14:textId="77777777" w:rsidR="007C398A" w:rsidRPr="007C398A" w:rsidRDefault="007C398A" w:rsidP="008A5C19">
      <w:pPr>
        <w:tabs>
          <w:tab w:val="left" w:pos="8222"/>
        </w:tabs>
        <w:ind w:left="851"/>
        <w:rPr>
          <w:sz w:val="24"/>
          <w:szCs w:val="24"/>
        </w:rPr>
      </w:pPr>
    </w:p>
    <w:p w14:paraId="7DD4C445" w14:textId="77777777" w:rsidR="007C398A" w:rsidRPr="007C398A" w:rsidRDefault="007C398A" w:rsidP="008A5C19">
      <w:pPr>
        <w:tabs>
          <w:tab w:val="left" w:pos="8222"/>
        </w:tabs>
        <w:ind w:left="851"/>
        <w:rPr>
          <w:sz w:val="24"/>
          <w:szCs w:val="24"/>
        </w:rPr>
      </w:pPr>
      <w:r w:rsidRPr="007C398A">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1A1B2A22" w14:textId="77777777" w:rsidR="008203A8" w:rsidRPr="008A5C19" w:rsidRDefault="008203A8" w:rsidP="008203A8">
      <w:pPr>
        <w:tabs>
          <w:tab w:val="left" w:pos="851"/>
        </w:tabs>
        <w:ind w:left="851"/>
        <w:rPr>
          <w:sz w:val="24"/>
          <w:szCs w:val="24"/>
        </w:rPr>
      </w:pPr>
    </w:p>
    <w:p w14:paraId="1F2C255B" w14:textId="77777777" w:rsidR="008203A8" w:rsidRPr="008A5C19" w:rsidRDefault="008203A8" w:rsidP="008203A8">
      <w:pPr>
        <w:tabs>
          <w:tab w:val="left" w:pos="851"/>
        </w:tabs>
        <w:ind w:left="851" w:hanging="851"/>
        <w:rPr>
          <w:b/>
          <w:sz w:val="24"/>
          <w:szCs w:val="24"/>
        </w:rPr>
      </w:pPr>
      <w:r w:rsidRPr="008A5C19">
        <w:rPr>
          <w:b/>
          <w:sz w:val="24"/>
          <w:szCs w:val="24"/>
        </w:rPr>
        <w:t>6.</w:t>
      </w:r>
      <w:r w:rsidRPr="008A5C19">
        <w:rPr>
          <w:b/>
          <w:sz w:val="24"/>
          <w:szCs w:val="24"/>
        </w:rPr>
        <w:tab/>
        <w:t>NAVN PÅ INDEHAVEREN AF MARKEDSFØRINGSTILLADELSEN</w:t>
      </w:r>
    </w:p>
    <w:p w14:paraId="0C25B4D7" w14:textId="77777777" w:rsidR="007C398A" w:rsidRPr="007C398A" w:rsidRDefault="007C398A" w:rsidP="007C398A">
      <w:pPr>
        <w:tabs>
          <w:tab w:val="left" w:pos="851"/>
        </w:tabs>
        <w:ind w:left="851"/>
        <w:rPr>
          <w:sz w:val="24"/>
          <w:szCs w:val="24"/>
        </w:rPr>
      </w:pPr>
      <w:r w:rsidRPr="007C398A">
        <w:rPr>
          <w:sz w:val="24"/>
          <w:szCs w:val="24"/>
        </w:rPr>
        <w:t>Chanelle Pharmaceuticals Manufacturing Limited</w:t>
      </w:r>
    </w:p>
    <w:p w14:paraId="7E50EE8C" w14:textId="77777777" w:rsidR="006154C3" w:rsidRDefault="006154C3" w:rsidP="007C398A">
      <w:pPr>
        <w:tabs>
          <w:tab w:val="left" w:pos="851"/>
        </w:tabs>
        <w:ind w:left="851"/>
        <w:rPr>
          <w:sz w:val="24"/>
          <w:szCs w:val="24"/>
          <w:lang w:val="en-US"/>
        </w:rPr>
      </w:pPr>
      <w:r w:rsidRPr="006154C3">
        <w:rPr>
          <w:sz w:val="24"/>
          <w:szCs w:val="24"/>
          <w:lang w:val="en-US"/>
        </w:rPr>
        <w:t>Ida Industrial Estate</w:t>
      </w:r>
    </w:p>
    <w:p w14:paraId="00D34599" w14:textId="5281E0D6" w:rsidR="006154C3" w:rsidRDefault="006154C3" w:rsidP="007C398A">
      <w:pPr>
        <w:tabs>
          <w:tab w:val="left" w:pos="851"/>
        </w:tabs>
        <w:ind w:left="851"/>
        <w:rPr>
          <w:sz w:val="24"/>
          <w:szCs w:val="24"/>
          <w:lang w:val="en-US"/>
        </w:rPr>
      </w:pPr>
      <w:r w:rsidRPr="006154C3">
        <w:rPr>
          <w:sz w:val="24"/>
          <w:szCs w:val="24"/>
          <w:lang w:val="en-US"/>
        </w:rPr>
        <w:t>Dublin Road</w:t>
      </w:r>
    </w:p>
    <w:p w14:paraId="1D9745C5" w14:textId="5688D65C" w:rsidR="007C398A" w:rsidRPr="007C398A" w:rsidRDefault="006154C3" w:rsidP="007C398A">
      <w:pPr>
        <w:tabs>
          <w:tab w:val="left" w:pos="851"/>
        </w:tabs>
        <w:ind w:left="851"/>
        <w:rPr>
          <w:sz w:val="24"/>
          <w:szCs w:val="24"/>
          <w:lang w:val="en-US"/>
        </w:rPr>
      </w:pPr>
      <w:r w:rsidRPr="006154C3">
        <w:rPr>
          <w:sz w:val="24"/>
          <w:szCs w:val="24"/>
          <w:lang w:val="en-US"/>
        </w:rPr>
        <w:t>H62 FH90</w:t>
      </w:r>
      <w:r>
        <w:rPr>
          <w:sz w:val="24"/>
          <w:szCs w:val="24"/>
          <w:lang w:val="en-US"/>
        </w:rPr>
        <w:t xml:space="preserve"> </w:t>
      </w:r>
      <w:r w:rsidR="007C398A" w:rsidRPr="007C398A">
        <w:rPr>
          <w:sz w:val="24"/>
          <w:szCs w:val="24"/>
          <w:lang w:val="en-US"/>
        </w:rPr>
        <w:t>Loughrea</w:t>
      </w:r>
    </w:p>
    <w:p w14:paraId="4F5C49BE" w14:textId="77777777" w:rsidR="007C398A" w:rsidRPr="007137C9" w:rsidRDefault="007C398A" w:rsidP="007C398A">
      <w:pPr>
        <w:tabs>
          <w:tab w:val="left" w:pos="851"/>
        </w:tabs>
        <w:ind w:left="851"/>
        <w:rPr>
          <w:sz w:val="24"/>
          <w:szCs w:val="24"/>
        </w:rPr>
      </w:pPr>
      <w:r w:rsidRPr="007137C9">
        <w:rPr>
          <w:sz w:val="24"/>
          <w:szCs w:val="24"/>
        </w:rPr>
        <w:t>Co. Galway</w:t>
      </w:r>
    </w:p>
    <w:p w14:paraId="2285DA30" w14:textId="77777777" w:rsidR="007C398A" w:rsidRPr="007137C9" w:rsidRDefault="007C398A" w:rsidP="007C398A">
      <w:pPr>
        <w:tabs>
          <w:tab w:val="left" w:pos="851"/>
        </w:tabs>
        <w:ind w:left="851"/>
        <w:rPr>
          <w:sz w:val="24"/>
          <w:szCs w:val="24"/>
        </w:rPr>
      </w:pPr>
      <w:r w:rsidRPr="007137C9">
        <w:rPr>
          <w:sz w:val="24"/>
          <w:szCs w:val="24"/>
        </w:rPr>
        <w:t>Irland</w:t>
      </w:r>
    </w:p>
    <w:p w14:paraId="0918ECC9" w14:textId="77777777" w:rsidR="008203A8" w:rsidRPr="007137C9" w:rsidRDefault="008203A8" w:rsidP="008203A8">
      <w:pPr>
        <w:tabs>
          <w:tab w:val="left" w:pos="851"/>
        </w:tabs>
        <w:ind w:left="851"/>
        <w:rPr>
          <w:sz w:val="24"/>
          <w:szCs w:val="24"/>
        </w:rPr>
      </w:pPr>
    </w:p>
    <w:p w14:paraId="1C40A2BA" w14:textId="77777777" w:rsidR="008203A8" w:rsidRPr="008A5C19" w:rsidRDefault="008203A8" w:rsidP="008203A8">
      <w:pPr>
        <w:ind w:left="851" w:hanging="851"/>
        <w:rPr>
          <w:b/>
          <w:sz w:val="24"/>
          <w:szCs w:val="24"/>
        </w:rPr>
      </w:pPr>
      <w:r w:rsidRPr="008A5C19">
        <w:rPr>
          <w:b/>
          <w:sz w:val="24"/>
          <w:szCs w:val="24"/>
        </w:rPr>
        <w:t>7.</w:t>
      </w:r>
      <w:r w:rsidRPr="008A5C19">
        <w:rPr>
          <w:b/>
          <w:sz w:val="24"/>
          <w:szCs w:val="24"/>
        </w:rPr>
        <w:tab/>
        <w:t>MARKEDSFØRINGSTILLADELSESNUMMER (-NUMRE)</w:t>
      </w:r>
    </w:p>
    <w:p w14:paraId="76AF8CE3" w14:textId="5F506DE9" w:rsidR="008203A8" w:rsidRPr="008A5C19" w:rsidRDefault="007C398A" w:rsidP="008203A8">
      <w:pPr>
        <w:tabs>
          <w:tab w:val="left" w:pos="851"/>
        </w:tabs>
        <w:ind w:left="851"/>
        <w:rPr>
          <w:sz w:val="24"/>
          <w:szCs w:val="24"/>
        </w:rPr>
      </w:pPr>
      <w:r w:rsidRPr="008A5C19">
        <w:rPr>
          <w:sz w:val="24"/>
          <w:szCs w:val="24"/>
        </w:rPr>
        <w:t>76166</w:t>
      </w:r>
    </w:p>
    <w:p w14:paraId="47BCE011" w14:textId="77777777" w:rsidR="008203A8" w:rsidRPr="008A5C19" w:rsidRDefault="008203A8" w:rsidP="008203A8">
      <w:pPr>
        <w:tabs>
          <w:tab w:val="left" w:pos="851"/>
        </w:tabs>
        <w:ind w:left="851"/>
        <w:rPr>
          <w:sz w:val="24"/>
          <w:szCs w:val="24"/>
        </w:rPr>
      </w:pPr>
    </w:p>
    <w:p w14:paraId="33ECD2E7" w14:textId="77777777" w:rsidR="008203A8" w:rsidRPr="008A5C19" w:rsidRDefault="008203A8" w:rsidP="008203A8">
      <w:pPr>
        <w:tabs>
          <w:tab w:val="left" w:pos="851"/>
        </w:tabs>
        <w:ind w:left="851" w:hanging="851"/>
        <w:rPr>
          <w:b/>
          <w:sz w:val="24"/>
          <w:szCs w:val="24"/>
        </w:rPr>
      </w:pPr>
      <w:r w:rsidRPr="008A5C19">
        <w:rPr>
          <w:b/>
          <w:sz w:val="24"/>
          <w:szCs w:val="24"/>
        </w:rPr>
        <w:t>8.</w:t>
      </w:r>
      <w:r w:rsidRPr="008A5C19">
        <w:rPr>
          <w:b/>
          <w:sz w:val="24"/>
          <w:szCs w:val="24"/>
        </w:rPr>
        <w:tab/>
        <w:t>DATO FOR FØRSTE TILLADELSE</w:t>
      </w:r>
    </w:p>
    <w:p w14:paraId="51381F35" w14:textId="146129CB" w:rsidR="008A5C19" w:rsidRDefault="00F03A3E" w:rsidP="007137C9">
      <w:pPr>
        <w:tabs>
          <w:tab w:val="left" w:pos="851"/>
        </w:tabs>
        <w:ind w:left="851"/>
        <w:rPr>
          <w:sz w:val="24"/>
          <w:szCs w:val="24"/>
        </w:rPr>
      </w:pPr>
      <w:r>
        <w:rPr>
          <w:sz w:val="24"/>
          <w:szCs w:val="24"/>
        </w:rPr>
        <w:t>14. august 2026</w:t>
      </w:r>
      <w:r w:rsidR="008A5C19">
        <w:rPr>
          <w:sz w:val="24"/>
          <w:szCs w:val="24"/>
        </w:rPr>
        <w:br w:type="page"/>
      </w:r>
    </w:p>
    <w:p w14:paraId="3768B250" w14:textId="77777777" w:rsidR="008203A8" w:rsidRPr="008A5C19" w:rsidRDefault="008203A8" w:rsidP="008203A8">
      <w:pPr>
        <w:tabs>
          <w:tab w:val="left" w:pos="851"/>
        </w:tabs>
        <w:ind w:left="851"/>
        <w:rPr>
          <w:sz w:val="24"/>
          <w:szCs w:val="24"/>
        </w:rPr>
      </w:pPr>
    </w:p>
    <w:p w14:paraId="71121C8D" w14:textId="77777777" w:rsidR="008203A8" w:rsidRPr="008A5C19" w:rsidRDefault="008203A8" w:rsidP="008203A8">
      <w:pPr>
        <w:tabs>
          <w:tab w:val="left" w:pos="851"/>
        </w:tabs>
        <w:ind w:left="851" w:hanging="851"/>
        <w:rPr>
          <w:b/>
          <w:sz w:val="24"/>
          <w:szCs w:val="24"/>
        </w:rPr>
      </w:pPr>
      <w:r w:rsidRPr="008A5C19">
        <w:rPr>
          <w:b/>
          <w:sz w:val="24"/>
          <w:szCs w:val="24"/>
        </w:rPr>
        <w:t>9.</w:t>
      </w:r>
      <w:r w:rsidRPr="008A5C19">
        <w:rPr>
          <w:b/>
          <w:sz w:val="24"/>
          <w:szCs w:val="24"/>
        </w:rPr>
        <w:tab/>
        <w:t>DATO FOR SENESTE ÆNDRING AF PRODUKTRESUMÉET</w:t>
      </w:r>
    </w:p>
    <w:p w14:paraId="5EDE476E" w14:textId="34A3049E" w:rsidR="008203A8" w:rsidRPr="008A5C19" w:rsidRDefault="007C398A" w:rsidP="008203A8">
      <w:pPr>
        <w:tabs>
          <w:tab w:val="left" w:pos="851"/>
        </w:tabs>
        <w:ind w:left="851"/>
        <w:rPr>
          <w:sz w:val="24"/>
          <w:szCs w:val="24"/>
        </w:rPr>
      </w:pPr>
      <w:r w:rsidRPr="008A5C19">
        <w:rPr>
          <w:sz w:val="24"/>
          <w:szCs w:val="24"/>
        </w:rPr>
        <w:t>-</w:t>
      </w:r>
    </w:p>
    <w:p w14:paraId="10672AB2" w14:textId="77777777" w:rsidR="008203A8" w:rsidRPr="008A5C19" w:rsidRDefault="008203A8" w:rsidP="008203A8">
      <w:pPr>
        <w:tabs>
          <w:tab w:val="left" w:pos="851"/>
        </w:tabs>
        <w:ind w:left="851"/>
        <w:rPr>
          <w:sz w:val="24"/>
          <w:szCs w:val="24"/>
        </w:rPr>
      </w:pPr>
    </w:p>
    <w:p w14:paraId="60DD9912" w14:textId="77777777" w:rsidR="008203A8" w:rsidRPr="008A5C19" w:rsidRDefault="008203A8" w:rsidP="008203A8">
      <w:pPr>
        <w:tabs>
          <w:tab w:val="left" w:pos="851"/>
        </w:tabs>
        <w:ind w:left="851" w:hanging="851"/>
        <w:rPr>
          <w:b/>
          <w:sz w:val="24"/>
          <w:szCs w:val="24"/>
        </w:rPr>
      </w:pPr>
      <w:r w:rsidRPr="008A5C19">
        <w:rPr>
          <w:b/>
          <w:sz w:val="24"/>
          <w:szCs w:val="24"/>
        </w:rPr>
        <w:t>10.</w:t>
      </w:r>
      <w:r w:rsidRPr="008A5C19">
        <w:rPr>
          <w:b/>
          <w:sz w:val="24"/>
          <w:szCs w:val="24"/>
        </w:rPr>
        <w:tab/>
        <w:t>KLASSIFICERING AF VETERINÆRLÆGEMIDLER</w:t>
      </w:r>
    </w:p>
    <w:p w14:paraId="5083A3F7" w14:textId="77777777" w:rsidR="007C398A" w:rsidRPr="007C398A" w:rsidRDefault="007C398A" w:rsidP="007C398A">
      <w:pPr>
        <w:pStyle w:val="Sidehoved"/>
        <w:tabs>
          <w:tab w:val="left" w:pos="851"/>
        </w:tabs>
        <w:ind w:left="851"/>
        <w:rPr>
          <w:szCs w:val="24"/>
        </w:rPr>
      </w:pPr>
      <w:r w:rsidRPr="007C398A">
        <w:rPr>
          <w:szCs w:val="24"/>
        </w:rPr>
        <w:t>B</w:t>
      </w:r>
    </w:p>
    <w:p w14:paraId="65362547" w14:textId="77777777" w:rsidR="007C398A" w:rsidRPr="007C398A" w:rsidRDefault="007C398A" w:rsidP="007C398A">
      <w:pPr>
        <w:pStyle w:val="Sidehoved"/>
        <w:tabs>
          <w:tab w:val="left" w:pos="851"/>
        </w:tabs>
        <w:ind w:left="851"/>
        <w:rPr>
          <w:szCs w:val="24"/>
        </w:rPr>
      </w:pPr>
    </w:p>
    <w:p w14:paraId="1221625F" w14:textId="74C62AA1" w:rsidR="0003527F" w:rsidRPr="008A5C19" w:rsidRDefault="007C398A" w:rsidP="008A5C19">
      <w:pPr>
        <w:ind w:left="851"/>
        <w:rPr>
          <w:sz w:val="24"/>
          <w:szCs w:val="24"/>
        </w:rPr>
      </w:pPr>
      <w:bookmarkStart w:id="6" w:name="_Hlk73467306"/>
      <w:r w:rsidRPr="007C398A">
        <w:rPr>
          <w:sz w:val="24"/>
          <w:szCs w:val="24"/>
          <w:lang w:eastAsia="da-DK"/>
        </w:rPr>
        <w:t>Der findes detaljerede oplysninger om dette veterinærlægemiddel i EU-lægemiddel</w:t>
      </w:r>
      <w:r w:rsidR="008A5C19" w:rsidRPr="008A5C19">
        <w:rPr>
          <w:sz w:val="24"/>
          <w:szCs w:val="24"/>
          <w:lang w:eastAsia="da-DK"/>
        </w:rPr>
        <w:softHyphen/>
      </w:r>
      <w:r w:rsidRPr="007C398A">
        <w:rPr>
          <w:sz w:val="24"/>
          <w:szCs w:val="24"/>
          <w:lang w:eastAsia="da-DK"/>
        </w:rPr>
        <w:t>databasen (</w:t>
      </w:r>
      <w:hyperlink r:id="rId8" w:history="1">
        <w:r w:rsidRPr="007C398A">
          <w:rPr>
            <w:rStyle w:val="Hyperlink"/>
            <w:sz w:val="24"/>
            <w:szCs w:val="24"/>
            <w:lang w:eastAsia="da-DK"/>
          </w:rPr>
          <w:t>https://medicines.health.europa.eu/veterinary</w:t>
        </w:r>
      </w:hyperlink>
      <w:r w:rsidRPr="007C398A">
        <w:rPr>
          <w:sz w:val="24"/>
          <w:szCs w:val="24"/>
          <w:lang w:eastAsia="da-DK"/>
        </w:rPr>
        <w:t>).</w:t>
      </w:r>
      <w:bookmarkEnd w:id="6"/>
    </w:p>
    <w:sectPr w:rsidR="0003527F" w:rsidRPr="008A5C19"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C8B2D" w14:textId="77777777" w:rsidR="008B6B3D" w:rsidRDefault="008B6B3D">
      <w:r>
        <w:separator/>
      </w:r>
    </w:p>
  </w:endnote>
  <w:endnote w:type="continuationSeparator" w:id="0">
    <w:p w14:paraId="4F67D542" w14:textId="77777777" w:rsidR="008B6B3D" w:rsidRDefault="008B6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E431" w14:textId="77777777" w:rsidR="004A62CC" w:rsidRDefault="004A62CC">
    <w:pPr>
      <w:pStyle w:val="Sidefod"/>
      <w:pBdr>
        <w:bottom w:val="single" w:sz="6" w:space="1" w:color="auto"/>
      </w:pBdr>
      <w:tabs>
        <w:tab w:val="clear" w:pos="4819"/>
        <w:tab w:val="left" w:pos="8647"/>
      </w:tabs>
      <w:rPr>
        <w:i/>
        <w:snapToGrid w:val="0"/>
        <w:sz w:val="18"/>
      </w:rPr>
    </w:pPr>
  </w:p>
  <w:p w14:paraId="082DF04A" w14:textId="77777777" w:rsidR="004A62CC" w:rsidRDefault="004A62CC">
    <w:pPr>
      <w:pStyle w:val="Sidefod"/>
      <w:tabs>
        <w:tab w:val="clear" w:pos="4819"/>
        <w:tab w:val="left" w:pos="8647"/>
      </w:tabs>
      <w:rPr>
        <w:i/>
        <w:snapToGrid w:val="0"/>
        <w:sz w:val="18"/>
      </w:rPr>
    </w:pPr>
  </w:p>
  <w:p w14:paraId="6567FB1B" w14:textId="629169BC"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6154C3">
      <w:rPr>
        <w:i/>
        <w:noProof/>
        <w:snapToGrid w:val="0"/>
        <w:sz w:val="18"/>
      </w:rPr>
      <w:t>Purmazole, oral opløsning 5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2180" w14:textId="77777777" w:rsidR="004A62CC" w:rsidRDefault="004A62CC">
    <w:pPr>
      <w:pStyle w:val="Sidefod"/>
      <w:pBdr>
        <w:bottom w:val="single" w:sz="6" w:space="1" w:color="auto"/>
      </w:pBdr>
      <w:tabs>
        <w:tab w:val="clear" w:pos="4819"/>
        <w:tab w:val="left" w:pos="8647"/>
      </w:tabs>
      <w:rPr>
        <w:i/>
        <w:snapToGrid w:val="0"/>
        <w:sz w:val="18"/>
      </w:rPr>
    </w:pPr>
  </w:p>
  <w:p w14:paraId="7500E93D" w14:textId="77777777" w:rsidR="004A62CC" w:rsidRDefault="004A62CC">
    <w:pPr>
      <w:pStyle w:val="Sidefod"/>
      <w:tabs>
        <w:tab w:val="clear" w:pos="4819"/>
        <w:tab w:val="left" w:pos="8647"/>
      </w:tabs>
      <w:rPr>
        <w:i/>
        <w:snapToGrid w:val="0"/>
        <w:sz w:val="18"/>
      </w:rPr>
    </w:pPr>
  </w:p>
  <w:p w14:paraId="3F00BCC6" w14:textId="2A56384C"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6154C3">
      <w:rPr>
        <w:i/>
        <w:noProof/>
        <w:snapToGrid w:val="0"/>
        <w:sz w:val="18"/>
      </w:rPr>
      <w:t>Purmazole, oral opløsning 5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7374E" w14:textId="77777777" w:rsidR="008B6B3D" w:rsidRDefault="008B6B3D">
      <w:r>
        <w:separator/>
      </w:r>
    </w:p>
  </w:footnote>
  <w:footnote w:type="continuationSeparator" w:id="0">
    <w:p w14:paraId="4792EB4F" w14:textId="77777777" w:rsidR="008B6B3D" w:rsidRDefault="008B6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1B3E"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2E04"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73A7"/>
    <w:multiLevelType w:val="hybridMultilevel"/>
    <w:tmpl w:val="45484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45091E30"/>
    <w:multiLevelType w:val="hybridMultilevel"/>
    <w:tmpl w:val="B596B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583538202">
    <w:abstractNumId w:val="4"/>
  </w:num>
  <w:num w:numId="2" w16cid:durableId="1431046404">
    <w:abstractNumId w:val="1"/>
  </w:num>
  <w:num w:numId="3" w16cid:durableId="991906448">
    <w:abstractNumId w:val="3"/>
  </w:num>
  <w:num w:numId="4" w16cid:durableId="1207571398">
    <w:abstractNumId w:val="0"/>
  </w:num>
  <w:num w:numId="5" w16cid:durableId="712118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B3D"/>
    <w:rsid w:val="000241E8"/>
    <w:rsid w:val="0003527F"/>
    <w:rsid w:val="0004390D"/>
    <w:rsid w:val="0005355A"/>
    <w:rsid w:val="00065C7D"/>
    <w:rsid w:val="00092AFF"/>
    <w:rsid w:val="000B102C"/>
    <w:rsid w:val="000B2C55"/>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A62CC"/>
    <w:rsid w:val="004C733C"/>
    <w:rsid w:val="00514C36"/>
    <w:rsid w:val="00565A74"/>
    <w:rsid w:val="005B0036"/>
    <w:rsid w:val="005D1DAA"/>
    <w:rsid w:val="005E336B"/>
    <w:rsid w:val="005F5831"/>
    <w:rsid w:val="00601E64"/>
    <w:rsid w:val="0061389F"/>
    <w:rsid w:val="00614110"/>
    <w:rsid w:val="006154C3"/>
    <w:rsid w:val="00627236"/>
    <w:rsid w:val="00633A39"/>
    <w:rsid w:val="00646A5F"/>
    <w:rsid w:val="00662012"/>
    <w:rsid w:val="00666B01"/>
    <w:rsid w:val="00687CE3"/>
    <w:rsid w:val="00696BF6"/>
    <w:rsid w:val="006B1539"/>
    <w:rsid w:val="006C2FE7"/>
    <w:rsid w:val="006F055D"/>
    <w:rsid w:val="006F0D27"/>
    <w:rsid w:val="006F5621"/>
    <w:rsid w:val="00701164"/>
    <w:rsid w:val="007137C9"/>
    <w:rsid w:val="0071651B"/>
    <w:rsid w:val="00734E54"/>
    <w:rsid w:val="00750478"/>
    <w:rsid w:val="00751513"/>
    <w:rsid w:val="007564C7"/>
    <w:rsid w:val="00776C2C"/>
    <w:rsid w:val="00781329"/>
    <w:rsid w:val="0078550A"/>
    <w:rsid w:val="007A684C"/>
    <w:rsid w:val="007C398A"/>
    <w:rsid w:val="007C688A"/>
    <w:rsid w:val="007E2A00"/>
    <w:rsid w:val="008010F2"/>
    <w:rsid w:val="00805902"/>
    <w:rsid w:val="00813E75"/>
    <w:rsid w:val="0081533D"/>
    <w:rsid w:val="008203A8"/>
    <w:rsid w:val="008509BB"/>
    <w:rsid w:val="00851D7F"/>
    <w:rsid w:val="008803C5"/>
    <w:rsid w:val="008A5C19"/>
    <w:rsid w:val="008B6B3D"/>
    <w:rsid w:val="008E4866"/>
    <w:rsid w:val="009202AE"/>
    <w:rsid w:val="00942FB8"/>
    <w:rsid w:val="00960F5F"/>
    <w:rsid w:val="00967486"/>
    <w:rsid w:val="009B08F8"/>
    <w:rsid w:val="009D66C6"/>
    <w:rsid w:val="009E300C"/>
    <w:rsid w:val="009E5184"/>
    <w:rsid w:val="009F1F5E"/>
    <w:rsid w:val="00A31E52"/>
    <w:rsid w:val="00A55780"/>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41394"/>
    <w:rsid w:val="00C479BF"/>
    <w:rsid w:val="00C66C59"/>
    <w:rsid w:val="00C838AB"/>
    <w:rsid w:val="00C83AA2"/>
    <w:rsid w:val="00CE3A44"/>
    <w:rsid w:val="00CE3F86"/>
    <w:rsid w:val="00CF75B4"/>
    <w:rsid w:val="00D10EE1"/>
    <w:rsid w:val="00D14DBC"/>
    <w:rsid w:val="00D87E2B"/>
    <w:rsid w:val="00D910BA"/>
    <w:rsid w:val="00D96D04"/>
    <w:rsid w:val="00DD6D71"/>
    <w:rsid w:val="00DF32BE"/>
    <w:rsid w:val="00E14F0A"/>
    <w:rsid w:val="00E321D6"/>
    <w:rsid w:val="00E322AE"/>
    <w:rsid w:val="00E323FB"/>
    <w:rsid w:val="00E61E78"/>
    <w:rsid w:val="00E84DC6"/>
    <w:rsid w:val="00EB5778"/>
    <w:rsid w:val="00EE14EA"/>
    <w:rsid w:val="00EE5253"/>
    <w:rsid w:val="00EF3C59"/>
    <w:rsid w:val="00F03A3E"/>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C18D6"/>
  <w15:chartTrackingRefBased/>
  <w15:docId w15:val="{B4832F3E-8A0C-4F2E-8284-D69706AEC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7C398A"/>
    <w:rPr>
      <w:color w:val="0563C1" w:themeColor="hyperlink"/>
      <w:u w:val="single"/>
    </w:rPr>
  </w:style>
  <w:style w:type="character" w:styleId="Ulstomtale">
    <w:name w:val="Unresolved Mention"/>
    <w:basedOn w:val="Standardskrifttypeiafsnit"/>
    <w:uiPriority w:val="99"/>
    <w:semiHidden/>
    <w:unhideWhenUsed/>
    <w:rsid w:val="007C3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4476">
      <w:bodyDiv w:val="1"/>
      <w:marLeft w:val="0"/>
      <w:marRight w:val="0"/>
      <w:marTop w:val="0"/>
      <w:marBottom w:val="0"/>
      <w:divBdr>
        <w:top w:val="none" w:sz="0" w:space="0" w:color="auto"/>
        <w:left w:val="none" w:sz="0" w:space="0" w:color="auto"/>
        <w:bottom w:val="none" w:sz="0" w:space="0" w:color="auto"/>
        <w:right w:val="none" w:sz="0" w:space="0" w:color="auto"/>
      </w:divBdr>
    </w:div>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79104305">
      <w:bodyDiv w:val="1"/>
      <w:marLeft w:val="0"/>
      <w:marRight w:val="0"/>
      <w:marTop w:val="0"/>
      <w:marBottom w:val="0"/>
      <w:divBdr>
        <w:top w:val="none" w:sz="0" w:space="0" w:color="auto"/>
        <w:left w:val="none" w:sz="0" w:space="0" w:color="auto"/>
        <w:bottom w:val="none" w:sz="0" w:space="0" w:color="auto"/>
        <w:right w:val="none" w:sz="0" w:space="0" w:color="auto"/>
      </w:divBdr>
    </w:div>
    <w:div w:id="114063015">
      <w:bodyDiv w:val="1"/>
      <w:marLeft w:val="0"/>
      <w:marRight w:val="0"/>
      <w:marTop w:val="0"/>
      <w:marBottom w:val="0"/>
      <w:divBdr>
        <w:top w:val="none" w:sz="0" w:space="0" w:color="auto"/>
        <w:left w:val="none" w:sz="0" w:space="0" w:color="auto"/>
        <w:bottom w:val="none" w:sz="0" w:space="0" w:color="auto"/>
        <w:right w:val="none" w:sz="0" w:space="0" w:color="auto"/>
      </w:divBdr>
    </w:div>
    <w:div w:id="121192559">
      <w:bodyDiv w:val="1"/>
      <w:marLeft w:val="0"/>
      <w:marRight w:val="0"/>
      <w:marTop w:val="0"/>
      <w:marBottom w:val="0"/>
      <w:divBdr>
        <w:top w:val="none" w:sz="0" w:space="0" w:color="auto"/>
        <w:left w:val="none" w:sz="0" w:space="0" w:color="auto"/>
        <w:bottom w:val="none" w:sz="0" w:space="0" w:color="auto"/>
        <w:right w:val="none" w:sz="0" w:space="0" w:color="auto"/>
      </w:divBdr>
    </w:div>
    <w:div w:id="159007142">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12234679">
      <w:bodyDiv w:val="1"/>
      <w:marLeft w:val="0"/>
      <w:marRight w:val="0"/>
      <w:marTop w:val="0"/>
      <w:marBottom w:val="0"/>
      <w:divBdr>
        <w:top w:val="none" w:sz="0" w:space="0" w:color="auto"/>
        <w:left w:val="none" w:sz="0" w:space="0" w:color="auto"/>
        <w:bottom w:val="none" w:sz="0" w:space="0" w:color="auto"/>
        <w:right w:val="none" w:sz="0" w:space="0" w:color="auto"/>
      </w:divBdr>
    </w:div>
    <w:div w:id="217016152">
      <w:bodyDiv w:val="1"/>
      <w:marLeft w:val="0"/>
      <w:marRight w:val="0"/>
      <w:marTop w:val="0"/>
      <w:marBottom w:val="0"/>
      <w:divBdr>
        <w:top w:val="none" w:sz="0" w:space="0" w:color="auto"/>
        <w:left w:val="none" w:sz="0" w:space="0" w:color="auto"/>
        <w:bottom w:val="none" w:sz="0" w:space="0" w:color="auto"/>
        <w:right w:val="none" w:sz="0" w:space="0" w:color="auto"/>
      </w:divBdr>
    </w:div>
    <w:div w:id="252325551">
      <w:bodyDiv w:val="1"/>
      <w:marLeft w:val="0"/>
      <w:marRight w:val="0"/>
      <w:marTop w:val="0"/>
      <w:marBottom w:val="0"/>
      <w:divBdr>
        <w:top w:val="none" w:sz="0" w:space="0" w:color="auto"/>
        <w:left w:val="none" w:sz="0" w:space="0" w:color="auto"/>
        <w:bottom w:val="none" w:sz="0" w:space="0" w:color="auto"/>
        <w:right w:val="none" w:sz="0" w:space="0" w:color="auto"/>
      </w:divBdr>
    </w:div>
    <w:div w:id="253175423">
      <w:bodyDiv w:val="1"/>
      <w:marLeft w:val="0"/>
      <w:marRight w:val="0"/>
      <w:marTop w:val="0"/>
      <w:marBottom w:val="0"/>
      <w:divBdr>
        <w:top w:val="none" w:sz="0" w:space="0" w:color="auto"/>
        <w:left w:val="none" w:sz="0" w:space="0" w:color="auto"/>
        <w:bottom w:val="none" w:sz="0" w:space="0" w:color="auto"/>
        <w:right w:val="none" w:sz="0" w:space="0" w:color="auto"/>
      </w:divBdr>
    </w:div>
    <w:div w:id="259531491">
      <w:bodyDiv w:val="1"/>
      <w:marLeft w:val="0"/>
      <w:marRight w:val="0"/>
      <w:marTop w:val="0"/>
      <w:marBottom w:val="0"/>
      <w:divBdr>
        <w:top w:val="none" w:sz="0" w:space="0" w:color="auto"/>
        <w:left w:val="none" w:sz="0" w:space="0" w:color="auto"/>
        <w:bottom w:val="none" w:sz="0" w:space="0" w:color="auto"/>
        <w:right w:val="none" w:sz="0" w:space="0" w:color="auto"/>
      </w:divBdr>
    </w:div>
    <w:div w:id="274139790">
      <w:bodyDiv w:val="1"/>
      <w:marLeft w:val="0"/>
      <w:marRight w:val="0"/>
      <w:marTop w:val="0"/>
      <w:marBottom w:val="0"/>
      <w:divBdr>
        <w:top w:val="none" w:sz="0" w:space="0" w:color="auto"/>
        <w:left w:val="none" w:sz="0" w:space="0" w:color="auto"/>
        <w:bottom w:val="none" w:sz="0" w:space="0" w:color="auto"/>
        <w:right w:val="none" w:sz="0" w:space="0" w:color="auto"/>
      </w:divBdr>
    </w:div>
    <w:div w:id="353189106">
      <w:bodyDiv w:val="1"/>
      <w:marLeft w:val="0"/>
      <w:marRight w:val="0"/>
      <w:marTop w:val="0"/>
      <w:marBottom w:val="0"/>
      <w:divBdr>
        <w:top w:val="none" w:sz="0" w:space="0" w:color="auto"/>
        <w:left w:val="none" w:sz="0" w:space="0" w:color="auto"/>
        <w:bottom w:val="none" w:sz="0" w:space="0" w:color="auto"/>
        <w:right w:val="none" w:sz="0" w:space="0" w:color="auto"/>
      </w:divBdr>
    </w:div>
    <w:div w:id="406459663">
      <w:bodyDiv w:val="1"/>
      <w:marLeft w:val="0"/>
      <w:marRight w:val="0"/>
      <w:marTop w:val="0"/>
      <w:marBottom w:val="0"/>
      <w:divBdr>
        <w:top w:val="none" w:sz="0" w:space="0" w:color="auto"/>
        <w:left w:val="none" w:sz="0" w:space="0" w:color="auto"/>
        <w:bottom w:val="none" w:sz="0" w:space="0" w:color="auto"/>
        <w:right w:val="none" w:sz="0" w:space="0" w:color="auto"/>
      </w:divBdr>
    </w:div>
    <w:div w:id="415596185">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64683126">
      <w:bodyDiv w:val="1"/>
      <w:marLeft w:val="0"/>
      <w:marRight w:val="0"/>
      <w:marTop w:val="0"/>
      <w:marBottom w:val="0"/>
      <w:divBdr>
        <w:top w:val="none" w:sz="0" w:space="0" w:color="auto"/>
        <w:left w:val="none" w:sz="0" w:space="0" w:color="auto"/>
        <w:bottom w:val="none" w:sz="0" w:space="0" w:color="auto"/>
        <w:right w:val="none" w:sz="0" w:space="0" w:color="auto"/>
      </w:divBdr>
    </w:div>
    <w:div w:id="618099898">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790560820">
      <w:bodyDiv w:val="1"/>
      <w:marLeft w:val="0"/>
      <w:marRight w:val="0"/>
      <w:marTop w:val="0"/>
      <w:marBottom w:val="0"/>
      <w:divBdr>
        <w:top w:val="none" w:sz="0" w:space="0" w:color="auto"/>
        <w:left w:val="none" w:sz="0" w:space="0" w:color="auto"/>
        <w:bottom w:val="none" w:sz="0" w:space="0" w:color="auto"/>
        <w:right w:val="none" w:sz="0" w:space="0" w:color="auto"/>
      </w:divBdr>
    </w:div>
    <w:div w:id="824054821">
      <w:bodyDiv w:val="1"/>
      <w:marLeft w:val="0"/>
      <w:marRight w:val="0"/>
      <w:marTop w:val="0"/>
      <w:marBottom w:val="0"/>
      <w:divBdr>
        <w:top w:val="none" w:sz="0" w:space="0" w:color="auto"/>
        <w:left w:val="none" w:sz="0" w:space="0" w:color="auto"/>
        <w:bottom w:val="none" w:sz="0" w:space="0" w:color="auto"/>
        <w:right w:val="none" w:sz="0" w:space="0" w:color="auto"/>
      </w:divBdr>
    </w:div>
    <w:div w:id="836307251">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49950307">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887186527">
      <w:bodyDiv w:val="1"/>
      <w:marLeft w:val="0"/>
      <w:marRight w:val="0"/>
      <w:marTop w:val="0"/>
      <w:marBottom w:val="0"/>
      <w:divBdr>
        <w:top w:val="none" w:sz="0" w:space="0" w:color="auto"/>
        <w:left w:val="none" w:sz="0" w:space="0" w:color="auto"/>
        <w:bottom w:val="none" w:sz="0" w:space="0" w:color="auto"/>
        <w:right w:val="none" w:sz="0" w:space="0" w:color="auto"/>
      </w:divBdr>
    </w:div>
    <w:div w:id="939410372">
      <w:bodyDiv w:val="1"/>
      <w:marLeft w:val="0"/>
      <w:marRight w:val="0"/>
      <w:marTop w:val="0"/>
      <w:marBottom w:val="0"/>
      <w:divBdr>
        <w:top w:val="none" w:sz="0" w:space="0" w:color="auto"/>
        <w:left w:val="none" w:sz="0" w:space="0" w:color="auto"/>
        <w:bottom w:val="none" w:sz="0" w:space="0" w:color="auto"/>
        <w:right w:val="none" w:sz="0" w:space="0" w:color="auto"/>
      </w:divBdr>
    </w:div>
    <w:div w:id="1032417565">
      <w:bodyDiv w:val="1"/>
      <w:marLeft w:val="0"/>
      <w:marRight w:val="0"/>
      <w:marTop w:val="0"/>
      <w:marBottom w:val="0"/>
      <w:divBdr>
        <w:top w:val="none" w:sz="0" w:space="0" w:color="auto"/>
        <w:left w:val="none" w:sz="0" w:space="0" w:color="auto"/>
        <w:bottom w:val="none" w:sz="0" w:space="0" w:color="auto"/>
        <w:right w:val="none" w:sz="0" w:space="0" w:color="auto"/>
      </w:divBdr>
    </w:div>
    <w:div w:id="1065370913">
      <w:bodyDiv w:val="1"/>
      <w:marLeft w:val="0"/>
      <w:marRight w:val="0"/>
      <w:marTop w:val="0"/>
      <w:marBottom w:val="0"/>
      <w:divBdr>
        <w:top w:val="none" w:sz="0" w:space="0" w:color="auto"/>
        <w:left w:val="none" w:sz="0" w:space="0" w:color="auto"/>
        <w:bottom w:val="none" w:sz="0" w:space="0" w:color="auto"/>
        <w:right w:val="none" w:sz="0" w:space="0" w:color="auto"/>
      </w:divBdr>
    </w:div>
    <w:div w:id="1077825271">
      <w:bodyDiv w:val="1"/>
      <w:marLeft w:val="0"/>
      <w:marRight w:val="0"/>
      <w:marTop w:val="0"/>
      <w:marBottom w:val="0"/>
      <w:divBdr>
        <w:top w:val="none" w:sz="0" w:space="0" w:color="auto"/>
        <w:left w:val="none" w:sz="0" w:space="0" w:color="auto"/>
        <w:bottom w:val="none" w:sz="0" w:space="0" w:color="auto"/>
        <w:right w:val="none" w:sz="0" w:space="0" w:color="auto"/>
      </w:divBdr>
    </w:div>
    <w:div w:id="1092554604">
      <w:bodyDiv w:val="1"/>
      <w:marLeft w:val="0"/>
      <w:marRight w:val="0"/>
      <w:marTop w:val="0"/>
      <w:marBottom w:val="0"/>
      <w:divBdr>
        <w:top w:val="none" w:sz="0" w:space="0" w:color="auto"/>
        <w:left w:val="none" w:sz="0" w:space="0" w:color="auto"/>
        <w:bottom w:val="none" w:sz="0" w:space="0" w:color="auto"/>
        <w:right w:val="none" w:sz="0" w:space="0" w:color="auto"/>
      </w:divBdr>
    </w:div>
    <w:div w:id="1138033474">
      <w:bodyDiv w:val="1"/>
      <w:marLeft w:val="0"/>
      <w:marRight w:val="0"/>
      <w:marTop w:val="0"/>
      <w:marBottom w:val="0"/>
      <w:divBdr>
        <w:top w:val="none" w:sz="0" w:space="0" w:color="auto"/>
        <w:left w:val="none" w:sz="0" w:space="0" w:color="auto"/>
        <w:bottom w:val="none" w:sz="0" w:space="0" w:color="auto"/>
        <w:right w:val="none" w:sz="0" w:space="0" w:color="auto"/>
      </w:divBdr>
    </w:div>
    <w:div w:id="1142621055">
      <w:bodyDiv w:val="1"/>
      <w:marLeft w:val="0"/>
      <w:marRight w:val="0"/>
      <w:marTop w:val="0"/>
      <w:marBottom w:val="0"/>
      <w:divBdr>
        <w:top w:val="none" w:sz="0" w:space="0" w:color="auto"/>
        <w:left w:val="none" w:sz="0" w:space="0" w:color="auto"/>
        <w:bottom w:val="none" w:sz="0" w:space="0" w:color="auto"/>
        <w:right w:val="none" w:sz="0" w:space="0" w:color="auto"/>
      </w:divBdr>
    </w:div>
    <w:div w:id="114597380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211917696">
      <w:bodyDiv w:val="1"/>
      <w:marLeft w:val="0"/>
      <w:marRight w:val="0"/>
      <w:marTop w:val="0"/>
      <w:marBottom w:val="0"/>
      <w:divBdr>
        <w:top w:val="none" w:sz="0" w:space="0" w:color="auto"/>
        <w:left w:val="none" w:sz="0" w:space="0" w:color="auto"/>
        <w:bottom w:val="none" w:sz="0" w:space="0" w:color="auto"/>
        <w:right w:val="none" w:sz="0" w:space="0" w:color="auto"/>
      </w:divBdr>
    </w:div>
    <w:div w:id="1246646703">
      <w:bodyDiv w:val="1"/>
      <w:marLeft w:val="0"/>
      <w:marRight w:val="0"/>
      <w:marTop w:val="0"/>
      <w:marBottom w:val="0"/>
      <w:divBdr>
        <w:top w:val="none" w:sz="0" w:space="0" w:color="auto"/>
        <w:left w:val="none" w:sz="0" w:space="0" w:color="auto"/>
        <w:bottom w:val="none" w:sz="0" w:space="0" w:color="auto"/>
        <w:right w:val="none" w:sz="0" w:space="0" w:color="auto"/>
      </w:divBdr>
    </w:div>
    <w:div w:id="1252424772">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477524972">
      <w:bodyDiv w:val="1"/>
      <w:marLeft w:val="0"/>
      <w:marRight w:val="0"/>
      <w:marTop w:val="0"/>
      <w:marBottom w:val="0"/>
      <w:divBdr>
        <w:top w:val="none" w:sz="0" w:space="0" w:color="auto"/>
        <w:left w:val="none" w:sz="0" w:space="0" w:color="auto"/>
        <w:bottom w:val="none" w:sz="0" w:space="0" w:color="auto"/>
        <w:right w:val="none" w:sz="0" w:space="0" w:color="auto"/>
      </w:divBdr>
    </w:div>
    <w:div w:id="1488134199">
      <w:bodyDiv w:val="1"/>
      <w:marLeft w:val="0"/>
      <w:marRight w:val="0"/>
      <w:marTop w:val="0"/>
      <w:marBottom w:val="0"/>
      <w:divBdr>
        <w:top w:val="none" w:sz="0" w:space="0" w:color="auto"/>
        <w:left w:val="none" w:sz="0" w:space="0" w:color="auto"/>
        <w:bottom w:val="none" w:sz="0" w:space="0" w:color="auto"/>
        <w:right w:val="none" w:sz="0" w:space="0" w:color="auto"/>
      </w:divBdr>
    </w:div>
    <w:div w:id="1555236893">
      <w:bodyDiv w:val="1"/>
      <w:marLeft w:val="0"/>
      <w:marRight w:val="0"/>
      <w:marTop w:val="0"/>
      <w:marBottom w:val="0"/>
      <w:divBdr>
        <w:top w:val="none" w:sz="0" w:space="0" w:color="auto"/>
        <w:left w:val="none" w:sz="0" w:space="0" w:color="auto"/>
        <w:bottom w:val="none" w:sz="0" w:space="0" w:color="auto"/>
        <w:right w:val="none" w:sz="0" w:space="0" w:color="auto"/>
      </w:divBdr>
    </w:div>
    <w:div w:id="1639995647">
      <w:bodyDiv w:val="1"/>
      <w:marLeft w:val="0"/>
      <w:marRight w:val="0"/>
      <w:marTop w:val="0"/>
      <w:marBottom w:val="0"/>
      <w:divBdr>
        <w:top w:val="none" w:sz="0" w:space="0" w:color="auto"/>
        <w:left w:val="none" w:sz="0" w:space="0" w:color="auto"/>
        <w:bottom w:val="none" w:sz="0" w:space="0" w:color="auto"/>
        <w:right w:val="none" w:sz="0" w:space="0" w:color="auto"/>
      </w:divBdr>
    </w:div>
    <w:div w:id="1670132641">
      <w:bodyDiv w:val="1"/>
      <w:marLeft w:val="0"/>
      <w:marRight w:val="0"/>
      <w:marTop w:val="0"/>
      <w:marBottom w:val="0"/>
      <w:divBdr>
        <w:top w:val="none" w:sz="0" w:space="0" w:color="auto"/>
        <w:left w:val="none" w:sz="0" w:space="0" w:color="auto"/>
        <w:bottom w:val="none" w:sz="0" w:space="0" w:color="auto"/>
        <w:right w:val="none" w:sz="0" w:space="0" w:color="auto"/>
      </w:divBdr>
    </w:div>
    <w:div w:id="1683314746">
      <w:bodyDiv w:val="1"/>
      <w:marLeft w:val="0"/>
      <w:marRight w:val="0"/>
      <w:marTop w:val="0"/>
      <w:marBottom w:val="0"/>
      <w:divBdr>
        <w:top w:val="none" w:sz="0" w:space="0" w:color="auto"/>
        <w:left w:val="none" w:sz="0" w:space="0" w:color="auto"/>
        <w:bottom w:val="none" w:sz="0" w:space="0" w:color="auto"/>
        <w:right w:val="none" w:sz="0" w:space="0" w:color="auto"/>
      </w:divBdr>
    </w:div>
    <w:div w:id="1770540149">
      <w:bodyDiv w:val="1"/>
      <w:marLeft w:val="0"/>
      <w:marRight w:val="0"/>
      <w:marTop w:val="0"/>
      <w:marBottom w:val="0"/>
      <w:divBdr>
        <w:top w:val="none" w:sz="0" w:space="0" w:color="auto"/>
        <w:left w:val="none" w:sz="0" w:space="0" w:color="auto"/>
        <w:bottom w:val="none" w:sz="0" w:space="0" w:color="auto"/>
        <w:right w:val="none" w:sz="0" w:space="0" w:color="auto"/>
      </w:divBdr>
    </w:div>
    <w:div w:id="1789011441">
      <w:bodyDiv w:val="1"/>
      <w:marLeft w:val="0"/>
      <w:marRight w:val="0"/>
      <w:marTop w:val="0"/>
      <w:marBottom w:val="0"/>
      <w:divBdr>
        <w:top w:val="none" w:sz="0" w:space="0" w:color="auto"/>
        <w:left w:val="none" w:sz="0" w:space="0" w:color="auto"/>
        <w:bottom w:val="none" w:sz="0" w:space="0" w:color="auto"/>
        <w:right w:val="none" w:sz="0" w:space="0" w:color="auto"/>
      </w:divBdr>
    </w:div>
    <w:div w:id="1844280752">
      <w:bodyDiv w:val="1"/>
      <w:marLeft w:val="0"/>
      <w:marRight w:val="0"/>
      <w:marTop w:val="0"/>
      <w:marBottom w:val="0"/>
      <w:divBdr>
        <w:top w:val="none" w:sz="0" w:space="0" w:color="auto"/>
        <w:left w:val="none" w:sz="0" w:space="0" w:color="auto"/>
        <w:bottom w:val="none" w:sz="0" w:space="0" w:color="auto"/>
        <w:right w:val="none" w:sz="0" w:space="0" w:color="auto"/>
      </w:divBdr>
    </w:div>
    <w:div w:id="1940140664">
      <w:bodyDiv w:val="1"/>
      <w:marLeft w:val="0"/>
      <w:marRight w:val="0"/>
      <w:marTop w:val="0"/>
      <w:marBottom w:val="0"/>
      <w:divBdr>
        <w:top w:val="none" w:sz="0" w:space="0" w:color="auto"/>
        <w:left w:val="none" w:sz="0" w:space="0" w:color="auto"/>
        <w:bottom w:val="none" w:sz="0" w:space="0" w:color="auto"/>
        <w:right w:val="none" w:sz="0" w:space="0" w:color="auto"/>
      </w:divBdr>
    </w:div>
    <w:div w:id="1985038165">
      <w:bodyDiv w:val="1"/>
      <w:marLeft w:val="0"/>
      <w:marRight w:val="0"/>
      <w:marTop w:val="0"/>
      <w:marBottom w:val="0"/>
      <w:divBdr>
        <w:top w:val="none" w:sz="0" w:space="0" w:color="auto"/>
        <w:left w:val="none" w:sz="0" w:space="0" w:color="auto"/>
        <w:bottom w:val="none" w:sz="0" w:space="0" w:color="auto"/>
        <w:right w:val="none" w:sz="0" w:space="0" w:color="auto"/>
      </w:divBdr>
    </w:div>
    <w:div w:id="2000499564">
      <w:bodyDiv w:val="1"/>
      <w:marLeft w:val="0"/>
      <w:marRight w:val="0"/>
      <w:marTop w:val="0"/>
      <w:marBottom w:val="0"/>
      <w:divBdr>
        <w:top w:val="none" w:sz="0" w:space="0" w:color="auto"/>
        <w:left w:val="none" w:sz="0" w:space="0" w:color="auto"/>
        <w:bottom w:val="none" w:sz="0" w:space="0" w:color="auto"/>
        <w:right w:val="none" w:sz="0" w:space="0" w:color="auto"/>
      </w:divBdr>
    </w:div>
    <w:div w:id="2037271906">
      <w:bodyDiv w:val="1"/>
      <w:marLeft w:val="0"/>
      <w:marRight w:val="0"/>
      <w:marTop w:val="0"/>
      <w:marBottom w:val="0"/>
      <w:divBdr>
        <w:top w:val="none" w:sz="0" w:space="0" w:color="auto"/>
        <w:left w:val="none" w:sz="0" w:space="0" w:color="auto"/>
        <w:bottom w:val="none" w:sz="0" w:space="0" w:color="auto"/>
        <w:right w:val="none" w:sz="0" w:space="0" w:color="auto"/>
      </w:divBdr>
    </w:div>
    <w:div w:id="2076004594">
      <w:bodyDiv w:val="1"/>
      <w:marLeft w:val="0"/>
      <w:marRight w:val="0"/>
      <w:marTop w:val="0"/>
      <w:marBottom w:val="0"/>
      <w:divBdr>
        <w:top w:val="none" w:sz="0" w:space="0" w:color="auto"/>
        <w:left w:val="none" w:sz="0" w:space="0" w:color="auto"/>
        <w:bottom w:val="none" w:sz="0" w:space="0" w:color="auto"/>
        <w:right w:val="none" w:sz="0" w:space="0" w:color="auto"/>
      </w:divBdr>
    </w:div>
    <w:div w:id="2077819252">
      <w:bodyDiv w:val="1"/>
      <w:marLeft w:val="0"/>
      <w:marRight w:val="0"/>
      <w:marTop w:val="0"/>
      <w:marBottom w:val="0"/>
      <w:divBdr>
        <w:top w:val="none" w:sz="0" w:space="0" w:color="auto"/>
        <w:left w:val="none" w:sz="0" w:space="0" w:color="auto"/>
        <w:bottom w:val="none" w:sz="0" w:space="0" w:color="auto"/>
        <w:right w:val="none" w:sz="0" w:space="0" w:color="auto"/>
      </w:divBdr>
    </w:div>
    <w:div w:id="2095125006">
      <w:bodyDiv w:val="1"/>
      <w:marLeft w:val="0"/>
      <w:marRight w:val="0"/>
      <w:marTop w:val="0"/>
      <w:marBottom w:val="0"/>
      <w:divBdr>
        <w:top w:val="none" w:sz="0" w:space="0" w:color="auto"/>
        <w:left w:val="none" w:sz="0" w:space="0" w:color="auto"/>
        <w:bottom w:val="none" w:sz="0" w:space="0" w:color="auto"/>
        <w:right w:val="none" w:sz="0" w:space="0" w:color="auto"/>
      </w:divBdr>
    </w:div>
    <w:div w:id="2109813458">
      <w:bodyDiv w:val="1"/>
      <w:marLeft w:val="0"/>
      <w:marRight w:val="0"/>
      <w:marTop w:val="0"/>
      <w:marBottom w:val="0"/>
      <w:divBdr>
        <w:top w:val="none" w:sz="0" w:space="0" w:color="auto"/>
        <w:left w:val="none" w:sz="0" w:space="0" w:color="auto"/>
        <w:bottom w:val="none" w:sz="0" w:space="0" w:color="auto"/>
        <w:right w:val="none" w:sz="0" w:space="0" w:color="auto"/>
      </w:divBdr>
    </w:div>
    <w:div w:id="213262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48</TotalTime>
  <Pages>8</Pages>
  <Words>1984</Words>
  <Characters>12821</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2026044205, MT</dc:description>
  <cp:lastModifiedBy>Gitte Jørgensen</cp:lastModifiedBy>
  <cp:revision>9</cp:revision>
  <cp:lastPrinted>2022-05-18T14:03:00Z</cp:lastPrinted>
  <dcterms:created xsi:type="dcterms:W3CDTF">2026-08-13T06:26:00Z</dcterms:created>
  <dcterms:modified xsi:type="dcterms:W3CDTF">2026-08-14T10:55:00Z</dcterms:modified>
</cp:coreProperties>
</file>