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BE" w:rsidRPr="008F49E1" w:rsidRDefault="00EA07BE" w:rsidP="00EA07BE">
      <w:pPr>
        <w:rPr>
          <w:sz w:val="24"/>
          <w:szCs w:val="24"/>
        </w:rPr>
      </w:pPr>
      <w:r w:rsidRPr="005B0036">
        <w:rPr>
          <w:noProof/>
          <w:sz w:val="24"/>
          <w:szCs w:val="24"/>
          <w:lang w:eastAsia="da-DK"/>
        </w:rPr>
        <w:drawing>
          <wp:inline distT="0" distB="0" distL="0" distR="0" wp14:anchorId="1C8B8920" wp14:editId="301859D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A07BE" w:rsidRDefault="00EA07BE" w:rsidP="00EA07BE">
      <w:pPr>
        <w:rPr>
          <w:sz w:val="24"/>
          <w:szCs w:val="24"/>
        </w:rPr>
      </w:pPr>
    </w:p>
    <w:p w:rsidR="00EA07BE" w:rsidRPr="00406EE7" w:rsidRDefault="00EA07BE" w:rsidP="00EA07BE">
      <w:pPr>
        <w:tabs>
          <w:tab w:val="right" w:pos="9356"/>
        </w:tabs>
        <w:rPr>
          <w:b/>
          <w:sz w:val="24"/>
          <w:szCs w:val="24"/>
        </w:rPr>
      </w:pPr>
      <w:r>
        <w:rPr>
          <w:b/>
          <w:sz w:val="24"/>
          <w:szCs w:val="24"/>
        </w:rPr>
        <w:tab/>
      </w:r>
      <w:r w:rsidR="00E50065">
        <w:rPr>
          <w:b/>
          <w:sz w:val="24"/>
          <w:szCs w:val="24"/>
        </w:rPr>
        <w:t>26. marts 2025</w:t>
      </w:r>
    </w:p>
    <w:p w:rsidR="00EA07BE" w:rsidRPr="00406EE7" w:rsidRDefault="00EA07BE" w:rsidP="00EA07BE">
      <w:pPr>
        <w:rPr>
          <w:sz w:val="24"/>
          <w:szCs w:val="24"/>
        </w:rPr>
      </w:pPr>
    </w:p>
    <w:p w:rsidR="000100EE" w:rsidRPr="00406EE7" w:rsidRDefault="000100EE" w:rsidP="00EA07BE">
      <w:pPr>
        <w:rPr>
          <w:sz w:val="24"/>
          <w:szCs w:val="24"/>
        </w:rPr>
      </w:pPr>
    </w:p>
    <w:p w:rsidR="00EA07BE" w:rsidRPr="00406EE7" w:rsidRDefault="00EA07BE" w:rsidP="00EA07BE">
      <w:pPr>
        <w:tabs>
          <w:tab w:val="left" w:pos="8222"/>
        </w:tabs>
        <w:jc w:val="center"/>
        <w:rPr>
          <w:b/>
          <w:sz w:val="24"/>
          <w:szCs w:val="24"/>
        </w:rPr>
      </w:pPr>
      <w:r w:rsidRPr="00406EE7">
        <w:rPr>
          <w:b/>
          <w:sz w:val="24"/>
          <w:szCs w:val="24"/>
        </w:rPr>
        <w:t>PRODUKTRESUMÉ</w:t>
      </w:r>
    </w:p>
    <w:p w:rsidR="00EA07BE" w:rsidRPr="00406EE7" w:rsidRDefault="00EA07BE" w:rsidP="00EA07BE">
      <w:pPr>
        <w:tabs>
          <w:tab w:val="left" w:pos="8222"/>
        </w:tabs>
        <w:jc w:val="center"/>
        <w:rPr>
          <w:b/>
          <w:sz w:val="24"/>
          <w:szCs w:val="24"/>
        </w:rPr>
      </w:pPr>
    </w:p>
    <w:p w:rsidR="00EA07BE" w:rsidRPr="00406EE7" w:rsidRDefault="00EA07BE" w:rsidP="00EA07BE">
      <w:pPr>
        <w:tabs>
          <w:tab w:val="left" w:pos="8222"/>
        </w:tabs>
        <w:jc w:val="center"/>
        <w:rPr>
          <w:b/>
          <w:sz w:val="24"/>
          <w:szCs w:val="24"/>
        </w:rPr>
      </w:pPr>
      <w:r w:rsidRPr="00406EE7">
        <w:rPr>
          <w:b/>
          <w:sz w:val="24"/>
          <w:szCs w:val="24"/>
        </w:rPr>
        <w:t>for</w:t>
      </w:r>
    </w:p>
    <w:p w:rsidR="00EA07BE" w:rsidRPr="00406EE7" w:rsidRDefault="00EA07BE" w:rsidP="00EA07BE">
      <w:pPr>
        <w:tabs>
          <w:tab w:val="left" w:pos="8222"/>
        </w:tabs>
        <w:jc w:val="center"/>
        <w:rPr>
          <w:b/>
          <w:sz w:val="24"/>
          <w:szCs w:val="24"/>
        </w:rPr>
      </w:pPr>
    </w:p>
    <w:p w:rsidR="00EA07BE" w:rsidRPr="00565A74" w:rsidRDefault="00EA07BE" w:rsidP="00EA07BE">
      <w:pPr>
        <w:tabs>
          <w:tab w:val="left" w:pos="8222"/>
        </w:tabs>
        <w:jc w:val="center"/>
        <w:rPr>
          <w:b/>
          <w:sz w:val="24"/>
          <w:szCs w:val="24"/>
        </w:rPr>
      </w:pPr>
      <w:proofErr w:type="spellStart"/>
      <w:r>
        <w:rPr>
          <w:b/>
          <w:sz w:val="24"/>
          <w:szCs w:val="24"/>
        </w:rPr>
        <w:t>Repose</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EA07BE" w:rsidRPr="00406EE7" w:rsidRDefault="00EA07BE" w:rsidP="00EA07BE">
      <w:pPr>
        <w:tabs>
          <w:tab w:val="left" w:pos="8222"/>
        </w:tabs>
        <w:jc w:val="both"/>
        <w:rPr>
          <w:sz w:val="24"/>
          <w:szCs w:val="24"/>
        </w:rPr>
      </w:pPr>
    </w:p>
    <w:p w:rsidR="00EA07BE" w:rsidRPr="00DC637A" w:rsidRDefault="00EA07BE" w:rsidP="00EA07BE">
      <w:pPr>
        <w:tabs>
          <w:tab w:val="left" w:pos="8222"/>
        </w:tabs>
        <w:ind w:left="851" w:hanging="851"/>
        <w:jc w:val="both"/>
        <w:rPr>
          <w:sz w:val="24"/>
          <w:szCs w:val="24"/>
        </w:rPr>
      </w:pPr>
    </w:p>
    <w:p w:rsidR="00EA07BE" w:rsidRPr="00DC637A" w:rsidRDefault="00EA07BE" w:rsidP="00EA07BE">
      <w:pPr>
        <w:tabs>
          <w:tab w:val="left" w:pos="8222"/>
        </w:tabs>
        <w:ind w:left="851" w:hanging="851"/>
        <w:rPr>
          <w:b/>
          <w:sz w:val="24"/>
          <w:szCs w:val="24"/>
        </w:rPr>
      </w:pPr>
      <w:r w:rsidRPr="00DC637A">
        <w:rPr>
          <w:b/>
          <w:sz w:val="24"/>
          <w:szCs w:val="24"/>
        </w:rPr>
        <w:t>0.</w:t>
      </w:r>
      <w:r w:rsidRPr="00DC637A">
        <w:rPr>
          <w:b/>
          <w:sz w:val="24"/>
          <w:szCs w:val="24"/>
        </w:rPr>
        <w:tab/>
        <w:t>D.SP.NR.</w:t>
      </w:r>
    </w:p>
    <w:p w:rsidR="006A4DF8" w:rsidRDefault="00EA07BE" w:rsidP="00EA07BE">
      <w:pPr>
        <w:tabs>
          <w:tab w:val="left" w:pos="8222"/>
        </w:tabs>
        <w:ind w:left="851" w:hanging="851"/>
        <w:rPr>
          <w:sz w:val="24"/>
          <w:szCs w:val="24"/>
        </w:rPr>
      </w:pPr>
      <w:r>
        <w:rPr>
          <w:sz w:val="24"/>
          <w:szCs w:val="24"/>
        </w:rPr>
        <w:tab/>
      </w:r>
    </w:p>
    <w:p w:rsidR="00EA07BE" w:rsidRPr="00DC637A" w:rsidRDefault="006A4DF8" w:rsidP="00EA07BE">
      <w:pPr>
        <w:tabs>
          <w:tab w:val="left" w:pos="8222"/>
        </w:tabs>
        <w:ind w:left="851" w:hanging="851"/>
        <w:rPr>
          <w:sz w:val="24"/>
          <w:szCs w:val="24"/>
        </w:rPr>
      </w:pPr>
      <w:r>
        <w:rPr>
          <w:sz w:val="24"/>
          <w:szCs w:val="24"/>
        </w:rPr>
        <w:tab/>
      </w:r>
      <w:r w:rsidR="00EA07BE" w:rsidRPr="00DC637A">
        <w:rPr>
          <w:sz w:val="24"/>
          <w:szCs w:val="24"/>
        </w:rPr>
        <w:t>30281</w:t>
      </w:r>
    </w:p>
    <w:p w:rsidR="00EA07BE" w:rsidRPr="00DC637A" w:rsidRDefault="00EA07BE" w:rsidP="00EA07BE">
      <w:pPr>
        <w:tabs>
          <w:tab w:val="left" w:pos="8222"/>
        </w:tabs>
        <w:ind w:left="851" w:hanging="851"/>
        <w:rPr>
          <w:sz w:val="24"/>
          <w:szCs w:val="24"/>
        </w:rPr>
      </w:pPr>
    </w:p>
    <w:p w:rsidR="00EA07BE" w:rsidRPr="00DC637A" w:rsidRDefault="00EA07BE" w:rsidP="00EA07BE">
      <w:pPr>
        <w:tabs>
          <w:tab w:val="left" w:pos="8222"/>
        </w:tabs>
        <w:ind w:left="851" w:hanging="851"/>
        <w:rPr>
          <w:b/>
          <w:sz w:val="24"/>
          <w:szCs w:val="24"/>
        </w:rPr>
      </w:pPr>
      <w:r w:rsidRPr="00DC637A">
        <w:rPr>
          <w:b/>
          <w:sz w:val="24"/>
          <w:szCs w:val="24"/>
        </w:rPr>
        <w:t>1.</w:t>
      </w:r>
      <w:r w:rsidRPr="00DC637A">
        <w:rPr>
          <w:b/>
          <w:sz w:val="24"/>
          <w:szCs w:val="24"/>
        </w:rPr>
        <w:tab/>
        <w:t>VETERINÆRLÆGEMIDLETS NAVN</w:t>
      </w:r>
    </w:p>
    <w:p w:rsidR="006A4DF8" w:rsidRDefault="00EA07BE" w:rsidP="00EA07BE">
      <w:pPr>
        <w:tabs>
          <w:tab w:val="left" w:pos="8222"/>
        </w:tabs>
        <w:ind w:left="851" w:hanging="851"/>
        <w:rPr>
          <w:sz w:val="24"/>
          <w:szCs w:val="24"/>
        </w:rPr>
      </w:pPr>
      <w:r>
        <w:rPr>
          <w:sz w:val="24"/>
          <w:szCs w:val="24"/>
        </w:rPr>
        <w:tab/>
      </w:r>
    </w:p>
    <w:p w:rsidR="006A4DF8" w:rsidRPr="006A4DF8" w:rsidRDefault="006A4DF8" w:rsidP="006A4DF8">
      <w:pPr>
        <w:tabs>
          <w:tab w:val="left" w:pos="8222"/>
        </w:tabs>
        <w:ind w:left="851" w:hanging="851"/>
        <w:rPr>
          <w:sz w:val="24"/>
          <w:szCs w:val="24"/>
        </w:rPr>
      </w:pPr>
      <w:r>
        <w:rPr>
          <w:sz w:val="24"/>
          <w:szCs w:val="24"/>
        </w:rPr>
        <w:tab/>
      </w:r>
      <w:proofErr w:type="spellStart"/>
      <w:r w:rsidRPr="006A4DF8">
        <w:rPr>
          <w:sz w:val="24"/>
          <w:szCs w:val="24"/>
        </w:rPr>
        <w:t>Repose</w:t>
      </w:r>
      <w:proofErr w:type="spellEnd"/>
      <w:r w:rsidRPr="006A4DF8">
        <w:rPr>
          <w:sz w:val="24"/>
          <w:szCs w:val="24"/>
        </w:rPr>
        <w:t xml:space="preserve"> </w:t>
      </w:r>
      <w:proofErr w:type="spellStart"/>
      <w:r w:rsidRPr="006A4DF8">
        <w:rPr>
          <w:sz w:val="24"/>
          <w:szCs w:val="24"/>
        </w:rPr>
        <w:t>vet</w:t>
      </w:r>
      <w:proofErr w:type="spellEnd"/>
      <w:r w:rsidRPr="006A4DF8">
        <w:rPr>
          <w:sz w:val="24"/>
          <w:szCs w:val="24"/>
        </w:rPr>
        <w:t xml:space="preserve"> </w:t>
      </w:r>
    </w:p>
    <w:p w:rsidR="006A4DF8" w:rsidRPr="006A4DF8" w:rsidRDefault="006A4DF8" w:rsidP="006A4DF8">
      <w:pPr>
        <w:tabs>
          <w:tab w:val="left" w:pos="8222"/>
        </w:tabs>
        <w:ind w:left="851"/>
        <w:rPr>
          <w:sz w:val="24"/>
          <w:szCs w:val="24"/>
        </w:rPr>
      </w:pPr>
      <w:r w:rsidRPr="006A4DF8">
        <w:rPr>
          <w:sz w:val="24"/>
          <w:szCs w:val="24"/>
        </w:rPr>
        <w:t>Lægemiddelform: injektionsvæske, opløsning</w:t>
      </w:r>
    </w:p>
    <w:p w:rsidR="006A4DF8" w:rsidRPr="006A4DF8" w:rsidRDefault="006A4DF8" w:rsidP="006A4DF8">
      <w:pPr>
        <w:tabs>
          <w:tab w:val="left" w:pos="8222"/>
        </w:tabs>
        <w:ind w:left="851"/>
        <w:rPr>
          <w:sz w:val="24"/>
          <w:szCs w:val="24"/>
        </w:rPr>
      </w:pPr>
      <w:r w:rsidRPr="006A4DF8">
        <w:rPr>
          <w:sz w:val="24"/>
          <w:szCs w:val="24"/>
        </w:rPr>
        <w:t xml:space="preserve">Styrke: 500 mg/ml </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2.</w:t>
      </w:r>
      <w:r w:rsidRPr="006A4DF8">
        <w:rPr>
          <w:b/>
          <w:sz w:val="24"/>
          <w:szCs w:val="24"/>
        </w:rPr>
        <w:tab/>
        <w:t>KVALITATIV OG KVANTITATIV SAMMENSÆTNING</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rPr>
        <w:t xml:space="preserve">Hver ml indeholder: </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b/>
          <w:sz w:val="24"/>
          <w:szCs w:val="24"/>
        </w:rPr>
      </w:pPr>
      <w:r w:rsidRPr="006A4DF8">
        <w:rPr>
          <w:b/>
          <w:sz w:val="24"/>
          <w:szCs w:val="24"/>
        </w:rPr>
        <w:t>Aktivt stof:</w:t>
      </w:r>
    </w:p>
    <w:p w:rsidR="006A4DF8" w:rsidRPr="006A4DF8" w:rsidRDefault="006A4DF8" w:rsidP="006A4DF8">
      <w:pPr>
        <w:tabs>
          <w:tab w:val="left" w:pos="8222"/>
        </w:tabs>
        <w:ind w:left="851"/>
        <w:rPr>
          <w:sz w:val="24"/>
          <w:szCs w:val="24"/>
        </w:rPr>
      </w:pPr>
      <w:proofErr w:type="spellStart"/>
      <w:r w:rsidRPr="006A4DF8">
        <w:rPr>
          <w:sz w:val="24"/>
          <w:szCs w:val="24"/>
        </w:rPr>
        <w:t>Pentobarbital</w:t>
      </w:r>
      <w:proofErr w:type="spellEnd"/>
      <w:r>
        <w:rPr>
          <w:sz w:val="24"/>
          <w:szCs w:val="24"/>
        </w:rPr>
        <w:t xml:space="preserve">                       </w:t>
      </w:r>
      <w:r w:rsidRPr="006A4DF8">
        <w:rPr>
          <w:sz w:val="24"/>
          <w:szCs w:val="24"/>
        </w:rPr>
        <w:t>455,7 mg</w:t>
      </w:r>
    </w:p>
    <w:p w:rsidR="006A4DF8" w:rsidRPr="006A4DF8" w:rsidRDefault="006A4DF8" w:rsidP="006A4DF8">
      <w:pPr>
        <w:tabs>
          <w:tab w:val="left" w:pos="8222"/>
        </w:tabs>
        <w:ind w:left="851"/>
        <w:rPr>
          <w:sz w:val="24"/>
          <w:szCs w:val="24"/>
        </w:rPr>
      </w:pPr>
      <w:r w:rsidRPr="006A4DF8">
        <w:rPr>
          <w:sz w:val="24"/>
          <w:szCs w:val="24"/>
        </w:rPr>
        <w:t xml:space="preserve">(svarende til 500 mg </w:t>
      </w:r>
      <w:proofErr w:type="spellStart"/>
      <w:r w:rsidRPr="006A4DF8">
        <w:rPr>
          <w:sz w:val="24"/>
          <w:szCs w:val="24"/>
        </w:rPr>
        <w:t>pentobarbitalnatriium</w:t>
      </w:r>
      <w:proofErr w:type="spellEnd"/>
      <w:r w:rsidRPr="006A4DF8">
        <w:rPr>
          <w:sz w:val="24"/>
          <w:szCs w:val="24"/>
        </w:rPr>
        <w:t>)</w:t>
      </w:r>
    </w:p>
    <w:p w:rsidR="006A4DF8" w:rsidRPr="006A4DF8" w:rsidRDefault="006A4DF8" w:rsidP="006A4DF8">
      <w:pPr>
        <w:tabs>
          <w:tab w:val="left" w:pos="8222"/>
        </w:tabs>
        <w:ind w:left="851"/>
        <w:rPr>
          <w:iCs/>
          <w:sz w:val="24"/>
          <w:szCs w:val="24"/>
        </w:rPr>
      </w:pPr>
    </w:p>
    <w:p w:rsidR="006A4DF8" w:rsidRPr="006A4DF8" w:rsidRDefault="006A4DF8" w:rsidP="006A4DF8">
      <w:pPr>
        <w:tabs>
          <w:tab w:val="left" w:pos="8222"/>
        </w:tabs>
        <w:ind w:left="851"/>
        <w:rPr>
          <w:sz w:val="24"/>
          <w:szCs w:val="24"/>
        </w:rPr>
      </w:pPr>
      <w:r w:rsidRPr="006A4DF8">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04"/>
      </w:tblGrid>
      <w:tr w:rsidR="006A4DF8" w:rsidRPr="006A4DF8" w:rsidTr="006A4DF8">
        <w:tc>
          <w:tcPr>
            <w:tcW w:w="4111" w:type="dxa"/>
            <w:tcBorders>
              <w:top w:val="single" w:sz="4" w:space="0" w:color="000000"/>
              <w:left w:val="single" w:sz="4" w:space="0" w:color="000000"/>
              <w:bottom w:val="single" w:sz="4" w:space="0" w:color="000000"/>
              <w:right w:val="single" w:sz="4" w:space="0" w:color="000000"/>
            </w:tcBorders>
            <w:vAlign w:val="center"/>
            <w:hideMark/>
          </w:tcPr>
          <w:p w:rsidR="006A4DF8" w:rsidRPr="006A4DF8" w:rsidRDefault="006A4DF8" w:rsidP="006A4DF8">
            <w:pPr>
              <w:tabs>
                <w:tab w:val="left" w:pos="8222"/>
              </w:tabs>
              <w:rPr>
                <w:b/>
                <w:bCs/>
                <w:iCs/>
                <w:sz w:val="24"/>
                <w:szCs w:val="24"/>
              </w:rPr>
            </w:pPr>
            <w:r w:rsidRPr="006A4DF8">
              <w:rPr>
                <w:b/>
                <w:bCs/>
                <w:iCs/>
                <w:sz w:val="24"/>
                <w:szCs w:val="24"/>
              </w:rPr>
              <w:t>Kvalitativ sammensætning af</w:t>
            </w:r>
            <w:r>
              <w:rPr>
                <w:b/>
                <w:bCs/>
                <w:iCs/>
                <w:sz w:val="24"/>
                <w:szCs w:val="24"/>
              </w:rPr>
              <w:t xml:space="preserve"> </w:t>
            </w:r>
            <w:r w:rsidRPr="006A4DF8">
              <w:rPr>
                <w:b/>
                <w:bCs/>
                <w:iCs/>
                <w:sz w:val="24"/>
                <w:szCs w:val="24"/>
              </w:rPr>
              <w:t>hjælpestoffer og andre bestanddele</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6A4DF8" w:rsidRPr="006A4DF8" w:rsidRDefault="006A4DF8" w:rsidP="006A4DF8">
            <w:pPr>
              <w:tabs>
                <w:tab w:val="left" w:pos="8222"/>
              </w:tabs>
              <w:rPr>
                <w:b/>
                <w:bCs/>
                <w:iCs/>
                <w:sz w:val="24"/>
                <w:szCs w:val="24"/>
              </w:rPr>
            </w:pPr>
            <w:r w:rsidRPr="006A4DF8">
              <w:rPr>
                <w:b/>
                <w:bCs/>
                <w:iCs/>
                <w:sz w:val="24"/>
                <w:szCs w:val="24"/>
              </w:rPr>
              <w:t>&lt;Kvantitativ sammensætning, hvis oplysningen er vigtig for korrekt administration af veterinærlægemidlet&gt;</w:t>
            </w:r>
          </w:p>
        </w:tc>
      </w:tr>
      <w:tr w:rsidR="006A4DF8" w:rsidRPr="006A4DF8" w:rsidTr="006A4DF8">
        <w:tc>
          <w:tcPr>
            <w:tcW w:w="4111"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iCs/>
                <w:sz w:val="24"/>
                <w:szCs w:val="24"/>
              </w:rPr>
            </w:pPr>
            <w:r w:rsidRPr="006A4DF8">
              <w:rPr>
                <w:sz w:val="24"/>
                <w:szCs w:val="24"/>
              </w:rPr>
              <w:t xml:space="preserve">Patent </w:t>
            </w:r>
            <w:proofErr w:type="spellStart"/>
            <w:r w:rsidRPr="006A4DF8">
              <w:rPr>
                <w:sz w:val="24"/>
                <w:szCs w:val="24"/>
              </w:rPr>
              <w:t>blue</w:t>
            </w:r>
            <w:proofErr w:type="spellEnd"/>
            <w:r w:rsidRPr="006A4DF8">
              <w:rPr>
                <w:sz w:val="24"/>
                <w:szCs w:val="24"/>
              </w:rPr>
              <w:t xml:space="preserve"> V (E131)</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6A4DF8" w:rsidRPr="006A4DF8" w:rsidRDefault="006A4DF8" w:rsidP="006A4DF8">
            <w:pPr>
              <w:tabs>
                <w:tab w:val="left" w:pos="8222"/>
              </w:tabs>
              <w:ind w:left="851" w:hanging="851"/>
              <w:rPr>
                <w:iCs/>
                <w:sz w:val="24"/>
                <w:szCs w:val="24"/>
              </w:rPr>
            </w:pPr>
            <w:r w:rsidRPr="006A4DF8">
              <w:rPr>
                <w:iCs/>
                <w:sz w:val="24"/>
                <w:szCs w:val="24"/>
              </w:rPr>
              <w:t>0,01 mg</w:t>
            </w:r>
          </w:p>
        </w:tc>
      </w:tr>
      <w:tr w:rsidR="006A4DF8" w:rsidRPr="006A4DF8" w:rsidTr="006A4DF8">
        <w:tc>
          <w:tcPr>
            <w:tcW w:w="4111"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proofErr w:type="spellStart"/>
            <w:r w:rsidRPr="006A4DF8">
              <w:rPr>
                <w:sz w:val="24"/>
                <w:szCs w:val="24"/>
              </w:rPr>
              <w:t>Ethanol</w:t>
            </w:r>
            <w:proofErr w:type="spellEnd"/>
            <w:r w:rsidRPr="006A4DF8">
              <w:rPr>
                <w:sz w:val="24"/>
                <w:szCs w:val="24"/>
              </w:rPr>
              <w:t xml:space="preserve"> (96 procent) </w:t>
            </w:r>
          </w:p>
        </w:tc>
        <w:tc>
          <w:tcPr>
            <w:tcW w:w="4104" w:type="dxa"/>
            <w:tcBorders>
              <w:top w:val="single" w:sz="4" w:space="0" w:color="000000"/>
              <w:left w:val="single" w:sz="4" w:space="0" w:color="000000"/>
              <w:bottom w:val="single" w:sz="4" w:space="0" w:color="000000"/>
              <w:right w:val="single" w:sz="4" w:space="0" w:color="000000"/>
            </w:tcBorders>
            <w:vAlign w:val="center"/>
          </w:tcPr>
          <w:p w:rsidR="006A4DF8" w:rsidRPr="006A4DF8" w:rsidRDefault="006A4DF8" w:rsidP="006A4DF8">
            <w:pPr>
              <w:tabs>
                <w:tab w:val="left" w:pos="8222"/>
              </w:tabs>
              <w:ind w:left="851" w:hanging="851"/>
              <w:rPr>
                <w:iCs/>
                <w:sz w:val="24"/>
                <w:szCs w:val="24"/>
              </w:rPr>
            </w:pPr>
          </w:p>
        </w:tc>
      </w:tr>
      <w:tr w:rsidR="006A4DF8" w:rsidRPr="006A4DF8" w:rsidTr="006A4DF8">
        <w:tc>
          <w:tcPr>
            <w:tcW w:w="4111"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iCs/>
                <w:sz w:val="24"/>
                <w:szCs w:val="24"/>
              </w:rPr>
            </w:pPr>
            <w:r w:rsidRPr="006A4DF8">
              <w:rPr>
                <w:sz w:val="24"/>
                <w:szCs w:val="24"/>
              </w:rPr>
              <w:t xml:space="preserve">Saltsyre, fortyndet (til pH-justering) </w:t>
            </w:r>
          </w:p>
        </w:tc>
        <w:tc>
          <w:tcPr>
            <w:tcW w:w="4104" w:type="dxa"/>
            <w:tcBorders>
              <w:top w:val="single" w:sz="4" w:space="0" w:color="000000"/>
              <w:left w:val="single" w:sz="4" w:space="0" w:color="000000"/>
              <w:bottom w:val="single" w:sz="4" w:space="0" w:color="000000"/>
              <w:right w:val="single" w:sz="4" w:space="0" w:color="000000"/>
            </w:tcBorders>
            <w:vAlign w:val="center"/>
          </w:tcPr>
          <w:p w:rsidR="006A4DF8" w:rsidRPr="006A4DF8" w:rsidRDefault="006A4DF8" w:rsidP="006A4DF8">
            <w:pPr>
              <w:tabs>
                <w:tab w:val="left" w:pos="8222"/>
              </w:tabs>
              <w:ind w:left="851" w:hanging="851"/>
              <w:rPr>
                <w:iCs/>
                <w:sz w:val="24"/>
                <w:szCs w:val="24"/>
              </w:rPr>
            </w:pPr>
          </w:p>
        </w:tc>
      </w:tr>
      <w:tr w:rsidR="006A4DF8" w:rsidRPr="006A4DF8" w:rsidTr="006A4DF8">
        <w:tc>
          <w:tcPr>
            <w:tcW w:w="4111"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b/>
                <w:bCs/>
                <w:iCs/>
                <w:sz w:val="24"/>
                <w:szCs w:val="24"/>
              </w:rPr>
            </w:pPr>
            <w:r w:rsidRPr="006A4DF8">
              <w:rPr>
                <w:sz w:val="24"/>
                <w:szCs w:val="24"/>
              </w:rPr>
              <w:t xml:space="preserve">Natriumhydroxid (til pH-justering) </w:t>
            </w:r>
          </w:p>
        </w:tc>
        <w:tc>
          <w:tcPr>
            <w:tcW w:w="4104" w:type="dxa"/>
            <w:tcBorders>
              <w:top w:val="single" w:sz="4" w:space="0" w:color="000000"/>
              <w:left w:val="single" w:sz="4" w:space="0" w:color="000000"/>
              <w:bottom w:val="single" w:sz="4" w:space="0" w:color="000000"/>
              <w:right w:val="single" w:sz="4" w:space="0" w:color="000000"/>
            </w:tcBorders>
            <w:vAlign w:val="center"/>
          </w:tcPr>
          <w:p w:rsidR="006A4DF8" w:rsidRPr="006A4DF8" w:rsidRDefault="006A4DF8" w:rsidP="006A4DF8">
            <w:pPr>
              <w:tabs>
                <w:tab w:val="left" w:pos="8222"/>
              </w:tabs>
              <w:ind w:left="851" w:hanging="851"/>
              <w:rPr>
                <w:iCs/>
                <w:sz w:val="24"/>
                <w:szCs w:val="24"/>
              </w:rPr>
            </w:pPr>
          </w:p>
        </w:tc>
      </w:tr>
      <w:tr w:rsidR="006A4DF8" w:rsidRPr="006A4DF8" w:rsidTr="006A4DF8">
        <w:tc>
          <w:tcPr>
            <w:tcW w:w="4111"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iCs/>
                <w:sz w:val="24"/>
                <w:szCs w:val="24"/>
              </w:rPr>
            </w:pPr>
            <w:r w:rsidRPr="006A4DF8">
              <w:rPr>
                <w:sz w:val="24"/>
                <w:szCs w:val="24"/>
              </w:rPr>
              <w:t>Vand til injektionsvæsker</w:t>
            </w:r>
          </w:p>
        </w:tc>
        <w:tc>
          <w:tcPr>
            <w:tcW w:w="4104" w:type="dxa"/>
            <w:tcBorders>
              <w:top w:val="single" w:sz="4" w:space="0" w:color="000000"/>
              <w:left w:val="single" w:sz="4" w:space="0" w:color="000000"/>
              <w:bottom w:val="single" w:sz="4" w:space="0" w:color="000000"/>
              <w:right w:val="single" w:sz="4" w:space="0" w:color="000000"/>
            </w:tcBorders>
            <w:vAlign w:val="center"/>
          </w:tcPr>
          <w:p w:rsidR="006A4DF8" w:rsidRPr="006A4DF8" w:rsidRDefault="006A4DF8" w:rsidP="006A4DF8">
            <w:pPr>
              <w:tabs>
                <w:tab w:val="left" w:pos="8222"/>
              </w:tabs>
              <w:ind w:left="851" w:hanging="851"/>
              <w:rPr>
                <w:iCs/>
                <w:sz w:val="24"/>
                <w:szCs w:val="24"/>
              </w:rPr>
            </w:pPr>
          </w:p>
        </w:tc>
      </w:tr>
    </w:tbl>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Klar, blå, vandig opløsning.</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w:t>
      </w:r>
      <w:r w:rsidRPr="006A4DF8">
        <w:rPr>
          <w:b/>
          <w:sz w:val="24"/>
          <w:szCs w:val="24"/>
        </w:rPr>
        <w:tab/>
        <w:t>KLINISKE OPLYSNINGER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3.1</w:t>
      </w:r>
      <w:r w:rsidRPr="006A4DF8">
        <w:rPr>
          <w:b/>
          <w:sz w:val="24"/>
          <w:szCs w:val="24"/>
        </w:rPr>
        <w:tab/>
        <w:t>Dyrearter, som lægemidlet er beregnet til</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bookmarkStart w:id="0" w:name="_Hlk192579271"/>
      <w:r>
        <w:rPr>
          <w:sz w:val="24"/>
          <w:szCs w:val="24"/>
        </w:rPr>
        <w:lastRenderedPageBreak/>
        <w:tab/>
      </w:r>
      <w:r w:rsidRPr="006A4DF8">
        <w:rPr>
          <w:sz w:val="24"/>
          <w:szCs w:val="24"/>
        </w:rPr>
        <w:t>Hund, kat, gnaver, kanin, kvæg, får, ged, svin, hest og mink.</w:t>
      </w:r>
    </w:p>
    <w:bookmarkEnd w:id="0"/>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3.2</w:t>
      </w:r>
      <w:r w:rsidRPr="006A4DF8">
        <w:rPr>
          <w:b/>
          <w:sz w:val="24"/>
          <w:szCs w:val="24"/>
        </w:rPr>
        <w:tab/>
        <w:t>Terapeutiske indikationer for hver dyreart, som lægemidlet er beregnet til</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Eutanasi.</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3.3</w:t>
      </w:r>
      <w:r w:rsidRPr="006A4DF8">
        <w:rPr>
          <w:b/>
          <w:sz w:val="24"/>
          <w:szCs w:val="24"/>
        </w:rPr>
        <w:tab/>
        <w:t>Kontraindikationer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Må ikke anvendes til anæstesi.</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3.4</w:t>
      </w:r>
      <w:r w:rsidRPr="006A4DF8">
        <w:rPr>
          <w:b/>
          <w:sz w:val="24"/>
          <w:szCs w:val="24"/>
        </w:rPr>
        <w:tab/>
        <w:t>Særlige advarsler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Intravenøs injektion af </w:t>
      </w:r>
      <w:proofErr w:type="spellStart"/>
      <w:r w:rsidRPr="006A4DF8">
        <w:rPr>
          <w:sz w:val="24"/>
          <w:szCs w:val="24"/>
        </w:rPr>
        <w:t>pentobarbital</w:t>
      </w:r>
      <w:proofErr w:type="spellEnd"/>
      <w:r w:rsidRPr="006A4DF8">
        <w:rPr>
          <w:sz w:val="24"/>
          <w:szCs w:val="24"/>
        </w:rPr>
        <w:t xml:space="preserve"> har potentialet til at forårsage </w:t>
      </w:r>
      <w:proofErr w:type="spellStart"/>
      <w:r w:rsidRPr="006A4DF8">
        <w:rPr>
          <w:sz w:val="24"/>
          <w:szCs w:val="24"/>
        </w:rPr>
        <w:t>induktionsekscitation</w:t>
      </w:r>
      <w:proofErr w:type="spellEnd"/>
      <w:r w:rsidRPr="006A4DF8">
        <w:rPr>
          <w:sz w:val="24"/>
          <w:szCs w:val="24"/>
        </w:rPr>
        <w:t xml:space="preserve"> hos flere dyrearter, og dyret skal sederes tilstrækkeligt, hvis dyrlægen finder det nødvendigt. Præmedicinering med passende sedation er obligatorisk til heste, kvæg og grise, så dyret er kraftigt sederet før eutanasi. Der skal tages forholdsregler for at undgå </w:t>
      </w:r>
      <w:proofErr w:type="spellStart"/>
      <w:r w:rsidRPr="006A4DF8">
        <w:rPr>
          <w:sz w:val="24"/>
          <w:szCs w:val="24"/>
        </w:rPr>
        <w:t>perivaskulær</w:t>
      </w:r>
      <w:proofErr w:type="spellEnd"/>
      <w:r w:rsidRPr="006A4DF8">
        <w:rPr>
          <w:sz w:val="24"/>
          <w:szCs w:val="24"/>
        </w:rPr>
        <w:t xml:space="preserve"> indgivelse (f.eks. ved at anvende et intravenøst kateter).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Der blev for grise vist en direkte korrelation mellem fiksering og niveauet af ekscitation og agitation. Derfor skal injektionen af grise udføres med så lidt fiksering, som muligt.</w:t>
      </w: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Da det er svært at injicere grise intravenøst på en sikker måde, er sedation af dyret før </w:t>
      </w:r>
      <w:proofErr w:type="spellStart"/>
      <w:r w:rsidRPr="006A4DF8">
        <w:rPr>
          <w:sz w:val="24"/>
          <w:szCs w:val="24"/>
        </w:rPr>
        <w:t>i.v</w:t>
      </w:r>
      <w:proofErr w:type="spellEnd"/>
      <w:r w:rsidRPr="006A4DF8">
        <w:rPr>
          <w:sz w:val="24"/>
          <w:szCs w:val="24"/>
        </w:rPr>
        <w:t xml:space="preserve">. indgivelse af </w:t>
      </w:r>
      <w:proofErr w:type="spellStart"/>
      <w:r w:rsidRPr="006A4DF8">
        <w:rPr>
          <w:sz w:val="24"/>
          <w:szCs w:val="24"/>
        </w:rPr>
        <w:t>pentobarbital</w:t>
      </w:r>
      <w:proofErr w:type="spellEnd"/>
      <w:r w:rsidRPr="006A4DF8">
        <w:rPr>
          <w:sz w:val="24"/>
          <w:szCs w:val="24"/>
        </w:rPr>
        <w:t xml:space="preserve"> obligatorisk.</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Den </w:t>
      </w:r>
      <w:proofErr w:type="spellStart"/>
      <w:r w:rsidRPr="006A4DF8">
        <w:rPr>
          <w:sz w:val="24"/>
          <w:szCs w:val="24"/>
        </w:rPr>
        <w:t>intraperitonale</w:t>
      </w:r>
      <w:proofErr w:type="spellEnd"/>
      <w:r w:rsidRPr="006A4DF8">
        <w:rPr>
          <w:sz w:val="24"/>
          <w:szCs w:val="24"/>
        </w:rPr>
        <w:t xml:space="preserve"> indgivelsesvej kan udsætte virkningens start med en øget risiko for </w:t>
      </w:r>
      <w:proofErr w:type="spellStart"/>
      <w:r w:rsidRPr="006A4DF8">
        <w:rPr>
          <w:sz w:val="24"/>
          <w:szCs w:val="24"/>
        </w:rPr>
        <w:t>induktionsekscitation</w:t>
      </w:r>
      <w:proofErr w:type="spellEnd"/>
      <w:r w:rsidRPr="006A4DF8">
        <w:rPr>
          <w:sz w:val="24"/>
          <w:szCs w:val="24"/>
        </w:rPr>
        <w:t xml:space="preserve"> til følge. </w:t>
      </w:r>
      <w:proofErr w:type="spellStart"/>
      <w:r w:rsidRPr="006A4DF8">
        <w:rPr>
          <w:sz w:val="24"/>
          <w:szCs w:val="24"/>
        </w:rPr>
        <w:t>Intraperitoneal</w:t>
      </w:r>
      <w:proofErr w:type="spellEnd"/>
      <w:r w:rsidRPr="006A4DF8">
        <w:rPr>
          <w:sz w:val="24"/>
          <w:szCs w:val="24"/>
        </w:rPr>
        <w:t xml:space="preserve"> indgivelse må kun anvendes efter tilstrækkelig sedation. Der bør træffes foranstaltninger for at undgå indgivelse i milt eller organer/væv med en lav absorptionskapacitet. Denne indgivelsesvej er kun egnet til små dyr.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Intrakardial injektion må kun anvendes, hvis dyret er kraftigt sederet, </w:t>
      </w:r>
      <w:proofErr w:type="gramStart"/>
      <w:r w:rsidRPr="006A4DF8">
        <w:rPr>
          <w:sz w:val="24"/>
          <w:szCs w:val="24"/>
        </w:rPr>
        <w:t>bevidstløs</w:t>
      </w:r>
      <w:proofErr w:type="gramEnd"/>
      <w:r w:rsidRPr="006A4DF8">
        <w:rPr>
          <w:sz w:val="24"/>
          <w:szCs w:val="24"/>
        </w:rPr>
        <w:t xml:space="preserve"> eller under anæstesi.</w:t>
      </w:r>
    </w:p>
    <w:p w:rsidR="006A4DF8" w:rsidRPr="006A4DF8" w:rsidRDefault="006A4DF8" w:rsidP="006A4DF8">
      <w:pPr>
        <w:tabs>
          <w:tab w:val="left" w:pos="8222"/>
        </w:tabs>
        <w:ind w:left="851" w:hanging="851"/>
        <w:rPr>
          <w:b/>
          <w:sz w:val="24"/>
          <w:szCs w:val="24"/>
        </w:rPr>
      </w:pPr>
    </w:p>
    <w:p w:rsidR="006A4DF8" w:rsidRPr="006A4DF8" w:rsidRDefault="006A4DF8" w:rsidP="006A4DF8">
      <w:pPr>
        <w:tabs>
          <w:tab w:val="left" w:pos="8222"/>
        </w:tabs>
        <w:ind w:left="851" w:hanging="851"/>
        <w:rPr>
          <w:b/>
          <w:sz w:val="24"/>
          <w:szCs w:val="24"/>
        </w:rPr>
      </w:pPr>
      <w:r w:rsidRPr="006A4DF8">
        <w:rPr>
          <w:b/>
          <w:sz w:val="24"/>
          <w:szCs w:val="24"/>
        </w:rPr>
        <w:t>3.5</w:t>
      </w:r>
      <w:r w:rsidRPr="006A4DF8">
        <w:rPr>
          <w:b/>
          <w:sz w:val="24"/>
          <w:szCs w:val="24"/>
        </w:rPr>
        <w:tab/>
        <w:t>Særlige forholdsregler vedrørende brugen</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u w:val="single"/>
        </w:rPr>
      </w:pPr>
      <w:r w:rsidRPr="006A4DF8">
        <w:rPr>
          <w:sz w:val="24"/>
          <w:szCs w:val="24"/>
        </w:rPr>
        <w:tab/>
      </w:r>
      <w:r w:rsidRPr="006A4DF8">
        <w:rPr>
          <w:sz w:val="24"/>
          <w:szCs w:val="24"/>
          <w:u w:val="single"/>
        </w:rPr>
        <w:t>Særlige forholdsregler vedrørende sikker brug hos de dyrearter, som lægemidlet er beregnet til:</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Hvis veterinærlægemidlet utilsigtet indgives til et dyr, der ikke skal aflives, er foranstaltninger som kunstigt åndedræt, administration af oxygen og brug af </w:t>
      </w:r>
      <w:proofErr w:type="spellStart"/>
      <w:r w:rsidRPr="006A4DF8">
        <w:rPr>
          <w:sz w:val="24"/>
          <w:szCs w:val="24"/>
        </w:rPr>
        <w:t>analeptika</w:t>
      </w:r>
      <w:proofErr w:type="spellEnd"/>
      <w:r w:rsidRPr="006A4DF8">
        <w:rPr>
          <w:sz w:val="24"/>
          <w:szCs w:val="24"/>
        </w:rPr>
        <w:t xml:space="preserve"> passende.</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Hvis et aggressivt dyr skal aflives, anbefales præmedicinering med sedation, der nemmere indgives (oralt, subkutant eller intramuskulært).</w:t>
      </w: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For at reducere risikoen for </w:t>
      </w:r>
      <w:proofErr w:type="spellStart"/>
      <w:r w:rsidRPr="006A4DF8">
        <w:rPr>
          <w:sz w:val="24"/>
          <w:szCs w:val="24"/>
        </w:rPr>
        <w:t>induktionsekscitation</w:t>
      </w:r>
      <w:proofErr w:type="spellEnd"/>
      <w:r w:rsidRPr="006A4DF8">
        <w:rPr>
          <w:sz w:val="24"/>
          <w:szCs w:val="24"/>
        </w:rPr>
        <w:t>, bør eutanasi udføres i et roligt område.</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En alternativ aflivningsmetode skal være tilgængelig til heste og kvæg, hvis det bliver nødvendigt. </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u w:val="single"/>
        </w:rPr>
      </w:pPr>
      <w:r w:rsidRPr="006A4DF8">
        <w:rPr>
          <w:sz w:val="24"/>
          <w:szCs w:val="24"/>
        </w:rPr>
        <w:tab/>
      </w:r>
      <w:r w:rsidRPr="006A4DF8">
        <w:rPr>
          <w:sz w:val="24"/>
          <w:szCs w:val="24"/>
          <w:u w:val="single"/>
        </w:rPr>
        <w:t>Særlige forholdsregler for personer, der administrerer veterinærlægemidlet til dyr: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Må kun anvendes af en dyrlæge.</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proofErr w:type="spellStart"/>
      <w:r w:rsidRPr="006A4DF8">
        <w:rPr>
          <w:sz w:val="24"/>
          <w:szCs w:val="24"/>
        </w:rPr>
        <w:t>Pentobarbital</w:t>
      </w:r>
      <w:proofErr w:type="spellEnd"/>
      <w:r w:rsidRPr="006A4DF8">
        <w:rPr>
          <w:sz w:val="24"/>
          <w:szCs w:val="24"/>
        </w:rPr>
        <w:t xml:space="preserve"> er et potent hypnotisk og sederende middel, som er toksisk for mennesker. Det kan absorberes systemisk gennem huden eller øjnene, og hvis det indtages. Systemisk optagelse (herunder absorption via hud eller øjne) af </w:t>
      </w:r>
      <w:proofErr w:type="spellStart"/>
      <w:r w:rsidRPr="006A4DF8">
        <w:rPr>
          <w:sz w:val="24"/>
          <w:szCs w:val="24"/>
        </w:rPr>
        <w:t>pentobarbital</w:t>
      </w:r>
      <w:proofErr w:type="spellEnd"/>
      <w:r w:rsidRPr="006A4DF8">
        <w:rPr>
          <w:sz w:val="24"/>
          <w:szCs w:val="24"/>
        </w:rPr>
        <w:t xml:space="preserve"> forårsager sedation, søvn, undertrykkelse af centralnervesystemet og respirationen. Der bør tages særligt hensyn for at undgå indgift og selvinjektion ved hændeligt uheld. Dette præparat må kun bæres rundt i en sprøjte uden en kanyle, for at undgå injektion ved hændeligt uheld.</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I tilfælde af utilsigtet indtagelse ved hændeligt uheld skal munden vaskes, og der skal straks søges lægehjælp.</w:t>
      </w:r>
    </w:p>
    <w:p w:rsidR="006A4DF8" w:rsidRPr="006A4DF8" w:rsidRDefault="006A4DF8" w:rsidP="006A4DF8">
      <w:pPr>
        <w:tabs>
          <w:tab w:val="left" w:pos="8222"/>
        </w:tabs>
        <w:ind w:left="851"/>
        <w:rPr>
          <w:sz w:val="24"/>
          <w:szCs w:val="24"/>
        </w:rPr>
      </w:pPr>
      <w:r w:rsidRPr="006A4DF8">
        <w:rPr>
          <w:sz w:val="24"/>
          <w:szCs w:val="24"/>
        </w:rPr>
        <w:t>Utilsigtet kontakt med huden eller øjne skal omgående skylles af med rigelige mængder vand.</w:t>
      </w:r>
    </w:p>
    <w:p w:rsidR="006A4DF8" w:rsidRPr="006A4DF8" w:rsidRDefault="006A4DF8" w:rsidP="006A4DF8">
      <w:pPr>
        <w:tabs>
          <w:tab w:val="left" w:pos="8222"/>
        </w:tabs>
        <w:ind w:left="851"/>
        <w:rPr>
          <w:sz w:val="24"/>
          <w:szCs w:val="24"/>
        </w:rPr>
      </w:pPr>
      <w:r w:rsidRPr="006A4DF8">
        <w:rPr>
          <w:sz w:val="24"/>
          <w:szCs w:val="24"/>
        </w:rPr>
        <w:t>Undgå utilsigtet selvinjektion ved hændeligt uheld eller utilsigtet injektion af andre personer ved hændeligt uheld, når veterinærlægemidlet indgives.</w:t>
      </w:r>
    </w:p>
    <w:p w:rsidR="006A4DF8" w:rsidRPr="006A4DF8" w:rsidRDefault="006A4DF8" w:rsidP="006A4DF8">
      <w:pPr>
        <w:tabs>
          <w:tab w:val="left" w:pos="8222"/>
        </w:tabs>
        <w:ind w:left="851"/>
        <w:rPr>
          <w:sz w:val="24"/>
          <w:szCs w:val="24"/>
        </w:rPr>
      </w:pPr>
      <w:r w:rsidRPr="006A4DF8">
        <w:rPr>
          <w:sz w:val="24"/>
          <w:szCs w:val="24"/>
        </w:rPr>
        <w:t>I tilfælde af utilsigtet selvinjektion ved hændeligt uheld eller alvorlig hud- og/eller øjenkontakt skal der straks søges lægehjælp, og indlægssedlen eller etiketten bør vises til lægen. Men DER MÅ IKKE FØRES MOTORKØRETØJ, da der kan opstå sedation.</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Embryotoksiske virkninger kan ikke udelukkes.</w:t>
      </w:r>
    </w:p>
    <w:p w:rsidR="006A4DF8" w:rsidRPr="006A4DF8" w:rsidRDefault="006A4DF8" w:rsidP="006A4DF8">
      <w:pPr>
        <w:tabs>
          <w:tab w:val="left" w:pos="8222"/>
        </w:tabs>
        <w:ind w:left="851"/>
        <w:rPr>
          <w:sz w:val="24"/>
          <w:szCs w:val="24"/>
        </w:rPr>
      </w:pPr>
      <w:r w:rsidRPr="006A4DF8">
        <w:rPr>
          <w:sz w:val="24"/>
          <w:szCs w:val="24"/>
        </w:rPr>
        <w:t>Gravide og ammende kvinder skal tage ekstra forholdsregler, når de håndterer veterinærlægemidlet.</w:t>
      </w:r>
    </w:p>
    <w:p w:rsidR="006A4DF8" w:rsidRPr="006A4DF8" w:rsidRDefault="006A4DF8" w:rsidP="006A4DF8">
      <w:pPr>
        <w:tabs>
          <w:tab w:val="left" w:pos="8222"/>
        </w:tabs>
        <w:ind w:left="851"/>
        <w:rPr>
          <w:sz w:val="24"/>
          <w:szCs w:val="24"/>
        </w:rPr>
      </w:pPr>
      <w:r w:rsidRPr="006A4DF8">
        <w:rPr>
          <w:sz w:val="24"/>
          <w:szCs w:val="24"/>
        </w:rPr>
        <w:t xml:space="preserve">Dette veterinærlægemiddel kan være irriterende for øjnene, og det kan forårsage hudirritation samt overfølsomhedsreaktioner (på grund af </w:t>
      </w:r>
      <w:proofErr w:type="spellStart"/>
      <w:r w:rsidRPr="006A4DF8">
        <w:rPr>
          <w:sz w:val="24"/>
          <w:szCs w:val="24"/>
        </w:rPr>
        <w:t>pentobarbital</w:t>
      </w:r>
      <w:proofErr w:type="spellEnd"/>
      <w:r w:rsidRPr="006A4DF8">
        <w:rPr>
          <w:sz w:val="24"/>
          <w:szCs w:val="24"/>
        </w:rPr>
        <w:t xml:space="preserve">). Ved overfølsomhed over for </w:t>
      </w:r>
      <w:proofErr w:type="spellStart"/>
      <w:r w:rsidRPr="006A4DF8">
        <w:rPr>
          <w:sz w:val="24"/>
          <w:szCs w:val="24"/>
        </w:rPr>
        <w:t>pentobarbital</w:t>
      </w:r>
      <w:proofErr w:type="spellEnd"/>
      <w:r w:rsidRPr="006A4DF8">
        <w:rPr>
          <w:sz w:val="24"/>
          <w:szCs w:val="24"/>
        </w:rPr>
        <w:t xml:space="preserve">, bør kontakt med veterinærlægemidlet undgås. </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 xml:space="preserve">Undgå direkte kontakt med hud og øjne, herunder hånd-til-øjenkontakt. </w:t>
      </w:r>
    </w:p>
    <w:p w:rsidR="006A4DF8" w:rsidRPr="006A4DF8" w:rsidRDefault="006A4DF8" w:rsidP="006A4DF8">
      <w:pPr>
        <w:tabs>
          <w:tab w:val="left" w:pos="8222"/>
        </w:tabs>
        <w:ind w:left="851"/>
        <w:rPr>
          <w:sz w:val="24"/>
          <w:szCs w:val="24"/>
        </w:rPr>
      </w:pPr>
      <w:r w:rsidRPr="006A4DF8">
        <w:rPr>
          <w:sz w:val="24"/>
          <w:szCs w:val="24"/>
        </w:rPr>
        <w:t>Dette lægemiddel må kun administreres af dyrlæger, og bør kun bruges, hvis der er en anden fagkyndig person til stede, der kan hjælpe i tilfælde af eksponering ved hændeligt uheld. Instruer ikke-lægekyndigt personale om risikoen ved veterinærlægemidlet.</w:t>
      </w:r>
    </w:p>
    <w:p w:rsidR="006A4DF8" w:rsidRPr="006A4DF8" w:rsidRDefault="006A4DF8" w:rsidP="006A4DF8">
      <w:pPr>
        <w:tabs>
          <w:tab w:val="left" w:pos="8222"/>
        </w:tabs>
        <w:ind w:left="851"/>
        <w:rPr>
          <w:sz w:val="24"/>
          <w:szCs w:val="24"/>
        </w:rPr>
      </w:pPr>
      <w:r w:rsidRPr="006A4DF8">
        <w:rPr>
          <w:sz w:val="24"/>
          <w:szCs w:val="24"/>
        </w:rPr>
        <w:t>Personligt beskyttelsesudstyr i form af uigennemtrængelige handsker bør anvendes ved håndtering af veterinærlægemidlet.</w:t>
      </w:r>
    </w:p>
    <w:p w:rsidR="006A4DF8" w:rsidRPr="006A4DF8" w:rsidRDefault="006A4DF8" w:rsidP="006A4DF8">
      <w:pPr>
        <w:tabs>
          <w:tab w:val="left" w:pos="8222"/>
        </w:tabs>
        <w:ind w:left="851"/>
        <w:rPr>
          <w:sz w:val="24"/>
          <w:szCs w:val="24"/>
        </w:rPr>
      </w:pPr>
      <w:r w:rsidRPr="006A4DF8">
        <w:rPr>
          <w:sz w:val="24"/>
          <w:szCs w:val="24"/>
        </w:rPr>
        <w:t>Der må ikke ryges, spises eller drikkes, når veterinærlægemidlet håndteres.</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Efter indgivelse af dette veterinærlægemiddel opstår der kollaps i løbet af 10 sekunder. Hvis dyret står op på indgivelsestidspunktet, skal personen, der indgiver veterinærlægemidlet samt alle andre tilstedeværende personer, udvise forsigtighed, så der holdes sikkerhedsafstand fra dyret, for at undgå skader.</w:t>
      </w:r>
    </w:p>
    <w:p w:rsidR="006A4DF8" w:rsidRPr="006A4DF8" w:rsidRDefault="006A4DF8" w:rsidP="006A4DF8">
      <w:pPr>
        <w:tabs>
          <w:tab w:val="left" w:pos="8222"/>
        </w:tabs>
        <w:ind w:left="851"/>
        <w:rPr>
          <w:sz w:val="24"/>
          <w:szCs w:val="24"/>
        </w:rPr>
      </w:pPr>
      <w:r w:rsidRPr="006A4DF8">
        <w:rPr>
          <w:sz w:val="24"/>
          <w:szCs w:val="24"/>
        </w:rPr>
        <w:t>Dette veterinærlægemiddel er brandfarligt. Holdes væk fra antændelseskilder</w:t>
      </w:r>
    </w:p>
    <w:p w:rsidR="006A4DF8" w:rsidRPr="006A4DF8" w:rsidRDefault="006A4DF8" w:rsidP="006A4DF8">
      <w:pPr>
        <w:tabs>
          <w:tab w:val="left" w:pos="8222"/>
        </w:tabs>
        <w:ind w:left="851" w:hanging="851"/>
        <w:rPr>
          <w:b/>
          <w:sz w:val="24"/>
          <w:szCs w:val="24"/>
        </w:rPr>
      </w:pPr>
    </w:p>
    <w:p w:rsidR="006A4DF8" w:rsidRPr="006A4DF8" w:rsidRDefault="006A4DF8" w:rsidP="006A4DF8">
      <w:pPr>
        <w:tabs>
          <w:tab w:val="left" w:pos="8222"/>
        </w:tabs>
        <w:ind w:left="851"/>
        <w:rPr>
          <w:sz w:val="24"/>
          <w:szCs w:val="24"/>
        </w:rPr>
      </w:pPr>
      <w:r w:rsidRPr="006A4DF8">
        <w:rPr>
          <w:b/>
          <w:sz w:val="24"/>
          <w:szCs w:val="24"/>
        </w:rPr>
        <w:t>Information til sundhedspersonalet i tilfælde af eksponering</w:t>
      </w:r>
      <w:r w:rsidRPr="006A4DF8">
        <w:rPr>
          <w:sz w:val="24"/>
          <w:szCs w:val="24"/>
        </w:rPr>
        <w:t xml:space="preserve">: </w:t>
      </w:r>
    </w:p>
    <w:p w:rsidR="006A4DF8" w:rsidRPr="006A4DF8" w:rsidRDefault="006A4DF8" w:rsidP="006A4DF8">
      <w:pPr>
        <w:tabs>
          <w:tab w:val="left" w:pos="8222"/>
        </w:tabs>
        <w:ind w:left="851"/>
        <w:rPr>
          <w:sz w:val="24"/>
          <w:szCs w:val="24"/>
        </w:rPr>
      </w:pPr>
      <w:r w:rsidRPr="006A4DF8">
        <w:rPr>
          <w:sz w:val="24"/>
          <w:szCs w:val="24"/>
        </w:rPr>
        <w:t xml:space="preserve">Førstehjælpsforanstaltninger skal fokusere på at opretholde respiration og hjertefunktion. Ved alvorlige forgiftninger kan det være nødvendigt at øge eliminationen af det absorberede barbiturat. </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 xml:space="preserve">Koncentrationen af </w:t>
      </w:r>
      <w:proofErr w:type="spellStart"/>
      <w:r w:rsidRPr="006A4DF8">
        <w:rPr>
          <w:sz w:val="24"/>
          <w:szCs w:val="24"/>
        </w:rPr>
        <w:t>pentobarbital</w:t>
      </w:r>
      <w:proofErr w:type="spellEnd"/>
      <w:r w:rsidRPr="006A4DF8">
        <w:rPr>
          <w:sz w:val="24"/>
          <w:szCs w:val="24"/>
        </w:rPr>
        <w:t xml:space="preserve"> i dette veterinærlægemiddel er så høj, at utilsigtet injektion eller indtagelse ved hændeligt uheld af mængder så små som 1 ml til voksne mennesker kan have alvorlige virkninger på centralnervesystemet. Det er blevet rapporteret, at en dosis </w:t>
      </w:r>
      <w:proofErr w:type="spellStart"/>
      <w:r w:rsidRPr="006A4DF8">
        <w:rPr>
          <w:sz w:val="24"/>
          <w:szCs w:val="24"/>
        </w:rPr>
        <w:t>pentobarbital</w:t>
      </w:r>
      <w:r w:rsidRPr="006A4DF8">
        <w:rPr>
          <w:sz w:val="24"/>
          <w:szCs w:val="24"/>
        </w:rPr>
        <w:softHyphen/>
        <w:t>natrium</w:t>
      </w:r>
      <w:proofErr w:type="spellEnd"/>
      <w:r w:rsidRPr="006A4DF8">
        <w:rPr>
          <w:sz w:val="24"/>
          <w:szCs w:val="24"/>
        </w:rPr>
        <w:t xml:space="preserve"> på 1 g (svarende til 2 ml veterinærlægemiddel), var dødeligt for mennesker. Behandlingen skal være støttende med passende intensiv behandling og opretholdelse af respirationen.</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u w:val="single"/>
        </w:rPr>
      </w:pPr>
      <w:r w:rsidRPr="006A4DF8">
        <w:rPr>
          <w:sz w:val="24"/>
          <w:szCs w:val="24"/>
          <w:u w:val="single"/>
        </w:rPr>
        <w:lastRenderedPageBreak/>
        <w:t>Særlige forholdsregler vedrørende beskyttelse af miljøet:</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Ikke relevant.</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u w:val="single"/>
        </w:rPr>
        <w:t>Andre forholdsregler</w:t>
      </w:r>
      <w:r w:rsidRPr="006A4DF8">
        <w:rPr>
          <w:sz w:val="24"/>
          <w:szCs w:val="24"/>
        </w:rPr>
        <w:t>:</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Dyr, der bliver aflivet med dette veterinærlægemiddel, skal bortskaffes i henhold til nationale retningslinjer. Dyr aflivet med dette veterinærlægemiddel må ikke bruges som foder til andre dyr, på grund af risikoen for sekundær forgiftning.</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3.6</w:t>
      </w:r>
      <w:r w:rsidRPr="006A4DF8">
        <w:rPr>
          <w:b/>
          <w:sz w:val="24"/>
          <w:szCs w:val="24"/>
        </w:rPr>
        <w:tab/>
        <w:t>Bivirkninger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Hunde, katte, gnavere, kaniner, kvæg, får, geder, svin, heste og mink:</w:t>
      </w:r>
    </w:p>
    <w:p w:rsidR="006A4DF8" w:rsidRPr="006A4DF8" w:rsidRDefault="006A4DF8" w:rsidP="006A4DF8">
      <w:pPr>
        <w:tabs>
          <w:tab w:val="left" w:pos="8222"/>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0"/>
      </w:tblGrid>
      <w:tr w:rsidR="006A4DF8" w:rsidRPr="006A4DF8" w:rsidTr="006A4DF8">
        <w:tc>
          <w:tcPr>
            <w:tcW w:w="2501" w:type="pct"/>
            <w:tcBorders>
              <w:top w:val="single" w:sz="4" w:space="0" w:color="auto"/>
              <w:left w:val="single" w:sz="4" w:space="0" w:color="auto"/>
              <w:bottom w:val="single" w:sz="4" w:space="0" w:color="auto"/>
              <w:right w:val="single" w:sz="4" w:space="0" w:color="auto"/>
            </w:tcBorders>
            <w:hideMark/>
          </w:tcPr>
          <w:p w:rsidR="006A4DF8" w:rsidRPr="006A4DF8" w:rsidRDefault="006A4DF8" w:rsidP="006A4DF8">
            <w:pPr>
              <w:tabs>
                <w:tab w:val="left" w:pos="8222"/>
              </w:tabs>
              <w:ind w:left="851" w:hanging="851"/>
              <w:rPr>
                <w:sz w:val="24"/>
                <w:szCs w:val="24"/>
              </w:rPr>
            </w:pPr>
            <w:r w:rsidRPr="006A4DF8">
              <w:rPr>
                <w:sz w:val="24"/>
                <w:szCs w:val="24"/>
              </w:rPr>
              <w:t>Almindelig</w:t>
            </w:r>
          </w:p>
          <w:p w:rsidR="006A4DF8" w:rsidRPr="006A4DF8" w:rsidRDefault="006A4DF8" w:rsidP="006A4DF8">
            <w:pPr>
              <w:tabs>
                <w:tab w:val="left" w:pos="8222"/>
              </w:tabs>
              <w:ind w:left="851" w:hanging="851"/>
              <w:rPr>
                <w:sz w:val="24"/>
                <w:szCs w:val="24"/>
              </w:rPr>
            </w:pPr>
            <w:r w:rsidRPr="006A4DF8">
              <w:rPr>
                <w:sz w:val="24"/>
                <w:szCs w:val="24"/>
              </w:rPr>
              <w:t>(1 til 10 dyr ud af 100 behandlede dyr):</w:t>
            </w:r>
          </w:p>
        </w:tc>
        <w:tc>
          <w:tcPr>
            <w:tcW w:w="2499" w:type="pct"/>
            <w:tcBorders>
              <w:top w:val="single" w:sz="4" w:space="0" w:color="auto"/>
              <w:left w:val="single" w:sz="4" w:space="0" w:color="auto"/>
              <w:bottom w:val="single" w:sz="4" w:space="0" w:color="auto"/>
              <w:right w:val="single" w:sz="4" w:space="0" w:color="auto"/>
            </w:tcBorders>
          </w:tcPr>
          <w:p w:rsidR="006A4DF8" w:rsidRPr="006A4DF8" w:rsidRDefault="006A4DF8" w:rsidP="006A4DF8">
            <w:pPr>
              <w:tabs>
                <w:tab w:val="left" w:pos="8222"/>
              </w:tabs>
              <w:ind w:left="851" w:hanging="851"/>
              <w:rPr>
                <w:iCs/>
                <w:sz w:val="24"/>
                <w:szCs w:val="24"/>
                <w:vertAlign w:val="superscript"/>
              </w:rPr>
            </w:pPr>
            <w:proofErr w:type="spellStart"/>
            <w:r w:rsidRPr="006A4DF8">
              <w:rPr>
                <w:iCs/>
                <w:sz w:val="24"/>
                <w:szCs w:val="24"/>
              </w:rPr>
              <w:t>Muskeltrækninger</w:t>
            </w:r>
            <w:r w:rsidRPr="006A4DF8">
              <w:rPr>
                <w:iCs/>
                <w:sz w:val="24"/>
                <w:szCs w:val="24"/>
                <w:vertAlign w:val="superscript"/>
              </w:rPr>
              <w:t>a</w:t>
            </w:r>
            <w:proofErr w:type="spellEnd"/>
          </w:p>
          <w:p w:rsidR="006A4DF8" w:rsidRPr="006A4DF8" w:rsidRDefault="006A4DF8" w:rsidP="006A4DF8">
            <w:pPr>
              <w:tabs>
                <w:tab w:val="left" w:pos="8222"/>
              </w:tabs>
              <w:ind w:left="851" w:hanging="851"/>
              <w:rPr>
                <w:iCs/>
                <w:sz w:val="24"/>
                <w:szCs w:val="24"/>
              </w:rPr>
            </w:pPr>
          </w:p>
        </w:tc>
      </w:tr>
      <w:tr w:rsidR="006A4DF8" w:rsidRPr="006A4DF8" w:rsidTr="006A4DF8">
        <w:tc>
          <w:tcPr>
            <w:tcW w:w="2501" w:type="pct"/>
            <w:tcBorders>
              <w:top w:val="single" w:sz="4" w:space="0" w:color="auto"/>
              <w:left w:val="single" w:sz="4" w:space="0" w:color="auto"/>
              <w:bottom w:val="single" w:sz="4" w:space="0" w:color="auto"/>
              <w:right w:val="single" w:sz="4" w:space="0" w:color="auto"/>
            </w:tcBorders>
            <w:hideMark/>
          </w:tcPr>
          <w:p w:rsidR="006A4DF8" w:rsidRPr="006A4DF8" w:rsidRDefault="006A4DF8" w:rsidP="006A4DF8">
            <w:pPr>
              <w:tabs>
                <w:tab w:val="left" w:pos="8222"/>
              </w:tabs>
              <w:ind w:left="851" w:hanging="851"/>
              <w:rPr>
                <w:sz w:val="24"/>
                <w:szCs w:val="24"/>
              </w:rPr>
            </w:pPr>
            <w:r w:rsidRPr="006A4DF8">
              <w:rPr>
                <w:sz w:val="24"/>
                <w:szCs w:val="24"/>
              </w:rPr>
              <w:t>Ikke almindelig</w:t>
            </w:r>
          </w:p>
          <w:p w:rsidR="006A4DF8" w:rsidRPr="006A4DF8" w:rsidRDefault="006A4DF8" w:rsidP="006A4DF8">
            <w:pPr>
              <w:tabs>
                <w:tab w:val="left" w:pos="8222"/>
              </w:tabs>
              <w:ind w:left="851" w:hanging="851"/>
              <w:rPr>
                <w:sz w:val="24"/>
                <w:szCs w:val="24"/>
              </w:rPr>
            </w:pPr>
            <w:r w:rsidRPr="006A4DF8">
              <w:rPr>
                <w:sz w:val="24"/>
                <w:szCs w:val="24"/>
              </w:rPr>
              <w:t>(1 til 10 dyr ud af 1.000 behandlede dyr):</w:t>
            </w:r>
          </w:p>
        </w:tc>
        <w:tc>
          <w:tcPr>
            <w:tcW w:w="2499" w:type="pct"/>
            <w:tcBorders>
              <w:top w:val="single" w:sz="4" w:space="0" w:color="auto"/>
              <w:left w:val="single" w:sz="4" w:space="0" w:color="auto"/>
              <w:bottom w:val="single" w:sz="4" w:space="0" w:color="auto"/>
              <w:right w:val="single" w:sz="4" w:space="0" w:color="auto"/>
            </w:tcBorders>
            <w:hideMark/>
          </w:tcPr>
          <w:p w:rsidR="006A4DF8" w:rsidRPr="006A4DF8" w:rsidRDefault="006A4DF8" w:rsidP="006A4DF8">
            <w:pPr>
              <w:tabs>
                <w:tab w:val="left" w:pos="8222"/>
              </w:tabs>
              <w:ind w:left="851" w:hanging="851"/>
              <w:rPr>
                <w:iCs/>
                <w:sz w:val="24"/>
                <w:szCs w:val="24"/>
              </w:rPr>
            </w:pPr>
            <w:r w:rsidRPr="006A4DF8">
              <w:rPr>
                <w:sz w:val="24"/>
                <w:szCs w:val="24"/>
              </w:rPr>
              <w:t xml:space="preserve">Gispende </w:t>
            </w:r>
            <w:proofErr w:type="spellStart"/>
            <w:r w:rsidRPr="006A4DF8">
              <w:rPr>
                <w:sz w:val="24"/>
                <w:szCs w:val="24"/>
              </w:rPr>
              <w:t>åndedræt</w:t>
            </w:r>
            <w:r w:rsidRPr="006A4DF8">
              <w:rPr>
                <w:iCs/>
                <w:sz w:val="24"/>
                <w:szCs w:val="24"/>
                <w:vertAlign w:val="superscript"/>
              </w:rPr>
              <w:t>b</w:t>
            </w:r>
            <w:proofErr w:type="spellEnd"/>
          </w:p>
        </w:tc>
      </w:tr>
      <w:tr w:rsidR="006A4DF8" w:rsidRPr="006A4DF8" w:rsidTr="006A4DF8">
        <w:tc>
          <w:tcPr>
            <w:tcW w:w="2501" w:type="pct"/>
            <w:tcBorders>
              <w:top w:val="single" w:sz="4" w:space="0" w:color="auto"/>
              <w:left w:val="single" w:sz="4" w:space="0" w:color="auto"/>
              <w:bottom w:val="single" w:sz="4" w:space="0" w:color="auto"/>
              <w:right w:val="single" w:sz="4" w:space="0" w:color="auto"/>
            </w:tcBorders>
            <w:hideMark/>
          </w:tcPr>
          <w:p w:rsidR="006A4DF8" w:rsidRPr="006A4DF8" w:rsidRDefault="006A4DF8" w:rsidP="006A4DF8">
            <w:pPr>
              <w:tabs>
                <w:tab w:val="left" w:pos="8222"/>
              </w:tabs>
              <w:ind w:left="851" w:hanging="851"/>
              <w:rPr>
                <w:sz w:val="24"/>
                <w:szCs w:val="24"/>
              </w:rPr>
            </w:pPr>
            <w:r w:rsidRPr="006A4DF8">
              <w:rPr>
                <w:sz w:val="24"/>
                <w:szCs w:val="24"/>
              </w:rPr>
              <w:t>Meget sjælden</w:t>
            </w:r>
          </w:p>
          <w:p w:rsidR="006A4DF8" w:rsidRPr="006A4DF8" w:rsidRDefault="006A4DF8" w:rsidP="006A4DF8">
            <w:pPr>
              <w:tabs>
                <w:tab w:val="left" w:pos="8222"/>
              </w:tabs>
              <w:ind w:left="851" w:hanging="851"/>
              <w:rPr>
                <w:sz w:val="24"/>
                <w:szCs w:val="24"/>
              </w:rPr>
            </w:pPr>
            <w:r w:rsidRPr="006A4DF8">
              <w:rPr>
                <w:sz w:val="24"/>
                <w:szCs w:val="24"/>
              </w:rPr>
              <w:t>(&lt; 1 dyr ud af 10 ´.000 behandlede dyr, herunder enkeltstående indberetninger):</w:t>
            </w:r>
          </w:p>
        </w:tc>
        <w:tc>
          <w:tcPr>
            <w:tcW w:w="2499" w:type="pct"/>
            <w:tcBorders>
              <w:top w:val="single" w:sz="4" w:space="0" w:color="auto"/>
              <w:left w:val="single" w:sz="4" w:space="0" w:color="auto"/>
              <w:bottom w:val="single" w:sz="4" w:space="0" w:color="auto"/>
              <w:right w:val="single" w:sz="4" w:space="0" w:color="auto"/>
            </w:tcBorders>
            <w:hideMark/>
          </w:tcPr>
          <w:p w:rsidR="006A4DF8" w:rsidRPr="006A4DF8" w:rsidRDefault="006A4DF8" w:rsidP="006A4DF8">
            <w:pPr>
              <w:tabs>
                <w:tab w:val="left" w:pos="8222"/>
              </w:tabs>
              <w:ind w:left="851" w:hanging="851"/>
              <w:rPr>
                <w:iCs/>
                <w:sz w:val="24"/>
                <w:szCs w:val="24"/>
                <w:vertAlign w:val="superscript"/>
              </w:rPr>
            </w:pPr>
            <w:proofErr w:type="spellStart"/>
            <w:r w:rsidRPr="006A4DF8">
              <w:rPr>
                <w:iCs/>
                <w:sz w:val="24"/>
                <w:szCs w:val="24"/>
              </w:rPr>
              <w:t>Excitation</w:t>
            </w:r>
            <w:r w:rsidRPr="006A4DF8">
              <w:rPr>
                <w:iCs/>
                <w:sz w:val="24"/>
                <w:szCs w:val="24"/>
                <w:vertAlign w:val="superscript"/>
              </w:rPr>
              <w:t>c</w:t>
            </w:r>
            <w:proofErr w:type="spellEnd"/>
          </w:p>
        </w:tc>
      </w:tr>
    </w:tbl>
    <w:p w:rsidR="006A4DF8" w:rsidRPr="006A4DF8" w:rsidRDefault="006A4DF8" w:rsidP="006A4DF8">
      <w:pPr>
        <w:tabs>
          <w:tab w:val="left" w:pos="8222"/>
        </w:tabs>
        <w:ind w:left="851"/>
        <w:rPr>
          <w:sz w:val="24"/>
          <w:szCs w:val="24"/>
        </w:rPr>
      </w:pPr>
      <w:r w:rsidRPr="006A4DF8">
        <w:rPr>
          <w:sz w:val="24"/>
          <w:szCs w:val="24"/>
          <w:vertAlign w:val="superscript"/>
        </w:rPr>
        <w:t>a</w:t>
      </w:r>
      <w:r w:rsidRPr="006A4DF8">
        <w:rPr>
          <w:sz w:val="24"/>
          <w:szCs w:val="24"/>
        </w:rPr>
        <w:tab/>
        <w:t>Mindre.</w:t>
      </w:r>
    </w:p>
    <w:p w:rsidR="006A4DF8" w:rsidRPr="006A4DF8" w:rsidRDefault="006A4DF8" w:rsidP="006A4DF8">
      <w:pPr>
        <w:tabs>
          <w:tab w:val="left" w:pos="8222"/>
        </w:tabs>
        <w:ind w:left="851"/>
        <w:rPr>
          <w:sz w:val="24"/>
          <w:szCs w:val="24"/>
        </w:rPr>
      </w:pPr>
      <w:proofErr w:type="gramStart"/>
      <w:r w:rsidRPr="006A4DF8">
        <w:rPr>
          <w:sz w:val="24"/>
          <w:szCs w:val="24"/>
          <w:vertAlign w:val="superscript"/>
        </w:rPr>
        <w:t xml:space="preserve">b  </w:t>
      </w:r>
      <w:r w:rsidRPr="006A4DF8">
        <w:rPr>
          <w:sz w:val="24"/>
          <w:szCs w:val="24"/>
        </w:rPr>
        <w:t>Kan</w:t>
      </w:r>
      <w:proofErr w:type="gramEnd"/>
      <w:r w:rsidRPr="006A4DF8">
        <w:rPr>
          <w:sz w:val="24"/>
          <w:szCs w:val="24"/>
        </w:rPr>
        <w:t xml:space="preserve"> forekomme efter hjertestop. På dette stadie er dyret allerede klinisk dødt.</w:t>
      </w:r>
    </w:p>
    <w:p w:rsidR="006A4DF8" w:rsidRPr="006A4DF8" w:rsidRDefault="006A4DF8" w:rsidP="006A4DF8">
      <w:pPr>
        <w:tabs>
          <w:tab w:val="left" w:pos="8222"/>
        </w:tabs>
        <w:ind w:left="851"/>
        <w:rPr>
          <w:bCs/>
          <w:sz w:val="24"/>
          <w:szCs w:val="24"/>
        </w:rPr>
      </w:pPr>
      <w:r w:rsidRPr="006A4DF8">
        <w:rPr>
          <w:sz w:val="24"/>
          <w:szCs w:val="24"/>
          <w:vertAlign w:val="superscript"/>
        </w:rPr>
        <w:t>c</w:t>
      </w:r>
      <w:r w:rsidRPr="006A4DF8">
        <w:rPr>
          <w:sz w:val="24"/>
          <w:szCs w:val="24"/>
        </w:rPr>
        <w:t xml:space="preserve"> Præmedicinering/sedation reducerer risikoen for at opleve </w:t>
      </w:r>
      <w:proofErr w:type="spellStart"/>
      <w:r w:rsidRPr="006A4DF8">
        <w:rPr>
          <w:sz w:val="24"/>
          <w:szCs w:val="24"/>
        </w:rPr>
        <w:t>induktionsekscitation</w:t>
      </w:r>
      <w:proofErr w:type="spellEnd"/>
      <w:r w:rsidRPr="006A4DF8">
        <w:rPr>
          <w:sz w:val="24"/>
          <w:szCs w:val="24"/>
        </w:rPr>
        <w:t xml:space="preserve"> betydeligt.</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bCs/>
          <w:sz w:val="24"/>
          <w:szCs w:val="24"/>
        </w:rPr>
      </w:pPr>
      <w:r w:rsidRPr="006A4DF8">
        <w:rPr>
          <w:sz w:val="24"/>
          <w:szCs w:val="24"/>
        </w:rPr>
        <w:t xml:space="preserve">Indtræden af døden kan forsinkes, hvis injektionen indgives </w:t>
      </w:r>
      <w:proofErr w:type="spellStart"/>
      <w:r w:rsidRPr="006A4DF8">
        <w:rPr>
          <w:sz w:val="24"/>
          <w:szCs w:val="24"/>
        </w:rPr>
        <w:t>perivaskulært</w:t>
      </w:r>
      <w:proofErr w:type="spellEnd"/>
      <w:r w:rsidRPr="006A4DF8">
        <w:rPr>
          <w:sz w:val="24"/>
          <w:szCs w:val="24"/>
        </w:rPr>
        <w:t xml:space="preserve"> eller i organer/væv med lav absorptionskapacitet. Barbiturater kan give irritation, hvis de indgives </w:t>
      </w:r>
      <w:proofErr w:type="spellStart"/>
      <w:r w:rsidRPr="006A4DF8">
        <w:rPr>
          <w:sz w:val="24"/>
          <w:szCs w:val="24"/>
        </w:rPr>
        <w:t>perivaskulært</w:t>
      </w:r>
      <w:proofErr w:type="spellEnd"/>
      <w:r w:rsidRPr="006A4DF8">
        <w:rPr>
          <w:sz w:val="24"/>
          <w:szCs w:val="24"/>
        </w:rPr>
        <w:t xml:space="preserve"> eller subkutant.</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bookmarkStart w:id="1" w:name="_Hlk66891708"/>
      <w:r w:rsidRPr="006A4DF8">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3.7</w:t>
      </w:r>
      <w:r w:rsidRPr="006A4DF8">
        <w:rPr>
          <w:b/>
          <w:sz w:val="24"/>
          <w:szCs w:val="24"/>
        </w:rPr>
        <w:tab/>
        <w:t>Anvendelse under drægtighed, laktation eller æglægning</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u w:val="single"/>
        </w:rPr>
        <w:t>Drægtighed og laktation</w:t>
      </w:r>
      <w:r w:rsidRPr="006A4DF8">
        <w:rPr>
          <w:sz w:val="24"/>
          <w:szCs w:val="24"/>
        </w:rPr>
        <w:t>:</w:t>
      </w:r>
    </w:p>
    <w:p w:rsidR="006A4DF8" w:rsidRPr="006A4DF8" w:rsidRDefault="006A4DF8" w:rsidP="006A4DF8">
      <w:pPr>
        <w:tabs>
          <w:tab w:val="left" w:pos="8222"/>
        </w:tabs>
        <w:ind w:left="851"/>
        <w:rPr>
          <w:sz w:val="24"/>
          <w:szCs w:val="24"/>
        </w:rPr>
      </w:pPr>
      <w:r w:rsidRPr="006A4DF8">
        <w:rPr>
          <w:sz w:val="24"/>
          <w:szCs w:val="24"/>
        </w:rPr>
        <w:t>Hvis eutanasi er nødvendigt, kan veterinærlægemidlet bruges til drægtige eller diegivende dyr. Den ekstra vægt af det drægtige dyr skal tages i betragtning ved beregning af dosis. Når det er muligt, skal veterinærlægemidlet injiceres intravenøst. Fosteret må ikke fjernes fra moderdyrets krop (f.eks. for undersøgelser), før der er gået 25 minutter, efter døden er bekræftet hos moderdyret. I dette tilfælde skal fosteret undersøges for livstegn, og om nødvendigt aflives separat.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3.8</w:t>
      </w:r>
      <w:r w:rsidRPr="006A4DF8">
        <w:rPr>
          <w:b/>
          <w:sz w:val="24"/>
          <w:szCs w:val="24"/>
        </w:rPr>
        <w:tab/>
        <w:t>Interaktion med andre lægemidler og andre former for interaktion</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Selvom præmedicinering med sedation kan udsætte den ønskede virkning af veterinærlægemidlet, på grund af en nedsat kredsløbsfunktion, kan det være, at dette ikke </w:t>
      </w:r>
      <w:r w:rsidRPr="006A4DF8">
        <w:rPr>
          <w:sz w:val="24"/>
          <w:szCs w:val="24"/>
        </w:rPr>
        <w:lastRenderedPageBreak/>
        <w:t xml:space="preserve">kan registreres klinisk, da lægemidler, der undertrykker centralnervesystemet (opioider, α2-adrenoreceptoragonister, </w:t>
      </w:r>
      <w:proofErr w:type="spellStart"/>
      <w:r w:rsidRPr="006A4DF8">
        <w:rPr>
          <w:sz w:val="24"/>
          <w:szCs w:val="24"/>
        </w:rPr>
        <w:t>phenothiaziner</w:t>
      </w:r>
      <w:proofErr w:type="spellEnd"/>
      <w:r w:rsidRPr="006A4DF8">
        <w:rPr>
          <w:sz w:val="24"/>
          <w:szCs w:val="24"/>
        </w:rPr>
        <w:t xml:space="preserve"> osv.) også kan øge virkningen af </w:t>
      </w:r>
      <w:proofErr w:type="spellStart"/>
      <w:r w:rsidRPr="006A4DF8">
        <w:rPr>
          <w:sz w:val="24"/>
          <w:szCs w:val="24"/>
        </w:rPr>
        <w:t>pentobarbital</w:t>
      </w:r>
      <w:proofErr w:type="spellEnd"/>
      <w:r w:rsidRPr="006A4DF8">
        <w:rPr>
          <w:sz w:val="24"/>
          <w:szCs w:val="24"/>
        </w:rPr>
        <w: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3.9</w:t>
      </w:r>
      <w:r w:rsidRPr="006A4DF8">
        <w:rPr>
          <w:b/>
          <w:sz w:val="24"/>
          <w:szCs w:val="24"/>
        </w:rPr>
        <w:tab/>
        <w:t>Administrationsveje og dosering</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lang w:bidi="da-DK"/>
        </w:rPr>
      </w:pPr>
      <w:r w:rsidRPr="006A4DF8">
        <w:rPr>
          <w:sz w:val="24"/>
          <w:szCs w:val="24"/>
          <w:lang w:bidi="da-DK"/>
        </w:rPr>
        <w:t xml:space="preserve">Intravenøs, intrakardial eller </w:t>
      </w:r>
      <w:proofErr w:type="spellStart"/>
      <w:r w:rsidRPr="006A4DF8">
        <w:rPr>
          <w:sz w:val="24"/>
          <w:szCs w:val="24"/>
          <w:lang w:bidi="da-DK"/>
        </w:rPr>
        <w:t>intraperitoneal</w:t>
      </w:r>
      <w:proofErr w:type="spellEnd"/>
      <w:r w:rsidRPr="006A4DF8">
        <w:rPr>
          <w:sz w:val="24"/>
          <w:szCs w:val="24"/>
          <w:lang w:bidi="da-DK"/>
        </w:rPr>
        <w:t xml:space="preserve"> anvendelse.</w:t>
      </w:r>
    </w:p>
    <w:p w:rsidR="006A4DF8" w:rsidRPr="006A4DF8" w:rsidRDefault="006A4DF8" w:rsidP="006A4DF8">
      <w:pPr>
        <w:tabs>
          <w:tab w:val="left" w:pos="8222"/>
        </w:tabs>
        <w:ind w:left="851"/>
        <w:rPr>
          <w:sz w:val="24"/>
          <w:szCs w:val="24"/>
          <w:lang w:bidi="da-DK"/>
        </w:rPr>
      </w:pPr>
    </w:p>
    <w:p w:rsidR="006A4DF8" w:rsidRPr="006A4DF8" w:rsidRDefault="006A4DF8" w:rsidP="006A4DF8">
      <w:pPr>
        <w:tabs>
          <w:tab w:val="left" w:pos="8222"/>
        </w:tabs>
        <w:ind w:left="851"/>
        <w:rPr>
          <w:sz w:val="24"/>
          <w:szCs w:val="24"/>
          <w:lang w:bidi="da-DK"/>
        </w:rPr>
      </w:pPr>
      <w:r w:rsidRPr="006A4DF8">
        <w:rPr>
          <w:sz w:val="24"/>
          <w:szCs w:val="24"/>
          <w:lang w:bidi="da-DK"/>
        </w:rPr>
        <w:t xml:space="preserve">En dosis på 140 mg </w:t>
      </w:r>
      <w:proofErr w:type="spellStart"/>
      <w:r w:rsidRPr="006A4DF8">
        <w:rPr>
          <w:sz w:val="24"/>
          <w:szCs w:val="24"/>
          <w:lang w:bidi="da-DK"/>
        </w:rPr>
        <w:t>pentobarbitalnatrium</w:t>
      </w:r>
      <w:proofErr w:type="spellEnd"/>
      <w:r w:rsidRPr="006A4DF8">
        <w:rPr>
          <w:sz w:val="24"/>
          <w:szCs w:val="24"/>
          <w:lang w:bidi="da-DK"/>
        </w:rPr>
        <w:t xml:space="preserve"> pr. kg legemsvægt, svarende til 0,28 ml/kg, anses generelt for tilstrækkelig til alle indikerede indgivelsesveje. </w:t>
      </w:r>
    </w:p>
    <w:p w:rsidR="006A4DF8" w:rsidRPr="006A4DF8" w:rsidRDefault="006A4DF8" w:rsidP="006A4DF8">
      <w:pPr>
        <w:tabs>
          <w:tab w:val="left" w:pos="8222"/>
        </w:tabs>
        <w:ind w:left="851"/>
        <w:rPr>
          <w:sz w:val="24"/>
          <w:szCs w:val="24"/>
          <w:lang w:bidi="da-DK"/>
        </w:rPr>
      </w:pPr>
      <w:r w:rsidRPr="006A4DF8">
        <w:rPr>
          <w:sz w:val="24"/>
          <w:szCs w:val="24"/>
          <w:lang w:bidi="da-DK"/>
        </w:rPr>
        <w:t xml:space="preserve">Der kan indgives højere doser til mindre dyr, især når præparatet indgives </w:t>
      </w:r>
      <w:proofErr w:type="spellStart"/>
      <w:r w:rsidRPr="006A4DF8">
        <w:rPr>
          <w:sz w:val="24"/>
          <w:szCs w:val="24"/>
          <w:lang w:bidi="da-DK"/>
        </w:rPr>
        <w:t>intraperitonealt</w:t>
      </w:r>
      <w:proofErr w:type="spellEnd"/>
      <w:r w:rsidRPr="006A4DF8">
        <w:rPr>
          <w:sz w:val="24"/>
          <w:szCs w:val="24"/>
          <w:lang w:bidi="da-DK"/>
        </w:rPr>
        <w:t xml:space="preserve">. </w:t>
      </w:r>
    </w:p>
    <w:p w:rsidR="006A4DF8" w:rsidRPr="006A4DF8" w:rsidRDefault="006A4DF8" w:rsidP="006A4DF8">
      <w:pPr>
        <w:tabs>
          <w:tab w:val="left" w:pos="8222"/>
        </w:tabs>
        <w:ind w:left="851"/>
        <w:rPr>
          <w:sz w:val="24"/>
          <w:szCs w:val="24"/>
          <w:lang w:bidi="da-DK"/>
        </w:rPr>
      </w:pPr>
      <w:r w:rsidRPr="006A4DF8">
        <w:rPr>
          <w:sz w:val="24"/>
          <w:szCs w:val="24"/>
          <w:lang w:bidi="da-DK"/>
        </w:rPr>
        <w:t>Den intravenøse indgivelsesvej bør være den foretrukne, og tilstrækkelig sedation bør anvendes, hvis dyrlægen vurderer, at det er nødvendigt. Præmedicinering er obligatorisk for heste, kvæg og grise.</w:t>
      </w:r>
    </w:p>
    <w:p w:rsidR="006A4DF8" w:rsidRPr="006A4DF8" w:rsidRDefault="006A4DF8" w:rsidP="006A4DF8">
      <w:pPr>
        <w:tabs>
          <w:tab w:val="left" w:pos="8222"/>
        </w:tabs>
        <w:ind w:left="851"/>
        <w:rPr>
          <w:sz w:val="24"/>
          <w:szCs w:val="24"/>
          <w:lang w:bidi="da-DK"/>
        </w:rPr>
      </w:pPr>
      <w:r w:rsidRPr="006A4DF8">
        <w:rPr>
          <w:sz w:val="24"/>
          <w:szCs w:val="24"/>
          <w:lang w:bidi="da-DK"/>
        </w:rPr>
        <w:t>Når intravenøs anvendelse er problematisk, og kun efter dyb sedation eller anæstesi, kan veterinærlægemidlet indgives intrakardialt hos alle dyr, med undtagelse af kvæg og heste.</w:t>
      </w:r>
    </w:p>
    <w:p w:rsidR="006A4DF8" w:rsidRPr="006A4DF8" w:rsidRDefault="006A4DF8" w:rsidP="006A4DF8">
      <w:pPr>
        <w:tabs>
          <w:tab w:val="left" w:pos="8222"/>
        </w:tabs>
        <w:ind w:left="851"/>
        <w:rPr>
          <w:sz w:val="24"/>
          <w:szCs w:val="24"/>
          <w:lang w:bidi="da-DK"/>
        </w:rPr>
      </w:pPr>
    </w:p>
    <w:p w:rsidR="006A4DF8" w:rsidRPr="006A4DF8" w:rsidRDefault="006A4DF8" w:rsidP="006A4DF8">
      <w:pPr>
        <w:tabs>
          <w:tab w:val="left" w:pos="8222"/>
        </w:tabs>
        <w:ind w:left="851"/>
        <w:rPr>
          <w:sz w:val="24"/>
          <w:szCs w:val="24"/>
          <w:lang w:bidi="da-DK"/>
        </w:rPr>
      </w:pPr>
      <w:r w:rsidRPr="006A4DF8">
        <w:rPr>
          <w:sz w:val="24"/>
          <w:szCs w:val="24"/>
          <w:lang w:bidi="da-DK"/>
        </w:rPr>
        <w:t xml:space="preserve">Alternativt kan </w:t>
      </w:r>
      <w:proofErr w:type="spellStart"/>
      <w:r w:rsidRPr="006A4DF8">
        <w:rPr>
          <w:sz w:val="24"/>
          <w:szCs w:val="24"/>
          <w:lang w:bidi="da-DK"/>
        </w:rPr>
        <w:t>intraperitoneal</w:t>
      </w:r>
      <w:proofErr w:type="spellEnd"/>
      <w:r w:rsidRPr="006A4DF8">
        <w:rPr>
          <w:sz w:val="24"/>
          <w:szCs w:val="24"/>
          <w:lang w:bidi="da-DK"/>
        </w:rPr>
        <w:t xml:space="preserve"> indgivelse anvendes, men kun til små dyr – gnavere, kaniner, mink, og hunde og katte af en lille størrelse, såsom hvalpe og killinger, og kun efter passende sedation. </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De forskellige indgivelsesmetoder for hver dyreart skal følges nøje (se skema).</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Heste, kvæg</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13"/>
      </w:tblGrid>
      <w:tr w:rsidR="006A4DF8" w:rsidRPr="006A4DF8" w:rsidTr="006A4DF8">
        <w:trPr>
          <w:trHeight w:val="140"/>
        </w:trPr>
        <w:tc>
          <w:tcPr>
            <w:tcW w:w="4252"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Hurtig intravenøs anvendelse</w:t>
            </w:r>
          </w:p>
        </w:tc>
        <w:tc>
          <w:tcPr>
            <w:tcW w:w="4113"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Præmedicinering er obligatorisk</w:t>
            </w:r>
          </w:p>
        </w:tc>
      </w:tr>
    </w:tbl>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Grise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13"/>
      </w:tblGrid>
      <w:tr w:rsidR="006A4DF8" w:rsidRPr="006A4DF8" w:rsidTr="006A4DF8">
        <w:tc>
          <w:tcPr>
            <w:tcW w:w="4252"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 Hurtig intravenøs anvendelse</w:t>
            </w:r>
          </w:p>
          <w:p w:rsidR="006A4DF8" w:rsidRPr="006A4DF8" w:rsidRDefault="006A4DF8" w:rsidP="006A4DF8">
            <w:pPr>
              <w:tabs>
                <w:tab w:val="left" w:pos="8222"/>
              </w:tabs>
              <w:ind w:left="178" w:hanging="178"/>
              <w:rPr>
                <w:sz w:val="24"/>
                <w:szCs w:val="24"/>
              </w:rPr>
            </w:pPr>
            <w:r w:rsidRPr="006A4DF8">
              <w:rPr>
                <w:sz w:val="24"/>
                <w:szCs w:val="24"/>
              </w:rPr>
              <w:t xml:space="preserve">- Indgivelsesvejen afhænger af </w:t>
            </w:r>
            <w:proofErr w:type="spellStart"/>
            <w:r w:rsidRPr="006A4DF8">
              <w:rPr>
                <w:sz w:val="24"/>
                <w:szCs w:val="24"/>
              </w:rPr>
              <w:t>af</w:t>
            </w:r>
            <w:proofErr w:type="spellEnd"/>
            <w:r w:rsidRPr="006A4DF8">
              <w:rPr>
                <w:sz w:val="24"/>
                <w:szCs w:val="24"/>
              </w:rPr>
              <w:t xml:space="preserve"> dyrets</w:t>
            </w:r>
            <w:r>
              <w:rPr>
                <w:sz w:val="24"/>
                <w:szCs w:val="24"/>
              </w:rPr>
              <w:t xml:space="preserve"> </w:t>
            </w:r>
            <w:r w:rsidRPr="006A4DF8">
              <w:rPr>
                <w:sz w:val="24"/>
                <w:szCs w:val="24"/>
              </w:rPr>
              <w:t xml:space="preserve">alder og vægt, og kan være intravenøs, i </w:t>
            </w:r>
            <w:proofErr w:type="spellStart"/>
            <w:r w:rsidRPr="006A4DF8">
              <w:rPr>
                <w:sz w:val="24"/>
                <w:szCs w:val="24"/>
              </w:rPr>
              <w:t>vena</w:t>
            </w:r>
            <w:proofErr w:type="spellEnd"/>
            <w:r w:rsidRPr="006A4DF8">
              <w:rPr>
                <w:sz w:val="24"/>
                <w:szCs w:val="24"/>
              </w:rPr>
              <w:t xml:space="preserve"> cava </w:t>
            </w:r>
            <w:proofErr w:type="spellStart"/>
            <w:r w:rsidRPr="006A4DF8">
              <w:rPr>
                <w:sz w:val="24"/>
                <w:szCs w:val="24"/>
              </w:rPr>
              <w:t>cranialis</w:t>
            </w:r>
            <w:proofErr w:type="spellEnd"/>
            <w:r w:rsidRPr="006A4DF8">
              <w:rPr>
                <w:sz w:val="24"/>
                <w:szCs w:val="24"/>
              </w:rPr>
              <w:t xml:space="preserve"> eller i ørevenen. </w:t>
            </w:r>
          </w:p>
          <w:p w:rsidR="006A4DF8" w:rsidRPr="006A4DF8" w:rsidRDefault="006A4DF8" w:rsidP="006A4DF8">
            <w:pPr>
              <w:tabs>
                <w:tab w:val="left" w:pos="8222"/>
              </w:tabs>
              <w:ind w:left="37" w:hanging="37"/>
              <w:rPr>
                <w:sz w:val="24"/>
                <w:szCs w:val="24"/>
              </w:rPr>
            </w:pPr>
            <w:r w:rsidRPr="006A4DF8">
              <w:rPr>
                <w:sz w:val="24"/>
                <w:szCs w:val="24"/>
              </w:rPr>
              <w:t xml:space="preserve">-Intrakardial anvendelse </w:t>
            </w:r>
          </w:p>
        </w:tc>
        <w:tc>
          <w:tcPr>
            <w:tcW w:w="4113"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Præmedicinering er obligatorisk</w:t>
            </w:r>
          </w:p>
        </w:tc>
      </w:tr>
    </w:tbl>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Får, geder </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13"/>
      </w:tblGrid>
      <w:tr w:rsidR="006A4DF8" w:rsidRPr="006A4DF8" w:rsidTr="006A4DF8">
        <w:tc>
          <w:tcPr>
            <w:tcW w:w="4252"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 Hurtig intravenøs injektion</w:t>
            </w:r>
          </w:p>
          <w:p w:rsidR="006A4DF8" w:rsidRPr="006A4DF8" w:rsidRDefault="006A4DF8" w:rsidP="006A4DF8">
            <w:pPr>
              <w:tabs>
                <w:tab w:val="left" w:pos="8222"/>
              </w:tabs>
              <w:ind w:left="851" w:hanging="851"/>
              <w:rPr>
                <w:sz w:val="24"/>
                <w:szCs w:val="24"/>
              </w:rPr>
            </w:pPr>
            <w:r w:rsidRPr="006A4DF8">
              <w:rPr>
                <w:sz w:val="24"/>
                <w:szCs w:val="24"/>
              </w:rPr>
              <w:t xml:space="preserve">-Intrakardial anvendelse </w:t>
            </w:r>
          </w:p>
        </w:tc>
        <w:tc>
          <w:tcPr>
            <w:tcW w:w="4113"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Præmedicinering er obligatorisk, hvis præparatet indgives intrakardialt.</w:t>
            </w:r>
          </w:p>
        </w:tc>
      </w:tr>
    </w:tbl>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Hunde, katte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13"/>
      </w:tblGrid>
      <w:tr w:rsidR="006A4DF8" w:rsidRPr="006A4DF8" w:rsidTr="006A4DF8">
        <w:tc>
          <w:tcPr>
            <w:tcW w:w="4252"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-Intravenøs injektion med en kontinuerlig injektionshastighed, indtil der opstår bevidstløshed.</w:t>
            </w:r>
          </w:p>
          <w:p w:rsidR="006A4DF8" w:rsidRPr="006A4DF8" w:rsidRDefault="006A4DF8" w:rsidP="006A4DF8">
            <w:pPr>
              <w:tabs>
                <w:tab w:val="left" w:pos="8222"/>
              </w:tabs>
              <w:ind w:left="851" w:hanging="851"/>
              <w:rPr>
                <w:sz w:val="24"/>
                <w:szCs w:val="24"/>
              </w:rPr>
            </w:pPr>
            <w:r w:rsidRPr="006A4DF8">
              <w:rPr>
                <w:sz w:val="24"/>
                <w:szCs w:val="24"/>
              </w:rPr>
              <w:t>-Intrakardial anvendelse</w:t>
            </w:r>
          </w:p>
          <w:p w:rsidR="006A4DF8" w:rsidRPr="006A4DF8" w:rsidRDefault="006A4DF8" w:rsidP="006A4DF8">
            <w:pPr>
              <w:tabs>
                <w:tab w:val="left" w:pos="8222"/>
              </w:tabs>
              <w:ind w:left="851" w:hanging="851"/>
              <w:rPr>
                <w:sz w:val="24"/>
                <w:szCs w:val="24"/>
              </w:rPr>
            </w:pPr>
            <w:r w:rsidRPr="006A4DF8">
              <w:rPr>
                <w:sz w:val="24"/>
                <w:szCs w:val="24"/>
              </w:rPr>
              <w:t>-</w:t>
            </w:r>
            <w:proofErr w:type="spellStart"/>
            <w:r w:rsidRPr="006A4DF8">
              <w:rPr>
                <w:sz w:val="24"/>
                <w:szCs w:val="24"/>
              </w:rPr>
              <w:t>Intraperitoneal</w:t>
            </w:r>
            <w:proofErr w:type="spellEnd"/>
            <w:r w:rsidRPr="006A4DF8">
              <w:rPr>
                <w:sz w:val="24"/>
                <w:szCs w:val="24"/>
              </w:rPr>
              <w:t xml:space="preserve"> anvendelse (kun til dyr af en lille størrelse)</w:t>
            </w:r>
          </w:p>
        </w:tc>
        <w:tc>
          <w:tcPr>
            <w:tcW w:w="4113"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 xml:space="preserve">Præmedicinering er obligatorisk, hvis præparatet indgives intrakardialt eller </w:t>
            </w:r>
            <w:proofErr w:type="spellStart"/>
            <w:r w:rsidRPr="006A4DF8">
              <w:rPr>
                <w:sz w:val="24"/>
                <w:szCs w:val="24"/>
              </w:rPr>
              <w:t>intraperitonealt</w:t>
            </w:r>
            <w:proofErr w:type="spellEnd"/>
            <w:r w:rsidRPr="006A4DF8">
              <w:rPr>
                <w:sz w:val="24"/>
                <w:szCs w:val="24"/>
              </w:rPr>
              <w:t>.</w:t>
            </w:r>
          </w:p>
        </w:tc>
      </w:tr>
    </w:tbl>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Kaniner, gnavere, mink</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13"/>
      </w:tblGrid>
      <w:tr w:rsidR="006A4DF8" w:rsidRPr="006A4DF8" w:rsidTr="006A4DF8">
        <w:trPr>
          <w:trHeight w:val="807"/>
        </w:trPr>
        <w:tc>
          <w:tcPr>
            <w:tcW w:w="4252"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 xml:space="preserve">-Intravenøs anvendelse </w:t>
            </w:r>
          </w:p>
          <w:p w:rsidR="006A4DF8" w:rsidRPr="006A4DF8" w:rsidRDefault="006A4DF8" w:rsidP="006A4DF8">
            <w:pPr>
              <w:tabs>
                <w:tab w:val="left" w:pos="8222"/>
              </w:tabs>
              <w:ind w:left="851" w:hanging="851"/>
              <w:rPr>
                <w:sz w:val="24"/>
                <w:szCs w:val="24"/>
              </w:rPr>
            </w:pPr>
            <w:r w:rsidRPr="006A4DF8">
              <w:rPr>
                <w:sz w:val="24"/>
                <w:szCs w:val="24"/>
              </w:rPr>
              <w:t>-Intrakardial anvendelse</w:t>
            </w:r>
          </w:p>
          <w:p w:rsidR="006A4DF8" w:rsidRPr="006A4DF8" w:rsidRDefault="006A4DF8" w:rsidP="006A4DF8">
            <w:pPr>
              <w:tabs>
                <w:tab w:val="left" w:pos="8222"/>
              </w:tabs>
              <w:ind w:left="851" w:hanging="851"/>
              <w:rPr>
                <w:sz w:val="24"/>
                <w:szCs w:val="24"/>
              </w:rPr>
            </w:pPr>
            <w:r w:rsidRPr="006A4DF8">
              <w:rPr>
                <w:sz w:val="24"/>
                <w:szCs w:val="24"/>
              </w:rPr>
              <w:t>-</w:t>
            </w:r>
            <w:proofErr w:type="spellStart"/>
            <w:r w:rsidRPr="006A4DF8">
              <w:rPr>
                <w:sz w:val="24"/>
                <w:szCs w:val="24"/>
              </w:rPr>
              <w:t>Intraperitoneal</w:t>
            </w:r>
            <w:proofErr w:type="spellEnd"/>
            <w:r w:rsidRPr="006A4DF8">
              <w:rPr>
                <w:sz w:val="24"/>
                <w:szCs w:val="24"/>
              </w:rPr>
              <w:t xml:space="preserve"> anvendelse</w:t>
            </w:r>
          </w:p>
        </w:tc>
        <w:tc>
          <w:tcPr>
            <w:tcW w:w="4113" w:type="dxa"/>
            <w:tcBorders>
              <w:top w:val="single" w:sz="4" w:space="0" w:color="000000"/>
              <w:left w:val="single" w:sz="4" w:space="0" w:color="000000"/>
              <w:bottom w:val="single" w:sz="4" w:space="0" w:color="000000"/>
              <w:right w:val="single" w:sz="4" w:space="0" w:color="000000"/>
            </w:tcBorders>
            <w:hideMark/>
          </w:tcPr>
          <w:p w:rsidR="006A4DF8" w:rsidRPr="006A4DF8" w:rsidRDefault="006A4DF8" w:rsidP="006A4DF8">
            <w:pPr>
              <w:tabs>
                <w:tab w:val="left" w:pos="8222"/>
              </w:tabs>
              <w:ind w:left="851" w:hanging="851"/>
              <w:rPr>
                <w:sz w:val="24"/>
                <w:szCs w:val="24"/>
              </w:rPr>
            </w:pPr>
            <w:r w:rsidRPr="006A4DF8">
              <w:rPr>
                <w:sz w:val="24"/>
                <w:szCs w:val="24"/>
              </w:rPr>
              <w:t xml:space="preserve">Præmedicinering er obligatorisk, hvis præparatet indgives intrakardialt eller </w:t>
            </w:r>
            <w:proofErr w:type="spellStart"/>
            <w:r w:rsidRPr="006A4DF8">
              <w:rPr>
                <w:sz w:val="24"/>
                <w:szCs w:val="24"/>
              </w:rPr>
              <w:t>intraperitonealt</w:t>
            </w:r>
            <w:proofErr w:type="spellEnd"/>
            <w:r w:rsidRPr="006A4DF8">
              <w:rPr>
                <w:sz w:val="24"/>
                <w:szCs w:val="24"/>
              </w:rPr>
              <w:t>.</w:t>
            </w:r>
          </w:p>
        </w:tc>
      </w:tr>
    </w:tbl>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rPr>
        <w:t>Proppen må ikke punkteres over 40 gange med en 21G-kanyle.</w:t>
      </w:r>
    </w:p>
    <w:p w:rsidR="006A4DF8" w:rsidRPr="006A4DF8" w:rsidRDefault="006A4DF8" w:rsidP="006A4DF8">
      <w:pPr>
        <w:tabs>
          <w:tab w:val="left" w:pos="8222"/>
        </w:tabs>
        <w:ind w:left="851"/>
        <w:rPr>
          <w:sz w:val="24"/>
          <w:szCs w:val="24"/>
        </w:rPr>
      </w:pPr>
      <w:r w:rsidRPr="006A4DF8">
        <w:rPr>
          <w:sz w:val="24"/>
          <w:szCs w:val="24"/>
        </w:rPr>
        <w:t>Proppen må ikke punkteres over 10 gange med en 18G-kanyle.</w:t>
      </w:r>
    </w:p>
    <w:p w:rsidR="006A4DF8" w:rsidRPr="006A4DF8" w:rsidRDefault="006A4DF8" w:rsidP="006A4DF8">
      <w:pPr>
        <w:tabs>
          <w:tab w:val="left" w:pos="8222"/>
        </w:tabs>
        <w:ind w:left="851"/>
        <w:rPr>
          <w:sz w:val="24"/>
          <w:szCs w:val="24"/>
        </w:rPr>
      </w:pPr>
      <w:r w:rsidRPr="006A4DF8">
        <w:rPr>
          <w:sz w:val="24"/>
          <w:szCs w:val="24"/>
        </w:rPr>
        <w:t>Derfor skal brugeren anvende det hætteglas, der har den mest egnede størrelse.</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For at sikre korrekt dosering bør legemsvægten beregnes så nøjagtigt som muligt.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3.10</w:t>
      </w:r>
      <w:r w:rsidRPr="006A4DF8">
        <w:rPr>
          <w:b/>
          <w:sz w:val="24"/>
          <w:szCs w:val="24"/>
        </w:rPr>
        <w:tab/>
        <w:t>Symptomer på overdosering (og, hvis relevant, nødforanstaltninger og modgift)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Ikke relevant.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3.11</w:t>
      </w:r>
      <w:r w:rsidRPr="006A4DF8">
        <w:rPr>
          <w:b/>
          <w:sz w:val="24"/>
          <w:szCs w:val="24"/>
        </w:rPr>
        <w:tab/>
        <w:t>Særlige begrænsninger og betingelser for anvendelse, herunder begrænsninger for anvendelsen af antimikrobielle og antiparasitære veterinærlægemidler for at begrænse risikoen for udvikling af resistens</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Ikke relevant.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3.12</w:t>
      </w:r>
      <w:r w:rsidRPr="006A4DF8">
        <w:rPr>
          <w:b/>
          <w:sz w:val="24"/>
          <w:szCs w:val="24"/>
        </w:rPr>
        <w:tab/>
        <w:t>Tilbageholdelsestid(er)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Der bør træffes tilstrækkelige foranstaltninger for at sikre, at aflivede dyr behandlet med dette veterinærlægemiddel, samt biprodukter fra disse dyr ikke indgår i fødekæden, hverken til mennesker eller dyr.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4.</w:t>
      </w:r>
      <w:r w:rsidRPr="006A4DF8">
        <w:rPr>
          <w:b/>
          <w:sz w:val="24"/>
          <w:szCs w:val="24"/>
        </w:rPr>
        <w:tab/>
        <w:t>FARMAKOLOGISKE OPLYSNINGER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4.1</w:t>
      </w:r>
      <w:r w:rsidRPr="006A4DF8">
        <w:rPr>
          <w:b/>
          <w:sz w:val="24"/>
          <w:szCs w:val="24"/>
        </w:rPr>
        <w:tab/>
      </w:r>
      <w:proofErr w:type="spellStart"/>
      <w:r w:rsidRPr="006A4DF8">
        <w:rPr>
          <w:b/>
          <w:sz w:val="24"/>
          <w:szCs w:val="24"/>
        </w:rPr>
        <w:t>ATCvet</w:t>
      </w:r>
      <w:proofErr w:type="spellEnd"/>
      <w:r w:rsidRPr="006A4DF8">
        <w:rPr>
          <w:b/>
          <w:sz w:val="24"/>
          <w:szCs w:val="24"/>
        </w:rPr>
        <w:t xml:space="preserve">-kode: </w:t>
      </w:r>
    </w:p>
    <w:p w:rsidR="006A4DF8" w:rsidRPr="006A4DF8" w:rsidRDefault="006A4DF8" w:rsidP="006A4DF8">
      <w:pPr>
        <w:tabs>
          <w:tab w:val="left" w:pos="8222"/>
        </w:tabs>
        <w:ind w:left="851" w:hanging="851"/>
        <w:rPr>
          <w:b/>
          <w:sz w:val="24"/>
          <w:szCs w:val="24"/>
        </w:rPr>
      </w:pPr>
      <w:r>
        <w:rPr>
          <w:bCs/>
          <w:sz w:val="24"/>
          <w:szCs w:val="24"/>
        </w:rPr>
        <w:tab/>
      </w:r>
      <w:r w:rsidRPr="006A4DF8">
        <w:rPr>
          <w:bCs/>
          <w:sz w:val="24"/>
          <w:szCs w:val="24"/>
        </w:rPr>
        <w:t>QN</w:t>
      </w:r>
      <w:r w:rsidRPr="006A4DF8">
        <w:rPr>
          <w:b/>
          <w:sz w:val="24"/>
          <w:szCs w:val="24"/>
        </w:rPr>
        <w:t xml:space="preserve"> </w:t>
      </w:r>
      <w:r w:rsidRPr="006A4DF8">
        <w:rPr>
          <w:bCs/>
          <w:sz w:val="24"/>
          <w:szCs w:val="24"/>
        </w:rPr>
        <w:t>51 AA 01</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4.2</w:t>
      </w:r>
      <w:r w:rsidRPr="006A4DF8">
        <w:rPr>
          <w:b/>
          <w:sz w:val="24"/>
          <w:szCs w:val="24"/>
        </w:rPr>
        <w:tab/>
      </w:r>
      <w:proofErr w:type="spellStart"/>
      <w:r w:rsidRPr="006A4DF8">
        <w:rPr>
          <w:b/>
          <w:sz w:val="24"/>
          <w:szCs w:val="24"/>
        </w:rPr>
        <w:t>Farmakodynamiske</w:t>
      </w:r>
      <w:proofErr w:type="spellEnd"/>
      <w:r w:rsidRPr="006A4DF8">
        <w:rPr>
          <w:b/>
          <w:sz w:val="24"/>
          <w:szCs w:val="24"/>
        </w:rPr>
        <w:t xml:space="preserve"> oplysninger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proofErr w:type="spellStart"/>
      <w:r w:rsidRPr="006A4DF8">
        <w:rPr>
          <w:sz w:val="24"/>
          <w:szCs w:val="24"/>
        </w:rPr>
        <w:t>Pentobarbitalnatrium</w:t>
      </w:r>
      <w:proofErr w:type="spellEnd"/>
      <w:r w:rsidRPr="006A4DF8">
        <w:rPr>
          <w:sz w:val="24"/>
          <w:szCs w:val="24"/>
        </w:rPr>
        <w:t xml:space="preserve"> er et </w:t>
      </w:r>
      <w:proofErr w:type="spellStart"/>
      <w:r w:rsidRPr="006A4DF8">
        <w:rPr>
          <w:sz w:val="24"/>
          <w:szCs w:val="24"/>
        </w:rPr>
        <w:t>oxybarbituratderivat</w:t>
      </w:r>
      <w:proofErr w:type="spellEnd"/>
      <w:r w:rsidRPr="006A4DF8">
        <w:rPr>
          <w:sz w:val="24"/>
          <w:szCs w:val="24"/>
        </w:rPr>
        <w:t xml:space="preserve"> af barbitursyre. Barbiturater undertrykker hele centralnervesystemet, men kvantitativt berøres forskellige områder forskelligt, hvilket gør produktet til et potent hypnotisk og sederende middel. Den umiddelbare virkning er bevidstløshed ved dyb anæstesi, efterfulgt af hurtig undertrykkelse af respirationscentret ved høje doser. Åndedrættet stopper og ophør af hjertefunktion følger kort efter, hvilket fører til hurtig død.</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4.3</w:t>
      </w:r>
      <w:r w:rsidRPr="006A4DF8">
        <w:rPr>
          <w:b/>
          <w:sz w:val="24"/>
          <w:szCs w:val="24"/>
        </w:rPr>
        <w:tab/>
      </w:r>
      <w:proofErr w:type="spellStart"/>
      <w:r w:rsidRPr="006A4DF8">
        <w:rPr>
          <w:b/>
          <w:sz w:val="24"/>
          <w:szCs w:val="24"/>
        </w:rPr>
        <w:t>Farmakokinetiske</w:t>
      </w:r>
      <w:proofErr w:type="spellEnd"/>
      <w:r w:rsidRPr="006A4DF8">
        <w:rPr>
          <w:b/>
          <w:sz w:val="24"/>
          <w:szCs w:val="24"/>
        </w:rPr>
        <w:t xml:space="preserve"> oplysninger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rPr>
        <w:t xml:space="preserve">Et barbiturat ioniseres, når det injiceres i blodbanen, og graden afhænger af stoffets dissociationskonstant og af blodets pH-værdi. Barbiturater binder sig til plasmaproteiner, og danner ligevægt mellem bundet og ubundet lægemiddel i blodet. Cellepenetration kan kun forekomme i </w:t>
      </w:r>
      <w:proofErr w:type="spellStart"/>
      <w:r w:rsidRPr="006A4DF8">
        <w:rPr>
          <w:sz w:val="24"/>
          <w:szCs w:val="24"/>
        </w:rPr>
        <w:t>udissocieret</w:t>
      </w:r>
      <w:proofErr w:type="spellEnd"/>
      <w:r w:rsidRPr="006A4DF8">
        <w:rPr>
          <w:sz w:val="24"/>
          <w:szCs w:val="24"/>
        </w:rPr>
        <w:t xml:space="preserve"> form.</w:t>
      </w:r>
    </w:p>
    <w:p w:rsidR="006A4DF8" w:rsidRPr="006A4DF8" w:rsidRDefault="006A4DF8" w:rsidP="006A4DF8">
      <w:pPr>
        <w:tabs>
          <w:tab w:val="left" w:pos="8222"/>
        </w:tabs>
        <w:ind w:left="851"/>
        <w:rPr>
          <w:sz w:val="24"/>
          <w:szCs w:val="24"/>
        </w:rPr>
      </w:pPr>
      <w:r w:rsidRPr="006A4DF8">
        <w:rPr>
          <w:sz w:val="24"/>
          <w:szCs w:val="24"/>
        </w:rPr>
        <w:t>Efter cellepenetration forekommer dissociation igen, og stoffet binder sig til intracellulære organeller.</w:t>
      </w:r>
    </w:p>
    <w:p w:rsidR="006A4DF8" w:rsidRPr="006A4DF8" w:rsidRDefault="006A4DF8" w:rsidP="006A4DF8">
      <w:pPr>
        <w:tabs>
          <w:tab w:val="left" w:pos="8222"/>
        </w:tabs>
        <w:ind w:left="851"/>
        <w:rPr>
          <w:sz w:val="24"/>
          <w:szCs w:val="24"/>
        </w:rPr>
      </w:pPr>
      <w:r w:rsidRPr="006A4DF8">
        <w:rPr>
          <w:sz w:val="24"/>
          <w:szCs w:val="24"/>
        </w:rPr>
        <w:t>Vævsforandringer pga. cellulær penetration og intracellulær binding er ikke beskrevet. Generelt kan virkningen på væv kategoriseres som direkte og indirekte. Generelt er disse virkninger subtile, og der er ikke meget viden om dem.</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lastRenderedPageBreak/>
        <w:t>Efter intrakardial anvendelse indtræffer bevidstløshed næsten omgående, og hjertestop følger inden for 10 sekunder.</w:t>
      </w:r>
    </w:p>
    <w:p w:rsidR="006A4DF8" w:rsidRPr="006A4DF8" w:rsidRDefault="006A4DF8" w:rsidP="006A4DF8">
      <w:pPr>
        <w:tabs>
          <w:tab w:val="left" w:pos="8222"/>
        </w:tabs>
        <w:ind w:left="851"/>
        <w:rPr>
          <w:sz w:val="24"/>
          <w:szCs w:val="24"/>
        </w:rPr>
      </w:pPr>
      <w:r w:rsidRPr="006A4DF8">
        <w:rPr>
          <w:sz w:val="24"/>
          <w:szCs w:val="24"/>
        </w:rPr>
        <w:t>Efter intravenøs anvendelse indtræffer bevidstløshed i løbet af 5-10 sekunder efter indgivelsen er udført.</w:t>
      </w:r>
    </w:p>
    <w:p w:rsidR="006A4DF8" w:rsidRPr="006A4DF8" w:rsidRDefault="006A4DF8" w:rsidP="006A4DF8">
      <w:pPr>
        <w:tabs>
          <w:tab w:val="left" w:pos="8222"/>
        </w:tabs>
        <w:ind w:left="851"/>
        <w:rPr>
          <w:sz w:val="24"/>
          <w:szCs w:val="24"/>
        </w:rPr>
      </w:pPr>
      <w:r w:rsidRPr="006A4DF8">
        <w:rPr>
          <w:sz w:val="24"/>
          <w:szCs w:val="24"/>
        </w:rPr>
        <w:t xml:space="preserve">Døden indtræffer 5-30 sekunder senere. </w:t>
      </w:r>
      <w:proofErr w:type="spellStart"/>
      <w:r w:rsidRPr="006A4DF8">
        <w:rPr>
          <w:sz w:val="24"/>
          <w:szCs w:val="24"/>
        </w:rPr>
        <w:t>Intraperitonealt</w:t>
      </w:r>
      <w:proofErr w:type="spellEnd"/>
      <w:r w:rsidRPr="006A4DF8">
        <w:rPr>
          <w:sz w:val="24"/>
          <w:szCs w:val="24"/>
        </w:rPr>
        <w:t xml:space="preserve"> opnås eutanasi efter 3-10 minutter</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5.</w:t>
      </w:r>
      <w:r w:rsidRPr="006A4DF8">
        <w:rPr>
          <w:b/>
          <w:sz w:val="24"/>
          <w:szCs w:val="24"/>
        </w:rPr>
        <w:tab/>
        <w:t>FARMACEUTISKE OPLYSNINGER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5.1</w:t>
      </w:r>
      <w:r w:rsidRPr="006A4DF8">
        <w:rPr>
          <w:b/>
          <w:sz w:val="24"/>
          <w:szCs w:val="24"/>
        </w:rPr>
        <w:tab/>
        <w:t>Væsentlige uforligeligheder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Da der ikke foreligger undersøgelser vedrørende eventuelle uforligeligheder, bør dette veterinærlægemiddel ikke blandes med andre veterinærlægemidler.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5.2</w:t>
      </w:r>
      <w:r w:rsidRPr="006A4DF8">
        <w:rPr>
          <w:b/>
          <w:sz w:val="24"/>
          <w:szCs w:val="24"/>
        </w:rPr>
        <w:tab/>
        <w:t>Opbevaringstid</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993"/>
          <w:tab w:val="left" w:pos="8222"/>
        </w:tabs>
        <w:ind w:left="851"/>
        <w:rPr>
          <w:sz w:val="24"/>
          <w:szCs w:val="24"/>
        </w:rPr>
      </w:pPr>
      <w:r w:rsidRPr="006A4DF8">
        <w:rPr>
          <w:sz w:val="24"/>
          <w:szCs w:val="24"/>
        </w:rPr>
        <w:t>Opbevaringstid for veterinærlægemidlet i salgspakning: 2 år.</w:t>
      </w:r>
    </w:p>
    <w:p w:rsidR="006A4DF8" w:rsidRPr="006A4DF8" w:rsidRDefault="006A4DF8" w:rsidP="006A4DF8">
      <w:pPr>
        <w:tabs>
          <w:tab w:val="left" w:pos="993"/>
          <w:tab w:val="left" w:pos="8222"/>
        </w:tabs>
        <w:ind w:left="851"/>
        <w:rPr>
          <w:sz w:val="24"/>
          <w:szCs w:val="24"/>
        </w:rPr>
      </w:pPr>
      <w:r w:rsidRPr="006A4DF8">
        <w:rPr>
          <w:sz w:val="24"/>
          <w:szCs w:val="24"/>
        </w:rPr>
        <w:t xml:space="preserve">Opbevaringstid efter første åbning af den indre emballage: 56 dage. </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5.3</w:t>
      </w:r>
      <w:r w:rsidRPr="006A4DF8">
        <w:rPr>
          <w:b/>
          <w:sz w:val="24"/>
          <w:szCs w:val="24"/>
        </w:rPr>
        <w:tab/>
        <w:t>Særlige forholdsregler vedrørende opbevaring</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Der er ingen særlige krav vedrørende opbevaringsforhold for dette veterinærlægemiddel.</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5.4</w:t>
      </w:r>
      <w:r w:rsidRPr="006A4DF8">
        <w:rPr>
          <w:b/>
          <w:sz w:val="24"/>
          <w:szCs w:val="24"/>
        </w:rPr>
        <w:tab/>
        <w:t>Den indre emballages art og indhold</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 xml:space="preserve">Klart type I hætteglas af glas indeholdende 100 ml eller 250 ml, og hætteglas af polypropylen indeholdende 100 ml eller 250 ml, lukket med en </w:t>
      </w:r>
      <w:proofErr w:type="spellStart"/>
      <w:r w:rsidRPr="006A4DF8">
        <w:rPr>
          <w:sz w:val="24"/>
          <w:szCs w:val="24"/>
        </w:rPr>
        <w:t>brombutylgummiprop</w:t>
      </w:r>
      <w:proofErr w:type="spellEnd"/>
      <w:r w:rsidRPr="006A4DF8">
        <w:rPr>
          <w:sz w:val="24"/>
          <w:szCs w:val="24"/>
        </w:rPr>
        <w:t xml:space="preserve"> og et aluminiumslåg i en kartonæske.</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rPr>
        <w:t xml:space="preserve">Pakningsstørrelser: </w:t>
      </w:r>
    </w:p>
    <w:p w:rsidR="006A4DF8" w:rsidRPr="006A4DF8" w:rsidRDefault="006A4DF8" w:rsidP="006A4DF8">
      <w:pPr>
        <w:tabs>
          <w:tab w:val="left" w:pos="8222"/>
        </w:tabs>
        <w:ind w:left="851"/>
        <w:rPr>
          <w:sz w:val="24"/>
          <w:szCs w:val="24"/>
        </w:rPr>
      </w:pPr>
      <w:r w:rsidRPr="006A4DF8">
        <w:rPr>
          <w:sz w:val="24"/>
          <w:szCs w:val="24"/>
        </w:rPr>
        <w:t>Kartonæske indeholdende 1 eller 12 hætteglas med 100 ml.</w:t>
      </w:r>
    </w:p>
    <w:p w:rsidR="006A4DF8" w:rsidRPr="006A4DF8" w:rsidRDefault="006A4DF8" w:rsidP="006A4DF8">
      <w:pPr>
        <w:tabs>
          <w:tab w:val="left" w:pos="8222"/>
        </w:tabs>
        <w:ind w:left="851"/>
        <w:rPr>
          <w:sz w:val="24"/>
          <w:szCs w:val="24"/>
        </w:rPr>
      </w:pPr>
      <w:r w:rsidRPr="006A4DF8">
        <w:rPr>
          <w:sz w:val="24"/>
          <w:szCs w:val="24"/>
        </w:rPr>
        <w:t>Kartonæske indeholdende 1 eller 12 hætteglas med 250 ml.</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Ikke alle pakningsstørrelser er nødvendigvis markedsført.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5.5</w:t>
      </w:r>
      <w:r w:rsidRPr="006A4DF8">
        <w:rPr>
          <w:b/>
          <w:sz w:val="24"/>
          <w:szCs w:val="24"/>
        </w:rPr>
        <w:tab/>
        <w:t>Særlige forholdsregler vedrørende bortskaffelse af ubrugte veterinærlægemidler eller affaldsmaterialer fra brugen heraf</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rPr>
        <w:t>Lægemidler må ikke bortskaffes sammen med spildevand eller husholdningsaffald.</w:t>
      </w:r>
    </w:p>
    <w:p w:rsidR="006A4DF8" w:rsidRPr="006A4DF8" w:rsidRDefault="006A4DF8" w:rsidP="006A4DF8">
      <w:pPr>
        <w:tabs>
          <w:tab w:val="left" w:pos="8222"/>
        </w:tabs>
        <w:ind w:left="851"/>
        <w:rPr>
          <w:sz w:val="24"/>
          <w:szCs w:val="24"/>
        </w:rPr>
      </w:pPr>
    </w:p>
    <w:p w:rsidR="006A4DF8" w:rsidRPr="006A4DF8" w:rsidRDefault="006A4DF8" w:rsidP="006A4DF8">
      <w:pPr>
        <w:tabs>
          <w:tab w:val="left" w:pos="8222"/>
        </w:tabs>
        <w:ind w:left="851"/>
        <w:rPr>
          <w:sz w:val="24"/>
          <w:szCs w:val="24"/>
        </w:rPr>
      </w:pPr>
      <w:r w:rsidRPr="006A4DF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6.</w:t>
      </w:r>
      <w:r w:rsidRPr="006A4DF8">
        <w:rPr>
          <w:b/>
          <w:sz w:val="24"/>
          <w:szCs w:val="24"/>
        </w:rPr>
        <w:tab/>
        <w:t>NAVN PÅ INDEHAVEREN AF MARKEDSFØRINGSTILLADELSEN</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rPr>
          <w:sz w:val="24"/>
          <w:szCs w:val="24"/>
        </w:rPr>
      </w:pPr>
      <w:r w:rsidRPr="006A4DF8">
        <w:rPr>
          <w:sz w:val="24"/>
          <w:szCs w:val="24"/>
        </w:rPr>
        <w:t xml:space="preserve">Le </w:t>
      </w:r>
      <w:proofErr w:type="spellStart"/>
      <w:r w:rsidRPr="006A4DF8">
        <w:rPr>
          <w:sz w:val="24"/>
          <w:szCs w:val="24"/>
        </w:rPr>
        <w:t>Vet</w:t>
      </w:r>
      <w:proofErr w:type="spellEnd"/>
      <w:r w:rsidRPr="006A4DF8">
        <w:rPr>
          <w:sz w:val="24"/>
          <w:szCs w:val="24"/>
        </w:rPr>
        <w:t xml:space="preserve">. </w:t>
      </w:r>
      <w:proofErr w:type="spellStart"/>
      <w:r w:rsidRPr="006A4DF8">
        <w:rPr>
          <w:sz w:val="24"/>
          <w:szCs w:val="24"/>
        </w:rPr>
        <w:t>Beheer</w:t>
      </w:r>
      <w:proofErr w:type="spellEnd"/>
      <w:r w:rsidRPr="006A4DF8">
        <w:rPr>
          <w:sz w:val="24"/>
          <w:szCs w:val="24"/>
        </w:rPr>
        <w:t xml:space="preserve"> B.V.</w:t>
      </w:r>
    </w:p>
    <w:p w:rsidR="006A4DF8" w:rsidRPr="006A4DF8" w:rsidRDefault="006A4DF8" w:rsidP="006A4DF8">
      <w:pPr>
        <w:tabs>
          <w:tab w:val="left" w:pos="8222"/>
        </w:tabs>
        <w:ind w:left="851"/>
        <w:rPr>
          <w:sz w:val="24"/>
          <w:szCs w:val="24"/>
        </w:rPr>
      </w:pPr>
      <w:proofErr w:type="spellStart"/>
      <w:r w:rsidRPr="006A4DF8">
        <w:rPr>
          <w:sz w:val="24"/>
          <w:szCs w:val="24"/>
        </w:rPr>
        <w:t>Wilgenweg</w:t>
      </w:r>
      <w:proofErr w:type="spellEnd"/>
      <w:r w:rsidRPr="006A4DF8">
        <w:rPr>
          <w:sz w:val="24"/>
          <w:szCs w:val="24"/>
        </w:rPr>
        <w:t xml:space="preserve"> 7</w:t>
      </w:r>
    </w:p>
    <w:p w:rsidR="006A4DF8" w:rsidRPr="006A4DF8" w:rsidRDefault="006A4DF8" w:rsidP="006A4DF8">
      <w:pPr>
        <w:tabs>
          <w:tab w:val="left" w:pos="8222"/>
        </w:tabs>
        <w:ind w:left="851"/>
        <w:rPr>
          <w:sz w:val="24"/>
          <w:szCs w:val="24"/>
        </w:rPr>
      </w:pPr>
      <w:r w:rsidRPr="006A4DF8">
        <w:rPr>
          <w:sz w:val="24"/>
          <w:szCs w:val="24"/>
        </w:rPr>
        <w:t xml:space="preserve">3421 TV </w:t>
      </w:r>
      <w:proofErr w:type="spellStart"/>
      <w:r w:rsidRPr="006A4DF8">
        <w:rPr>
          <w:sz w:val="24"/>
          <w:szCs w:val="24"/>
        </w:rPr>
        <w:t>Oudewater</w:t>
      </w:r>
      <w:proofErr w:type="spellEnd"/>
    </w:p>
    <w:p w:rsidR="006A4DF8" w:rsidRPr="006A4DF8" w:rsidRDefault="006A4DF8" w:rsidP="006A4DF8">
      <w:pPr>
        <w:tabs>
          <w:tab w:val="left" w:pos="8222"/>
        </w:tabs>
        <w:ind w:left="851"/>
        <w:rPr>
          <w:sz w:val="24"/>
          <w:szCs w:val="24"/>
          <w:lang w:val="en-US"/>
        </w:rPr>
      </w:pPr>
      <w:r w:rsidRPr="006A4DF8">
        <w:rPr>
          <w:sz w:val="24"/>
          <w:szCs w:val="24"/>
          <w:lang w:val="en-US"/>
        </w:rPr>
        <w:t>Holland</w:t>
      </w:r>
    </w:p>
    <w:p w:rsidR="006A4DF8" w:rsidRPr="006A4DF8" w:rsidRDefault="006A4DF8" w:rsidP="006A4DF8">
      <w:pPr>
        <w:tabs>
          <w:tab w:val="left" w:pos="8222"/>
        </w:tabs>
        <w:ind w:left="851"/>
        <w:rPr>
          <w:sz w:val="24"/>
          <w:szCs w:val="24"/>
          <w:lang w:val="en-US"/>
        </w:rPr>
      </w:pPr>
    </w:p>
    <w:p w:rsidR="006A4DF8" w:rsidRPr="006A4DF8" w:rsidRDefault="006A4DF8" w:rsidP="006A4DF8">
      <w:pPr>
        <w:tabs>
          <w:tab w:val="left" w:pos="8222"/>
        </w:tabs>
        <w:ind w:left="851"/>
        <w:rPr>
          <w:b/>
          <w:bCs/>
          <w:sz w:val="24"/>
          <w:szCs w:val="24"/>
          <w:lang w:val="en-US"/>
        </w:rPr>
      </w:pPr>
      <w:proofErr w:type="spellStart"/>
      <w:r w:rsidRPr="006A4DF8">
        <w:rPr>
          <w:b/>
          <w:bCs/>
          <w:sz w:val="24"/>
          <w:szCs w:val="24"/>
          <w:lang w:val="en-US"/>
        </w:rPr>
        <w:lastRenderedPageBreak/>
        <w:t>Repræsentant</w:t>
      </w:r>
      <w:proofErr w:type="spellEnd"/>
    </w:p>
    <w:p w:rsidR="006A4DF8" w:rsidRPr="006A4DF8" w:rsidRDefault="006A4DF8" w:rsidP="006A4DF8">
      <w:pPr>
        <w:tabs>
          <w:tab w:val="left" w:pos="8222"/>
        </w:tabs>
        <w:ind w:left="851"/>
        <w:rPr>
          <w:sz w:val="24"/>
          <w:szCs w:val="24"/>
          <w:lang w:val="en-GB"/>
        </w:rPr>
      </w:pPr>
      <w:proofErr w:type="spellStart"/>
      <w:r w:rsidRPr="006A4DF8">
        <w:rPr>
          <w:sz w:val="24"/>
          <w:szCs w:val="24"/>
          <w:lang w:val="en-GB"/>
        </w:rPr>
        <w:t>Dechra</w:t>
      </w:r>
      <w:proofErr w:type="spellEnd"/>
      <w:r w:rsidRPr="006A4DF8">
        <w:rPr>
          <w:sz w:val="24"/>
          <w:szCs w:val="24"/>
          <w:lang w:val="en-GB"/>
        </w:rPr>
        <w:t xml:space="preserve"> Veterinary Products A/S</w:t>
      </w:r>
    </w:p>
    <w:p w:rsidR="006A4DF8" w:rsidRPr="006A4DF8" w:rsidRDefault="006A4DF8" w:rsidP="006A4DF8">
      <w:pPr>
        <w:tabs>
          <w:tab w:val="left" w:pos="8222"/>
        </w:tabs>
        <w:ind w:left="851"/>
        <w:rPr>
          <w:sz w:val="24"/>
          <w:szCs w:val="24"/>
        </w:rPr>
      </w:pPr>
      <w:proofErr w:type="spellStart"/>
      <w:r w:rsidRPr="006A4DF8">
        <w:rPr>
          <w:sz w:val="24"/>
          <w:szCs w:val="24"/>
        </w:rPr>
        <w:t>Mekuvej</w:t>
      </w:r>
      <w:proofErr w:type="spellEnd"/>
      <w:r w:rsidRPr="006A4DF8">
        <w:rPr>
          <w:sz w:val="24"/>
          <w:szCs w:val="24"/>
        </w:rPr>
        <w:t xml:space="preserve"> 9</w:t>
      </w:r>
    </w:p>
    <w:p w:rsidR="006A4DF8" w:rsidRPr="006A4DF8" w:rsidRDefault="006A4DF8" w:rsidP="006A4DF8">
      <w:pPr>
        <w:tabs>
          <w:tab w:val="left" w:pos="8222"/>
        </w:tabs>
        <w:ind w:left="851"/>
        <w:rPr>
          <w:sz w:val="24"/>
          <w:szCs w:val="24"/>
        </w:rPr>
      </w:pPr>
      <w:r w:rsidRPr="006A4DF8">
        <w:rPr>
          <w:sz w:val="24"/>
          <w:szCs w:val="24"/>
        </w:rPr>
        <w:t>7171 Uldum</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7.</w:t>
      </w:r>
      <w:r w:rsidRPr="006A4DF8">
        <w:rPr>
          <w:b/>
          <w:sz w:val="24"/>
          <w:szCs w:val="24"/>
        </w:rPr>
        <w:tab/>
        <w:t>MARKEDSFØRINGSTILLADELSESNUMMER (-NUMRE)</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57731</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8.</w:t>
      </w:r>
      <w:r w:rsidRPr="006A4DF8">
        <w:rPr>
          <w:b/>
          <w:sz w:val="24"/>
          <w:szCs w:val="24"/>
        </w:rPr>
        <w:tab/>
        <w:t>DATO FOR FØRSTE TILLADELSE</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Dato for første markedsføringstilladelse: 24. maj 2017</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9.</w:t>
      </w:r>
      <w:r w:rsidRPr="006A4DF8">
        <w:rPr>
          <w:b/>
          <w:sz w:val="24"/>
          <w:szCs w:val="24"/>
        </w:rPr>
        <w:tab/>
        <w:t>DATO FOR SENESTE ÆNDRING AF PRODUKTRESUMÉET</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b/>
          <w:sz w:val="24"/>
          <w:szCs w:val="24"/>
        </w:rPr>
      </w:pPr>
      <w:r w:rsidRPr="006A4DF8">
        <w:rPr>
          <w:b/>
          <w:sz w:val="24"/>
          <w:szCs w:val="24"/>
        </w:rPr>
        <w:t>10.</w:t>
      </w:r>
      <w:r w:rsidRPr="006A4DF8">
        <w:rPr>
          <w:b/>
          <w:sz w:val="24"/>
          <w:szCs w:val="24"/>
        </w:rPr>
        <w:tab/>
        <w:t>KLASSIFICERING AF VETERINÆRLÆGEMIDLER</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r>
        <w:rPr>
          <w:sz w:val="24"/>
          <w:szCs w:val="24"/>
        </w:rPr>
        <w:tab/>
      </w:r>
      <w:r w:rsidRPr="006A4DF8">
        <w:rPr>
          <w:sz w:val="24"/>
          <w:szCs w:val="24"/>
        </w:rPr>
        <w:t>APK</w:t>
      </w:r>
    </w:p>
    <w:p w:rsidR="006A4DF8" w:rsidRPr="006A4DF8" w:rsidRDefault="006A4DF8" w:rsidP="006A4DF8">
      <w:pPr>
        <w:tabs>
          <w:tab w:val="left" w:pos="8222"/>
        </w:tabs>
        <w:ind w:left="851" w:hanging="851"/>
        <w:rPr>
          <w:sz w:val="24"/>
          <w:szCs w:val="24"/>
        </w:rPr>
      </w:pPr>
    </w:p>
    <w:p w:rsidR="006A4DF8" w:rsidRPr="006A4DF8" w:rsidRDefault="006A4DF8" w:rsidP="006A4DF8">
      <w:pPr>
        <w:tabs>
          <w:tab w:val="left" w:pos="8222"/>
        </w:tabs>
        <w:ind w:left="851" w:hanging="851"/>
        <w:rPr>
          <w:sz w:val="24"/>
          <w:szCs w:val="24"/>
        </w:rPr>
      </w:pPr>
      <w:bookmarkStart w:id="2" w:name="_Hlk73467306"/>
      <w:r>
        <w:rPr>
          <w:sz w:val="24"/>
          <w:szCs w:val="24"/>
        </w:rPr>
        <w:tab/>
      </w:r>
      <w:bookmarkStart w:id="3" w:name="_GoBack"/>
      <w:bookmarkEnd w:id="3"/>
      <w:r w:rsidRPr="006A4DF8">
        <w:rPr>
          <w:sz w:val="24"/>
          <w:szCs w:val="24"/>
        </w:rPr>
        <w:t>Der findes detaljerede oplysninger om dette veterinærlægemiddel i EU-lægemiddeldatabasen.</w:t>
      </w:r>
      <w:bookmarkEnd w:id="2"/>
    </w:p>
    <w:p w:rsidR="00EA07BE" w:rsidRPr="00830BEF" w:rsidRDefault="00EA07BE" w:rsidP="006A4DF8">
      <w:pPr>
        <w:tabs>
          <w:tab w:val="left" w:pos="8222"/>
        </w:tabs>
        <w:ind w:left="851" w:hanging="851"/>
      </w:pPr>
    </w:p>
    <w:p w:rsidR="0003527F" w:rsidRPr="00EA07BE" w:rsidRDefault="0003527F" w:rsidP="00EA07BE"/>
    <w:sectPr w:rsidR="0003527F" w:rsidRPr="00EA07B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7BE" w:rsidRDefault="00EA07BE">
      <w:r>
        <w:separator/>
      </w:r>
    </w:p>
  </w:endnote>
  <w:endnote w:type="continuationSeparator" w:id="0">
    <w:p w:rsidR="00EA07BE" w:rsidRDefault="00EA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100EE">
      <w:rPr>
        <w:i/>
        <w:noProof/>
        <w:snapToGrid w:val="0"/>
        <w:sz w:val="18"/>
      </w:rPr>
      <w:t>Repose Vet., injektionsvæske, opløsning 500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100EE">
      <w:rPr>
        <w:i/>
        <w:noProof/>
        <w:snapToGrid w:val="0"/>
        <w:sz w:val="18"/>
      </w:rPr>
      <w:t>Repose Vet., injektionsvæske, opløsning 500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7BE" w:rsidRDefault="00EA07BE">
      <w:r>
        <w:separator/>
      </w:r>
    </w:p>
  </w:footnote>
  <w:footnote w:type="continuationSeparator" w:id="0">
    <w:p w:rsidR="00EA07BE" w:rsidRDefault="00EA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D35"/>
    <w:multiLevelType w:val="hybridMultilevel"/>
    <w:tmpl w:val="72DCE400"/>
    <w:lvl w:ilvl="0" w:tplc="DBCEED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BE"/>
    <w:rsid w:val="000100EE"/>
    <w:rsid w:val="0003527F"/>
    <w:rsid w:val="00065C7D"/>
    <w:rsid w:val="000C6CD4"/>
    <w:rsid w:val="00116690"/>
    <w:rsid w:val="00122D03"/>
    <w:rsid w:val="001577E4"/>
    <w:rsid w:val="001858CA"/>
    <w:rsid w:val="001C4AEF"/>
    <w:rsid w:val="001D09CE"/>
    <w:rsid w:val="001D3CC5"/>
    <w:rsid w:val="00285A6C"/>
    <w:rsid w:val="00322BDE"/>
    <w:rsid w:val="00406EE7"/>
    <w:rsid w:val="00407013"/>
    <w:rsid w:val="004A62CC"/>
    <w:rsid w:val="00534B6B"/>
    <w:rsid w:val="00565A74"/>
    <w:rsid w:val="00590DEC"/>
    <w:rsid w:val="005B0036"/>
    <w:rsid w:val="005F5831"/>
    <w:rsid w:val="006242B0"/>
    <w:rsid w:val="00662012"/>
    <w:rsid w:val="00666B01"/>
    <w:rsid w:val="006A4DF8"/>
    <w:rsid w:val="006B1539"/>
    <w:rsid w:val="006D4B41"/>
    <w:rsid w:val="006F5621"/>
    <w:rsid w:val="00781293"/>
    <w:rsid w:val="007E2A00"/>
    <w:rsid w:val="008010F2"/>
    <w:rsid w:val="009202AE"/>
    <w:rsid w:val="00932676"/>
    <w:rsid w:val="009D66C6"/>
    <w:rsid w:val="00A96525"/>
    <w:rsid w:val="00AE29E5"/>
    <w:rsid w:val="00AE5757"/>
    <w:rsid w:val="00B25EB8"/>
    <w:rsid w:val="00B4124C"/>
    <w:rsid w:val="00BB60CD"/>
    <w:rsid w:val="00BC634B"/>
    <w:rsid w:val="00BF2AE0"/>
    <w:rsid w:val="00C479BF"/>
    <w:rsid w:val="00CF3A7E"/>
    <w:rsid w:val="00D05EDB"/>
    <w:rsid w:val="00D567AA"/>
    <w:rsid w:val="00DC554A"/>
    <w:rsid w:val="00DD6D71"/>
    <w:rsid w:val="00DF32BE"/>
    <w:rsid w:val="00E14F0A"/>
    <w:rsid w:val="00E50065"/>
    <w:rsid w:val="00EA07BE"/>
    <w:rsid w:val="00EB5778"/>
    <w:rsid w:val="00EE5253"/>
    <w:rsid w:val="00FA66E4"/>
    <w:rsid w:val="00FA6FBA"/>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82CFB"/>
  <w15:chartTrackingRefBased/>
  <w15:docId w15:val="{265CD5FE-D4FA-4C69-AC3E-3FE7DD6B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EA0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066562603">
      <w:bodyDiv w:val="1"/>
      <w:marLeft w:val="0"/>
      <w:marRight w:val="0"/>
      <w:marTop w:val="0"/>
      <w:marBottom w:val="0"/>
      <w:divBdr>
        <w:top w:val="none" w:sz="0" w:space="0" w:color="auto"/>
        <w:left w:val="none" w:sz="0" w:space="0" w:color="auto"/>
        <w:bottom w:val="none" w:sz="0" w:space="0" w:color="auto"/>
        <w:right w:val="none" w:sz="0" w:space="0" w:color="auto"/>
      </w:divBdr>
    </w:div>
    <w:div w:id="12940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1912</Words>
  <Characters>13001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2024062907 QRD9 opdatering</dc:description>
  <cp:lastModifiedBy>Gitte Ronnovius</cp:lastModifiedBy>
  <cp:revision>3</cp:revision>
  <dcterms:created xsi:type="dcterms:W3CDTF">2025-03-21T10:43:00Z</dcterms:created>
  <dcterms:modified xsi:type="dcterms:W3CDTF">2025-03-21T10:50:00Z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