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E231B"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12972D50" wp14:editId="4CB20AD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615AC76" w14:textId="77777777" w:rsidR="008203A8" w:rsidRDefault="008203A8" w:rsidP="008203A8">
      <w:pPr>
        <w:rPr>
          <w:sz w:val="24"/>
          <w:szCs w:val="24"/>
        </w:rPr>
      </w:pPr>
    </w:p>
    <w:p w14:paraId="2885E2D7" w14:textId="0E20E37F" w:rsidR="008203A8" w:rsidRPr="00406EE7" w:rsidRDefault="008203A8" w:rsidP="008203A8">
      <w:pPr>
        <w:tabs>
          <w:tab w:val="right" w:pos="9356"/>
        </w:tabs>
        <w:rPr>
          <w:b/>
          <w:sz w:val="24"/>
          <w:szCs w:val="24"/>
        </w:rPr>
      </w:pPr>
      <w:r>
        <w:rPr>
          <w:b/>
          <w:sz w:val="24"/>
          <w:szCs w:val="24"/>
        </w:rPr>
        <w:tab/>
      </w:r>
      <w:r w:rsidR="00843B2E">
        <w:rPr>
          <w:b/>
          <w:sz w:val="24"/>
          <w:szCs w:val="24"/>
        </w:rPr>
        <w:t>19. april 2023</w:t>
      </w:r>
    </w:p>
    <w:p w14:paraId="335C1FE2" w14:textId="77777777" w:rsidR="008203A8" w:rsidRDefault="008203A8" w:rsidP="008203A8">
      <w:pPr>
        <w:rPr>
          <w:sz w:val="24"/>
          <w:szCs w:val="24"/>
        </w:rPr>
      </w:pPr>
    </w:p>
    <w:p w14:paraId="703FE968" w14:textId="77777777" w:rsidR="008203A8" w:rsidRDefault="008203A8" w:rsidP="008203A8">
      <w:pPr>
        <w:jc w:val="center"/>
        <w:rPr>
          <w:b/>
          <w:sz w:val="24"/>
          <w:szCs w:val="24"/>
        </w:rPr>
      </w:pPr>
    </w:p>
    <w:p w14:paraId="5EEA1F7C" w14:textId="77777777" w:rsidR="008203A8" w:rsidRPr="00406EE7" w:rsidRDefault="008203A8" w:rsidP="008203A8">
      <w:pPr>
        <w:jc w:val="center"/>
        <w:rPr>
          <w:b/>
          <w:sz w:val="24"/>
          <w:szCs w:val="24"/>
        </w:rPr>
      </w:pPr>
      <w:r w:rsidRPr="00406EE7">
        <w:rPr>
          <w:b/>
          <w:sz w:val="24"/>
          <w:szCs w:val="24"/>
        </w:rPr>
        <w:t>PRODUKTRESUMÉ</w:t>
      </w:r>
    </w:p>
    <w:p w14:paraId="56C6B6AE" w14:textId="77777777" w:rsidR="008203A8" w:rsidRPr="00406EE7" w:rsidRDefault="008203A8" w:rsidP="008203A8">
      <w:pPr>
        <w:jc w:val="center"/>
        <w:rPr>
          <w:b/>
          <w:sz w:val="24"/>
          <w:szCs w:val="24"/>
        </w:rPr>
      </w:pPr>
    </w:p>
    <w:p w14:paraId="205B1ADD" w14:textId="77777777" w:rsidR="008203A8" w:rsidRPr="00406EE7" w:rsidRDefault="008203A8" w:rsidP="008203A8">
      <w:pPr>
        <w:jc w:val="center"/>
        <w:rPr>
          <w:b/>
          <w:sz w:val="24"/>
          <w:szCs w:val="24"/>
        </w:rPr>
      </w:pPr>
      <w:r w:rsidRPr="00406EE7">
        <w:rPr>
          <w:b/>
          <w:sz w:val="24"/>
          <w:szCs w:val="24"/>
        </w:rPr>
        <w:t>for</w:t>
      </w:r>
    </w:p>
    <w:p w14:paraId="6222481B" w14:textId="77777777" w:rsidR="008203A8" w:rsidRPr="00406EE7" w:rsidRDefault="008203A8" w:rsidP="008203A8">
      <w:pPr>
        <w:jc w:val="center"/>
        <w:rPr>
          <w:b/>
          <w:sz w:val="24"/>
          <w:szCs w:val="24"/>
        </w:rPr>
      </w:pPr>
    </w:p>
    <w:p w14:paraId="58351A02" w14:textId="416AF553" w:rsidR="008203A8" w:rsidRPr="00565A74" w:rsidRDefault="00843B2E" w:rsidP="008203A8">
      <w:pPr>
        <w:jc w:val="center"/>
        <w:rPr>
          <w:b/>
          <w:sz w:val="24"/>
          <w:szCs w:val="24"/>
        </w:rPr>
      </w:pPr>
      <w:proofErr w:type="spellStart"/>
      <w:r>
        <w:rPr>
          <w:b/>
          <w:sz w:val="24"/>
          <w:szCs w:val="24"/>
        </w:rPr>
        <w:t>Revozyn</w:t>
      </w:r>
      <w:proofErr w:type="spellEnd"/>
      <w:r>
        <w:rPr>
          <w:b/>
          <w:sz w:val="24"/>
          <w:szCs w:val="24"/>
        </w:rPr>
        <w:t xml:space="preserve"> RTU, injektionsvæske, suspension</w:t>
      </w:r>
    </w:p>
    <w:p w14:paraId="0833B5A4" w14:textId="77777777" w:rsidR="008203A8" w:rsidRPr="00406EE7" w:rsidRDefault="008203A8" w:rsidP="008203A8">
      <w:pPr>
        <w:jc w:val="both"/>
        <w:rPr>
          <w:sz w:val="24"/>
          <w:szCs w:val="24"/>
        </w:rPr>
      </w:pPr>
    </w:p>
    <w:p w14:paraId="42CC122B" w14:textId="77777777" w:rsidR="008203A8" w:rsidRDefault="008203A8" w:rsidP="008203A8">
      <w:pPr>
        <w:jc w:val="both"/>
        <w:rPr>
          <w:sz w:val="24"/>
          <w:szCs w:val="24"/>
        </w:rPr>
      </w:pPr>
    </w:p>
    <w:p w14:paraId="29E1E14D" w14:textId="77777777" w:rsidR="008203A8" w:rsidRPr="00406EE7" w:rsidRDefault="008203A8" w:rsidP="008203A8">
      <w:pPr>
        <w:jc w:val="both"/>
        <w:rPr>
          <w:sz w:val="24"/>
          <w:szCs w:val="24"/>
        </w:rPr>
      </w:pPr>
    </w:p>
    <w:p w14:paraId="598D0D1B"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133C9F40" w14:textId="743845AE" w:rsidR="008203A8" w:rsidRPr="00406EE7" w:rsidRDefault="00843B2E" w:rsidP="008203A8">
      <w:pPr>
        <w:ind w:left="851"/>
        <w:rPr>
          <w:sz w:val="24"/>
          <w:szCs w:val="24"/>
        </w:rPr>
      </w:pPr>
      <w:r w:rsidRPr="00843B2E">
        <w:rPr>
          <w:sz w:val="24"/>
          <w:szCs w:val="24"/>
        </w:rPr>
        <w:t>30693</w:t>
      </w:r>
    </w:p>
    <w:p w14:paraId="17B616F2" w14:textId="77777777" w:rsidR="008203A8" w:rsidRPr="00406EE7" w:rsidRDefault="008203A8" w:rsidP="008203A8">
      <w:pPr>
        <w:ind w:left="851"/>
        <w:rPr>
          <w:sz w:val="24"/>
          <w:szCs w:val="24"/>
        </w:rPr>
      </w:pPr>
    </w:p>
    <w:p w14:paraId="3F9AFA56"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37828677" w14:textId="7CB25DAF" w:rsidR="008203A8" w:rsidRDefault="00843B2E" w:rsidP="008203A8">
      <w:pPr>
        <w:ind w:left="851"/>
        <w:rPr>
          <w:sz w:val="24"/>
          <w:szCs w:val="24"/>
        </w:rPr>
      </w:pPr>
      <w:proofErr w:type="spellStart"/>
      <w:r w:rsidRPr="00843B2E">
        <w:rPr>
          <w:sz w:val="24"/>
          <w:szCs w:val="24"/>
        </w:rPr>
        <w:t>Revozyn</w:t>
      </w:r>
      <w:proofErr w:type="spellEnd"/>
      <w:r w:rsidRPr="00843B2E">
        <w:rPr>
          <w:sz w:val="24"/>
          <w:szCs w:val="24"/>
        </w:rPr>
        <w:t xml:space="preserve"> RTU</w:t>
      </w:r>
    </w:p>
    <w:p w14:paraId="256D592D" w14:textId="77777777" w:rsidR="008203A8" w:rsidRDefault="008203A8" w:rsidP="008203A8">
      <w:pPr>
        <w:ind w:left="851"/>
        <w:rPr>
          <w:sz w:val="24"/>
          <w:szCs w:val="24"/>
        </w:rPr>
      </w:pPr>
    </w:p>
    <w:p w14:paraId="6F02D3EF" w14:textId="313E62E8" w:rsidR="008203A8" w:rsidRPr="00776C2C" w:rsidRDefault="008203A8" w:rsidP="008203A8">
      <w:pPr>
        <w:ind w:left="851"/>
        <w:rPr>
          <w:sz w:val="24"/>
          <w:szCs w:val="24"/>
        </w:rPr>
      </w:pPr>
      <w:r w:rsidRPr="00776C2C">
        <w:rPr>
          <w:sz w:val="24"/>
          <w:szCs w:val="24"/>
        </w:rPr>
        <w:t xml:space="preserve">Lægemiddelform: </w:t>
      </w:r>
      <w:r w:rsidR="00843B2E" w:rsidRPr="00843B2E">
        <w:rPr>
          <w:sz w:val="24"/>
          <w:szCs w:val="24"/>
        </w:rPr>
        <w:t>injektionsvæske, suspension</w:t>
      </w:r>
    </w:p>
    <w:p w14:paraId="5A8967B1" w14:textId="0155CFA6" w:rsidR="008203A8" w:rsidRPr="00776C2C" w:rsidRDefault="008203A8" w:rsidP="008203A8">
      <w:pPr>
        <w:ind w:left="851"/>
        <w:rPr>
          <w:sz w:val="24"/>
          <w:szCs w:val="24"/>
        </w:rPr>
      </w:pPr>
      <w:r w:rsidRPr="00776C2C">
        <w:rPr>
          <w:sz w:val="24"/>
          <w:szCs w:val="24"/>
        </w:rPr>
        <w:t xml:space="preserve">Styrke(r): </w:t>
      </w:r>
      <w:r w:rsidR="00843B2E" w:rsidRPr="00843B2E">
        <w:rPr>
          <w:sz w:val="24"/>
          <w:szCs w:val="24"/>
        </w:rPr>
        <w:t>400 mg/ml</w:t>
      </w:r>
    </w:p>
    <w:p w14:paraId="645BD27B" w14:textId="77777777" w:rsidR="008203A8" w:rsidRPr="00406EE7" w:rsidRDefault="008203A8" w:rsidP="008203A8">
      <w:pPr>
        <w:ind w:left="851"/>
        <w:rPr>
          <w:sz w:val="24"/>
          <w:szCs w:val="24"/>
        </w:rPr>
      </w:pPr>
    </w:p>
    <w:p w14:paraId="31A6A914"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73CE6500" w14:textId="77777777" w:rsidR="00843B2E" w:rsidRDefault="00843B2E" w:rsidP="00843B2E">
      <w:pPr>
        <w:tabs>
          <w:tab w:val="left" w:pos="1304"/>
        </w:tabs>
        <w:ind w:left="851"/>
        <w:rPr>
          <w:sz w:val="24"/>
          <w:szCs w:val="24"/>
        </w:rPr>
      </w:pPr>
      <w:r w:rsidRPr="00843B2E">
        <w:rPr>
          <w:sz w:val="24"/>
          <w:szCs w:val="24"/>
        </w:rPr>
        <w:t>Hver ml indeholder:</w:t>
      </w:r>
    </w:p>
    <w:p w14:paraId="1C021D1F" w14:textId="72A6606F" w:rsidR="00843B2E" w:rsidRPr="00843B2E" w:rsidRDefault="00843B2E" w:rsidP="00843B2E">
      <w:pPr>
        <w:tabs>
          <w:tab w:val="left" w:pos="1304"/>
        </w:tabs>
        <w:ind w:left="851"/>
        <w:rPr>
          <w:sz w:val="24"/>
          <w:szCs w:val="24"/>
        </w:rPr>
      </w:pPr>
      <w:r w:rsidRPr="00843B2E">
        <w:rPr>
          <w:sz w:val="24"/>
          <w:szCs w:val="24"/>
        </w:rPr>
        <w:br/>
      </w:r>
      <w:r w:rsidRPr="00843B2E">
        <w:rPr>
          <w:b/>
          <w:bCs/>
          <w:sz w:val="24"/>
          <w:szCs w:val="24"/>
        </w:rPr>
        <w:t>Aktivt stof:</w:t>
      </w:r>
      <w:r w:rsidRPr="00843B2E">
        <w:rPr>
          <w:b/>
          <w:bCs/>
          <w:sz w:val="24"/>
          <w:szCs w:val="24"/>
        </w:rPr>
        <w:br/>
      </w:r>
      <w:r w:rsidRPr="00843B2E">
        <w:rPr>
          <w:sz w:val="24"/>
          <w:szCs w:val="24"/>
        </w:rPr>
        <w:t xml:space="preserve">308,8 mg </w:t>
      </w:r>
      <w:proofErr w:type="spellStart"/>
      <w:r w:rsidRPr="00843B2E">
        <w:rPr>
          <w:sz w:val="24"/>
          <w:szCs w:val="24"/>
        </w:rPr>
        <w:t>penethamat</w:t>
      </w:r>
      <w:proofErr w:type="spellEnd"/>
      <w:r w:rsidRPr="00843B2E">
        <w:rPr>
          <w:sz w:val="24"/>
          <w:szCs w:val="24"/>
        </w:rPr>
        <w:t xml:space="preserve"> svarende til 400 mg </w:t>
      </w:r>
      <w:proofErr w:type="spellStart"/>
      <w:r w:rsidRPr="00843B2E">
        <w:rPr>
          <w:sz w:val="24"/>
          <w:szCs w:val="24"/>
        </w:rPr>
        <w:t>penethamathydroiodid</w:t>
      </w:r>
      <w:proofErr w:type="spellEnd"/>
    </w:p>
    <w:p w14:paraId="1823F020" w14:textId="77777777" w:rsidR="00843B2E" w:rsidRPr="00843B2E" w:rsidRDefault="00843B2E" w:rsidP="00843B2E">
      <w:pPr>
        <w:tabs>
          <w:tab w:val="left" w:pos="1304"/>
        </w:tabs>
        <w:ind w:left="851"/>
        <w:rPr>
          <w:bCs/>
          <w:sz w:val="24"/>
          <w:szCs w:val="24"/>
        </w:rPr>
      </w:pPr>
    </w:p>
    <w:p w14:paraId="35BFC881" w14:textId="77777777" w:rsidR="00843B2E" w:rsidRPr="00843B2E" w:rsidRDefault="00843B2E" w:rsidP="00843B2E">
      <w:pPr>
        <w:tabs>
          <w:tab w:val="left" w:pos="1304"/>
        </w:tabs>
        <w:ind w:left="851"/>
        <w:rPr>
          <w:b/>
          <w:sz w:val="24"/>
          <w:szCs w:val="24"/>
        </w:rPr>
      </w:pPr>
      <w:r w:rsidRPr="00843B2E">
        <w:rPr>
          <w:b/>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5"/>
      </w:tblGrid>
      <w:tr w:rsidR="00843B2E" w14:paraId="0C342BD9" w14:textId="77777777" w:rsidTr="00843B2E">
        <w:tc>
          <w:tcPr>
            <w:tcW w:w="4525" w:type="dxa"/>
            <w:tcBorders>
              <w:top w:val="single" w:sz="4" w:space="0" w:color="000000"/>
              <w:left w:val="single" w:sz="4" w:space="0" w:color="000000"/>
              <w:bottom w:val="single" w:sz="4" w:space="0" w:color="000000"/>
              <w:right w:val="single" w:sz="4" w:space="0" w:color="000000"/>
            </w:tcBorders>
            <w:vAlign w:val="center"/>
            <w:hideMark/>
          </w:tcPr>
          <w:p w14:paraId="3B3F7339" w14:textId="77777777" w:rsidR="00843B2E" w:rsidRDefault="00843B2E">
            <w:pPr>
              <w:tabs>
                <w:tab w:val="left" w:pos="1304"/>
              </w:tabs>
              <w:rPr>
                <w:b/>
                <w:bCs/>
                <w:iCs/>
              </w:rPr>
            </w:pPr>
            <w:r>
              <w:rPr>
                <w:b/>
                <w:bCs/>
                <w:iCs/>
              </w:rPr>
              <w:t>Kvalitativ sammensætning af hjælpestoffer og andre bestanddele</w:t>
            </w:r>
          </w:p>
        </w:tc>
      </w:tr>
      <w:tr w:rsidR="00843B2E" w14:paraId="617EC15B" w14:textId="77777777" w:rsidTr="00843B2E">
        <w:tc>
          <w:tcPr>
            <w:tcW w:w="4525" w:type="dxa"/>
            <w:tcBorders>
              <w:top w:val="single" w:sz="4" w:space="0" w:color="000000"/>
              <w:left w:val="single" w:sz="4" w:space="0" w:color="000000"/>
              <w:bottom w:val="single" w:sz="4" w:space="0" w:color="000000"/>
              <w:right w:val="single" w:sz="4" w:space="0" w:color="000000"/>
            </w:tcBorders>
            <w:vAlign w:val="center"/>
            <w:hideMark/>
          </w:tcPr>
          <w:p w14:paraId="4882EB04" w14:textId="77777777" w:rsidR="00843B2E" w:rsidRDefault="00843B2E">
            <w:pPr>
              <w:ind w:left="567" w:hanging="567"/>
              <w:rPr>
                <w:iCs/>
              </w:rPr>
            </w:pPr>
            <w:proofErr w:type="spellStart"/>
            <w:r>
              <w:rPr>
                <w:iCs/>
              </w:rPr>
              <w:t>Lecithin</w:t>
            </w:r>
            <w:proofErr w:type="spellEnd"/>
            <w:r>
              <w:rPr>
                <w:iCs/>
              </w:rPr>
              <w:t xml:space="preserve"> </w:t>
            </w:r>
            <w:r>
              <w:t>(E322)</w:t>
            </w:r>
          </w:p>
        </w:tc>
      </w:tr>
      <w:tr w:rsidR="00843B2E" w14:paraId="06748D79" w14:textId="77777777" w:rsidTr="00843B2E">
        <w:tc>
          <w:tcPr>
            <w:tcW w:w="4525" w:type="dxa"/>
            <w:tcBorders>
              <w:top w:val="single" w:sz="4" w:space="0" w:color="000000"/>
              <w:left w:val="single" w:sz="4" w:space="0" w:color="000000"/>
              <w:bottom w:val="single" w:sz="4" w:space="0" w:color="000000"/>
              <w:right w:val="single" w:sz="4" w:space="0" w:color="000000"/>
            </w:tcBorders>
            <w:vAlign w:val="center"/>
            <w:hideMark/>
          </w:tcPr>
          <w:p w14:paraId="56CCB625" w14:textId="77777777" w:rsidR="00843B2E" w:rsidRDefault="00843B2E">
            <w:pPr>
              <w:ind w:left="567" w:hanging="567"/>
              <w:rPr>
                <w:iCs/>
              </w:rPr>
            </w:pPr>
            <w:proofErr w:type="spellStart"/>
            <w:r>
              <w:t>Ethyloleat</w:t>
            </w:r>
            <w:proofErr w:type="spellEnd"/>
          </w:p>
        </w:tc>
      </w:tr>
    </w:tbl>
    <w:p w14:paraId="7DBDBA70" w14:textId="77777777" w:rsidR="00843B2E" w:rsidRDefault="00843B2E" w:rsidP="00843B2E">
      <w:pPr>
        <w:ind w:left="851"/>
        <w:rPr>
          <w:sz w:val="24"/>
          <w:szCs w:val="24"/>
        </w:rPr>
      </w:pPr>
    </w:p>
    <w:p w14:paraId="4064213D" w14:textId="7A572F47" w:rsidR="00843B2E" w:rsidRPr="00843B2E" w:rsidRDefault="00843B2E" w:rsidP="00843B2E">
      <w:pPr>
        <w:ind w:left="851"/>
        <w:rPr>
          <w:sz w:val="24"/>
          <w:szCs w:val="24"/>
        </w:rPr>
      </w:pPr>
      <w:r w:rsidRPr="00843B2E">
        <w:rPr>
          <w:sz w:val="24"/>
          <w:szCs w:val="24"/>
        </w:rPr>
        <w:t>En hvid til gullighvid, olieagtig suspension.</w:t>
      </w:r>
    </w:p>
    <w:p w14:paraId="648F072C" w14:textId="77777777" w:rsidR="008203A8" w:rsidRDefault="008203A8" w:rsidP="008203A8">
      <w:pPr>
        <w:ind w:left="851"/>
        <w:rPr>
          <w:sz w:val="24"/>
          <w:szCs w:val="24"/>
        </w:rPr>
      </w:pPr>
    </w:p>
    <w:p w14:paraId="5E131540" w14:textId="77777777" w:rsidR="008203A8" w:rsidRPr="008509BB" w:rsidRDefault="008203A8" w:rsidP="008203A8">
      <w:pPr>
        <w:ind w:left="851"/>
        <w:rPr>
          <w:sz w:val="24"/>
          <w:szCs w:val="24"/>
        </w:rPr>
      </w:pPr>
    </w:p>
    <w:p w14:paraId="1D23122B"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657CADE5" w14:textId="77777777" w:rsidR="008203A8" w:rsidRPr="00406EE7" w:rsidRDefault="008203A8" w:rsidP="008203A8">
      <w:pPr>
        <w:tabs>
          <w:tab w:val="left" w:pos="851"/>
        </w:tabs>
        <w:ind w:left="851"/>
        <w:rPr>
          <w:sz w:val="24"/>
          <w:szCs w:val="24"/>
        </w:rPr>
      </w:pPr>
    </w:p>
    <w:p w14:paraId="7B2825D2"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4E3FDE40" w14:textId="708BEF9C" w:rsidR="008203A8" w:rsidRPr="00406EE7" w:rsidRDefault="00843B2E" w:rsidP="008203A8">
      <w:pPr>
        <w:ind w:left="851"/>
        <w:rPr>
          <w:sz w:val="24"/>
          <w:szCs w:val="24"/>
        </w:rPr>
      </w:pPr>
      <w:r w:rsidRPr="00843B2E">
        <w:rPr>
          <w:sz w:val="24"/>
          <w:szCs w:val="24"/>
        </w:rPr>
        <w:t>Kvæg (malkekøer).</w:t>
      </w:r>
    </w:p>
    <w:p w14:paraId="033E2BEC" w14:textId="77777777" w:rsidR="008203A8" w:rsidRPr="00406EE7" w:rsidRDefault="008203A8" w:rsidP="008203A8">
      <w:pPr>
        <w:ind w:left="851"/>
        <w:rPr>
          <w:sz w:val="24"/>
          <w:szCs w:val="24"/>
        </w:rPr>
      </w:pPr>
    </w:p>
    <w:p w14:paraId="0327BB14"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2640A68A" w14:textId="6C449E37" w:rsidR="008203A8" w:rsidRDefault="00494970" w:rsidP="008203A8">
      <w:pPr>
        <w:pStyle w:val="Sidehoved"/>
        <w:ind w:left="851"/>
        <w:rPr>
          <w:szCs w:val="24"/>
        </w:rPr>
      </w:pPr>
      <w:r>
        <w:t xml:space="preserve">Til behandling af klinisk og subklinisk </w:t>
      </w:r>
      <w:proofErr w:type="spellStart"/>
      <w:r>
        <w:t>mastitis</w:t>
      </w:r>
      <w:proofErr w:type="spellEnd"/>
      <w:r>
        <w:t xml:space="preserve"> hos malkekøer, der skyldes stafylokokker og streptokokker, der er følsomme over for penicillin.</w:t>
      </w:r>
    </w:p>
    <w:p w14:paraId="1941D66B" w14:textId="77777777" w:rsidR="008203A8" w:rsidRDefault="008203A8" w:rsidP="008203A8">
      <w:pPr>
        <w:pStyle w:val="Sidehoved"/>
        <w:ind w:left="851"/>
        <w:rPr>
          <w:szCs w:val="24"/>
        </w:rPr>
      </w:pPr>
    </w:p>
    <w:p w14:paraId="0DCB945A" w14:textId="77777777" w:rsidR="008203A8" w:rsidRPr="00406EE7" w:rsidRDefault="008203A8" w:rsidP="00677155">
      <w:pPr>
        <w:pStyle w:val="Sidehoved"/>
        <w:keepNext/>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58AF25D8" w14:textId="77777777" w:rsidR="00494970" w:rsidRPr="00494970" w:rsidRDefault="00494970" w:rsidP="00494970">
      <w:pPr>
        <w:tabs>
          <w:tab w:val="left" w:pos="1304"/>
        </w:tabs>
        <w:ind w:left="851"/>
        <w:rPr>
          <w:sz w:val="24"/>
          <w:szCs w:val="24"/>
        </w:rPr>
      </w:pPr>
      <w:r w:rsidRPr="00494970">
        <w:rPr>
          <w:sz w:val="24"/>
          <w:szCs w:val="24"/>
        </w:rPr>
        <w:t>Må ikke anvendes i tilfælde af kendt overfølsomhed over for det aktive stof eller over for et eller flere af hjælpestofferne.</w:t>
      </w:r>
      <w:r w:rsidRPr="00494970">
        <w:rPr>
          <w:sz w:val="24"/>
          <w:szCs w:val="24"/>
        </w:rPr>
        <w:br/>
      </w:r>
      <w:r w:rsidRPr="00494970">
        <w:rPr>
          <w:rFonts w:cs="Arial"/>
          <w:sz w:val="24"/>
          <w:szCs w:val="24"/>
        </w:rPr>
        <w:t>Må ikke administreres intravenøst.</w:t>
      </w:r>
    </w:p>
    <w:p w14:paraId="62C3D9D0" w14:textId="77777777" w:rsidR="008203A8" w:rsidRPr="00406EE7" w:rsidRDefault="008203A8" w:rsidP="008203A8">
      <w:pPr>
        <w:pStyle w:val="Sidehoved"/>
        <w:tabs>
          <w:tab w:val="clear" w:pos="4819"/>
        </w:tabs>
        <w:ind w:left="851"/>
        <w:rPr>
          <w:szCs w:val="24"/>
        </w:rPr>
      </w:pPr>
    </w:p>
    <w:p w14:paraId="0E87DDB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0D50ED67" w14:textId="55323532" w:rsidR="008203A8" w:rsidRPr="00406EE7" w:rsidRDefault="00494970" w:rsidP="008203A8">
      <w:pPr>
        <w:tabs>
          <w:tab w:val="left" w:pos="851"/>
        </w:tabs>
        <w:ind w:left="851"/>
        <w:rPr>
          <w:sz w:val="24"/>
          <w:szCs w:val="24"/>
        </w:rPr>
      </w:pPr>
      <w:r w:rsidRPr="00494970">
        <w:rPr>
          <w:sz w:val="24"/>
          <w:szCs w:val="24"/>
        </w:rPr>
        <w:t xml:space="preserve">Der er blevet påvist krydsresistens mellem </w:t>
      </w:r>
      <w:proofErr w:type="spellStart"/>
      <w:r w:rsidRPr="00494970">
        <w:rPr>
          <w:sz w:val="24"/>
          <w:szCs w:val="24"/>
        </w:rPr>
        <w:t>benzylpenicillin</w:t>
      </w:r>
      <w:proofErr w:type="spellEnd"/>
      <w:r w:rsidRPr="00494970">
        <w:rPr>
          <w:sz w:val="24"/>
          <w:szCs w:val="24"/>
        </w:rPr>
        <w:t xml:space="preserve"> og penicilliner og antimikrobielle beta-</w:t>
      </w:r>
      <w:proofErr w:type="spellStart"/>
      <w:r w:rsidRPr="00494970">
        <w:rPr>
          <w:sz w:val="24"/>
          <w:szCs w:val="24"/>
        </w:rPr>
        <w:t>lactam</w:t>
      </w:r>
      <w:proofErr w:type="spellEnd"/>
      <w:r w:rsidRPr="00494970">
        <w:rPr>
          <w:sz w:val="24"/>
          <w:szCs w:val="24"/>
        </w:rPr>
        <w:t xml:space="preserve">-midler ved stafylokokker og streptokokker. Anvendelse af </w:t>
      </w:r>
      <w:proofErr w:type="spellStart"/>
      <w:r w:rsidRPr="00494970">
        <w:rPr>
          <w:sz w:val="24"/>
          <w:szCs w:val="24"/>
        </w:rPr>
        <w:t>benzylpenicillin</w:t>
      </w:r>
      <w:proofErr w:type="spellEnd"/>
      <w:r w:rsidRPr="00494970">
        <w:rPr>
          <w:sz w:val="24"/>
          <w:szCs w:val="24"/>
        </w:rPr>
        <w:t xml:space="preserve"> bør overvejes nøje, når følsomhedstests har vist resistens over for penicilliner eller antimikrobielle beta-</w:t>
      </w:r>
      <w:proofErr w:type="spellStart"/>
      <w:r w:rsidRPr="00494970">
        <w:rPr>
          <w:sz w:val="24"/>
          <w:szCs w:val="24"/>
        </w:rPr>
        <w:t>lactam</w:t>
      </w:r>
      <w:proofErr w:type="spellEnd"/>
      <w:r w:rsidRPr="00494970">
        <w:rPr>
          <w:sz w:val="24"/>
          <w:szCs w:val="24"/>
        </w:rPr>
        <w:t>-midler, fordi dets effektivitet kan reduceres.</w:t>
      </w:r>
    </w:p>
    <w:p w14:paraId="74B045EE" w14:textId="77777777" w:rsidR="008203A8" w:rsidRPr="00406EE7" w:rsidRDefault="008203A8" w:rsidP="008203A8">
      <w:pPr>
        <w:pStyle w:val="Sidehoved"/>
        <w:tabs>
          <w:tab w:val="clear" w:pos="4819"/>
        </w:tabs>
        <w:ind w:left="851"/>
        <w:rPr>
          <w:szCs w:val="24"/>
        </w:rPr>
      </w:pPr>
    </w:p>
    <w:p w14:paraId="2977C08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72221205" w14:textId="77777777" w:rsidR="008203A8" w:rsidRPr="00494970" w:rsidRDefault="008203A8" w:rsidP="00494970">
      <w:pPr>
        <w:ind w:left="851"/>
        <w:rPr>
          <w:sz w:val="24"/>
          <w:szCs w:val="24"/>
        </w:rPr>
      </w:pPr>
    </w:p>
    <w:p w14:paraId="052774A6" w14:textId="77777777" w:rsidR="00494970" w:rsidRPr="00494970" w:rsidRDefault="00494970" w:rsidP="00494970">
      <w:pPr>
        <w:tabs>
          <w:tab w:val="left" w:pos="1304"/>
        </w:tabs>
        <w:ind w:left="851"/>
        <w:rPr>
          <w:sz w:val="24"/>
          <w:szCs w:val="24"/>
          <w:u w:val="single"/>
        </w:rPr>
      </w:pPr>
      <w:r w:rsidRPr="00494970">
        <w:rPr>
          <w:sz w:val="24"/>
          <w:szCs w:val="24"/>
          <w:u w:val="single"/>
        </w:rPr>
        <w:t>Særlige forholdsregler vedrørende sikker brug hos de dyrearter, som lægemidlet er beregnet til:</w:t>
      </w:r>
    </w:p>
    <w:p w14:paraId="55B2AEA3" w14:textId="77777777" w:rsidR="00494970" w:rsidRPr="00494970" w:rsidRDefault="00494970" w:rsidP="00494970">
      <w:pPr>
        <w:tabs>
          <w:tab w:val="left" w:pos="1304"/>
        </w:tabs>
        <w:ind w:left="851" w:firstLine="3"/>
        <w:rPr>
          <w:sz w:val="24"/>
          <w:szCs w:val="24"/>
        </w:rPr>
      </w:pPr>
      <w:r w:rsidRPr="00494970">
        <w:rPr>
          <w:sz w:val="24"/>
          <w:szCs w:val="24"/>
        </w:rPr>
        <w:t xml:space="preserve">Anvendelse af lægemidlet bør baseres på identifikation og følsomhedstest af de relevante </w:t>
      </w:r>
      <w:proofErr w:type="spellStart"/>
      <w:r w:rsidRPr="00494970">
        <w:rPr>
          <w:sz w:val="24"/>
          <w:szCs w:val="24"/>
        </w:rPr>
        <w:t>patogener</w:t>
      </w:r>
      <w:proofErr w:type="spellEnd"/>
      <w:r w:rsidRPr="00494970">
        <w:rPr>
          <w:sz w:val="24"/>
          <w:szCs w:val="24"/>
        </w:rPr>
        <w:t xml:space="preserve">. Hvis dette ikke er muligt, bør behandlingen baseres på epidemiologisk information og viden om </w:t>
      </w:r>
      <w:bookmarkStart w:id="1" w:name="_Hlk132193214"/>
      <w:r w:rsidRPr="00494970">
        <w:rPr>
          <w:sz w:val="24"/>
          <w:szCs w:val="24"/>
        </w:rPr>
        <w:t xml:space="preserve">følsomhed for de relevante </w:t>
      </w:r>
      <w:proofErr w:type="spellStart"/>
      <w:r w:rsidRPr="00494970">
        <w:rPr>
          <w:sz w:val="24"/>
          <w:szCs w:val="24"/>
        </w:rPr>
        <w:t>patogener</w:t>
      </w:r>
      <w:proofErr w:type="spellEnd"/>
      <w:r w:rsidRPr="00494970">
        <w:rPr>
          <w:sz w:val="24"/>
          <w:szCs w:val="24"/>
        </w:rPr>
        <w:t xml:space="preserve"> på gårdniveau eller et lokalt/regionalt niveau.</w:t>
      </w:r>
    </w:p>
    <w:bookmarkEnd w:id="1"/>
    <w:p w14:paraId="42E2951B" w14:textId="77777777" w:rsidR="00494970" w:rsidRPr="00494970" w:rsidRDefault="00494970" w:rsidP="00494970">
      <w:pPr>
        <w:tabs>
          <w:tab w:val="left" w:pos="1304"/>
        </w:tabs>
        <w:ind w:left="851"/>
        <w:rPr>
          <w:sz w:val="24"/>
          <w:szCs w:val="24"/>
          <w:highlight w:val="yellow"/>
        </w:rPr>
      </w:pPr>
    </w:p>
    <w:p w14:paraId="097F0A3F" w14:textId="77777777" w:rsidR="00494970" w:rsidRPr="00494970" w:rsidRDefault="00494970" w:rsidP="00494970">
      <w:pPr>
        <w:tabs>
          <w:tab w:val="left" w:pos="1304"/>
        </w:tabs>
        <w:ind w:left="851"/>
        <w:rPr>
          <w:sz w:val="24"/>
          <w:szCs w:val="24"/>
          <w:u w:val="single"/>
        </w:rPr>
      </w:pPr>
      <w:r w:rsidRPr="00494970">
        <w:rPr>
          <w:sz w:val="24"/>
          <w:szCs w:val="24"/>
        </w:rPr>
        <w:t>Anvendelse af produktet bør være i overensstemmelse med officielle nationale og regionale antimikrobielle retningslinjer.</w:t>
      </w:r>
    </w:p>
    <w:p w14:paraId="69B8D9C4" w14:textId="77777777" w:rsidR="00494970" w:rsidRPr="00494970" w:rsidRDefault="00494970" w:rsidP="00494970">
      <w:pPr>
        <w:tabs>
          <w:tab w:val="left" w:pos="8222"/>
        </w:tabs>
        <w:ind w:left="851"/>
        <w:rPr>
          <w:sz w:val="24"/>
          <w:szCs w:val="24"/>
        </w:rPr>
      </w:pPr>
    </w:p>
    <w:p w14:paraId="73872DF5" w14:textId="77777777" w:rsidR="00494970" w:rsidRPr="00494970" w:rsidRDefault="00494970" w:rsidP="00494970">
      <w:pPr>
        <w:tabs>
          <w:tab w:val="left" w:pos="8222"/>
        </w:tabs>
        <w:ind w:left="851"/>
        <w:rPr>
          <w:sz w:val="24"/>
          <w:szCs w:val="24"/>
        </w:rPr>
      </w:pPr>
      <w:r w:rsidRPr="00494970">
        <w:rPr>
          <w:sz w:val="24"/>
          <w:szCs w:val="24"/>
        </w:rPr>
        <w:t>Fodring af kalve med spildmælk, der indeholder penicillinrester, bør undgås indtil efter tilbageholdelsestiden for mælk (undtaget under råmælksperioden), da det kan fremme udvælgelse af antibiotikaresistente bakterier (f.eks. ESBL) i kalvens tarmflora og øge den fækale udskillelse af disse bakterier.</w:t>
      </w:r>
    </w:p>
    <w:p w14:paraId="23FB1694" w14:textId="77777777" w:rsidR="00494970" w:rsidRPr="00494970" w:rsidRDefault="00494970" w:rsidP="00494970">
      <w:pPr>
        <w:tabs>
          <w:tab w:val="left" w:pos="8222"/>
        </w:tabs>
        <w:ind w:left="851"/>
        <w:rPr>
          <w:sz w:val="24"/>
          <w:szCs w:val="24"/>
        </w:rPr>
      </w:pPr>
    </w:p>
    <w:p w14:paraId="729DE7EE" w14:textId="77777777" w:rsidR="00494970" w:rsidRPr="00494970" w:rsidRDefault="00494970" w:rsidP="00494970">
      <w:pPr>
        <w:tabs>
          <w:tab w:val="left" w:pos="1304"/>
        </w:tabs>
        <w:ind w:left="851"/>
        <w:rPr>
          <w:sz w:val="24"/>
          <w:szCs w:val="24"/>
          <w:u w:val="single"/>
        </w:rPr>
      </w:pPr>
      <w:r w:rsidRPr="00494970">
        <w:rPr>
          <w:sz w:val="24"/>
          <w:szCs w:val="24"/>
          <w:u w:val="single"/>
        </w:rPr>
        <w:t>Særlige forholdsregler for personer, der administrerer veterinærlægemidlet til dyr:</w:t>
      </w:r>
    </w:p>
    <w:p w14:paraId="1EC39606" w14:textId="77777777" w:rsidR="00494970" w:rsidRPr="00494970" w:rsidRDefault="00494970" w:rsidP="00494970">
      <w:pPr>
        <w:tabs>
          <w:tab w:val="left" w:pos="1304"/>
        </w:tabs>
        <w:ind w:left="851"/>
        <w:rPr>
          <w:sz w:val="24"/>
          <w:szCs w:val="24"/>
        </w:rPr>
      </w:pPr>
      <w:r w:rsidRPr="00494970">
        <w:rPr>
          <w:sz w:val="24"/>
          <w:szCs w:val="24"/>
        </w:rPr>
        <w:t xml:space="preserve">Dette veterinærlægemiddel kan forårsage sensibilisering og </w:t>
      </w:r>
      <w:proofErr w:type="spellStart"/>
      <w:r w:rsidRPr="00494970">
        <w:rPr>
          <w:sz w:val="24"/>
          <w:szCs w:val="24"/>
        </w:rPr>
        <w:t>kontaktdermatitis</w:t>
      </w:r>
      <w:proofErr w:type="spellEnd"/>
      <w:r w:rsidRPr="00494970">
        <w:rPr>
          <w:sz w:val="24"/>
          <w:szCs w:val="24"/>
        </w:rPr>
        <w:t xml:space="preserve">. </w:t>
      </w:r>
    </w:p>
    <w:p w14:paraId="505F1F13" w14:textId="77777777" w:rsidR="00494970" w:rsidRPr="00494970" w:rsidRDefault="00494970" w:rsidP="00494970">
      <w:pPr>
        <w:tabs>
          <w:tab w:val="left" w:pos="1304"/>
        </w:tabs>
        <w:ind w:left="851"/>
        <w:rPr>
          <w:sz w:val="24"/>
          <w:szCs w:val="24"/>
        </w:rPr>
      </w:pPr>
      <w:r w:rsidRPr="00494970">
        <w:rPr>
          <w:sz w:val="24"/>
          <w:szCs w:val="24"/>
        </w:rPr>
        <w:t xml:space="preserve">Overfølsomhed over for penicilliner kan medføre krydsreaktioner over for </w:t>
      </w:r>
      <w:proofErr w:type="spellStart"/>
      <w:r w:rsidRPr="00494970">
        <w:rPr>
          <w:sz w:val="24"/>
          <w:szCs w:val="24"/>
        </w:rPr>
        <w:t>cephalosporiner</w:t>
      </w:r>
      <w:proofErr w:type="spellEnd"/>
      <w:r w:rsidRPr="00494970">
        <w:rPr>
          <w:sz w:val="24"/>
          <w:szCs w:val="24"/>
        </w:rPr>
        <w:t xml:space="preserve"> og </w:t>
      </w:r>
      <w:r w:rsidRPr="00494970">
        <w:rPr>
          <w:i/>
          <w:iCs/>
          <w:sz w:val="24"/>
          <w:szCs w:val="24"/>
        </w:rPr>
        <w:t>vice versa</w:t>
      </w:r>
      <w:r w:rsidRPr="00494970">
        <w:rPr>
          <w:sz w:val="24"/>
          <w:szCs w:val="24"/>
        </w:rPr>
        <w:t>.</w:t>
      </w:r>
    </w:p>
    <w:p w14:paraId="6C37ECE6" w14:textId="77777777" w:rsidR="00494970" w:rsidRPr="00494970" w:rsidRDefault="00494970" w:rsidP="00494970">
      <w:pPr>
        <w:tabs>
          <w:tab w:val="left" w:pos="1304"/>
        </w:tabs>
        <w:ind w:left="851"/>
        <w:rPr>
          <w:sz w:val="24"/>
          <w:szCs w:val="24"/>
        </w:rPr>
      </w:pPr>
      <w:r w:rsidRPr="00494970">
        <w:rPr>
          <w:sz w:val="24"/>
          <w:szCs w:val="24"/>
        </w:rPr>
        <w:t>Allergiske reaktioner over for disse stoffer kan nogle gange være alvorlige.</w:t>
      </w:r>
    </w:p>
    <w:p w14:paraId="38881AF5" w14:textId="77777777" w:rsidR="00494970" w:rsidRPr="00494970" w:rsidRDefault="00494970" w:rsidP="00494970">
      <w:pPr>
        <w:tabs>
          <w:tab w:val="left" w:pos="1304"/>
        </w:tabs>
        <w:ind w:left="851"/>
        <w:rPr>
          <w:sz w:val="24"/>
          <w:szCs w:val="24"/>
        </w:rPr>
      </w:pPr>
      <w:r w:rsidRPr="00494970">
        <w:rPr>
          <w:sz w:val="24"/>
          <w:szCs w:val="24"/>
        </w:rPr>
        <w:t>Vær forsigtig ved håndtering af præparatet, således at hudkontakt eller selvinjektion undgås.</w:t>
      </w:r>
    </w:p>
    <w:p w14:paraId="587EF5F4" w14:textId="77777777" w:rsidR="00494970" w:rsidRPr="00494970" w:rsidRDefault="00494970" w:rsidP="00494970">
      <w:pPr>
        <w:tabs>
          <w:tab w:val="left" w:pos="1304"/>
        </w:tabs>
        <w:ind w:left="851"/>
        <w:rPr>
          <w:sz w:val="24"/>
          <w:szCs w:val="24"/>
        </w:rPr>
      </w:pPr>
      <w:bookmarkStart w:id="2" w:name="_Hlk132276456"/>
      <w:r w:rsidRPr="00494970">
        <w:rPr>
          <w:sz w:val="24"/>
          <w:szCs w:val="24"/>
        </w:rPr>
        <w:t>Ved overfølsomhed over for penicilliner bør kontakt med veterinærlægemidlet undgås.</w:t>
      </w:r>
    </w:p>
    <w:bookmarkEnd w:id="2"/>
    <w:p w14:paraId="19AE8063" w14:textId="77777777" w:rsidR="00494970" w:rsidRPr="00494970" w:rsidRDefault="00494970" w:rsidP="00494970">
      <w:pPr>
        <w:tabs>
          <w:tab w:val="left" w:pos="1304"/>
        </w:tabs>
        <w:ind w:left="851"/>
        <w:rPr>
          <w:sz w:val="24"/>
          <w:szCs w:val="24"/>
        </w:rPr>
      </w:pPr>
      <w:r w:rsidRPr="00494970">
        <w:rPr>
          <w:sz w:val="24"/>
          <w:szCs w:val="24"/>
        </w:rPr>
        <w:t>Personligt beskyttelsesudstyr i form af handsker bør anvendes ved håndtering af veterinærlægemidlet.</w:t>
      </w:r>
    </w:p>
    <w:p w14:paraId="56801B46" w14:textId="77777777" w:rsidR="00494970" w:rsidRPr="00494970" w:rsidRDefault="00494970" w:rsidP="00494970">
      <w:pPr>
        <w:tabs>
          <w:tab w:val="left" w:pos="1304"/>
        </w:tabs>
        <w:ind w:left="851"/>
        <w:rPr>
          <w:sz w:val="24"/>
          <w:szCs w:val="24"/>
        </w:rPr>
      </w:pPr>
      <w:r w:rsidRPr="00494970">
        <w:rPr>
          <w:sz w:val="24"/>
          <w:szCs w:val="24"/>
        </w:rPr>
        <w:t>Vask hænderne efter brug.</w:t>
      </w:r>
    </w:p>
    <w:p w14:paraId="0BA326F2" w14:textId="6C3121FF" w:rsidR="00494970" w:rsidRPr="00494970" w:rsidRDefault="00494970" w:rsidP="00494970">
      <w:pPr>
        <w:tabs>
          <w:tab w:val="left" w:pos="1304"/>
        </w:tabs>
        <w:ind w:left="851"/>
        <w:rPr>
          <w:sz w:val="24"/>
          <w:szCs w:val="24"/>
        </w:rPr>
      </w:pPr>
      <w:r w:rsidRPr="00494970">
        <w:rPr>
          <w:sz w:val="24"/>
          <w:szCs w:val="24"/>
        </w:rPr>
        <w:t>I tilfælde af utilsigtet kontakt med huden, skal huden omgående vaskes med rigelige mængder vand. Hvis du får symptomer efter eksponering, som f.eks. hududslæt, eller i tilfælde af utilsigtet selvinjektion ved hændeligt uheld skal der straks søges lægehjælp, og indlægssedlen eller etiketten bør vises til lægen. Hævelser af ansigtet, læberne eller øjnene eller vejrtrækningsbesvær er mere alvorlige symptomer, som kræver øjeblikkelig lægehjælp.</w:t>
      </w:r>
    </w:p>
    <w:p w14:paraId="0D19D594" w14:textId="77777777" w:rsidR="00494970" w:rsidRPr="00494970" w:rsidRDefault="00494970" w:rsidP="00494970">
      <w:pPr>
        <w:tabs>
          <w:tab w:val="left" w:pos="1304"/>
        </w:tabs>
        <w:ind w:left="851"/>
        <w:rPr>
          <w:sz w:val="24"/>
          <w:szCs w:val="24"/>
        </w:rPr>
      </w:pPr>
    </w:p>
    <w:p w14:paraId="33234311" w14:textId="77777777" w:rsidR="00494970" w:rsidRPr="00494970" w:rsidRDefault="00494970" w:rsidP="00494970">
      <w:pPr>
        <w:tabs>
          <w:tab w:val="left" w:pos="1304"/>
        </w:tabs>
        <w:ind w:left="851"/>
        <w:rPr>
          <w:sz w:val="24"/>
          <w:szCs w:val="24"/>
          <w:u w:val="single"/>
        </w:rPr>
      </w:pPr>
      <w:r w:rsidRPr="00494970">
        <w:rPr>
          <w:sz w:val="24"/>
          <w:szCs w:val="24"/>
          <w:u w:val="single"/>
        </w:rPr>
        <w:t>Særlige forholdsregler vedrørende beskyttelse af miljøet:</w:t>
      </w:r>
    </w:p>
    <w:p w14:paraId="6AD0B4C5" w14:textId="77777777" w:rsidR="00494970" w:rsidRPr="00494970" w:rsidRDefault="00494970" w:rsidP="00494970">
      <w:pPr>
        <w:tabs>
          <w:tab w:val="left" w:pos="1304"/>
        </w:tabs>
        <w:ind w:left="851"/>
        <w:rPr>
          <w:sz w:val="24"/>
          <w:szCs w:val="24"/>
        </w:rPr>
      </w:pPr>
      <w:r w:rsidRPr="00494970">
        <w:rPr>
          <w:sz w:val="24"/>
          <w:szCs w:val="24"/>
        </w:rPr>
        <w:t>Ikke relevant.</w:t>
      </w:r>
    </w:p>
    <w:p w14:paraId="4C9F120A" w14:textId="77777777" w:rsidR="008203A8" w:rsidRPr="00406EE7" w:rsidRDefault="008203A8" w:rsidP="008203A8">
      <w:pPr>
        <w:tabs>
          <w:tab w:val="left" w:pos="851"/>
        </w:tabs>
        <w:ind w:left="851"/>
        <w:rPr>
          <w:sz w:val="24"/>
          <w:szCs w:val="24"/>
        </w:rPr>
      </w:pPr>
    </w:p>
    <w:p w14:paraId="0D83F0AA" w14:textId="77777777" w:rsidR="008203A8" w:rsidRPr="00406EE7" w:rsidRDefault="008203A8" w:rsidP="00677155">
      <w:pPr>
        <w:keepNext/>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1391F8AD" w14:textId="77777777" w:rsidR="00494970" w:rsidRDefault="00494970" w:rsidP="00677155">
      <w:pPr>
        <w:keepNext/>
        <w:tabs>
          <w:tab w:val="left" w:pos="1304"/>
        </w:tabs>
        <w:ind w:left="851"/>
        <w:rPr>
          <w:sz w:val="24"/>
          <w:szCs w:val="24"/>
        </w:rPr>
      </w:pPr>
    </w:p>
    <w:p w14:paraId="1CD11560" w14:textId="0A0C43CE" w:rsidR="00494970" w:rsidRPr="00494970" w:rsidRDefault="00494970" w:rsidP="00494970">
      <w:pPr>
        <w:tabs>
          <w:tab w:val="left" w:pos="1304"/>
        </w:tabs>
        <w:ind w:left="851"/>
        <w:rPr>
          <w:sz w:val="24"/>
          <w:szCs w:val="24"/>
        </w:rPr>
      </w:pPr>
      <w:r w:rsidRPr="00494970">
        <w:rPr>
          <w:sz w:val="24"/>
          <w:szCs w:val="24"/>
        </w:rPr>
        <w:t>Kvæg (malkekøer):</w:t>
      </w:r>
    </w:p>
    <w:tbl>
      <w:tblPr>
        <w:tblW w:w="500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494970" w14:paraId="5C4A3EA2" w14:textId="77777777" w:rsidTr="00494970">
        <w:tc>
          <w:tcPr>
            <w:tcW w:w="2266" w:type="pct"/>
            <w:tcBorders>
              <w:top w:val="single" w:sz="4" w:space="0" w:color="auto"/>
              <w:left w:val="single" w:sz="4" w:space="0" w:color="auto"/>
              <w:bottom w:val="single" w:sz="4" w:space="0" w:color="auto"/>
              <w:right w:val="single" w:sz="4" w:space="0" w:color="auto"/>
            </w:tcBorders>
            <w:hideMark/>
          </w:tcPr>
          <w:p w14:paraId="1C2DD0D4" w14:textId="77777777" w:rsidR="00494970" w:rsidRDefault="00494970">
            <w:pPr>
              <w:tabs>
                <w:tab w:val="left" w:pos="1304"/>
              </w:tabs>
              <w:spacing w:before="60" w:after="60"/>
              <w:ind w:left="22" w:hanging="22"/>
            </w:pPr>
            <w:r>
              <w:t>Meget sjælden</w:t>
            </w:r>
          </w:p>
          <w:p w14:paraId="24B11D66" w14:textId="77777777" w:rsidR="00494970" w:rsidRDefault="00494970">
            <w:pPr>
              <w:tabs>
                <w:tab w:val="left" w:pos="1304"/>
              </w:tabs>
              <w:spacing w:before="60" w:after="60"/>
              <w:ind w:left="22" w:hanging="22"/>
              <w:rPr>
                <w:b/>
                <w:bCs/>
              </w:rPr>
            </w:pPr>
            <w:r>
              <w:t>(&lt; 1 dyr ud af 10 000 behandlede dyr, herunder enkeltstående indberetninger):</w:t>
            </w:r>
          </w:p>
        </w:tc>
        <w:tc>
          <w:tcPr>
            <w:tcW w:w="2734" w:type="pct"/>
            <w:tcBorders>
              <w:top w:val="single" w:sz="4" w:space="0" w:color="auto"/>
              <w:left w:val="single" w:sz="4" w:space="0" w:color="auto"/>
              <w:bottom w:val="single" w:sz="4" w:space="0" w:color="auto"/>
              <w:right w:val="single" w:sz="4" w:space="0" w:color="auto"/>
            </w:tcBorders>
            <w:hideMark/>
          </w:tcPr>
          <w:p w14:paraId="39C1975D" w14:textId="77777777" w:rsidR="00494970" w:rsidRDefault="00494970">
            <w:pPr>
              <w:tabs>
                <w:tab w:val="left" w:pos="1304"/>
              </w:tabs>
              <w:spacing w:before="60" w:after="60"/>
              <w:ind w:left="567" w:hanging="567"/>
              <w:rPr>
                <w:iCs/>
                <w:highlight w:val="yellow"/>
              </w:rPr>
            </w:pPr>
            <w:proofErr w:type="spellStart"/>
            <w:r>
              <w:rPr>
                <w:iCs/>
              </w:rPr>
              <w:t>U</w:t>
            </w:r>
            <w:r>
              <w:t>rticaria</w:t>
            </w:r>
            <w:proofErr w:type="spellEnd"/>
            <w:r>
              <w:t xml:space="preserve">, </w:t>
            </w:r>
            <w:proofErr w:type="spellStart"/>
            <w:r>
              <w:t>anafylaktisk</w:t>
            </w:r>
            <w:proofErr w:type="spellEnd"/>
            <w:r>
              <w:t xml:space="preserve"> </w:t>
            </w:r>
            <w:proofErr w:type="spellStart"/>
            <w:r>
              <w:t>chok</w:t>
            </w:r>
            <w:r>
              <w:rPr>
                <w:iCs/>
                <w:vertAlign w:val="superscript"/>
              </w:rPr>
              <w:t>a</w:t>
            </w:r>
            <w:proofErr w:type="spellEnd"/>
            <w:r>
              <w:rPr>
                <w:iCs/>
              </w:rPr>
              <w:t xml:space="preserve">, </w:t>
            </w:r>
            <w:proofErr w:type="spellStart"/>
            <w:r>
              <w:rPr>
                <w:iCs/>
              </w:rPr>
              <w:t>død</w:t>
            </w:r>
            <w:r>
              <w:rPr>
                <w:iCs/>
                <w:vertAlign w:val="superscript"/>
              </w:rPr>
              <w:t>a</w:t>
            </w:r>
            <w:proofErr w:type="spellEnd"/>
            <w:r>
              <w:rPr>
                <w:iCs/>
              </w:rPr>
              <w:t>.</w:t>
            </w:r>
          </w:p>
          <w:p w14:paraId="52D8A54C" w14:textId="77777777" w:rsidR="00494970" w:rsidRDefault="00494970">
            <w:pPr>
              <w:tabs>
                <w:tab w:val="left" w:pos="1304"/>
              </w:tabs>
              <w:spacing w:before="60" w:after="60"/>
              <w:ind w:left="567" w:hanging="567"/>
              <w:rPr>
                <w:iCs/>
                <w:highlight w:val="yellow"/>
              </w:rPr>
            </w:pPr>
            <w:r>
              <w:t>Sensibilisering over for penicilliner.</w:t>
            </w:r>
          </w:p>
        </w:tc>
      </w:tr>
      <w:tr w:rsidR="00494970" w14:paraId="392A374A" w14:textId="77777777" w:rsidTr="00494970">
        <w:tc>
          <w:tcPr>
            <w:tcW w:w="2266" w:type="pct"/>
            <w:tcBorders>
              <w:top w:val="single" w:sz="4" w:space="0" w:color="auto"/>
              <w:left w:val="single" w:sz="4" w:space="0" w:color="auto"/>
              <w:bottom w:val="single" w:sz="4" w:space="0" w:color="auto"/>
              <w:right w:val="single" w:sz="4" w:space="0" w:color="auto"/>
            </w:tcBorders>
            <w:hideMark/>
          </w:tcPr>
          <w:p w14:paraId="2751A784" w14:textId="77777777" w:rsidR="00494970" w:rsidRDefault="00494970">
            <w:pPr>
              <w:tabs>
                <w:tab w:val="left" w:pos="1304"/>
              </w:tabs>
              <w:spacing w:before="60" w:after="60"/>
            </w:pPr>
            <w:r>
              <w:t>Ikke kendt frekvens</w:t>
            </w:r>
          </w:p>
          <w:p w14:paraId="0294448E" w14:textId="77777777" w:rsidR="00494970" w:rsidRDefault="00494970">
            <w:pPr>
              <w:tabs>
                <w:tab w:val="left" w:pos="1304"/>
              </w:tabs>
              <w:spacing w:before="60" w:after="60"/>
            </w:pPr>
            <w:r>
              <w:t>(kan ikke estimeres ud fra de foreliggende data):</w:t>
            </w:r>
          </w:p>
        </w:tc>
        <w:tc>
          <w:tcPr>
            <w:tcW w:w="2734" w:type="pct"/>
            <w:tcBorders>
              <w:top w:val="single" w:sz="4" w:space="0" w:color="auto"/>
              <w:left w:val="single" w:sz="4" w:space="0" w:color="auto"/>
              <w:bottom w:val="single" w:sz="4" w:space="0" w:color="auto"/>
              <w:right w:val="single" w:sz="4" w:space="0" w:color="auto"/>
            </w:tcBorders>
            <w:hideMark/>
          </w:tcPr>
          <w:p w14:paraId="0D16A7A6" w14:textId="77777777" w:rsidR="00494970" w:rsidRDefault="00494970">
            <w:pPr>
              <w:tabs>
                <w:tab w:val="left" w:pos="1304"/>
              </w:tabs>
              <w:spacing w:before="60" w:after="60"/>
              <w:ind w:left="567" w:hanging="567"/>
              <w:rPr>
                <w:iCs/>
                <w:highlight w:val="yellow"/>
              </w:rPr>
            </w:pPr>
            <w:r>
              <w:t>Hudreaktioner (lette)</w:t>
            </w:r>
            <w:r>
              <w:rPr>
                <w:iCs/>
                <w:szCs w:val="22"/>
              </w:rPr>
              <w:t xml:space="preserve">, som f.eks. </w:t>
            </w:r>
            <w:proofErr w:type="spellStart"/>
            <w:r>
              <w:rPr>
                <w:iCs/>
                <w:szCs w:val="22"/>
              </w:rPr>
              <w:t>dermatitis</w:t>
            </w:r>
            <w:proofErr w:type="spellEnd"/>
            <w:r>
              <w:rPr>
                <w:iCs/>
                <w:szCs w:val="22"/>
              </w:rPr>
              <w:t>.</w:t>
            </w:r>
          </w:p>
        </w:tc>
      </w:tr>
    </w:tbl>
    <w:p w14:paraId="2397F442" w14:textId="77777777" w:rsidR="00494970" w:rsidRDefault="00494970" w:rsidP="00494970">
      <w:pPr>
        <w:tabs>
          <w:tab w:val="left" w:pos="1304"/>
        </w:tabs>
        <w:ind w:left="993" w:hanging="142"/>
        <w:rPr>
          <w:sz w:val="22"/>
        </w:rPr>
      </w:pPr>
      <w:r>
        <w:rPr>
          <w:vertAlign w:val="superscript"/>
        </w:rPr>
        <w:t>a</w:t>
      </w:r>
      <w:r>
        <w:tab/>
      </w:r>
      <w:proofErr w:type="spellStart"/>
      <w:r>
        <w:rPr>
          <w:sz w:val="20"/>
        </w:rPr>
        <w:t>Anafylaktisk</w:t>
      </w:r>
      <w:proofErr w:type="spellEnd"/>
      <w:r>
        <w:rPr>
          <w:sz w:val="20"/>
        </w:rPr>
        <w:t xml:space="preserve"> chok kan i meget sjældne tilfælde være dødeligt</w:t>
      </w:r>
    </w:p>
    <w:p w14:paraId="17823F20" w14:textId="77777777" w:rsidR="00494970" w:rsidRPr="00494970" w:rsidRDefault="00494970" w:rsidP="00494970">
      <w:pPr>
        <w:tabs>
          <w:tab w:val="left" w:pos="1304"/>
        </w:tabs>
        <w:ind w:left="851"/>
        <w:rPr>
          <w:sz w:val="24"/>
          <w:szCs w:val="24"/>
        </w:rPr>
      </w:pPr>
    </w:p>
    <w:p w14:paraId="7ABC7C79" w14:textId="77777777" w:rsidR="00494970" w:rsidRPr="00494970" w:rsidRDefault="00494970" w:rsidP="00494970">
      <w:pPr>
        <w:tabs>
          <w:tab w:val="left" w:pos="1304"/>
        </w:tabs>
        <w:ind w:left="851"/>
        <w:rPr>
          <w:sz w:val="24"/>
          <w:szCs w:val="24"/>
        </w:rPr>
      </w:pPr>
      <w:r w:rsidRPr="00494970">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p>
    <w:p w14:paraId="360248A3" w14:textId="77777777" w:rsidR="008203A8" w:rsidRPr="00406EE7" w:rsidRDefault="008203A8" w:rsidP="008203A8">
      <w:pPr>
        <w:tabs>
          <w:tab w:val="left" w:pos="851"/>
        </w:tabs>
        <w:ind w:left="851"/>
        <w:rPr>
          <w:sz w:val="24"/>
          <w:szCs w:val="24"/>
        </w:rPr>
      </w:pPr>
    </w:p>
    <w:p w14:paraId="10A958A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4941CCB3" w14:textId="77777777" w:rsidR="00494970" w:rsidRDefault="00494970" w:rsidP="00494970">
      <w:pPr>
        <w:tabs>
          <w:tab w:val="left" w:pos="1304"/>
        </w:tabs>
        <w:ind w:left="851"/>
        <w:rPr>
          <w:sz w:val="24"/>
          <w:szCs w:val="24"/>
          <w:u w:val="single"/>
        </w:rPr>
      </w:pPr>
    </w:p>
    <w:p w14:paraId="6D5D0A8C" w14:textId="7D769512" w:rsidR="00494970" w:rsidRPr="00494970" w:rsidRDefault="00494970" w:rsidP="00494970">
      <w:pPr>
        <w:tabs>
          <w:tab w:val="left" w:pos="1304"/>
        </w:tabs>
        <w:ind w:left="851"/>
        <w:rPr>
          <w:sz w:val="24"/>
          <w:szCs w:val="24"/>
        </w:rPr>
      </w:pPr>
      <w:r w:rsidRPr="00494970">
        <w:rPr>
          <w:sz w:val="24"/>
          <w:szCs w:val="24"/>
          <w:u w:val="single"/>
        </w:rPr>
        <w:t>Drægtighed og laktation</w:t>
      </w:r>
      <w:r w:rsidRPr="00494970">
        <w:rPr>
          <w:sz w:val="24"/>
          <w:szCs w:val="24"/>
        </w:rPr>
        <w:t>:</w:t>
      </w:r>
    </w:p>
    <w:p w14:paraId="0303341A" w14:textId="77777777" w:rsidR="00494970" w:rsidRPr="00494970" w:rsidRDefault="00494970" w:rsidP="00494970">
      <w:pPr>
        <w:tabs>
          <w:tab w:val="left" w:pos="1304"/>
        </w:tabs>
        <w:ind w:left="851"/>
        <w:rPr>
          <w:sz w:val="24"/>
          <w:szCs w:val="24"/>
        </w:rPr>
      </w:pPr>
      <w:r w:rsidRPr="00494970">
        <w:rPr>
          <w:sz w:val="24"/>
          <w:szCs w:val="24"/>
        </w:rPr>
        <w:t>Kan anvendes under drægtighed og</w:t>
      </w:r>
      <w:r w:rsidRPr="00494970">
        <w:rPr>
          <w:bCs/>
          <w:sz w:val="24"/>
          <w:szCs w:val="24"/>
        </w:rPr>
        <w:t xml:space="preserve"> diegivning</w:t>
      </w:r>
      <w:r w:rsidRPr="00494970">
        <w:rPr>
          <w:sz w:val="24"/>
          <w:szCs w:val="24"/>
        </w:rPr>
        <w:t>.</w:t>
      </w:r>
    </w:p>
    <w:p w14:paraId="570E678F" w14:textId="77777777" w:rsidR="008203A8" w:rsidRPr="00406EE7" w:rsidRDefault="008203A8" w:rsidP="008203A8">
      <w:pPr>
        <w:tabs>
          <w:tab w:val="left" w:pos="851"/>
        </w:tabs>
        <w:ind w:left="851"/>
        <w:rPr>
          <w:sz w:val="24"/>
          <w:szCs w:val="24"/>
        </w:rPr>
      </w:pPr>
    </w:p>
    <w:p w14:paraId="5EA7AA3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613B0FCC" w14:textId="398AE222" w:rsidR="008203A8" w:rsidRPr="00BD2640" w:rsidRDefault="00BD2640" w:rsidP="008203A8">
      <w:pPr>
        <w:tabs>
          <w:tab w:val="left" w:pos="851"/>
        </w:tabs>
        <w:ind w:left="851"/>
        <w:rPr>
          <w:sz w:val="24"/>
          <w:szCs w:val="24"/>
        </w:rPr>
      </w:pPr>
      <w:r w:rsidRPr="00BD2640">
        <w:rPr>
          <w:sz w:val="24"/>
          <w:szCs w:val="24"/>
        </w:rPr>
        <w:t xml:space="preserve">Veterinærlægemidlet bør ikke administreres samtidigt med </w:t>
      </w:r>
      <w:proofErr w:type="spellStart"/>
      <w:r w:rsidRPr="00BD2640">
        <w:rPr>
          <w:sz w:val="24"/>
          <w:szCs w:val="24"/>
        </w:rPr>
        <w:t>bakteriostatiske</w:t>
      </w:r>
      <w:proofErr w:type="spellEnd"/>
      <w:r w:rsidRPr="00BD2640">
        <w:rPr>
          <w:sz w:val="24"/>
          <w:szCs w:val="24"/>
        </w:rPr>
        <w:t xml:space="preserve"> antibiotika.</w:t>
      </w:r>
    </w:p>
    <w:p w14:paraId="31D9E7F1" w14:textId="77777777" w:rsidR="008203A8" w:rsidRPr="00406EE7" w:rsidRDefault="008203A8" w:rsidP="008203A8">
      <w:pPr>
        <w:tabs>
          <w:tab w:val="left" w:pos="851"/>
        </w:tabs>
        <w:ind w:left="851"/>
        <w:rPr>
          <w:sz w:val="24"/>
          <w:szCs w:val="24"/>
        </w:rPr>
      </w:pPr>
    </w:p>
    <w:p w14:paraId="0FA3D26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1ACCA38D" w14:textId="61AF8132" w:rsidR="008203A8" w:rsidRPr="00BD2640" w:rsidRDefault="00BD2640" w:rsidP="008203A8">
      <w:pPr>
        <w:tabs>
          <w:tab w:val="left" w:pos="851"/>
        </w:tabs>
        <w:ind w:left="851"/>
        <w:rPr>
          <w:sz w:val="24"/>
          <w:szCs w:val="24"/>
        </w:rPr>
      </w:pPr>
      <w:r w:rsidRPr="00BD2640">
        <w:rPr>
          <w:noProof/>
          <w:sz w:val="24"/>
          <w:szCs w:val="24"/>
        </w:rPr>
        <w:t>Omrystes grundigt før brug.</w:t>
      </w:r>
      <w:r w:rsidRPr="00BD2640">
        <w:rPr>
          <w:noProof/>
          <w:sz w:val="24"/>
          <w:szCs w:val="24"/>
        </w:rPr>
        <w:br/>
        <w:t xml:space="preserve">Kun til intramuskulær administration, fortrinsvis i nakken. </w:t>
      </w:r>
      <w:r w:rsidRPr="00BD2640">
        <w:rPr>
          <w:noProof/>
          <w:sz w:val="24"/>
          <w:szCs w:val="24"/>
        </w:rPr>
        <w:br/>
        <w:t>Skal administreres skiftevis i højre og venstre side.</w:t>
      </w:r>
      <w:r w:rsidRPr="00BD2640">
        <w:rPr>
          <w:sz w:val="24"/>
          <w:szCs w:val="24"/>
        </w:rPr>
        <w:br/>
      </w:r>
      <w:r w:rsidRPr="00BD2640">
        <w:rPr>
          <w:sz w:val="24"/>
          <w:szCs w:val="24"/>
        </w:rPr>
        <w:br/>
        <w:t xml:space="preserve">Administrer 10-15 mg </w:t>
      </w:r>
      <w:proofErr w:type="spellStart"/>
      <w:r w:rsidRPr="00BD2640">
        <w:rPr>
          <w:sz w:val="24"/>
          <w:szCs w:val="24"/>
        </w:rPr>
        <w:t>penethamathydroiodid</w:t>
      </w:r>
      <w:proofErr w:type="spellEnd"/>
      <w:r w:rsidRPr="00BD2640">
        <w:rPr>
          <w:sz w:val="24"/>
          <w:szCs w:val="24"/>
        </w:rPr>
        <w:t xml:space="preserve"> pr. kg legemsvægt pr. dag, én gang dagligt i 3 på hinanden følgende dage, svarende til 2,5-3,75 ml veterinærlægemiddel pr. 100 kg legemsvægt pr. dag, én gang dagligt i 3 på hinanden følgende dage.</w:t>
      </w:r>
      <w:r w:rsidRPr="00BD2640">
        <w:rPr>
          <w:sz w:val="24"/>
          <w:szCs w:val="24"/>
        </w:rPr>
        <w:br/>
      </w:r>
      <w:r w:rsidRPr="00BD2640">
        <w:rPr>
          <w:sz w:val="24"/>
          <w:szCs w:val="24"/>
        </w:rPr>
        <w:br/>
        <w:t>Undgå underdosering. For at sikre korrekt dosering bør legemsvægten beregnes så nøjagtigt som muligt.</w:t>
      </w:r>
    </w:p>
    <w:p w14:paraId="37AB06AE" w14:textId="77777777" w:rsidR="008203A8" w:rsidRPr="00406EE7" w:rsidRDefault="008203A8" w:rsidP="008203A8">
      <w:pPr>
        <w:tabs>
          <w:tab w:val="left" w:pos="851"/>
        </w:tabs>
        <w:ind w:left="851"/>
        <w:rPr>
          <w:sz w:val="24"/>
          <w:szCs w:val="24"/>
        </w:rPr>
      </w:pPr>
    </w:p>
    <w:p w14:paraId="372C0C5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2FE32CBE" w14:textId="61F72F17" w:rsidR="008203A8" w:rsidRPr="00BD2640" w:rsidRDefault="00BD2640" w:rsidP="008203A8">
      <w:pPr>
        <w:tabs>
          <w:tab w:val="left" w:pos="851"/>
        </w:tabs>
        <w:ind w:left="851"/>
        <w:rPr>
          <w:sz w:val="24"/>
          <w:szCs w:val="24"/>
        </w:rPr>
      </w:pPr>
      <w:r w:rsidRPr="00BD2640">
        <w:rPr>
          <w:bCs/>
          <w:sz w:val="24"/>
          <w:szCs w:val="24"/>
        </w:rPr>
        <w:t>Der forventes ikke andre bivirkninger, end dem der er nævnt i pkt. 3.6, i tilfælde af overdosering.</w:t>
      </w:r>
    </w:p>
    <w:p w14:paraId="39385083" w14:textId="77777777" w:rsidR="008203A8" w:rsidRDefault="008203A8" w:rsidP="008203A8">
      <w:pPr>
        <w:tabs>
          <w:tab w:val="left" w:pos="851"/>
        </w:tabs>
        <w:ind w:left="851"/>
        <w:rPr>
          <w:sz w:val="24"/>
          <w:szCs w:val="24"/>
        </w:rPr>
      </w:pPr>
    </w:p>
    <w:p w14:paraId="4075831D"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02090A28" w14:textId="77777777" w:rsidR="00BD2640" w:rsidRPr="00BD2640" w:rsidRDefault="00BD2640" w:rsidP="00BD2640">
      <w:pPr>
        <w:tabs>
          <w:tab w:val="left" w:pos="1304"/>
        </w:tabs>
        <w:ind w:left="851"/>
        <w:rPr>
          <w:sz w:val="24"/>
          <w:szCs w:val="24"/>
        </w:rPr>
      </w:pPr>
      <w:r w:rsidRPr="00BD2640">
        <w:rPr>
          <w:sz w:val="24"/>
          <w:szCs w:val="24"/>
        </w:rPr>
        <w:t>Ikke relevant.</w:t>
      </w:r>
    </w:p>
    <w:p w14:paraId="16995261" w14:textId="77777777" w:rsidR="008203A8" w:rsidRPr="00406EE7" w:rsidRDefault="008203A8" w:rsidP="008203A8">
      <w:pPr>
        <w:tabs>
          <w:tab w:val="left" w:pos="851"/>
        </w:tabs>
        <w:ind w:left="851"/>
        <w:rPr>
          <w:sz w:val="24"/>
          <w:szCs w:val="24"/>
        </w:rPr>
      </w:pPr>
    </w:p>
    <w:p w14:paraId="12FA1E65"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206CC34A" w14:textId="52E1AF74" w:rsidR="008203A8" w:rsidRPr="00BD2640" w:rsidRDefault="00BD2640" w:rsidP="008203A8">
      <w:pPr>
        <w:tabs>
          <w:tab w:val="left" w:pos="851"/>
        </w:tabs>
        <w:ind w:left="851"/>
        <w:rPr>
          <w:sz w:val="24"/>
          <w:szCs w:val="24"/>
        </w:rPr>
      </w:pPr>
      <w:r w:rsidRPr="00BD2640">
        <w:rPr>
          <w:sz w:val="24"/>
          <w:szCs w:val="24"/>
        </w:rPr>
        <w:t>Mælk: 4 dage.</w:t>
      </w:r>
      <w:r w:rsidRPr="00BD2640">
        <w:rPr>
          <w:sz w:val="24"/>
          <w:szCs w:val="24"/>
        </w:rPr>
        <w:br/>
        <w:t>Slagtning: 10 dage.</w:t>
      </w:r>
    </w:p>
    <w:p w14:paraId="078CA303" w14:textId="77777777" w:rsidR="008203A8" w:rsidRPr="00406EE7" w:rsidRDefault="008203A8" w:rsidP="008203A8">
      <w:pPr>
        <w:pStyle w:val="Sidehoved"/>
        <w:tabs>
          <w:tab w:val="clear" w:pos="4819"/>
        </w:tabs>
        <w:ind w:left="851"/>
        <w:rPr>
          <w:szCs w:val="24"/>
        </w:rPr>
      </w:pPr>
    </w:p>
    <w:p w14:paraId="39565540" w14:textId="77777777" w:rsidR="008203A8" w:rsidRPr="00406EE7" w:rsidRDefault="008203A8" w:rsidP="008203A8">
      <w:pPr>
        <w:tabs>
          <w:tab w:val="left" w:pos="851"/>
        </w:tabs>
        <w:ind w:left="851"/>
        <w:rPr>
          <w:sz w:val="24"/>
          <w:szCs w:val="24"/>
        </w:rPr>
      </w:pPr>
    </w:p>
    <w:p w14:paraId="401143B4" w14:textId="1F67A23B" w:rsidR="008203A8" w:rsidRPr="00406EE7" w:rsidRDefault="008203A8" w:rsidP="008203A8">
      <w:pPr>
        <w:ind w:left="851" w:hanging="851"/>
        <w:rPr>
          <w:b/>
          <w:sz w:val="24"/>
          <w:szCs w:val="24"/>
        </w:rPr>
      </w:pPr>
      <w:r w:rsidRPr="00677155">
        <w:rPr>
          <w:b/>
          <w:sz w:val="24"/>
          <w:szCs w:val="24"/>
        </w:rPr>
        <w:t>4.</w:t>
      </w:r>
      <w:r w:rsidRPr="00677155">
        <w:rPr>
          <w:b/>
          <w:sz w:val="24"/>
          <w:szCs w:val="24"/>
        </w:rPr>
        <w:tab/>
      </w:r>
      <w:r w:rsidRPr="00CF75B4">
        <w:rPr>
          <w:b/>
          <w:sz w:val="24"/>
          <w:szCs w:val="24"/>
        </w:rPr>
        <w:t>FARMAKOLOGISKE</w:t>
      </w:r>
      <w:r w:rsidRPr="00406EE7">
        <w:rPr>
          <w:b/>
          <w:sz w:val="24"/>
          <w:szCs w:val="24"/>
        </w:rPr>
        <w:t xml:space="preserve"> </w:t>
      </w:r>
      <w:r>
        <w:rPr>
          <w:b/>
          <w:sz w:val="24"/>
          <w:szCs w:val="24"/>
        </w:rPr>
        <w:t>OPLYSNINGER</w:t>
      </w:r>
    </w:p>
    <w:p w14:paraId="715F26DB" w14:textId="77777777" w:rsidR="008203A8" w:rsidRDefault="008203A8" w:rsidP="008203A8">
      <w:pPr>
        <w:ind w:left="851"/>
        <w:rPr>
          <w:sz w:val="24"/>
          <w:szCs w:val="24"/>
        </w:rPr>
      </w:pPr>
    </w:p>
    <w:p w14:paraId="6A6290EC"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625EA731" w14:textId="5254EF28" w:rsidR="008203A8" w:rsidRDefault="00BD2640" w:rsidP="008203A8">
      <w:pPr>
        <w:ind w:left="851"/>
        <w:rPr>
          <w:sz w:val="24"/>
          <w:szCs w:val="24"/>
        </w:rPr>
      </w:pPr>
      <w:r w:rsidRPr="00BD2640">
        <w:rPr>
          <w:sz w:val="24"/>
          <w:szCs w:val="24"/>
        </w:rPr>
        <w:t>QJ01CE90</w:t>
      </w:r>
    </w:p>
    <w:p w14:paraId="6440ED7F" w14:textId="77777777" w:rsidR="008203A8" w:rsidRPr="00406EE7" w:rsidRDefault="008203A8" w:rsidP="008203A8">
      <w:pPr>
        <w:ind w:left="851"/>
        <w:rPr>
          <w:sz w:val="24"/>
          <w:szCs w:val="24"/>
        </w:rPr>
      </w:pPr>
    </w:p>
    <w:p w14:paraId="29E41427" w14:textId="77777777" w:rsidR="008203A8" w:rsidRPr="00406EE7" w:rsidRDefault="008203A8" w:rsidP="008203A8">
      <w:pPr>
        <w:tabs>
          <w:tab w:val="left" w:pos="851"/>
        </w:tabs>
        <w:ind w:left="851" w:hanging="851"/>
        <w:rPr>
          <w:b/>
          <w:sz w:val="24"/>
          <w:szCs w:val="24"/>
        </w:rPr>
      </w:pPr>
      <w:r w:rsidRPr="00677155">
        <w:rPr>
          <w:b/>
          <w:sz w:val="24"/>
          <w:szCs w:val="24"/>
        </w:rPr>
        <w:t>4.2</w:t>
      </w:r>
      <w:r w:rsidRPr="00677155">
        <w:rPr>
          <w:b/>
          <w:sz w:val="24"/>
          <w:szCs w:val="24"/>
        </w:rPr>
        <w:tab/>
      </w:r>
      <w:proofErr w:type="spellStart"/>
      <w:r w:rsidRPr="00CF75B4">
        <w:rPr>
          <w:b/>
          <w:sz w:val="24"/>
          <w:szCs w:val="24"/>
        </w:rPr>
        <w:t>Farmakodynamiske</w:t>
      </w:r>
      <w:proofErr w:type="spellEnd"/>
      <w:r w:rsidRPr="00CF75B4">
        <w:rPr>
          <w:b/>
          <w:sz w:val="24"/>
          <w:szCs w:val="24"/>
        </w:rPr>
        <w:t xml:space="preserve"> </w:t>
      </w:r>
      <w:r>
        <w:rPr>
          <w:b/>
          <w:sz w:val="24"/>
          <w:szCs w:val="24"/>
        </w:rPr>
        <w:t>oplysninger</w:t>
      </w:r>
    </w:p>
    <w:p w14:paraId="1F972FD6" w14:textId="2DDC0AE2" w:rsidR="00BD2640" w:rsidRPr="00BD2640" w:rsidRDefault="00BD2640" w:rsidP="00BD2640">
      <w:pPr>
        <w:tabs>
          <w:tab w:val="left" w:pos="1304"/>
        </w:tabs>
        <w:ind w:left="851"/>
        <w:rPr>
          <w:sz w:val="24"/>
          <w:szCs w:val="24"/>
        </w:rPr>
      </w:pPr>
      <w:r w:rsidRPr="00BD2640">
        <w:rPr>
          <w:sz w:val="24"/>
          <w:szCs w:val="24"/>
        </w:rPr>
        <w:t xml:space="preserve">I vandige miljøer hydrolyseres </w:t>
      </w:r>
      <w:proofErr w:type="spellStart"/>
      <w:r w:rsidRPr="00BD2640">
        <w:rPr>
          <w:sz w:val="24"/>
          <w:szCs w:val="24"/>
        </w:rPr>
        <w:t>penethamat</w:t>
      </w:r>
      <w:proofErr w:type="spellEnd"/>
      <w:r w:rsidRPr="00BD2640">
        <w:rPr>
          <w:sz w:val="24"/>
          <w:szCs w:val="24"/>
        </w:rPr>
        <w:t xml:space="preserve"> til </w:t>
      </w:r>
      <w:proofErr w:type="spellStart"/>
      <w:r w:rsidRPr="00BD2640">
        <w:rPr>
          <w:sz w:val="24"/>
          <w:szCs w:val="24"/>
        </w:rPr>
        <w:t>benzylpenicillin</w:t>
      </w:r>
      <w:proofErr w:type="spellEnd"/>
      <w:r w:rsidRPr="00BD2640">
        <w:rPr>
          <w:sz w:val="24"/>
          <w:szCs w:val="24"/>
        </w:rPr>
        <w:t xml:space="preserve"> og </w:t>
      </w:r>
      <w:proofErr w:type="spellStart"/>
      <w:r w:rsidRPr="00BD2640">
        <w:rPr>
          <w:sz w:val="24"/>
          <w:szCs w:val="24"/>
        </w:rPr>
        <w:t>diethylaminoethanol</w:t>
      </w:r>
      <w:proofErr w:type="spellEnd"/>
      <w:r w:rsidRPr="00BD2640">
        <w:rPr>
          <w:sz w:val="24"/>
          <w:szCs w:val="24"/>
        </w:rPr>
        <w:t xml:space="preserve">. </w:t>
      </w:r>
      <w:proofErr w:type="spellStart"/>
      <w:r w:rsidRPr="00BD2640">
        <w:rPr>
          <w:sz w:val="24"/>
          <w:szCs w:val="24"/>
        </w:rPr>
        <w:t>Benzylpenicillin</w:t>
      </w:r>
      <w:proofErr w:type="spellEnd"/>
      <w:r w:rsidRPr="00BD2640">
        <w:rPr>
          <w:sz w:val="24"/>
          <w:szCs w:val="24"/>
        </w:rPr>
        <w:t xml:space="preserve"> virker ved at hæmme cellevægssyntesen under bakteriel celle vækst, og dets aktivitet er primært baktericid og tidsafhængig. Det antimikrobielle spektrum for det aktive indholdsstof svarer til det, der gælder for </w:t>
      </w:r>
      <w:proofErr w:type="spellStart"/>
      <w:r w:rsidRPr="00BD2640">
        <w:rPr>
          <w:sz w:val="24"/>
          <w:szCs w:val="24"/>
        </w:rPr>
        <w:t>benzylpenicillin</w:t>
      </w:r>
      <w:proofErr w:type="spellEnd"/>
      <w:r w:rsidRPr="00BD2640">
        <w:rPr>
          <w:sz w:val="24"/>
          <w:szCs w:val="24"/>
        </w:rPr>
        <w:t>, som er effektivt mod beta-</w:t>
      </w:r>
      <w:proofErr w:type="spellStart"/>
      <w:r w:rsidRPr="00BD2640">
        <w:rPr>
          <w:sz w:val="24"/>
          <w:szCs w:val="24"/>
        </w:rPr>
        <w:t>lactamase</w:t>
      </w:r>
      <w:proofErr w:type="spellEnd"/>
      <w:r w:rsidRPr="00BD2640">
        <w:rPr>
          <w:sz w:val="24"/>
          <w:szCs w:val="24"/>
        </w:rPr>
        <w:t xml:space="preserve">-negative </w:t>
      </w:r>
      <w:proofErr w:type="spellStart"/>
      <w:r w:rsidRPr="00BD2640">
        <w:rPr>
          <w:i/>
          <w:iCs/>
          <w:sz w:val="24"/>
          <w:szCs w:val="24"/>
        </w:rPr>
        <w:t>Streptococcus</w:t>
      </w:r>
      <w:proofErr w:type="spellEnd"/>
      <w:r w:rsidRPr="00BD2640">
        <w:rPr>
          <w:i/>
          <w:iCs/>
          <w:sz w:val="24"/>
          <w:szCs w:val="24"/>
        </w:rPr>
        <w:t xml:space="preserve"> </w:t>
      </w:r>
      <w:proofErr w:type="spellStart"/>
      <w:r w:rsidRPr="00BD2640">
        <w:rPr>
          <w:i/>
          <w:iCs/>
          <w:sz w:val="24"/>
          <w:szCs w:val="24"/>
        </w:rPr>
        <w:t>agalactiae</w:t>
      </w:r>
      <w:proofErr w:type="spellEnd"/>
      <w:r w:rsidRPr="00BD2640">
        <w:rPr>
          <w:i/>
          <w:iCs/>
          <w:sz w:val="24"/>
          <w:szCs w:val="24"/>
        </w:rPr>
        <w:t xml:space="preserve">, </w:t>
      </w:r>
      <w:proofErr w:type="spellStart"/>
      <w:r w:rsidRPr="00BD2640">
        <w:rPr>
          <w:i/>
          <w:iCs/>
          <w:sz w:val="24"/>
          <w:szCs w:val="24"/>
        </w:rPr>
        <w:t>Streptococcus</w:t>
      </w:r>
      <w:proofErr w:type="spellEnd"/>
      <w:r w:rsidRPr="00BD2640">
        <w:rPr>
          <w:i/>
          <w:iCs/>
          <w:sz w:val="24"/>
          <w:szCs w:val="24"/>
        </w:rPr>
        <w:t xml:space="preserve"> </w:t>
      </w:r>
      <w:proofErr w:type="spellStart"/>
      <w:r w:rsidRPr="00BD2640">
        <w:rPr>
          <w:i/>
          <w:iCs/>
          <w:sz w:val="24"/>
          <w:szCs w:val="24"/>
        </w:rPr>
        <w:t>dysgalactiae</w:t>
      </w:r>
      <w:proofErr w:type="spellEnd"/>
      <w:r w:rsidRPr="00BD2640">
        <w:rPr>
          <w:i/>
          <w:iCs/>
          <w:sz w:val="24"/>
          <w:szCs w:val="24"/>
        </w:rPr>
        <w:t xml:space="preserve">, </w:t>
      </w:r>
      <w:proofErr w:type="spellStart"/>
      <w:r w:rsidRPr="00BD2640">
        <w:rPr>
          <w:i/>
          <w:iCs/>
          <w:sz w:val="24"/>
          <w:szCs w:val="24"/>
        </w:rPr>
        <w:t>Streptococcus</w:t>
      </w:r>
      <w:proofErr w:type="spellEnd"/>
      <w:r w:rsidRPr="00BD2640">
        <w:rPr>
          <w:i/>
          <w:iCs/>
          <w:sz w:val="24"/>
          <w:szCs w:val="24"/>
        </w:rPr>
        <w:t xml:space="preserve"> </w:t>
      </w:r>
      <w:proofErr w:type="spellStart"/>
      <w:r w:rsidRPr="00BD2640">
        <w:rPr>
          <w:i/>
          <w:iCs/>
          <w:sz w:val="24"/>
          <w:szCs w:val="24"/>
        </w:rPr>
        <w:t>uberis</w:t>
      </w:r>
      <w:proofErr w:type="spellEnd"/>
      <w:r w:rsidRPr="00BD2640">
        <w:rPr>
          <w:sz w:val="24"/>
          <w:szCs w:val="24"/>
        </w:rPr>
        <w:t xml:space="preserve"> og </w:t>
      </w:r>
      <w:proofErr w:type="spellStart"/>
      <w:r w:rsidRPr="00BD2640">
        <w:rPr>
          <w:i/>
          <w:iCs/>
          <w:sz w:val="24"/>
          <w:szCs w:val="24"/>
        </w:rPr>
        <w:t>Staphylococcus</w:t>
      </w:r>
      <w:proofErr w:type="spellEnd"/>
      <w:r w:rsidRPr="00BD2640">
        <w:rPr>
          <w:i/>
          <w:iCs/>
          <w:sz w:val="24"/>
          <w:szCs w:val="24"/>
        </w:rPr>
        <w:t xml:space="preserve"> aureus</w:t>
      </w:r>
      <w:r w:rsidRPr="00BD2640">
        <w:rPr>
          <w:sz w:val="24"/>
          <w:szCs w:val="24"/>
        </w:rPr>
        <w:t>. I 2011 var MIC</w:t>
      </w:r>
      <w:r w:rsidRPr="00BD2640">
        <w:rPr>
          <w:sz w:val="24"/>
          <w:szCs w:val="24"/>
          <w:vertAlign w:val="subscript"/>
        </w:rPr>
        <w:t>90</w:t>
      </w:r>
      <w:r w:rsidRPr="00BD2640">
        <w:rPr>
          <w:sz w:val="24"/>
          <w:szCs w:val="24"/>
        </w:rPr>
        <w:t xml:space="preserve">-værdierne for penicillin i Sverige 0,12 µg/ml for </w:t>
      </w:r>
      <w:r w:rsidRPr="00BD2640">
        <w:rPr>
          <w:i/>
          <w:iCs/>
          <w:sz w:val="24"/>
          <w:szCs w:val="24"/>
        </w:rPr>
        <w:t>S. aureus</w:t>
      </w:r>
      <w:r w:rsidRPr="00BD2640">
        <w:rPr>
          <w:sz w:val="24"/>
          <w:szCs w:val="24"/>
        </w:rPr>
        <w:t xml:space="preserve">, 0,12 µg/ml for </w:t>
      </w:r>
      <w:r w:rsidRPr="00BD2640">
        <w:rPr>
          <w:i/>
          <w:iCs/>
          <w:sz w:val="24"/>
          <w:szCs w:val="24"/>
        </w:rPr>
        <w:t xml:space="preserve">S. </w:t>
      </w:r>
      <w:proofErr w:type="spellStart"/>
      <w:r w:rsidRPr="00BD2640">
        <w:rPr>
          <w:i/>
          <w:iCs/>
          <w:sz w:val="24"/>
          <w:szCs w:val="24"/>
        </w:rPr>
        <w:t>dysgalactiae</w:t>
      </w:r>
      <w:proofErr w:type="spellEnd"/>
      <w:r w:rsidRPr="00BD2640">
        <w:rPr>
          <w:sz w:val="24"/>
          <w:szCs w:val="24"/>
        </w:rPr>
        <w:t xml:space="preserve"> og 0,12 µg/ml for </w:t>
      </w:r>
      <w:r w:rsidRPr="00BD2640">
        <w:rPr>
          <w:i/>
          <w:iCs/>
          <w:sz w:val="24"/>
          <w:szCs w:val="24"/>
        </w:rPr>
        <w:t>S.</w:t>
      </w:r>
      <w:r w:rsidR="00677155">
        <w:rPr>
          <w:i/>
          <w:iCs/>
          <w:sz w:val="24"/>
          <w:szCs w:val="24"/>
        </w:rPr>
        <w:t> </w:t>
      </w:r>
      <w:proofErr w:type="spellStart"/>
      <w:r w:rsidRPr="00BD2640">
        <w:rPr>
          <w:i/>
          <w:iCs/>
          <w:sz w:val="24"/>
          <w:szCs w:val="24"/>
        </w:rPr>
        <w:t>uberis</w:t>
      </w:r>
      <w:proofErr w:type="spellEnd"/>
      <w:r w:rsidRPr="00BD2640">
        <w:rPr>
          <w:sz w:val="24"/>
          <w:szCs w:val="24"/>
        </w:rPr>
        <w:t>. I 2012 var MIC</w:t>
      </w:r>
      <w:r w:rsidRPr="00BD2640">
        <w:rPr>
          <w:sz w:val="24"/>
          <w:szCs w:val="24"/>
          <w:vertAlign w:val="subscript"/>
        </w:rPr>
        <w:t>90</w:t>
      </w:r>
      <w:r w:rsidRPr="00BD2640">
        <w:rPr>
          <w:sz w:val="24"/>
          <w:szCs w:val="24"/>
        </w:rPr>
        <w:t xml:space="preserve">-værdierne for penicillin i Tyskland 0,031 µg/ml for </w:t>
      </w:r>
      <w:r w:rsidRPr="00BD2640">
        <w:rPr>
          <w:i/>
          <w:iCs/>
          <w:sz w:val="24"/>
          <w:szCs w:val="24"/>
        </w:rPr>
        <w:t xml:space="preserve">S. </w:t>
      </w:r>
      <w:proofErr w:type="spellStart"/>
      <w:r w:rsidRPr="00BD2640">
        <w:rPr>
          <w:i/>
          <w:iCs/>
          <w:sz w:val="24"/>
          <w:szCs w:val="24"/>
        </w:rPr>
        <w:t>agalactiae</w:t>
      </w:r>
      <w:proofErr w:type="spellEnd"/>
      <w:r w:rsidRPr="00BD2640">
        <w:rPr>
          <w:sz w:val="24"/>
          <w:szCs w:val="24"/>
        </w:rPr>
        <w:t xml:space="preserve">, 0,015 µg/ml for </w:t>
      </w:r>
      <w:r w:rsidRPr="00BD2640">
        <w:rPr>
          <w:i/>
          <w:iCs/>
          <w:sz w:val="24"/>
          <w:szCs w:val="24"/>
        </w:rPr>
        <w:t xml:space="preserve">S. </w:t>
      </w:r>
      <w:proofErr w:type="spellStart"/>
      <w:r w:rsidRPr="00BD2640">
        <w:rPr>
          <w:i/>
          <w:iCs/>
          <w:sz w:val="24"/>
          <w:szCs w:val="24"/>
        </w:rPr>
        <w:t>dysgalactiae</w:t>
      </w:r>
      <w:proofErr w:type="spellEnd"/>
      <w:r w:rsidRPr="00BD2640">
        <w:rPr>
          <w:sz w:val="24"/>
          <w:szCs w:val="24"/>
        </w:rPr>
        <w:t xml:space="preserve"> og 0,125 µg/ml for </w:t>
      </w:r>
      <w:r w:rsidRPr="00BD2640">
        <w:rPr>
          <w:i/>
          <w:iCs/>
          <w:sz w:val="24"/>
          <w:szCs w:val="24"/>
        </w:rPr>
        <w:t xml:space="preserve">S. </w:t>
      </w:r>
      <w:proofErr w:type="spellStart"/>
      <w:r w:rsidRPr="00BD2640">
        <w:rPr>
          <w:i/>
          <w:iCs/>
          <w:sz w:val="24"/>
          <w:szCs w:val="24"/>
        </w:rPr>
        <w:t>uberis</w:t>
      </w:r>
      <w:proofErr w:type="spellEnd"/>
      <w:r w:rsidRPr="00BD2640">
        <w:rPr>
          <w:sz w:val="24"/>
          <w:szCs w:val="24"/>
        </w:rPr>
        <w:t>. I 2013 var MIC</w:t>
      </w:r>
      <w:r w:rsidRPr="00BD2640">
        <w:rPr>
          <w:sz w:val="24"/>
          <w:szCs w:val="24"/>
          <w:vertAlign w:val="subscript"/>
        </w:rPr>
        <w:t>90</w:t>
      </w:r>
      <w:r w:rsidRPr="00BD2640">
        <w:rPr>
          <w:sz w:val="24"/>
          <w:szCs w:val="24"/>
        </w:rPr>
        <w:t xml:space="preserve">-værdierne for penicillin i Schweiz 1,0 µg/ml for </w:t>
      </w:r>
      <w:r w:rsidRPr="00BD2640">
        <w:rPr>
          <w:i/>
          <w:iCs/>
          <w:sz w:val="24"/>
          <w:szCs w:val="24"/>
        </w:rPr>
        <w:t xml:space="preserve">S. </w:t>
      </w:r>
      <w:proofErr w:type="spellStart"/>
      <w:r w:rsidRPr="00BD2640">
        <w:rPr>
          <w:i/>
          <w:iCs/>
          <w:sz w:val="24"/>
          <w:szCs w:val="24"/>
        </w:rPr>
        <w:t>aureau</w:t>
      </w:r>
      <w:proofErr w:type="spellEnd"/>
      <w:r w:rsidRPr="00BD2640">
        <w:rPr>
          <w:sz w:val="24"/>
          <w:szCs w:val="24"/>
        </w:rPr>
        <w:t xml:space="preserve">, ≤0,12 µg/ml for </w:t>
      </w:r>
      <w:r w:rsidRPr="00BD2640">
        <w:rPr>
          <w:i/>
          <w:iCs/>
          <w:sz w:val="24"/>
          <w:szCs w:val="24"/>
        </w:rPr>
        <w:t xml:space="preserve">S. </w:t>
      </w:r>
      <w:proofErr w:type="spellStart"/>
      <w:r w:rsidRPr="00BD2640">
        <w:rPr>
          <w:i/>
          <w:iCs/>
          <w:sz w:val="24"/>
          <w:szCs w:val="24"/>
        </w:rPr>
        <w:t>dysgalactiae</w:t>
      </w:r>
      <w:proofErr w:type="spellEnd"/>
      <w:r w:rsidRPr="00BD2640">
        <w:rPr>
          <w:sz w:val="24"/>
          <w:szCs w:val="24"/>
        </w:rPr>
        <w:t xml:space="preserve"> og ≤0,12 µg/ml for </w:t>
      </w:r>
      <w:r w:rsidRPr="00BD2640">
        <w:rPr>
          <w:i/>
          <w:iCs/>
          <w:sz w:val="24"/>
          <w:szCs w:val="24"/>
        </w:rPr>
        <w:t xml:space="preserve">S. </w:t>
      </w:r>
      <w:proofErr w:type="spellStart"/>
      <w:r w:rsidRPr="00BD2640">
        <w:rPr>
          <w:i/>
          <w:iCs/>
          <w:sz w:val="24"/>
          <w:szCs w:val="24"/>
        </w:rPr>
        <w:t>uberis</w:t>
      </w:r>
      <w:proofErr w:type="spellEnd"/>
      <w:r w:rsidRPr="00BD2640">
        <w:rPr>
          <w:sz w:val="24"/>
          <w:szCs w:val="24"/>
        </w:rPr>
        <w:t xml:space="preserve">. EUCAST rapporterer en epidemiologisk </w:t>
      </w:r>
      <w:r w:rsidRPr="00BD2640">
        <w:rPr>
          <w:i/>
          <w:iCs/>
          <w:sz w:val="24"/>
          <w:szCs w:val="24"/>
        </w:rPr>
        <w:t xml:space="preserve">cut </w:t>
      </w:r>
      <w:proofErr w:type="spellStart"/>
      <w:r w:rsidRPr="00BD2640">
        <w:rPr>
          <w:i/>
          <w:iCs/>
          <w:sz w:val="24"/>
          <w:szCs w:val="24"/>
        </w:rPr>
        <w:t>off</w:t>
      </w:r>
      <w:proofErr w:type="spellEnd"/>
      <w:r w:rsidRPr="00BD2640">
        <w:rPr>
          <w:sz w:val="24"/>
          <w:szCs w:val="24"/>
        </w:rPr>
        <w:t xml:space="preserve">-værdi (ECOFF) på 0,125 µg/ml for </w:t>
      </w:r>
      <w:r w:rsidRPr="00BD2640">
        <w:rPr>
          <w:i/>
          <w:iCs/>
          <w:sz w:val="24"/>
          <w:szCs w:val="24"/>
        </w:rPr>
        <w:t>S. aureus</w:t>
      </w:r>
      <w:r w:rsidRPr="00BD2640">
        <w:rPr>
          <w:sz w:val="24"/>
          <w:szCs w:val="24"/>
        </w:rPr>
        <w:t xml:space="preserve"> og en ECOFF på 0,125 µg/ml for </w:t>
      </w:r>
      <w:r w:rsidRPr="00BD2640">
        <w:rPr>
          <w:i/>
          <w:iCs/>
          <w:sz w:val="24"/>
          <w:szCs w:val="24"/>
        </w:rPr>
        <w:t xml:space="preserve">S. </w:t>
      </w:r>
      <w:proofErr w:type="spellStart"/>
      <w:r w:rsidRPr="00BD2640">
        <w:rPr>
          <w:i/>
          <w:iCs/>
          <w:sz w:val="24"/>
          <w:szCs w:val="24"/>
        </w:rPr>
        <w:t>agalactiae</w:t>
      </w:r>
      <w:proofErr w:type="spellEnd"/>
      <w:r w:rsidRPr="00BD2640">
        <w:rPr>
          <w:sz w:val="24"/>
          <w:szCs w:val="24"/>
        </w:rPr>
        <w:t xml:space="preserve">. For </w:t>
      </w:r>
      <w:r w:rsidRPr="00BD2640">
        <w:rPr>
          <w:i/>
          <w:iCs/>
          <w:sz w:val="24"/>
          <w:szCs w:val="24"/>
        </w:rPr>
        <w:t>S.</w:t>
      </w:r>
      <w:r w:rsidR="00677155">
        <w:rPr>
          <w:i/>
          <w:iCs/>
          <w:sz w:val="24"/>
          <w:szCs w:val="24"/>
        </w:rPr>
        <w:t> </w:t>
      </w:r>
      <w:proofErr w:type="spellStart"/>
      <w:r w:rsidRPr="00BD2640">
        <w:rPr>
          <w:i/>
          <w:iCs/>
          <w:sz w:val="24"/>
          <w:szCs w:val="24"/>
        </w:rPr>
        <w:t>dysgalactiae</w:t>
      </w:r>
      <w:proofErr w:type="spellEnd"/>
      <w:r w:rsidRPr="00BD2640">
        <w:rPr>
          <w:sz w:val="24"/>
          <w:szCs w:val="24"/>
        </w:rPr>
        <w:t xml:space="preserve"> og</w:t>
      </w:r>
      <w:r w:rsidRPr="00BD2640">
        <w:rPr>
          <w:i/>
          <w:iCs/>
          <w:sz w:val="24"/>
          <w:szCs w:val="24"/>
        </w:rPr>
        <w:t xml:space="preserve"> S. </w:t>
      </w:r>
      <w:proofErr w:type="spellStart"/>
      <w:r w:rsidRPr="00BD2640">
        <w:rPr>
          <w:i/>
          <w:iCs/>
          <w:sz w:val="24"/>
          <w:szCs w:val="24"/>
        </w:rPr>
        <w:t>uberis</w:t>
      </w:r>
      <w:proofErr w:type="spellEnd"/>
      <w:r w:rsidRPr="00BD2640">
        <w:rPr>
          <w:sz w:val="24"/>
          <w:szCs w:val="24"/>
        </w:rPr>
        <w:t xml:space="preserve"> er der ikke blevet fastlagt nogen ECOFF-værdier. </w:t>
      </w:r>
      <w:r w:rsidRPr="00BD2640">
        <w:rPr>
          <w:sz w:val="24"/>
          <w:szCs w:val="24"/>
        </w:rPr>
        <w:br/>
      </w:r>
      <w:r w:rsidRPr="00BD2640">
        <w:rPr>
          <w:sz w:val="24"/>
          <w:szCs w:val="24"/>
        </w:rPr>
        <w:br/>
        <w:t>Den hyppigst forekommende resistensmekanisme er produktion af beta-</w:t>
      </w:r>
      <w:proofErr w:type="spellStart"/>
      <w:r w:rsidRPr="00BD2640">
        <w:rPr>
          <w:sz w:val="24"/>
          <w:szCs w:val="24"/>
        </w:rPr>
        <w:t>lactamaser</w:t>
      </w:r>
      <w:proofErr w:type="spellEnd"/>
      <w:r w:rsidRPr="00BD2640">
        <w:rPr>
          <w:sz w:val="24"/>
          <w:szCs w:val="24"/>
        </w:rPr>
        <w:t xml:space="preserve"> (mere specifikt penicillinase, især i </w:t>
      </w:r>
      <w:r w:rsidRPr="00BD2640">
        <w:rPr>
          <w:i/>
          <w:iCs/>
          <w:sz w:val="24"/>
          <w:szCs w:val="24"/>
        </w:rPr>
        <w:t>S. aureus</w:t>
      </w:r>
      <w:r w:rsidRPr="00BD2640">
        <w:rPr>
          <w:sz w:val="24"/>
          <w:szCs w:val="24"/>
        </w:rPr>
        <w:t>), som bryder penicillinernes beta-</w:t>
      </w:r>
      <w:proofErr w:type="spellStart"/>
      <w:r w:rsidRPr="00BD2640">
        <w:rPr>
          <w:sz w:val="24"/>
          <w:szCs w:val="24"/>
        </w:rPr>
        <w:t>lactamring</w:t>
      </w:r>
      <w:proofErr w:type="spellEnd"/>
      <w:r w:rsidRPr="00BD2640">
        <w:rPr>
          <w:sz w:val="24"/>
          <w:szCs w:val="24"/>
        </w:rPr>
        <w:t>, hvilket gør dem inaktive.</w:t>
      </w:r>
    </w:p>
    <w:p w14:paraId="6910286C" w14:textId="77777777" w:rsidR="008203A8" w:rsidRPr="00406EE7" w:rsidRDefault="008203A8" w:rsidP="008203A8">
      <w:pPr>
        <w:tabs>
          <w:tab w:val="left" w:pos="851"/>
        </w:tabs>
        <w:ind w:left="851"/>
        <w:rPr>
          <w:sz w:val="24"/>
          <w:szCs w:val="24"/>
        </w:rPr>
      </w:pPr>
    </w:p>
    <w:p w14:paraId="2BEBB69D" w14:textId="77777777" w:rsidR="008203A8" w:rsidRPr="00406EE7" w:rsidRDefault="008203A8" w:rsidP="008203A8">
      <w:pPr>
        <w:tabs>
          <w:tab w:val="left" w:pos="851"/>
        </w:tabs>
        <w:ind w:left="851" w:hanging="851"/>
        <w:rPr>
          <w:b/>
          <w:sz w:val="24"/>
          <w:szCs w:val="24"/>
        </w:rPr>
      </w:pPr>
      <w:r w:rsidRPr="00677155">
        <w:rPr>
          <w:b/>
          <w:sz w:val="24"/>
          <w:szCs w:val="24"/>
        </w:rPr>
        <w:t>4.3</w:t>
      </w:r>
      <w:r w:rsidRPr="00677155">
        <w:rPr>
          <w:b/>
          <w:sz w:val="24"/>
          <w:szCs w:val="24"/>
        </w:rPr>
        <w:tab/>
      </w:r>
      <w:proofErr w:type="spellStart"/>
      <w:r w:rsidRPr="002E7439">
        <w:rPr>
          <w:b/>
          <w:sz w:val="24"/>
          <w:szCs w:val="24"/>
        </w:rPr>
        <w:t>Farmakokinetiske</w:t>
      </w:r>
      <w:proofErr w:type="spellEnd"/>
      <w:r w:rsidRPr="002E7439">
        <w:rPr>
          <w:b/>
          <w:sz w:val="24"/>
          <w:szCs w:val="24"/>
        </w:rPr>
        <w:t xml:space="preserve"> oplysninger</w:t>
      </w:r>
    </w:p>
    <w:p w14:paraId="0CC976C9" w14:textId="0E75B67F" w:rsidR="008203A8" w:rsidRPr="00BD2640" w:rsidRDefault="00BD2640" w:rsidP="008203A8">
      <w:pPr>
        <w:tabs>
          <w:tab w:val="left" w:pos="851"/>
        </w:tabs>
        <w:ind w:left="851"/>
        <w:rPr>
          <w:sz w:val="24"/>
          <w:szCs w:val="24"/>
        </w:rPr>
      </w:pPr>
      <w:proofErr w:type="spellStart"/>
      <w:r w:rsidRPr="00BD2640">
        <w:rPr>
          <w:sz w:val="24"/>
          <w:szCs w:val="24"/>
        </w:rPr>
        <w:t>Penethamathydroiodid</w:t>
      </w:r>
      <w:proofErr w:type="spellEnd"/>
      <w:r w:rsidRPr="00BD2640">
        <w:rPr>
          <w:sz w:val="24"/>
          <w:szCs w:val="24"/>
        </w:rPr>
        <w:t xml:space="preserve"> er en </w:t>
      </w:r>
      <w:proofErr w:type="spellStart"/>
      <w:r w:rsidRPr="00BD2640">
        <w:rPr>
          <w:sz w:val="24"/>
          <w:szCs w:val="24"/>
        </w:rPr>
        <w:t>diethylaminoethylester</w:t>
      </w:r>
      <w:proofErr w:type="spellEnd"/>
      <w:r w:rsidRPr="00BD2640">
        <w:rPr>
          <w:sz w:val="24"/>
          <w:szCs w:val="24"/>
        </w:rPr>
        <w:t xml:space="preserve"> af penicillin, som indeholder en sur carboxylsyregruppe. Denne ester er </w:t>
      </w:r>
      <w:proofErr w:type="spellStart"/>
      <w:r w:rsidRPr="00BD2640">
        <w:rPr>
          <w:sz w:val="24"/>
          <w:szCs w:val="24"/>
        </w:rPr>
        <w:t>uioniseret</w:t>
      </w:r>
      <w:proofErr w:type="spellEnd"/>
      <w:r w:rsidRPr="00BD2640">
        <w:rPr>
          <w:sz w:val="24"/>
          <w:szCs w:val="24"/>
        </w:rPr>
        <w:t xml:space="preserve"> og har en høj fedtopløselighed. De væsentligste </w:t>
      </w:r>
      <w:proofErr w:type="spellStart"/>
      <w:r w:rsidRPr="00BD2640">
        <w:rPr>
          <w:sz w:val="24"/>
          <w:szCs w:val="24"/>
        </w:rPr>
        <w:t>farmakokinetiske</w:t>
      </w:r>
      <w:proofErr w:type="spellEnd"/>
      <w:r w:rsidRPr="00BD2640">
        <w:rPr>
          <w:sz w:val="24"/>
          <w:szCs w:val="24"/>
        </w:rPr>
        <w:t xml:space="preserve"> egenskaber for </w:t>
      </w:r>
      <w:proofErr w:type="spellStart"/>
      <w:r w:rsidRPr="00BD2640">
        <w:rPr>
          <w:sz w:val="24"/>
          <w:szCs w:val="24"/>
        </w:rPr>
        <w:t>penethamathydroiodid</w:t>
      </w:r>
      <w:proofErr w:type="spellEnd"/>
      <w:r w:rsidRPr="00BD2640">
        <w:rPr>
          <w:sz w:val="24"/>
          <w:szCs w:val="24"/>
        </w:rPr>
        <w:t xml:space="preserve"> er dets hurtige absorption med høj biotilgængelighed og hurtig </w:t>
      </w:r>
      <w:proofErr w:type="spellStart"/>
      <w:r w:rsidRPr="00BD2640">
        <w:rPr>
          <w:sz w:val="24"/>
          <w:szCs w:val="24"/>
        </w:rPr>
        <w:t>metabolisering</w:t>
      </w:r>
      <w:proofErr w:type="spellEnd"/>
      <w:r w:rsidRPr="00BD2640">
        <w:rPr>
          <w:sz w:val="24"/>
          <w:szCs w:val="24"/>
        </w:rPr>
        <w:t xml:space="preserve"> </w:t>
      </w:r>
      <w:r w:rsidRPr="00BD2640">
        <w:rPr>
          <w:i/>
          <w:iCs/>
          <w:sz w:val="24"/>
          <w:szCs w:val="24"/>
        </w:rPr>
        <w:t xml:space="preserve">in </w:t>
      </w:r>
      <w:proofErr w:type="spellStart"/>
      <w:r w:rsidRPr="00BD2640">
        <w:rPr>
          <w:i/>
          <w:iCs/>
          <w:sz w:val="24"/>
          <w:szCs w:val="24"/>
        </w:rPr>
        <w:t>vivo</w:t>
      </w:r>
      <w:proofErr w:type="spellEnd"/>
      <w:r w:rsidRPr="00BD2640">
        <w:rPr>
          <w:sz w:val="24"/>
          <w:szCs w:val="24"/>
        </w:rPr>
        <w:t xml:space="preserve"> til penicillin, det terapeutisk aktive molekyle. I kredsløbet hydrolyseres det hurtigt til </w:t>
      </w:r>
      <w:proofErr w:type="spellStart"/>
      <w:r w:rsidRPr="00BD2640">
        <w:rPr>
          <w:sz w:val="24"/>
          <w:szCs w:val="24"/>
        </w:rPr>
        <w:t>diethylaminoethanol</w:t>
      </w:r>
      <w:proofErr w:type="spellEnd"/>
      <w:r w:rsidRPr="00BD2640">
        <w:rPr>
          <w:sz w:val="24"/>
          <w:szCs w:val="24"/>
        </w:rPr>
        <w:t xml:space="preserve"> og penicillin, hvor cirka 90 % eksisterer som penicillin. Moderstoffet optages nemt i mælken på grund af dets høje fedtopløselighed. I mælken hydrolyseres det til penicillin som opretholder moderstoffets plasma/mælk koncentrationsforhold. Der er tale om en mekanisme med passiv diffusion fra en væske med et pH på 7,4 til en mere sur pH-værdi i mælk. Med en </w:t>
      </w:r>
      <w:proofErr w:type="spellStart"/>
      <w:r w:rsidRPr="00BD2640">
        <w:rPr>
          <w:sz w:val="24"/>
          <w:szCs w:val="24"/>
        </w:rPr>
        <w:t>pKa</w:t>
      </w:r>
      <w:proofErr w:type="spellEnd"/>
      <w:r w:rsidRPr="00BD2640">
        <w:rPr>
          <w:sz w:val="24"/>
          <w:szCs w:val="24"/>
        </w:rPr>
        <w:t xml:space="preserve">-værdi på 2,7 er penicillin stærkt ioniseret både i plasma og mælk. pH-gradienten mellem plasma (pH 7,4) og mælk (pH 6,6-6,8) er nedsat i </w:t>
      </w:r>
      <w:proofErr w:type="spellStart"/>
      <w:r w:rsidRPr="00BD2640">
        <w:rPr>
          <w:sz w:val="24"/>
          <w:szCs w:val="24"/>
        </w:rPr>
        <w:t>mastitis</w:t>
      </w:r>
      <w:proofErr w:type="spellEnd"/>
      <w:r w:rsidRPr="00BD2640">
        <w:rPr>
          <w:sz w:val="24"/>
          <w:szCs w:val="24"/>
        </w:rPr>
        <w:t>, men forsvinder dog aldrig.</w:t>
      </w:r>
      <w:r w:rsidRPr="00BD2640">
        <w:rPr>
          <w:sz w:val="24"/>
          <w:szCs w:val="24"/>
        </w:rPr>
        <w:br/>
      </w:r>
      <w:proofErr w:type="spellStart"/>
      <w:r w:rsidRPr="00BD2640">
        <w:rPr>
          <w:sz w:val="24"/>
          <w:szCs w:val="24"/>
        </w:rPr>
        <w:t>C</w:t>
      </w:r>
      <w:r w:rsidRPr="00BD2640">
        <w:rPr>
          <w:sz w:val="24"/>
          <w:szCs w:val="24"/>
          <w:vertAlign w:val="subscript"/>
        </w:rPr>
        <w:t>max</w:t>
      </w:r>
      <w:proofErr w:type="spellEnd"/>
      <w:r w:rsidRPr="00BD2640">
        <w:rPr>
          <w:sz w:val="24"/>
          <w:szCs w:val="24"/>
        </w:rPr>
        <w:t xml:space="preserve"> er 682 </w:t>
      </w:r>
      <w:proofErr w:type="spellStart"/>
      <w:r w:rsidRPr="00BD2640">
        <w:rPr>
          <w:sz w:val="24"/>
          <w:szCs w:val="24"/>
        </w:rPr>
        <w:t>ng</w:t>
      </w:r>
      <w:proofErr w:type="spellEnd"/>
      <w:r w:rsidRPr="00BD2640">
        <w:rPr>
          <w:sz w:val="24"/>
          <w:szCs w:val="24"/>
        </w:rPr>
        <w:t xml:space="preserve">/ml, </w:t>
      </w:r>
      <w:proofErr w:type="spellStart"/>
      <w:r w:rsidRPr="00BD2640">
        <w:rPr>
          <w:sz w:val="24"/>
          <w:szCs w:val="24"/>
        </w:rPr>
        <w:t>AUC</w:t>
      </w:r>
      <w:r w:rsidRPr="00BD2640">
        <w:rPr>
          <w:sz w:val="24"/>
          <w:szCs w:val="24"/>
          <w:vertAlign w:val="subscript"/>
        </w:rPr>
        <w:t>last</w:t>
      </w:r>
      <w:proofErr w:type="spellEnd"/>
      <w:r w:rsidRPr="00BD2640">
        <w:rPr>
          <w:sz w:val="24"/>
          <w:szCs w:val="24"/>
        </w:rPr>
        <w:t xml:space="preserve"> er 7770 t*</w:t>
      </w:r>
      <w:proofErr w:type="spellStart"/>
      <w:r w:rsidRPr="00BD2640">
        <w:rPr>
          <w:sz w:val="24"/>
          <w:szCs w:val="24"/>
        </w:rPr>
        <w:t>ng</w:t>
      </w:r>
      <w:proofErr w:type="spellEnd"/>
      <w:r w:rsidRPr="00BD2640">
        <w:rPr>
          <w:sz w:val="24"/>
          <w:szCs w:val="24"/>
        </w:rPr>
        <w:t>/ml, og eliminationshalveringstiden er 6,84 timer.</w:t>
      </w:r>
      <w:r w:rsidRPr="00BD2640">
        <w:rPr>
          <w:sz w:val="24"/>
          <w:szCs w:val="24"/>
        </w:rPr>
        <w:br/>
        <w:t xml:space="preserve">Udover udskillelsen i mælk udskilles </w:t>
      </w:r>
      <w:proofErr w:type="spellStart"/>
      <w:r w:rsidRPr="00BD2640">
        <w:rPr>
          <w:sz w:val="24"/>
          <w:szCs w:val="24"/>
        </w:rPr>
        <w:t>benzylpenicillin</w:t>
      </w:r>
      <w:proofErr w:type="spellEnd"/>
      <w:r w:rsidRPr="00BD2640">
        <w:rPr>
          <w:sz w:val="24"/>
          <w:szCs w:val="24"/>
        </w:rPr>
        <w:t xml:space="preserve"> også via nyrerne.</w:t>
      </w:r>
      <w:r w:rsidR="008203A8" w:rsidRPr="00BD2640">
        <w:rPr>
          <w:sz w:val="24"/>
          <w:szCs w:val="24"/>
        </w:rPr>
        <w:t xml:space="preserve"> </w:t>
      </w:r>
    </w:p>
    <w:p w14:paraId="27DEB704" w14:textId="77777777" w:rsidR="008203A8" w:rsidRPr="00406EE7" w:rsidRDefault="008203A8" w:rsidP="008203A8">
      <w:pPr>
        <w:tabs>
          <w:tab w:val="left" w:pos="851"/>
        </w:tabs>
        <w:ind w:left="851"/>
        <w:rPr>
          <w:sz w:val="24"/>
          <w:szCs w:val="24"/>
        </w:rPr>
      </w:pPr>
    </w:p>
    <w:p w14:paraId="3E2EB07C" w14:textId="77777777" w:rsidR="008203A8" w:rsidRPr="00406EE7" w:rsidRDefault="008203A8" w:rsidP="008203A8">
      <w:pPr>
        <w:tabs>
          <w:tab w:val="left" w:pos="851"/>
        </w:tabs>
        <w:ind w:left="851"/>
        <w:rPr>
          <w:sz w:val="24"/>
          <w:szCs w:val="24"/>
        </w:rPr>
      </w:pPr>
    </w:p>
    <w:p w14:paraId="20355B71"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3A01C216" w14:textId="77777777" w:rsidR="008203A8" w:rsidRPr="00406EE7" w:rsidRDefault="008203A8" w:rsidP="008203A8">
      <w:pPr>
        <w:tabs>
          <w:tab w:val="left" w:pos="851"/>
        </w:tabs>
        <w:ind w:left="851"/>
        <w:rPr>
          <w:sz w:val="24"/>
          <w:szCs w:val="24"/>
        </w:rPr>
      </w:pPr>
    </w:p>
    <w:p w14:paraId="707F9D22"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4A0D6833" w14:textId="0D680736" w:rsidR="008203A8" w:rsidRPr="00BD2640" w:rsidRDefault="00BD2640" w:rsidP="008203A8">
      <w:pPr>
        <w:tabs>
          <w:tab w:val="left" w:pos="851"/>
        </w:tabs>
        <w:ind w:left="851"/>
        <w:rPr>
          <w:sz w:val="24"/>
          <w:szCs w:val="24"/>
        </w:rPr>
      </w:pPr>
      <w:r w:rsidRPr="00BD2640">
        <w:rPr>
          <w:sz w:val="24"/>
          <w:szCs w:val="24"/>
        </w:rPr>
        <w:t>Må ikke blandes med andre veterinærlægemidler.</w:t>
      </w:r>
    </w:p>
    <w:p w14:paraId="6AE95079" w14:textId="77777777" w:rsidR="00BD2640" w:rsidRPr="00406EE7" w:rsidRDefault="00BD2640" w:rsidP="008203A8">
      <w:pPr>
        <w:tabs>
          <w:tab w:val="left" w:pos="851"/>
        </w:tabs>
        <w:ind w:left="851"/>
        <w:rPr>
          <w:sz w:val="24"/>
          <w:szCs w:val="24"/>
        </w:rPr>
      </w:pPr>
    </w:p>
    <w:p w14:paraId="7F633B33"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4CE0910B" w14:textId="69FDBF16" w:rsidR="008203A8" w:rsidRPr="00BD2640" w:rsidRDefault="00BD2640" w:rsidP="008203A8">
      <w:pPr>
        <w:tabs>
          <w:tab w:val="left" w:pos="851"/>
        </w:tabs>
        <w:ind w:left="851"/>
        <w:rPr>
          <w:sz w:val="24"/>
          <w:szCs w:val="24"/>
        </w:rPr>
      </w:pPr>
      <w:r w:rsidRPr="00BD2640">
        <w:rPr>
          <w:sz w:val="24"/>
          <w:szCs w:val="24"/>
        </w:rPr>
        <w:t>Opbevaringstid for veterinærlægemidlet i salgspakning: 2 år.</w:t>
      </w:r>
      <w:r w:rsidRPr="00BD2640">
        <w:rPr>
          <w:sz w:val="24"/>
          <w:szCs w:val="24"/>
        </w:rPr>
        <w:br/>
        <w:t>Opbevaringstid efter første åbning af den indre emballage: 28 dage.</w:t>
      </w:r>
    </w:p>
    <w:p w14:paraId="46989724" w14:textId="77777777" w:rsidR="00BD2640" w:rsidRPr="00BD2640" w:rsidRDefault="00BD2640" w:rsidP="008203A8">
      <w:pPr>
        <w:tabs>
          <w:tab w:val="left" w:pos="851"/>
        </w:tabs>
        <w:ind w:left="851"/>
        <w:rPr>
          <w:sz w:val="24"/>
          <w:szCs w:val="24"/>
        </w:rPr>
      </w:pPr>
    </w:p>
    <w:p w14:paraId="5E293D18"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6EDB00D4" w14:textId="77777777" w:rsidR="00A02418" w:rsidRPr="00A02418" w:rsidRDefault="00A02418" w:rsidP="00A02418">
      <w:pPr>
        <w:tabs>
          <w:tab w:val="left" w:pos="1304"/>
        </w:tabs>
        <w:ind w:left="851"/>
        <w:rPr>
          <w:noProof/>
          <w:sz w:val="24"/>
          <w:szCs w:val="24"/>
        </w:rPr>
      </w:pPr>
      <w:r w:rsidRPr="00A02418">
        <w:rPr>
          <w:noProof/>
          <w:sz w:val="24"/>
          <w:szCs w:val="24"/>
        </w:rPr>
        <w:t>Opbevares under 30 </w:t>
      </w:r>
      <w:r w:rsidRPr="00A02418">
        <w:rPr>
          <w:noProof/>
          <w:sz w:val="24"/>
          <w:szCs w:val="24"/>
        </w:rPr>
        <w:sym w:font="Symbol" w:char="F0B0"/>
      </w:r>
      <w:r w:rsidRPr="00A02418">
        <w:rPr>
          <w:noProof/>
          <w:sz w:val="24"/>
          <w:szCs w:val="24"/>
        </w:rPr>
        <w:t>C.</w:t>
      </w:r>
      <w:r w:rsidRPr="00A02418">
        <w:rPr>
          <w:noProof/>
          <w:sz w:val="24"/>
          <w:szCs w:val="24"/>
        </w:rPr>
        <w:br/>
        <w:t>Opbevares stående.</w:t>
      </w:r>
    </w:p>
    <w:p w14:paraId="459C812C" w14:textId="77777777" w:rsidR="008203A8" w:rsidRPr="00406EE7" w:rsidRDefault="008203A8" w:rsidP="008203A8">
      <w:pPr>
        <w:tabs>
          <w:tab w:val="left" w:pos="851"/>
        </w:tabs>
        <w:ind w:left="851"/>
        <w:rPr>
          <w:sz w:val="24"/>
          <w:szCs w:val="24"/>
        </w:rPr>
      </w:pPr>
    </w:p>
    <w:p w14:paraId="201447EF"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5F409D9A" w14:textId="77777777" w:rsidR="00A02418" w:rsidRPr="00A02418" w:rsidRDefault="00A02418" w:rsidP="00A02418">
      <w:pPr>
        <w:tabs>
          <w:tab w:val="left" w:pos="1304"/>
        </w:tabs>
        <w:ind w:left="851"/>
        <w:rPr>
          <w:sz w:val="24"/>
          <w:szCs w:val="24"/>
        </w:rPr>
      </w:pPr>
      <w:r w:rsidRPr="00A02418">
        <w:rPr>
          <w:sz w:val="24"/>
          <w:szCs w:val="24"/>
        </w:rPr>
        <w:t xml:space="preserve">Multidosis 50 ml ufarvede hætteglas (type II, </w:t>
      </w:r>
      <w:proofErr w:type="spellStart"/>
      <w:r w:rsidRPr="00A02418">
        <w:rPr>
          <w:sz w:val="24"/>
          <w:szCs w:val="24"/>
        </w:rPr>
        <w:t>Ph</w:t>
      </w:r>
      <w:proofErr w:type="spellEnd"/>
      <w:r w:rsidRPr="00A02418">
        <w:rPr>
          <w:sz w:val="24"/>
          <w:szCs w:val="24"/>
        </w:rPr>
        <w:t xml:space="preserve">. </w:t>
      </w:r>
      <w:proofErr w:type="spellStart"/>
      <w:r w:rsidRPr="00A02418">
        <w:rPr>
          <w:sz w:val="24"/>
          <w:szCs w:val="24"/>
        </w:rPr>
        <w:t>Eur</w:t>
      </w:r>
      <w:proofErr w:type="spellEnd"/>
      <w:r w:rsidRPr="00A02418">
        <w:rPr>
          <w:sz w:val="24"/>
          <w:szCs w:val="24"/>
        </w:rPr>
        <w:t xml:space="preserve">.), lukket med </w:t>
      </w:r>
      <w:proofErr w:type="spellStart"/>
      <w:r w:rsidRPr="00A02418">
        <w:rPr>
          <w:sz w:val="24"/>
          <w:szCs w:val="24"/>
        </w:rPr>
        <w:t>fluoropolymerbelagte</w:t>
      </w:r>
      <w:proofErr w:type="spellEnd"/>
      <w:r w:rsidRPr="00A02418">
        <w:rPr>
          <w:sz w:val="24"/>
          <w:szCs w:val="24"/>
        </w:rPr>
        <w:t xml:space="preserve"> gummipropper type I (</w:t>
      </w:r>
      <w:proofErr w:type="spellStart"/>
      <w:r w:rsidRPr="00A02418">
        <w:rPr>
          <w:sz w:val="24"/>
          <w:szCs w:val="24"/>
        </w:rPr>
        <w:t>Ph</w:t>
      </w:r>
      <w:proofErr w:type="spellEnd"/>
      <w:r w:rsidRPr="00A02418">
        <w:rPr>
          <w:sz w:val="24"/>
          <w:szCs w:val="24"/>
        </w:rPr>
        <w:t xml:space="preserve">. </w:t>
      </w:r>
      <w:proofErr w:type="spellStart"/>
      <w:r w:rsidRPr="00A02418">
        <w:rPr>
          <w:sz w:val="24"/>
          <w:szCs w:val="24"/>
        </w:rPr>
        <w:t>Eur</w:t>
      </w:r>
      <w:proofErr w:type="spellEnd"/>
      <w:r w:rsidRPr="00A02418">
        <w:rPr>
          <w:sz w:val="24"/>
          <w:szCs w:val="24"/>
        </w:rPr>
        <w:t>.), sikret med aluminiumshætter.</w:t>
      </w:r>
    </w:p>
    <w:p w14:paraId="4CEB06E5" w14:textId="77777777" w:rsidR="00A02418" w:rsidRPr="00A02418" w:rsidRDefault="00A02418" w:rsidP="00A02418">
      <w:pPr>
        <w:tabs>
          <w:tab w:val="left" w:pos="1304"/>
        </w:tabs>
        <w:ind w:left="851"/>
        <w:rPr>
          <w:sz w:val="24"/>
          <w:szCs w:val="24"/>
        </w:rPr>
      </w:pPr>
      <w:r w:rsidRPr="00A02418">
        <w:rPr>
          <w:sz w:val="24"/>
          <w:szCs w:val="24"/>
        </w:rPr>
        <w:t>1 hætteglas i en kartonæske.</w:t>
      </w:r>
    </w:p>
    <w:p w14:paraId="5117299A" w14:textId="77777777" w:rsidR="008203A8" w:rsidRPr="00A02418" w:rsidRDefault="008203A8" w:rsidP="00A02418">
      <w:pPr>
        <w:tabs>
          <w:tab w:val="left" w:pos="851"/>
        </w:tabs>
        <w:ind w:left="851"/>
        <w:rPr>
          <w:sz w:val="24"/>
          <w:szCs w:val="24"/>
        </w:rPr>
      </w:pPr>
    </w:p>
    <w:p w14:paraId="00A3CB12"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7A910318" w14:textId="77777777" w:rsidR="00A02418" w:rsidRPr="00A02418" w:rsidRDefault="00A02418" w:rsidP="00A02418">
      <w:pPr>
        <w:tabs>
          <w:tab w:val="left" w:pos="1304"/>
        </w:tabs>
        <w:ind w:left="851"/>
        <w:rPr>
          <w:sz w:val="24"/>
          <w:szCs w:val="24"/>
        </w:rPr>
      </w:pPr>
      <w:r w:rsidRPr="00A02418">
        <w:rPr>
          <w:sz w:val="24"/>
          <w:szCs w:val="24"/>
        </w:rPr>
        <w:t>Lægemidler må ikke bortskaffes sammen med spildevand eller husholdningsaffald.</w:t>
      </w:r>
    </w:p>
    <w:p w14:paraId="2830A9C7" w14:textId="77777777" w:rsidR="00A02418" w:rsidRPr="00A02418" w:rsidRDefault="00A02418" w:rsidP="00A02418">
      <w:pPr>
        <w:tabs>
          <w:tab w:val="left" w:pos="851"/>
          <w:tab w:val="left" w:pos="8222"/>
        </w:tabs>
        <w:ind w:left="851"/>
        <w:rPr>
          <w:sz w:val="24"/>
          <w:szCs w:val="24"/>
        </w:rPr>
      </w:pPr>
      <w:r w:rsidRPr="00A02418">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1BB5D6F5" w14:textId="77777777" w:rsidR="008203A8" w:rsidRDefault="008203A8" w:rsidP="008203A8">
      <w:pPr>
        <w:tabs>
          <w:tab w:val="left" w:pos="851"/>
        </w:tabs>
        <w:ind w:left="851"/>
        <w:rPr>
          <w:sz w:val="24"/>
          <w:szCs w:val="24"/>
        </w:rPr>
      </w:pPr>
    </w:p>
    <w:p w14:paraId="2A042825" w14:textId="77777777" w:rsidR="008203A8" w:rsidRPr="00070728" w:rsidRDefault="008203A8" w:rsidP="008203A8">
      <w:pPr>
        <w:tabs>
          <w:tab w:val="left" w:pos="851"/>
        </w:tabs>
        <w:ind w:left="851"/>
        <w:rPr>
          <w:sz w:val="24"/>
          <w:szCs w:val="24"/>
        </w:rPr>
      </w:pPr>
    </w:p>
    <w:p w14:paraId="7C84D8EF"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428AB615" w14:textId="77777777" w:rsidR="00E97E22" w:rsidRPr="00E97E22" w:rsidRDefault="00E97E22" w:rsidP="00E97E22">
      <w:pPr>
        <w:tabs>
          <w:tab w:val="left" w:pos="851"/>
        </w:tabs>
        <w:ind w:left="851"/>
        <w:rPr>
          <w:sz w:val="24"/>
          <w:szCs w:val="24"/>
          <w:lang w:val="en-US"/>
        </w:rPr>
      </w:pPr>
      <w:proofErr w:type="spellStart"/>
      <w:r w:rsidRPr="00E97E22">
        <w:rPr>
          <w:sz w:val="24"/>
          <w:szCs w:val="24"/>
          <w:lang w:val="en-US"/>
        </w:rPr>
        <w:t>Eurovet</w:t>
      </w:r>
      <w:proofErr w:type="spellEnd"/>
      <w:r w:rsidRPr="00E97E22">
        <w:rPr>
          <w:sz w:val="24"/>
          <w:szCs w:val="24"/>
          <w:lang w:val="en-US"/>
        </w:rPr>
        <w:t xml:space="preserve"> Animal Health BV </w:t>
      </w:r>
    </w:p>
    <w:p w14:paraId="5E781C6B" w14:textId="77777777" w:rsidR="00E97E22" w:rsidRPr="00E97E22" w:rsidRDefault="00E97E22" w:rsidP="00E97E22">
      <w:pPr>
        <w:tabs>
          <w:tab w:val="left" w:pos="851"/>
        </w:tabs>
        <w:ind w:left="851"/>
        <w:rPr>
          <w:sz w:val="24"/>
          <w:szCs w:val="24"/>
          <w:lang w:val="en-US"/>
        </w:rPr>
      </w:pPr>
      <w:proofErr w:type="spellStart"/>
      <w:r w:rsidRPr="00E97E22">
        <w:rPr>
          <w:sz w:val="24"/>
          <w:szCs w:val="24"/>
          <w:lang w:val="en-US"/>
        </w:rPr>
        <w:t>Handelsweg</w:t>
      </w:r>
      <w:proofErr w:type="spellEnd"/>
      <w:r w:rsidRPr="00E97E22">
        <w:rPr>
          <w:sz w:val="24"/>
          <w:szCs w:val="24"/>
          <w:lang w:val="en-US"/>
        </w:rPr>
        <w:t xml:space="preserve"> 25 </w:t>
      </w:r>
    </w:p>
    <w:p w14:paraId="40E71814" w14:textId="77777777" w:rsidR="00E97E22" w:rsidRPr="00E97E22" w:rsidRDefault="00E97E22" w:rsidP="00E97E22">
      <w:pPr>
        <w:tabs>
          <w:tab w:val="left" w:pos="851"/>
        </w:tabs>
        <w:ind w:left="851"/>
        <w:rPr>
          <w:sz w:val="24"/>
          <w:szCs w:val="24"/>
          <w:lang w:val="en-US"/>
        </w:rPr>
      </w:pPr>
      <w:r w:rsidRPr="00E97E22">
        <w:rPr>
          <w:sz w:val="24"/>
          <w:szCs w:val="24"/>
          <w:lang w:val="en-US"/>
        </w:rPr>
        <w:t xml:space="preserve">5531 AE </w:t>
      </w:r>
      <w:proofErr w:type="spellStart"/>
      <w:r w:rsidRPr="00E97E22">
        <w:rPr>
          <w:sz w:val="24"/>
          <w:szCs w:val="24"/>
          <w:lang w:val="en-US"/>
        </w:rPr>
        <w:t>Bladel</w:t>
      </w:r>
      <w:proofErr w:type="spellEnd"/>
      <w:r w:rsidRPr="00E97E22">
        <w:rPr>
          <w:sz w:val="24"/>
          <w:szCs w:val="24"/>
          <w:lang w:val="en-US"/>
        </w:rPr>
        <w:t xml:space="preserve"> </w:t>
      </w:r>
    </w:p>
    <w:p w14:paraId="0F8347F1" w14:textId="7C937D9F" w:rsidR="008203A8" w:rsidRPr="00E97E22" w:rsidRDefault="00E97E22" w:rsidP="00E97E22">
      <w:pPr>
        <w:tabs>
          <w:tab w:val="left" w:pos="851"/>
        </w:tabs>
        <w:ind w:left="851"/>
        <w:rPr>
          <w:sz w:val="24"/>
          <w:szCs w:val="24"/>
          <w:lang w:val="en-US"/>
        </w:rPr>
      </w:pPr>
      <w:r w:rsidRPr="00E97E22">
        <w:rPr>
          <w:sz w:val="24"/>
          <w:szCs w:val="24"/>
          <w:lang w:val="en-US"/>
        </w:rPr>
        <w:t>Holland</w:t>
      </w:r>
    </w:p>
    <w:p w14:paraId="3A6BB534" w14:textId="77777777" w:rsidR="008203A8" w:rsidRPr="00E97E22" w:rsidRDefault="008203A8" w:rsidP="008203A8">
      <w:pPr>
        <w:tabs>
          <w:tab w:val="left" w:pos="851"/>
        </w:tabs>
        <w:ind w:left="851"/>
        <w:rPr>
          <w:sz w:val="24"/>
          <w:szCs w:val="24"/>
          <w:lang w:val="en-US"/>
        </w:rPr>
      </w:pPr>
    </w:p>
    <w:p w14:paraId="51135EC3" w14:textId="77777777" w:rsidR="008203A8" w:rsidRPr="00E97E22" w:rsidRDefault="008203A8" w:rsidP="008203A8">
      <w:pPr>
        <w:tabs>
          <w:tab w:val="left" w:pos="851"/>
        </w:tabs>
        <w:ind w:left="851"/>
        <w:rPr>
          <w:b/>
          <w:sz w:val="24"/>
          <w:szCs w:val="24"/>
          <w:lang w:val="en-US"/>
        </w:rPr>
      </w:pPr>
      <w:proofErr w:type="spellStart"/>
      <w:r w:rsidRPr="00E97E22">
        <w:rPr>
          <w:b/>
          <w:sz w:val="24"/>
          <w:szCs w:val="24"/>
          <w:lang w:val="en-US"/>
        </w:rPr>
        <w:t>Repræsentant</w:t>
      </w:r>
      <w:proofErr w:type="spellEnd"/>
    </w:p>
    <w:p w14:paraId="278EB769" w14:textId="77777777" w:rsidR="00E97E22" w:rsidRPr="00E97E22" w:rsidRDefault="00E97E22" w:rsidP="00E97E22">
      <w:pPr>
        <w:tabs>
          <w:tab w:val="left" w:pos="1304"/>
        </w:tabs>
        <w:ind w:left="851"/>
        <w:rPr>
          <w:sz w:val="24"/>
          <w:szCs w:val="24"/>
          <w:lang w:val="en-US"/>
        </w:rPr>
      </w:pPr>
      <w:proofErr w:type="spellStart"/>
      <w:r w:rsidRPr="00E97E22">
        <w:rPr>
          <w:sz w:val="24"/>
          <w:szCs w:val="24"/>
          <w:lang w:val="en-US"/>
        </w:rPr>
        <w:t>Dechra</w:t>
      </w:r>
      <w:proofErr w:type="spellEnd"/>
      <w:r w:rsidRPr="00E97E22">
        <w:rPr>
          <w:sz w:val="24"/>
          <w:szCs w:val="24"/>
          <w:lang w:val="en-US"/>
        </w:rPr>
        <w:t xml:space="preserve"> Veterinary Products A/S</w:t>
      </w:r>
    </w:p>
    <w:p w14:paraId="291F0585" w14:textId="77777777" w:rsidR="00E97E22" w:rsidRDefault="00E97E22" w:rsidP="00E97E22">
      <w:pPr>
        <w:tabs>
          <w:tab w:val="left" w:pos="1304"/>
        </w:tabs>
        <w:ind w:left="851"/>
        <w:rPr>
          <w:sz w:val="24"/>
          <w:szCs w:val="24"/>
        </w:rPr>
      </w:pPr>
      <w:proofErr w:type="spellStart"/>
      <w:r>
        <w:rPr>
          <w:sz w:val="24"/>
          <w:szCs w:val="24"/>
        </w:rPr>
        <w:t>Mekuvej</w:t>
      </w:r>
      <w:proofErr w:type="spellEnd"/>
      <w:r>
        <w:rPr>
          <w:sz w:val="24"/>
          <w:szCs w:val="24"/>
        </w:rPr>
        <w:t xml:space="preserve"> 9</w:t>
      </w:r>
    </w:p>
    <w:p w14:paraId="26239902" w14:textId="77777777" w:rsidR="00E97E22" w:rsidRDefault="00E97E22" w:rsidP="00E97E22">
      <w:pPr>
        <w:tabs>
          <w:tab w:val="left" w:pos="1304"/>
        </w:tabs>
        <w:ind w:left="851"/>
        <w:rPr>
          <w:sz w:val="24"/>
          <w:szCs w:val="24"/>
        </w:rPr>
      </w:pPr>
      <w:r>
        <w:rPr>
          <w:sz w:val="24"/>
          <w:szCs w:val="24"/>
        </w:rPr>
        <w:t>7171 Uldum</w:t>
      </w:r>
    </w:p>
    <w:p w14:paraId="4E1B03DE" w14:textId="77777777" w:rsidR="008203A8" w:rsidRPr="00406EE7" w:rsidRDefault="008203A8" w:rsidP="008203A8">
      <w:pPr>
        <w:tabs>
          <w:tab w:val="left" w:pos="851"/>
        </w:tabs>
        <w:ind w:left="851"/>
        <w:rPr>
          <w:sz w:val="24"/>
          <w:szCs w:val="24"/>
        </w:rPr>
      </w:pPr>
    </w:p>
    <w:p w14:paraId="7D702D64"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538A5C0C" w14:textId="4B463CBA" w:rsidR="008203A8" w:rsidRPr="00406EE7" w:rsidRDefault="00E97E22" w:rsidP="008203A8">
      <w:pPr>
        <w:tabs>
          <w:tab w:val="left" w:pos="851"/>
        </w:tabs>
        <w:ind w:left="851"/>
        <w:rPr>
          <w:sz w:val="24"/>
          <w:szCs w:val="24"/>
        </w:rPr>
      </w:pPr>
      <w:r>
        <w:rPr>
          <w:sz w:val="24"/>
          <w:szCs w:val="24"/>
        </w:rPr>
        <w:t>59248</w:t>
      </w:r>
    </w:p>
    <w:p w14:paraId="7DFA28F9" w14:textId="77777777" w:rsidR="008203A8" w:rsidRPr="00406EE7" w:rsidRDefault="008203A8" w:rsidP="008203A8">
      <w:pPr>
        <w:tabs>
          <w:tab w:val="left" w:pos="851"/>
        </w:tabs>
        <w:ind w:left="851"/>
        <w:rPr>
          <w:sz w:val="24"/>
          <w:szCs w:val="24"/>
        </w:rPr>
      </w:pPr>
    </w:p>
    <w:p w14:paraId="0102D8E3"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65473CD4" w14:textId="6BFD4E3A" w:rsidR="008203A8" w:rsidRPr="00406EE7" w:rsidRDefault="00E97E22" w:rsidP="008203A8">
      <w:pPr>
        <w:tabs>
          <w:tab w:val="left" w:pos="851"/>
        </w:tabs>
        <w:ind w:left="851"/>
        <w:rPr>
          <w:sz w:val="24"/>
          <w:szCs w:val="24"/>
        </w:rPr>
      </w:pPr>
      <w:r w:rsidRPr="00E97E22">
        <w:rPr>
          <w:sz w:val="24"/>
          <w:szCs w:val="24"/>
        </w:rPr>
        <w:t>9. marts 2018</w:t>
      </w:r>
    </w:p>
    <w:p w14:paraId="78F56BFA" w14:textId="77777777" w:rsidR="008203A8" w:rsidRPr="00406EE7" w:rsidRDefault="008203A8" w:rsidP="008203A8">
      <w:pPr>
        <w:tabs>
          <w:tab w:val="left" w:pos="851"/>
        </w:tabs>
        <w:ind w:left="851"/>
        <w:rPr>
          <w:sz w:val="24"/>
          <w:szCs w:val="24"/>
        </w:rPr>
      </w:pPr>
    </w:p>
    <w:p w14:paraId="7A3C4EC0"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76A6228B" w14:textId="42D1B989" w:rsidR="008203A8" w:rsidRPr="00406EE7" w:rsidRDefault="00843B2E" w:rsidP="008203A8">
      <w:pPr>
        <w:tabs>
          <w:tab w:val="left" w:pos="851"/>
        </w:tabs>
        <w:ind w:left="851"/>
        <w:rPr>
          <w:sz w:val="24"/>
          <w:szCs w:val="24"/>
        </w:rPr>
      </w:pPr>
      <w:r w:rsidRPr="00843B2E">
        <w:rPr>
          <w:sz w:val="24"/>
          <w:szCs w:val="24"/>
        </w:rPr>
        <w:t>19. april 2023</w:t>
      </w:r>
    </w:p>
    <w:p w14:paraId="5E882601" w14:textId="77777777" w:rsidR="008203A8" w:rsidRPr="00406EE7" w:rsidRDefault="008203A8" w:rsidP="008203A8">
      <w:pPr>
        <w:tabs>
          <w:tab w:val="left" w:pos="851"/>
        </w:tabs>
        <w:ind w:left="851"/>
        <w:rPr>
          <w:sz w:val="24"/>
          <w:szCs w:val="24"/>
        </w:rPr>
      </w:pPr>
    </w:p>
    <w:p w14:paraId="2826E9C7"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1496FAEB" w14:textId="77777777" w:rsidR="00E97E22" w:rsidRPr="00E97E22" w:rsidRDefault="00E97E22" w:rsidP="00E97E22">
      <w:pPr>
        <w:tabs>
          <w:tab w:val="left" w:pos="1304"/>
        </w:tabs>
        <w:ind w:left="851"/>
        <w:rPr>
          <w:sz w:val="24"/>
          <w:szCs w:val="24"/>
        </w:rPr>
      </w:pPr>
      <w:r w:rsidRPr="00E97E22">
        <w:rPr>
          <w:sz w:val="24"/>
          <w:szCs w:val="24"/>
        </w:rPr>
        <w:t>BP</w:t>
      </w:r>
    </w:p>
    <w:p w14:paraId="7F24B8F2" w14:textId="77777777" w:rsidR="00E97E22" w:rsidRPr="00E97E22" w:rsidRDefault="00E97E22" w:rsidP="00E97E22">
      <w:pPr>
        <w:tabs>
          <w:tab w:val="left" w:pos="1304"/>
        </w:tabs>
        <w:ind w:left="851"/>
        <w:rPr>
          <w:sz w:val="24"/>
          <w:szCs w:val="24"/>
        </w:rPr>
      </w:pPr>
    </w:p>
    <w:p w14:paraId="77E342F8" w14:textId="3ED8293B" w:rsidR="008203A8" w:rsidRPr="00E97E22" w:rsidRDefault="00E97E22" w:rsidP="00E97E22">
      <w:pPr>
        <w:pStyle w:val="Sidehoved"/>
        <w:tabs>
          <w:tab w:val="clear" w:pos="4819"/>
          <w:tab w:val="left" w:pos="851"/>
        </w:tabs>
        <w:ind w:left="851"/>
        <w:rPr>
          <w:szCs w:val="24"/>
        </w:rPr>
      </w:pPr>
      <w:r w:rsidRPr="00E97E22">
        <w:rPr>
          <w:szCs w:val="24"/>
        </w:rPr>
        <w:t>Der findes detaljerede oplysninger om dette veterinærlægemiddel i EU-lægemiddeldatabasen</w:t>
      </w:r>
    </w:p>
    <w:p w14:paraId="648D0F77"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E69E1" w14:textId="77777777" w:rsidR="00F84ADB" w:rsidRDefault="00F84ADB">
      <w:r>
        <w:separator/>
      </w:r>
    </w:p>
  </w:endnote>
  <w:endnote w:type="continuationSeparator" w:id="0">
    <w:p w14:paraId="2F8A26C0" w14:textId="77777777" w:rsidR="00F84ADB" w:rsidRDefault="00F8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EDAC1" w14:textId="77777777" w:rsidR="004A62CC" w:rsidRDefault="004A62CC">
    <w:pPr>
      <w:pStyle w:val="Sidefod"/>
      <w:pBdr>
        <w:bottom w:val="single" w:sz="6" w:space="1" w:color="auto"/>
      </w:pBdr>
      <w:tabs>
        <w:tab w:val="clear" w:pos="4819"/>
        <w:tab w:val="left" w:pos="8647"/>
      </w:tabs>
      <w:rPr>
        <w:i/>
        <w:snapToGrid w:val="0"/>
        <w:sz w:val="18"/>
      </w:rPr>
    </w:pPr>
  </w:p>
  <w:p w14:paraId="107B11BB" w14:textId="77777777" w:rsidR="004A62CC" w:rsidRDefault="004A62CC">
    <w:pPr>
      <w:pStyle w:val="Sidefod"/>
      <w:tabs>
        <w:tab w:val="clear" w:pos="4819"/>
        <w:tab w:val="left" w:pos="8647"/>
      </w:tabs>
      <w:rPr>
        <w:i/>
        <w:snapToGrid w:val="0"/>
        <w:sz w:val="18"/>
      </w:rPr>
    </w:pPr>
  </w:p>
  <w:p w14:paraId="5C63F0D3" w14:textId="1AC1560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43B2E">
      <w:rPr>
        <w:i/>
        <w:noProof/>
        <w:snapToGrid w:val="0"/>
        <w:sz w:val="18"/>
      </w:rPr>
      <w:t>Revozyn RTU, injektionsvæske, suspension 400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A553" w14:textId="77777777" w:rsidR="004A62CC" w:rsidRDefault="004A62CC">
    <w:pPr>
      <w:pStyle w:val="Sidefod"/>
      <w:pBdr>
        <w:bottom w:val="single" w:sz="6" w:space="1" w:color="auto"/>
      </w:pBdr>
      <w:tabs>
        <w:tab w:val="clear" w:pos="4819"/>
        <w:tab w:val="left" w:pos="8647"/>
      </w:tabs>
      <w:rPr>
        <w:i/>
        <w:snapToGrid w:val="0"/>
        <w:sz w:val="18"/>
      </w:rPr>
    </w:pPr>
  </w:p>
  <w:p w14:paraId="58AF4029" w14:textId="77777777" w:rsidR="004A62CC" w:rsidRDefault="004A62CC">
    <w:pPr>
      <w:pStyle w:val="Sidefod"/>
      <w:tabs>
        <w:tab w:val="clear" w:pos="4819"/>
        <w:tab w:val="left" w:pos="8647"/>
      </w:tabs>
      <w:rPr>
        <w:i/>
        <w:snapToGrid w:val="0"/>
        <w:sz w:val="18"/>
      </w:rPr>
    </w:pPr>
  </w:p>
  <w:p w14:paraId="563D4B05" w14:textId="43DBF0C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43B2E">
      <w:rPr>
        <w:i/>
        <w:noProof/>
        <w:snapToGrid w:val="0"/>
        <w:sz w:val="18"/>
      </w:rPr>
      <w:t>Revozyn RTU, injektionsvæske, suspension 400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BFD3A" w14:textId="77777777" w:rsidR="00F84ADB" w:rsidRDefault="00F84ADB">
      <w:r>
        <w:separator/>
      </w:r>
    </w:p>
  </w:footnote>
  <w:footnote w:type="continuationSeparator" w:id="0">
    <w:p w14:paraId="41673ECE" w14:textId="77777777" w:rsidR="00F84ADB" w:rsidRDefault="00F84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9DDE4"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791D"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ADB"/>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94970"/>
    <w:rsid w:val="004A62CC"/>
    <w:rsid w:val="004C733C"/>
    <w:rsid w:val="005102E8"/>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77155"/>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43B2E"/>
    <w:rsid w:val="008509BB"/>
    <w:rsid w:val="00851D7F"/>
    <w:rsid w:val="008803C5"/>
    <w:rsid w:val="008E4866"/>
    <w:rsid w:val="009202AE"/>
    <w:rsid w:val="00942FB8"/>
    <w:rsid w:val="00960F5F"/>
    <w:rsid w:val="00967486"/>
    <w:rsid w:val="009D66C6"/>
    <w:rsid w:val="009E300C"/>
    <w:rsid w:val="009E426F"/>
    <w:rsid w:val="009E5184"/>
    <w:rsid w:val="009F1F5E"/>
    <w:rsid w:val="00A02418"/>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D2640"/>
    <w:rsid w:val="00BF2AE0"/>
    <w:rsid w:val="00C41394"/>
    <w:rsid w:val="00C479BF"/>
    <w:rsid w:val="00C66C59"/>
    <w:rsid w:val="00C838AB"/>
    <w:rsid w:val="00C83AA2"/>
    <w:rsid w:val="00CE3A44"/>
    <w:rsid w:val="00CE3F86"/>
    <w:rsid w:val="00CF1D0D"/>
    <w:rsid w:val="00CF75B4"/>
    <w:rsid w:val="00D10EE1"/>
    <w:rsid w:val="00D14DBC"/>
    <w:rsid w:val="00D87E2B"/>
    <w:rsid w:val="00D910BA"/>
    <w:rsid w:val="00D96D04"/>
    <w:rsid w:val="00DD6D71"/>
    <w:rsid w:val="00DF32BE"/>
    <w:rsid w:val="00E14F0A"/>
    <w:rsid w:val="00E321D6"/>
    <w:rsid w:val="00E323FB"/>
    <w:rsid w:val="00E61E78"/>
    <w:rsid w:val="00E84DC6"/>
    <w:rsid w:val="00E97E22"/>
    <w:rsid w:val="00EB5778"/>
    <w:rsid w:val="00EC0CE1"/>
    <w:rsid w:val="00EE14EA"/>
    <w:rsid w:val="00EE5253"/>
    <w:rsid w:val="00EF3C59"/>
    <w:rsid w:val="00F36781"/>
    <w:rsid w:val="00F41E3A"/>
    <w:rsid w:val="00F60B72"/>
    <w:rsid w:val="00F84ADB"/>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C22B3"/>
  <w15:chartTrackingRefBased/>
  <w15:docId w15:val="{C5189786-518B-44DD-AED3-F282B9CF4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90284193">
      <w:bodyDiv w:val="1"/>
      <w:marLeft w:val="0"/>
      <w:marRight w:val="0"/>
      <w:marTop w:val="0"/>
      <w:marBottom w:val="0"/>
      <w:divBdr>
        <w:top w:val="none" w:sz="0" w:space="0" w:color="auto"/>
        <w:left w:val="none" w:sz="0" w:space="0" w:color="auto"/>
        <w:bottom w:val="none" w:sz="0" w:space="0" w:color="auto"/>
        <w:right w:val="none" w:sz="0" w:space="0" w:color="auto"/>
      </w:divBdr>
    </w:div>
    <w:div w:id="302273700">
      <w:bodyDiv w:val="1"/>
      <w:marLeft w:val="0"/>
      <w:marRight w:val="0"/>
      <w:marTop w:val="0"/>
      <w:marBottom w:val="0"/>
      <w:divBdr>
        <w:top w:val="none" w:sz="0" w:space="0" w:color="auto"/>
        <w:left w:val="none" w:sz="0" w:space="0" w:color="auto"/>
        <w:bottom w:val="none" w:sz="0" w:space="0" w:color="auto"/>
        <w:right w:val="none" w:sz="0" w:space="0" w:color="auto"/>
      </w:divBdr>
    </w:div>
    <w:div w:id="320895118">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8845475">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67126194">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17858653">
      <w:bodyDiv w:val="1"/>
      <w:marLeft w:val="0"/>
      <w:marRight w:val="0"/>
      <w:marTop w:val="0"/>
      <w:marBottom w:val="0"/>
      <w:divBdr>
        <w:top w:val="none" w:sz="0" w:space="0" w:color="auto"/>
        <w:left w:val="none" w:sz="0" w:space="0" w:color="auto"/>
        <w:bottom w:val="none" w:sz="0" w:space="0" w:color="auto"/>
        <w:right w:val="none" w:sz="0" w:space="0" w:color="auto"/>
      </w:divBdr>
    </w:div>
    <w:div w:id="136224575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81871545">
      <w:bodyDiv w:val="1"/>
      <w:marLeft w:val="0"/>
      <w:marRight w:val="0"/>
      <w:marTop w:val="0"/>
      <w:marBottom w:val="0"/>
      <w:divBdr>
        <w:top w:val="none" w:sz="0" w:space="0" w:color="auto"/>
        <w:left w:val="none" w:sz="0" w:space="0" w:color="auto"/>
        <w:bottom w:val="none" w:sz="0" w:space="0" w:color="auto"/>
        <w:right w:val="none" w:sz="0" w:space="0" w:color="auto"/>
      </w:divBdr>
    </w:div>
    <w:div w:id="1635209902">
      <w:bodyDiv w:val="1"/>
      <w:marLeft w:val="0"/>
      <w:marRight w:val="0"/>
      <w:marTop w:val="0"/>
      <w:marBottom w:val="0"/>
      <w:divBdr>
        <w:top w:val="none" w:sz="0" w:space="0" w:color="auto"/>
        <w:left w:val="none" w:sz="0" w:space="0" w:color="auto"/>
        <w:bottom w:val="none" w:sz="0" w:space="0" w:color="auto"/>
        <w:right w:val="none" w:sz="0" w:space="0" w:color="auto"/>
      </w:divBdr>
    </w:div>
    <w:div w:id="1658999869">
      <w:bodyDiv w:val="1"/>
      <w:marLeft w:val="0"/>
      <w:marRight w:val="0"/>
      <w:marTop w:val="0"/>
      <w:marBottom w:val="0"/>
      <w:divBdr>
        <w:top w:val="none" w:sz="0" w:space="0" w:color="auto"/>
        <w:left w:val="none" w:sz="0" w:space="0" w:color="auto"/>
        <w:bottom w:val="none" w:sz="0" w:space="0" w:color="auto"/>
        <w:right w:val="none" w:sz="0" w:space="0" w:color="auto"/>
      </w:divBdr>
    </w:div>
    <w:div w:id="1682776069">
      <w:bodyDiv w:val="1"/>
      <w:marLeft w:val="0"/>
      <w:marRight w:val="0"/>
      <w:marTop w:val="0"/>
      <w:marBottom w:val="0"/>
      <w:divBdr>
        <w:top w:val="none" w:sz="0" w:space="0" w:color="auto"/>
        <w:left w:val="none" w:sz="0" w:space="0" w:color="auto"/>
        <w:bottom w:val="none" w:sz="0" w:space="0" w:color="auto"/>
        <w:right w:val="none" w:sz="0" w:space="0" w:color="auto"/>
      </w:divBdr>
    </w:div>
    <w:div w:id="1733849119">
      <w:bodyDiv w:val="1"/>
      <w:marLeft w:val="0"/>
      <w:marRight w:val="0"/>
      <w:marTop w:val="0"/>
      <w:marBottom w:val="0"/>
      <w:divBdr>
        <w:top w:val="none" w:sz="0" w:space="0" w:color="auto"/>
        <w:left w:val="none" w:sz="0" w:space="0" w:color="auto"/>
        <w:bottom w:val="none" w:sz="0" w:space="0" w:color="auto"/>
        <w:right w:val="none" w:sz="0" w:space="0" w:color="auto"/>
      </w:divBdr>
    </w:div>
    <w:div w:id="1782601640">
      <w:bodyDiv w:val="1"/>
      <w:marLeft w:val="0"/>
      <w:marRight w:val="0"/>
      <w:marTop w:val="0"/>
      <w:marBottom w:val="0"/>
      <w:divBdr>
        <w:top w:val="none" w:sz="0" w:space="0" w:color="auto"/>
        <w:left w:val="none" w:sz="0" w:space="0" w:color="auto"/>
        <w:bottom w:val="none" w:sz="0" w:space="0" w:color="auto"/>
        <w:right w:val="none" w:sz="0" w:space="0" w:color="auto"/>
      </w:divBdr>
    </w:div>
    <w:div w:id="1981569588">
      <w:bodyDiv w:val="1"/>
      <w:marLeft w:val="0"/>
      <w:marRight w:val="0"/>
      <w:marTop w:val="0"/>
      <w:marBottom w:val="0"/>
      <w:divBdr>
        <w:top w:val="none" w:sz="0" w:space="0" w:color="auto"/>
        <w:left w:val="none" w:sz="0" w:space="0" w:color="auto"/>
        <w:bottom w:val="none" w:sz="0" w:space="0" w:color="auto"/>
        <w:right w:val="none" w:sz="0" w:space="0" w:color="auto"/>
      </w:divBdr>
    </w:div>
    <w:div w:id="2066947371">
      <w:bodyDiv w:val="1"/>
      <w:marLeft w:val="0"/>
      <w:marRight w:val="0"/>
      <w:marTop w:val="0"/>
      <w:marBottom w:val="0"/>
      <w:divBdr>
        <w:top w:val="none" w:sz="0" w:space="0" w:color="auto"/>
        <w:left w:val="none" w:sz="0" w:space="0" w:color="auto"/>
        <w:bottom w:val="none" w:sz="0" w:space="0" w:color="auto"/>
        <w:right w:val="none" w:sz="0" w:space="0" w:color="auto"/>
      </w:divBdr>
    </w:div>
    <w:div w:id="21109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45</TotalTime>
  <Pages>5</Pages>
  <Words>1234</Words>
  <Characters>8290</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2022053800_x000d_
Opdatering iht.  QRDv9</dc:description>
  <cp:lastModifiedBy>Betty Winther Andersen</cp:lastModifiedBy>
  <cp:revision>8</cp:revision>
  <cp:lastPrinted>2022-05-18T14:03:00Z</cp:lastPrinted>
  <dcterms:created xsi:type="dcterms:W3CDTF">2023-04-17T08:22:00Z</dcterms:created>
  <dcterms:modified xsi:type="dcterms:W3CDTF">2023-04-17T09:07:00Z</dcterms:modified>
</cp:coreProperties>
</file>