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9B06" w14:textId="77777777" w:rsidR="008203A8" w:rsidRPr="008F49E1" w:rsidRDefault="008203A8" w:rsidP="008203A8">
      <w:pPr>
        <w:rPr>
          <w:sz w:val="24"/>
          <w:szCs w:val="24"/>
        </w:rPr>
      </w:pPr>
      <w:bookmarkStart w:id="0" w:name="_GoBack"/>
      <w:bookmarkEnd w:id="0"/>
      <w:r w:rsidRPr="005B0036">
        <w:rPr>
          <w:noProof/>
          <w:sz w:val="24"/>
          <w:szCs w:val="24"/>
          <w:lang w:eastAsia="da-DK"/>
        </w:rPr>
        <w:drawing>
          <wp:inline distT="0" distB="0" distL="0" distR="0" wp14:anchorId="4D7D96D3" wp14:editId="6610085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817FC23" w14:textId="77777777" w:rsidR="008203A8" w:rsidRDefault="008203A8" w:rsidP="008203A8">
      <w:pPr>
        <w:rPr>
          <w:sz w:val="24"/>
          <w:szCs w:val="24"/>
        </w:rPr>
      </w:pPr>
    </w:p>
    <w:p w14:paraId="0B30A515" w14:textId="7149F709" w:rsidR="008203A8" w:rsidRPr="004126A6" w:rsidRDefault="008203A8" w:rsidP="008203A8">
      <w:pPr>
        <w:tabs>
          <w:tab w:val="right" w:pos="9356"/>
        </w:tabs>
        <w:rPr>
          <w:b/>
          <w:sz w:val="24"/>
          <w:szCs w:val="24"/>
        </w:rPr>
      </w:pPr>
      <w:r>
        <w:rPr>
          <w:b/>
          <w:sz w:val="24"/>
          <w:szCs w:val="24"/>
        </w:rPr>
        <w:tab/>
      </w:r>
      <w:r w:rsidR="00C0509D">
        <w:rPr>
          <w:b/>
          <w:sz w:val="24"/>
          <w:szCs w:val="24"/>
        </w:rPr>
        <w:t>20</w:t>
      </w:r>
      <w:r w:rsidR="00AA0C89" w:rsidRPr="004126A6">
        <w:rPr>
          <w:b/>
          <w:sz w:val="24"/>
          <w:szCs w:val="24"/>
        </w:rPr>
        <w:t xml:space="preserve">. </w:t>
      </w:r>
      <w:r w:rsidR="00C0509D">
        <w:rPr>
          <w:b/>
          <w:sz w:val="24"/>
          <w:szCs w:val="24"/>
        </w:rPr>
        <w:t xml:space="preserve">januar </w:t>
      </w:r>
      <w:r w:rsidR="00AA0C89" w:rsidRPr="004126A6">
        <w:rPr>
          <w:b/>
          <w:sz w:val="24"/>
          <w:szCs w:val="24"/>
        </w:rPr>
        <w:t>202</w:t>
      </w:r>
      <w:r w:rsidR="00C0509D">
        <w:rPr>
          <w:b/>
          <w:sz w:val="24"/>
          <w:szCs w:val="24"/>
        </w:rPr>
        <w:t>6</w:t>
      </w:r>
    </w:p>
    <w:p w14:paraId="6439CC5A" w14:textId="3D211137" w:rsidR="008203A8" w:rsidRPr="004126A6" w:rsidRDefault="008203A8" w:rsidP="008203A8">
      <w:pPr>
        <w:rPr>
          <w:sz w:val="24"/>
          <w:szCs w:val="24"/>
        </w:rPr>
      </w:pPr>
    </w:p>
    <w:p w14:paraId="18617B9A" w14:textId="77777777" w:rsidR="008203A8" w:rsidRPr="004126A6" w:rsidRDefault="008203A8" w:rsidP="008203A8">
      <w:pPr>
        <w:jc w:val="center"/>
        <w:rPr>
          <w:b/>
          <w:sz w:val="24"/>
          <w:szCs w:val="24"/>
        </w:rPr>
      </w:pPr>
    </w:p>
    <w:p w14:paraId="6ECF93CA" w14:textId="77777777" w:rsidR="008203A8" w:rsidRPr="00AA0C89" w:rsidRDefault="008203A8" w:rsidP="008203A8">
      <w:pPr>
        <w:jc w:val="center"/>
        <w:rPr>
          <w:b/>
          <w:sz w:val="24"/>
          <w:szCs w:val="24"/>
        </w:rPr>
      </w:pPr>
      <w:r w:rsidRPr="00AA0C89">
        <w:rPr>
          <w:b/>
          <w:sz w:val="24"/>
          <w:szCs w:val="24"/>
        </w:rPr>
        <w:t>PRODUKTRESUMÉ</w:t>
      </w:r>
    </w:p>
    <w:p w14:paraId="2C65AC36" w14:textId="77777777" w:rsidR="008203A8" w:rsidRPr="00AA0C89" w:rsidRDefault="008203A8" w:rsidP="008203A8">
      <w:pPr>
        <w:jc w:val="center"/>
        <w:rPr>
          <w:b/>
          <w:sz w:val="24"/>
          <w:szCs w:val="24"/>
        </w:rPr>
      </w:pPr>
    </w:p>
    <w:p w14:paraId="538C68F6" w14:textId="77777777" w:rsidR="008203A8" w:rsidRPr="00AA0C89" w:rsidRDefault="008203A8" w:rsidP="008203A8">
      <w:pPr>
        <w:jc w:val="center"/>
        <w:rPr>
          <w:b/>
          <w:sz w:val="24"/>
          <w:szCs w:val="24"/>
        </w:rPr>
      </w:pPr>
      <w:r w:rsidRPr="00AA0C89">
        <w:rPr>
          <w:b/>
          <w:sz w:val="24"/>
          <w:szCs w:val="24"/>
        </w:rPr>
        <w:t>for</w:t>
      </w:r>
    </w:p>
    <w:p w14:paraId="4CA37AEF" w14:textId="77777777" w:rsidR="008203A8" w:rsidRPr="00AA0C89" w:rsidRDefault="008203A8" w:rsidP="008203A8">
      <w:pPr>
        <w:jc w:val="center"/>
        <w:rPr>
          <w:b/>
          <w:sz w:val="24"/>
          <w:szCs w:val="24"/>
        </w:rPr>
      </w:pPr>
    </w:p>
    <w:p w14:paraId="36B00D4C" w14:textId="77777777" w:rsidR="008203A8" w:rsidRPr="00524A63" w:rsidRDefault="00524A63" w:rsidP="008203A8">
      <w:pPr>
        <w:jc w:val="center"/>
        <w:rPr>
          <w:b/>
          <w:sz w:val="24"/>
          <w:szCs w:val="24"/>
        </w:rPr>
      </w:pPr>
      <w:proofErr w:type="spellStart"/>
      <w:r w:rsidRPr="00524A63">
        <w:rPr>
          <w:b/>
          <w:sz w:val="24"/>
          <w:szCs w:val="24"/>
        </w:rPr>
        <w:t>Robexera</w:t>
      </w:r>
      <w:proofErr w:type="spellEnd"/>
      <w:r w:rsidRPr="00524A63">
        <w:rPr>
          <w:b/>
          <w:sz w:val="24"/>
          <w:szCs w:val="24"/>
        </w:rPr>
        <w:t xml:space="preserve"> </w:t>
      </w:r>
      <w:proofErr w:type="spellStart"/>
      <w:r w:rsidRPr="00524A63">
        <w:rPr>
          <w:b/>
          <w:sz w:val="24"/>
          <w:szCs w:val="24"/>
        </w:rPr>
        <w:t>Vet</w:t>
      </w:r>
      <w:proofErr w:type="spellEnd"/>
      <w:r w:rsidRPr="00524A63">
        <w:rPr>
          <w:b/>
          <w:sz w:val="24"/>
          <w:szCs w:val="24"/>
        </w:rPr>
        <w:t xml:space="preserve">., injektionsvæske, </w:t>
      </w:r>
      <w:r>
        <w:rPr>
          <w:b/>
          <w:sz w:val="24"/>
          <w:szCs w:val="24"/>
        </w:rPr>
        <w:t>opløsning</w:t>
      </w:r>
    </w:p>
    <w:p w14:paraId="1AFAFAB9" w14:textId="77777777" w:rsidR="008203A8" w:rsidRPr="00524A63" w:rsidRDefault="008203A8" w:rsidP="008203A8">
      <w:pPr>
        <w:jc w:val="both"/>
        <w:rPr>
          <w:sz w:val="24"/>
          <w:szCs w:val="24"/>
        </w:rPr>
      </w:pPr>
    </w:p>
    <w:p w14:paraId="794D87EE" w14:textId="77777777" w:rsidR="008203A8" w:rsidRPr="00524A63" w:rsidRDefault="008203A8" w:rsidP="008203A8">
      <w:pPr>
        <w:jc w:val="both"/>
        <w:rPr>
          <w:sz w:val="24"/>
          <w:szCs w:val="24"/>
        </w:rPr>
      </w:pPr>
    </w:p>
    <w:p w14:paraId="2E64BF68"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6A0FBBB1" w14:textId="135DF9EC" w:rsidR="008203A8" w:rsidRPr="00406EE7" w:rsidRDefault="002900DA" w:rsidP="008203A8">
      <w:pPr>
        <w:ind w:left="851"/>
        <w:rPr>
          <w:sz w:val="24"/>
          <w:szCs w:val="24"/>
        </w:rPr>
      </w:pPr>
      <w:r>
        <w:rPr>
          <w:sz w:val="24"/>
          <w:szCs w:val="24"/>
        </w:rPr>
        <w:t>31216</w:t>
      </w:r>
    </w:p>
    <w:p w14:paraId="78A05701" w14:textId="77777777" w:rsidR="008203A8" w:rsidRPr="00406EE7" w:rsidRDefault="008203A8" w:rsidP="008203A8">
      <w:pPr>
        <w:ind w:left="851"/>
        <w:rPr>
          <w:sz w:val="24"/>
          <w:szCs w:val="24"/>
        </w:rPr>
      </w:pPr>
    </w:p>
    <w:p w14:paraId="3A36BC2C"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60DDB2BB" w14:textId="63D361BE" w:rsidR="008203A8" w:rsidRDefault="002900DA" w:rsidP="008203A8">
      <w:pPr>
        <w:ind w:left="851"/>
        <w:rPr>
          <w:sz w:val="24"/>
          <w:szCs w:val="24"/>
        </w:rPr>
      </w:pPr>
      <w:proofErr w:type="spellStart"/>
      <w:r>
        <w:rPr>
          <w:sz w:val="24"/>
          <w:szCs w:val="24"/>
        </w:rPr>
        <w:t>Robexera</w:t>
      </w:r>
      <w:proofErr w:type="spellEnd"/>
      <w:r>
        <w:rPr>
          <w:sz w:val="24"/>
          <w:szCs w:val="24"/>
        </w:rPr>
        <w:t xml:space="preserve"> </w:t>
      </w:r>
      <w:proofErr w:type="spellStart"/>
      <w:r>
        <w:rPr>
          <w:sz w:val="24"/>
          <w:szCs w:val="24"/>
        </w:rPr>
        <w:t>Vet</w:t>
      </w:r>
      <w:proofErr w:type="spellEnd"/>
      <w:r>
        <w:rPr>
          <w:sz w:val="24"/>
          <w:szCs w:val="24"/>
        </w:rPr>
        <w:t>.</w:t>
      </w:r>
    </w:p>
    <w:p w14:paraId="341EAC77" w14:textId="77777777" w:rsidR="008203A8" w:rsidRDefault="008203A8" w:rsidP="008203A8">
      <w:pPr>
        <w:ind w:left="851"/>
        <w:rPr>
          <w:sz w:val="24"/>
          <w:szCs w:val="24"/>
        </w:rPr>
      </w:pPr>
    </w:p>
    <w:p w14:paraId="17CB26BA" w14:textId="71ED1296" w:rsidR="008203A8" w:rsidRPr="00776C2C" w:rsidRDefault="008203A8" w:rsidP="008203A8">
      <w:pPr>
        <w:ind w:left="851"/>
        <w:rPr>
          <w:sz w:val="24"/>
          <w:szCs w:val="24"/>
        </w:rPr>
      </w:pPr>
      <w:r w:rsidRPr="00776C2C">
        <w:rPr>
          <w:sz w:val="24"/>
          <w:szCs w:val="24"/>
        </w:rPr>
        <w:t xml:space="preserve">Lægemiddelform: </w:t>
      </w:r>
      <w:r w:rsidR="009D3E09">
        <w:rPr>
          <w:sz w:val="24"/>
          <w:szCs w:val="24"/>
        </w:rPr>
        <w:t>Injektionsvæske, opløsning</w:t>
      </w:r>
    </w:p>
    <w:p w14:paraId="67996AB6" w14:textId="006449DE" w:rsidR="008203A8" w:rsidRPr="00776C2C" w:rsidRDefault="008203A8" w:rsidP="008203A8">
      <w:pPr>
        <w:ind w:left="851"/>
        <w:rPr>
          <w:sz w:val="24"/>
          <w:szCs w:val="24"/>
        </w:rPr>
      </w:pPr>
      <w:r w:rsidRPr="00776C2C">
        <w:rPr>
          <w:sz w:val="24"/>
          <w:szCs w:val="24"/>
        </w:rPr>
        <w:t xml:space="preserve">Styrke: </w:t>
      </w:r>
      <w:r w:rsidR="009D3E09">
        <w:rPr>
          <w:sz w:val="24"/>
          <w:szCs w:val="24"/>
        </w:rPr>
        <w:t>20 mg/ml</w:t>
      </w:r>
    </w:p>
    <w:p w14:paraId="039FAA5A" w14:textId="77777777" w:rsidR="008203A8" w:rsidRPr="00406EE7" w:rsidRDefault="008203A8" w:rsidP="008203A8">
      <w:pPr>
        <w:ind w:left="851"/>
        <w:rPr>
          <w:sz w:val="24"/>
          <w:szCs w:val="24"/>
        </w:rPr>
      </w:pPr>
    </w:p>
    <w:p w14:paraId="1F56F732"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068B92CD" w14:textId="77777777" w:rsidR="009D3E09" w:rsidRPr="009D3E09" w:rsidRDefault="009D3E09" w:rsidP="009D3E09">
      <w:pPr>
        <w:ind w:left="851"/>
        <w:rPr>
          <w:sz w:val="24"/>
          <w:szCs w:val="24"/>
        </w:rPr>
      </w:pPr>
      <w:r w:rsidRPr="009D3E09">
        <w:rPr>
          <w:sz w:val="24"/>
          <w:szCs w:val="24"/>
        </w:rPr>
        <w:t>Hver ml indeholder:</w:t>
      </w:r>
    </w:p>
    <w:p w14:paraId="338B7D38" w14:textId="77777777" w:rsidR="009D3E09" w:rsidRPr="009D3E09" w:rsidRDefault="009D3E09" w:rsidP="009D3E09">
      <w:pPr>
        <w:ind w:left="851"/>
        <w:rPr>
          <w:sz w:val="24"/>
          <w:szCs w:val="24"/>
        </w:rPr>
      </w:pPr>
    </w:p>
    <w:p w14:paraId="094F9069" w14:textId="77777777" w:rsidR="009D3E09" w:rsidRPr="009D3E09" w:rsidRDefault="009D3E09" w:rsidP="009D3E09">
      <w:pPr>
        <w:ind w:left="851"/>
        <w:rPr>
          <w:b/>
          <w:sz w:val="24"/>
          <w:szCs w:val="24"/>
        </w:rPr>
      </w:pPr>
      <w:r w:rsidRPr="009D3E09">
        <w:rPr>
          <w:b/>
          <w:sz w:val="24"/>
          <w:szCs w:val="24"/>
        </w:rPr>
        <w:t>Aktivt stof:</w:t>
      </w:r>
    </w:p>
    <w:p w14:paraId="273FC504" w14:textId="38FCC030" w:rsidR="009D3E09" w:rsidRPr="009D3E09" w:rsidRDefault="009D3E09" w:rsidP="009D3E09">
      <w:pPr>
        <w:ind w:left="851"/>
        <w:rPr>
          <w:iCs/>
          <w:sz w:val="24"/>
          <w:szCs w:val="24"/>
        </w:rPr>
      </w:pPr>
      <w:proofErr w:type="spellStart"/>
      <w:r w:rsidRPr="009D3E09">
        <w:rPr>
          <w:iCs/>
          <w:sz w:val="24"/>
          <w:szCs w:val="24"/>
        </w:rPr>
        <w:t>Robenacoxib</w:t>
      </w:r>
      <w:proofErr w:type="spellEnd"/>
      <w:r>
        <w:rPr>
          <w:iCs/>
          <w:sz w:val="24"/>
          <w:szCs w:val="24"/>
        </w:rPr>
        <w:t xml:space="preserve"> </w:t>
      </w:r>
      <w:r w:rsidRPr="009D3E09">
        <w:rPr>
          <w:iCs/>
          <w:sz w:val="24"/>
          <w:szCs w:val="24"/>
        </w:rPr>
        <w:t>20 mg</w:t>
      </w:r>
    </w:p>
    <w:p w14:paraId="5475F9E0" w14:textId="77777777" w:rsidR="009D3E09" w:rsidRPr="009D3E09" w:rsidRDefault="009D3E09" w:rsidP="009D3E09">
      <w:pPr>
        <w:ind w:left="851"/>
        <w:rPr>
          <w:sz w:val="24"/>
          <w:szCs w:val="24"/>
        </w:rPr>
      </w:pPr>
    </w:p>
    <w:p w14:paraId="4CFFF4E5" w14:textId="77777777" w:rsidR="009D3E09" w:rsidRPr="009D3E09" w:rsidRDefault="009D3E09" w:rsidP="009D3E09">
      <w:pPr>
        <w:ind w:left="851"/>
        <w:rPr>
          <w:sz w:val="24"/>
          <w:szCs w:val="24"/>
        </w:rPr>
      </w:pPr>
      <w:r w:rsidRPr="009D3E09">
        <w:rPr>
          <w:b/>
          <w:sz w:val="24"/>
          <w:szCs w:val="24"/>
        </w:rPr>
        <w:t>Hjælpestoffer:</w:t>
      </w:r>
    </w:p>
    <w:p w14:paraId="1262CBF6" w14:textId="77777777" w:rsidR="009D3E09" w:rsidRPr="009D3E09" w:rsidRDefault="009D3E09" w:rsidP="009D3E09">
      <w:pPr>
        <w:ind w:left="851"/>
        <w:rPr>
          <w:sz w:val="24"/>
          <w:szCs w:val="24"/>
        </w:rPr>
      </w:pPr>
    </w:p>
    <w:tbl>
      <w:tblPr>
        <w:tblW w:w="906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4"/>
      </w:tblGrid>
      <w:tr w:rsidR="009D3E09" w:rsidRPr="009D3E09" w14:paraId="6038AE71"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73375CE1" w14:textId="77777777" w:rsidR="009D3E09" w:rsidRPr="009D3E09" w:rsidRDefault="009D3E09" w:rsidP="009D3E09">
            <w:pPr>
              <w:ind w:left="33"/>
              <w:rPr>
                <w:b/>
                <w:bCs/>
                <w:iCs/>
                <w:sz w:val="24"/>
                <w:szCs w:val="24"/>
              </w:rPr>
            </w:pPr>
            <w:r w:rsidRPr="009D3E09">
              <w:rPr>
                <w:b/>
                <w:bCs/>
                <w:iCs/>
                <w:sz w:val="24"/>
                <w:szCs w:val="24"/>
              </w:rPr>
              <w:t>Kvalitativ sammensætning af hjælpestoffer og andre bestanddele</w:t>
            </w:r>
          </w:p>
        </w:tc>
        <w:tc>
          <w:tcPr>
            <w:tcW w:w="4534" w:type="dxa"/>
            <w:tcBorders>
              <w:top w:val="single" w:sz="4" w:space="0" w:color="000000"/>
              <w:left w:val="single" w:sz="4" w:space="0" w:color="000000"/>
              <w:bottom w:val="single" w:sz="4" w:space="0" w:color="000000"/>
              <w:right w:val="single" w:sz="4" w:space="0" w:color="000000"/>
            </w:tcBorders>
            <w:vAlign w:val="center"/>
            <w:hideMark/>
          </w:tcPr>
          <w:p w14:paraId="2DF30CA4" w14:textId="77777777" w:rsidR="009D3E09" w:rsidRPr="009D3E09" w:rsidRDefault="009D3E09" w:rsidP="009D3E09">
            <w:pPr>
              <w:ind w:left="39"/>
              <w:rPr>
                <w:b/>
                <w:bCs/>
                <w:iCs/>
                <w:sz w:val="24"/>
                <w:szCs w:val="24"/>
              </w:rPr>
            </w:pPr>
            <w:r w:rsidRPr="009D3E09">
              <w:rPr>
                <w:b/>
                <w:bCs/>
                <w:iCs/>
                <w:sz w:val="24"/>
                <w:szCs w:val="24"/>
              </w:rPr>
              <w:t>Kvantitativ sammensætning, hvis oplysningen er vigtig for korrekt administration af veterinærlægemidlet</w:t>
            </w:r>
          </w:p>
        </w:tc>
      </w:tr>
      <w:tr w:rsidR="009D3E09" w:rsidRPr="009D3E09" w14:paraId="7884F9C4"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79890E19" w14:textId="77777777" w:rsidR="009D3E09" w:rsidRPr="009D3E09" w:rsidRDefault="009D3E09" w:rsidP="009D3E09">
            <w:pPr>
              <w:ind w:left="33"/>
              <w:rPr>
                <w:iCs/>
                <w:sz w:val="24"/>
                <w:szCs w:val="24"/>
              </w:rPr>
            </w:pPr>
            <w:proofErr w:type="spellStart"/>
            <w:r w:rsidRPr="009D3E09">
              <w:rPr>
                <w:iCs/>
                <w:sz w:val="24"/>
                <w:szCs w:val="24"/>
              </w:rPr>
              <w:t>Natriummetabisulfit</w:t>
            </w:r>
            <w:proofErr w:type="spellEnd"/>
            <w:r w:rsidRPr="009D3E09">
              <w:rPr>
                <w:iCs/>
                <w:sz w:val="24"/>
                <w:szCs w:val="24"/>
              </w:rPr>
              <w:t xml:space="preserve"> (E223)</w:t>
            </w:r>
          </w:p>
        </w:tc>
        <w:tc>
          <w:tcPr>
            <w:tcW w:w="4534" w:type="dxa"/>
            <w:tcBorders>
              <w:top w:val="single" w:sz="4" w:space="0" w:color="000000"/>
              <w:left w:val="single" w:sz="4" w:space="0" w:color="000000"/>
              <w:bottom w:val="single" w:sz="4" w:space="0" w:color="000000"/>
              <w:right w:val="single" w:sz="4" w:space="0" w:color="000000"/>
            </w:tcBorders>
            <w:vAlign w:val="center"/>
            <w:hideMark/>
          </w:tcPr>
          <w:p w14:paraId="19EEC840" w14:textId="77777777" w:rsidR="009D3E09" w:rsidRPr="009D3E09" w:rsidRDefault="009D3E09" w:rsidP="009D3E09">
            <w:pPr>
              <w:ind w:left="39"/>
              <w:rPr>
                <w:iCs/>
                <w:sz w:val="24"/>
                <w:szCs w:val="24"/>
              </w:rPr>
            </w:pPr>
            <w:r w:rsidRPr="009D3E09">
              <w:rPr>
                <w:iCs/>
                <w:sz w:val="24"/>
                <w:szCs w:val="24"/>
              </w:rPr>
              <w:t>1 mg</w:t>
            </w:r>
          </w:p>
        </w:tc>
      </w:tr>
      <w:tr w:rsidR="009D3E09" w:rsidRPr="009D3E09" w14:paraId="0BBABC4C"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206ECF16" w14:textId="77777777" w:rsidR="009D3E09" w:rsidRPr="009D3E09" w:rsidRDefault="009D3E09" w:rsidP="009D3E09">
            <w:pPr>
              <w:ind w:left="33"/>
              <w:rPr>
                <w:iCs/>
                <w:sz w:val="24"/>
                <w:szCs w:val="24"/>
              </w:rPr>
            </w:pPr>
            <w:proofErr w:type="spellStart"/>
            <w:r w:rsidRPr="009D3E09">
              <w:rPr>
                <w:iCs/>
                <w:sz w:val="24"/>
                <w:szCs w:val="24"/>
              </w:rPr>
              <w:t>Macrogol</w:t>
            </w:r>
            <w:proofErr w:type="spellEnd"/>
            <w:r w:rsidRPr="009D3E09">
              <w:rPr>
                <w:iCs/>
                <w:sz w:val="24"/>
                <w:szCs w:val="24"/>
              </w:rPr>
              <w:t xml:space="preserve"> 400</w:t>
            </w:r>
          </w:p>
        </w:tc>
        <w:tc>
          <w:tcPr>
            <w:tcW w:w="4534" w:type="dxa"/>
            <w:tcBorders>
              <w:top w:val="single" w:sz="4" w:space="0" w:color="000000"/>
              <w:left w:val="single" w:sz="4" w:space="0" w:color="000000"/>
              <w:bottom w:val="single" w:sz="4" w:space="0" w:color="000000"/>
              <w:right w:val="single" w:sz="4" w:space="0" w:color="000000"/>
            </w:tcBorders>
            <w:vAlign w:val="center"/>
          </w:tcPr>
          <w:p w14:paraId="560B54A2" w14:textId="77777777" w:rsidR="009D3E09" w:rsidRPr="009D3E09" w:rsidRDefault="009D3E09" w:rsidP="009D3E09">
            <w:pPr>
              <w:ind w:left="39"/>
              <w:rPr>
                <w:iCs/>
                <w:sz w:val="24"/>
                <w:szCs w:val="24"/>
              </w:rPr>
            </w:pPr>
          </w:p>
        </w:tc>
      </w:tr>
      <w:tr w:rsidR="009D3E09" w:rsidRPr="009D3E09" w14:paraId="7A466AED"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15D6633D" w14:textId="77777777" w:rsidR="009D3E09" w:rsidRPr="009D3E09" w:rsidRDefault="009D3E09" w:rsidP="009D3E09">
            <w:pPr>
              <w:ind w:left="33"/>
              <w:rPr>
                <w:iCs/>
                <w:sz w:val="24"/>
                <w:szCs w:val="24"/>
              </w:rPr>
            </w:pPr>
            <w:proofErr w:type="spellStart"/>
            <w:r w:rsidRPr="009D3E09">
              <w:rPr>
                <w:iCs/>
                <w:sz w:val="24"/>
                <w:szCs w:val="24"/>
              </w:rPr>
              <w:t>Ethanol</w:t>
            </w:r>
            <w:proofErr w:type="spellEnd"/>
            <w:r w:rsidRPr="009D3E09">
              <w:rPr>
                <w:iCs/>
                <w:sz w:val="24"/>
                <w:szCs w:val="24"/>
              </w:rPr>
              <w:t xml:space="preserve"> 96 procent</w:t>
            </w:r>
          </w:p>
        </w:tc>
        <w:tc>
          <w:tcPr>
            <w:tcW w:w="4534" w:type="dxa"/>
            <w:tcBorders>
              <w:top w:val="single" w:sz="4" w:space="0" w:color="000000"/>
              <w:left w:val="single" w:sz="4" w:space="0" w:color="000000"/>
              <w:bottom w:val="single" w:sz="4" w:space="0" w:color="000000"/>
              <w:right w:val="single" w:sz="4" w:space="0" w:color="000000"/>
            </w:tcBorders>
            <w:vAlign w:val="center"/>
            <w:hideMark/>
          </w:tcPr>
          <w:p w14:paraId="5CA9D467" w14:textId="77777777" w:rsidR="009D3E09" w:rsidRPr="009D3E09" w:rsidRDefault="009D3E09" w:rsidP="009D3E09">
            <w:pPr>
              <w:ind w:left="39"/>
              <w:rPr>
                <w:iCs/>
                <w:sz w:val="24"/>
                <w:szCs w:val="24"/>
              </w:rPr>
            </w:pPr>
            <w:r w:rsidRPr="009D3E09">
              <w:rPr>
                <w:iCs/>
                <w:sz w:val="24"/>
                <w:szCs w:val="24"/>
              </w:rPr>
              <w:t>128 mg</w:t>
            </w:r>
          </w:p>
        </w:tc>
      </w:tr>
      <w:tr w:rsidR="009D3E09" w:rsidRPr="009D3E09" w14:paraId="05601E01"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7A80FB6F" w14:textId="77777777" w:rsidR="009D3E09" w:rsidRPr="009D3E09" w:rsidRDefault="009D3E09" w:rsidP="009D3E09">
            <w:pPr>
              <w:ind w:left="33"/>
              <w:rPr>
                <w:iCs/>
                <w:sz w:val="24"/>
                <w:szCs w:val="24"/>
              </w:rPr>
            </w:pPr>
            <w:proofErr w:type="spellStart"/>
            <w:r w:rsidRPr="009D3E09">
              <w:rPr>
                <w:iCs/>
                <w:sz w:val="24"/>
                <w:szCs w:val="24"/>
              </w:rPr>
              <w:t>Poloxamer</w:t>
            </w:r>
            <w:proofErr w:type="spellEnd"/>
            <w:r w:rsidRPr="009D3E09">
              <w:rPr>
                <w:iCs/>
                <w:sz w:val="24"/>
                <w:szCs w:val="24"/>
              </w:rPr>
              <w:t xml:space="preserve"> 188</w:t>
            </w:r>
          </w:p>
        </w:tc>
        <w:tc>
          <w:tcPr>
            <w:tcW w:w="4534" w:type="dxa"/>
            <w:tcBorders>
              <w:top w:val="single" w:sz="4" w:space="0" w:color="000000"/>
              <w:left w:val="single" w:sz="4" w:space="0" w:color="000000"/>
              <w:bottom w:val="single" w:sz="4" w:space="0" w:color="000000"/>
              <w:right w:val="single" w:sz="4" w:space="0" w:color="000000"/>
            </w:tcBorders>
            <w:vAlign w:val="center"/>
          </w:tcPr>
          <w:p w14:paraId="413ABC8C" w14:textId="77777777" w:rsidR="009D3E09" w:rsidRPr="009D3E09" w:rsidRDefault="009D3E09" w:rsidP="009D3E09">
            <w:pPr>
              <w:ind w:left="39"/>
              <w:rPr>
                <w:iCs/>
                <w:sz w:val="24"/>
                <w:szCs w:val="24"/>
              </w:rPr>
            </w:pPr>
          </w:p>
        </w:tc>
      </w:tr>
      <w:tr w:rsidR="009D3E09" w:rsidRPr="009D3E09" w14:paraId="6B676FCB"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536BC95B" w14:textId="77777777" w:rsidR="009D3E09" w:rsidRPr="009D3E09" w:rsidRDefault="009D3E09" w:rsidP="009D3E09">
            <w:pPr>
              <w:ind w:left="33"/>
              <w:rPr>
                <w:iCs/>
                <w:sz w:val="24"/>
                <w:szCs w:val="24"/>
              </w:rPr>
            </w:pPr>
            <w:r w:rsidRPr="009D3E09">
              <w:rPr>
                <w:iCs/>
                <w:sz w:val="24"/>
                <w:szCs w:val="24"/>
              </w:rPr>
              <w:t>Citronsyre</w:t>
            </w:r>
          </w:p>
        </w:tc>
        <w:tc>
          <w:tcPr>
            <w:tcW w:w="4534" w:type="dxa"/>
            <w:tcBorders>
              <w:top w:val="single" w:sz="4" w:space="0" w:color="000000"/>
              <w:left w:val="single" w:sz="4" w:space="0" w:color="000000"/>
              <w:bottom w:val="single" w:sz="4" w:space="0" w:color="000000"/>
              <w:right w:val="single" w:sz="4" w:space="0" w:color="000000"/>
            </w:tcBorders>
            <w:vAlign w:val="center"/>
          </w:tcPr>
          <w:p w14:paraId="69187C5A" w14:textId="77777777" w:rsidR="009D3E09" w:rsidRPr="009D3E09" w:rsidRDefault="009D3E09" w:rsidP="009D3E09">
            <w:pPr>
              <w:ind w:left="39"/>
              <w:rPr>
                <w:iCs/>
                <w:sz w:val="24"/>
                <w:szCs w:val="24"/>
              </w:rPr>
            </w:pPr>
          </w:p>
        </w:tc>
      </w:tr>
      <w:tr w:rsidR="009D3E09" w:rsidRPr="009D3E09" w14:paraId="1EDE841D"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7A38BC8C" w14:textId="77777777" w:rsidR="009D3E09" w:rsidRPr="009D3E09" w:rsidRDefault="009D3E09" w:rsidP="009D3E09">
            <w:pPr>
              <w:ind w:left="33"/>
              <w:rPr>
                <w:iCs/>
                <w:sz w:val="24"/>
                <w:szCs w:val="24"/>
              </w:rPr>
            </w:pPr>
            <w:r w:rsidRPr="009D3E09">
              <w:rPr>
                <w:iCs/>
                <w:sz w:val="24"/>
                <w:szCs w:val="24"/>
              </w:rPr>
              <w:t>Natriumhydroxid</w:t>
            </w:r>
          </w:p>
        </w:tc>
        <w:tc>
          <w:tcPr>
            <w:tcW w:w="4534" w:type="dxa"/>
            <w:tcBorders>
              <w:top w:val="single" w:sz="4" w:space="0" w:color="000000"/>
              <w:left w:val="single" w:sz="4" w:space="0" w:color="000000"/>
              <w:bottom w:val="single" w:sz="4" w:space="0" w:color="000000"/>
              <w:right w:val="single" w:sz="4" w:space="0" w:color="000000"/>
            </w:tcBorders>
            <w:vAlign w:val="center"/>
          </w:tcPr>
          <w:p w14:paraId="6DA64629" w14:textId="77777777" w:rsidR="009D3E09" w:rsidRPr="009D3E09" w:rsidRDefault="009D3E09" w:rsidP="009D3E09">
            <w:pPr>
              <w:ind w:left="39"/>
              <w:rPr>
                <w:iCs/>
                <w:sz w:val="24"/>
                <w:szCs w:val="24"/>
              </w:rPr>
            </w:pPr>
          </w:p>
        </w:tc>
      </w:tr>
      <w:tr w:rsidR="009D3E09" w:rsidRPr="009D3E09" w14:paraId="17B4646E" w14:textId="77777777" w:rsidTr="009D3E09">
        <w:tc>
          <w:tcPr>
            <w:tcW w:w="4527" w:type="dxa"/>
            <w:tcBorders>
              <w:top w:val="single" w:sz="4" w:space="0" w:color="000000"/>
              <w:left w:val="single" w:sz="4" w:space="0" w:color="000000"/>
              <w:bottom w:val="single" w:sz="4" w:space="0" w:color="000000"/>
              <w:right w:val="single" w:sz="4" w:space="0" w:color="000000"/>
            </w:tcBorders>
            <w:vAlign w:val="center"/>
            <w:hideMark/>
          </w:tcPr>
          <w:p w14:paraId="597F11B1" w14:textId="77777777" w:rsidR="009D3E09" w:rsidRPr="009D3E09" w:rsidRDefault="009D3E09" w:rsidP="009D3E09">
            <w:pPr>
              <w:ind w:left="33"/>
              <w:rPr>
                <w:iCs/>
                <w:sz w:val="24"/>
                <w:szCs w:val="24"/>
              </w:rPr>
            </w:pPr>
            <w:r w:rsidRPr="009D3E09">
              <w:rPr>
                <w:iCs/>
                <w:sz w:val="24"/>
                <w:szCs w:val="24"/>
              </w:rPr>
              <w:t>Vand til injektionsvæsker</w:t>
            </w:r>
          </w:p>
        </w:tc>
        <w:tc>
          <w:tcPr>
            <w:tcW w:w="4534" w:type="dxa"/>
            <w:tcBorders>
              <w:top w:val="single" w:sz="4" w:space="0" w:color="000000"/>
              <w:left w:val="single" w:sz="4" w:space="0" w:color="000000"/>
              <w:bottom w:val="single" w:sz="4" w:space="0" w:color="000000"/>
              <w:right w:val="single" w:sz="4" w:space="0" w:color="000000"/>
            </w:tcBorders>
            <w:vAlign w:val="center"/>
          </w:tcPr>
          <w:p w14:paraId="7AD6A63D" w14:textId="77777777" w:rsidR="009D3E09" w:rsidRPr="009D3E09" w:rsidRDefault="009D3E09" w:rsidP="009D3E09">
            <w:pPr>
              <w:ind w:left="39"/>
              <w:rPr>
                <w:iCs/>
                <w:sz w:val="24"/>
                <w:szCs w:val="24"/>
              </w:rPr>
            </w:pPr>
          </w:p>
        </w:tc>
      </w:tr>
    </w:tbl>
    <w:p w14:paraId="7E7D8395" w14:textId="77777777" w:rsidR="009D3E09" w:rsidRPr="009D3E09" w:rsidRDefault="009D3E09" w:rsidP="009D3E09">
      <w:pPr>
        <w:ind w:left="851"/>
        <w:rPr>
          <w:sz w:val="24"/>
          <w:szCs w:val="24"/>
        </w:rPr>
      </w:pPr>
    </w:p>
    <w:p w14:paraId="302DF11A" w14:textId="77777777" w:rsidR="009D3E09" w:rsidRPr="009D3E09" w:rsidRDefault="009D3E09" w:rsidP="009D3E09">
      <w:pPr>
        <w:ind w:left="851"/>
        <w:rPr>
          <w:sz w:val="24"/>
          <w:szCs w:val="24"/>
        </w:rPr>
      </w:pPr>
      <w:r w:rsidRPr="009D3E09">
        <w:rPr>
          <w:sz w:val="24"/>
          <w:szCs w:val="24"/>
        </w:rPr>
        <w:t>Klar, farveløs til svagt brungul opløsning.</w:t>
      </w:r>
    </w:p>
    <w:p w14:paraId="0924E419" w14:textId="77777777" w:rsidR="008203A8" w:rsidRDefault="008203A8" w:rsidP="008203A8">
      <w:pPr>
        <w:ind w:left="851"/>
        <w:rPr>
          <w:sz w:val="24"/>
          <w:szCs w:val="24"/>
        </w:rPr>
      </w:pPr>
    </w:p>
    <w:p w14:paraId="674F540B" w14:textId="77777777" w:rsidR="008203A8" w:rsidRPr="008509BB" w:rsidRDefault="008203A8" w:rsidP="008203A8">
      <w:pPr>
        <w:ind w:left="851"/>
        <w:rPr>
          <w:sz w:val="24"/>
          <w:szCs w:val="24"/>
        </w:rPr>
      </w:pPr>
    </w:p>
    <w:p w14:paraId="69581657"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735DFA78" w14:textId="77777777" w:rsidR="008203A8" w:rsidRPr="00406EE7" w:rsidRDefault="008203A8" w:rsidP="008203A8">
      <w:pPr>
        <w:tabs>
          <w:tab w:val="left" w:pos="851"/>
        </w:tabs>
        <w:ind w:left="851"/>
        <w:rPr>
          <w:sz w:val="24"/>
          <w:szCs w:val="24"/>
        </w:rPr>
      </w:pPr>
    </w:p>
    <w:p w14:paraId="775EB8E3"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07E7E0DE" w14:textId="5AE40C43" w:rsidR="008203A8" w:rsidRDefault="009D3E09" w:rsidP="008203A8">
      <w:pPr>
        <w:ind w:left="851"/>
        <w:rPr>
          <w:sz w:val="24"/>
          <w:szCs w:val="24"/>
        </w:rPr>
      </w:pPr>
      <w:r>
        <w:rPr>
          <w:sz w:val="24"/>
          <w:szCs w:val="24"/>
        </w:rPr>
        <w:t>Kat</w:t>
      </w:r>
    </w:p>
    <w:p w14:paraId="79B74D83" w14:textId="0731483C" w:rsidR="009D3E09" w:rsidRPr="00406EE7" w:rsidRDefault="009D3E09" w:rsidP="008203A8">
      <w:pPr>
        <w:ind w:left="851"/>
        <w:rPr>
          <w:sz w:val="24"/>
          <w:szCs w:val="24"/>
        </w:rPr>
      </w:pPr>
      <w:r>
        <w:rPr>
          <w:sz w:val="24"/>
          <w:szCs w:val="24"/>
        </w:rPr>
        <w:t>Hund</w:t>
      </w:r>
    </w:p>
    <w:p w14:paraId="65AA56A0" w14:textId="77777777" w:rsidR="008203A8" w:rsidRPr="00406EE7" w:rsidRDefault="008203A8" w:rsidP="008203A8">
      <w:pPr>
        <w:ind w:left="851"/>
        <w:rPr>
          <w:sz w:val="24"/>
          <w:szCs w:val="24"/>
        </w:rPr>
      </w:pPr>
    </w:p>
    <w:p w14:paraId="52CA17E2"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199B25D0" w14:textId="77777777" w:rsidR="009D3E09" w:rsidRPr="009D3E09" w:rsidRDefault="009D3E09" w:rsidP="009D3E09">
      <w:pPr>
        <w:pStyle w:val="Sidehoved"/>
        <w:ind w:left="851"/>
        <w:rPr>
          <w:szCs w:val="24"/>
        </w:rPr>
      </w:pPr>
      <w:r w:rsidRPr="009D3E09">
        <w:rPr>
          <w:szCs w:val="24"/>
        </w:rPr>
        <w:t>Til behandling af smerter og inflammation forbundet med ortopæd</w:t>
      </w:r>
      <w:r w:rsidRPr="009D3E09">
        <w:rPr>
          <w:szCs w:val="24"/>
        </w:rPr>
        <w:noBreakHyphen/>
        <w:t xml:space="preserve"> eller bløddelskirurgi.</w:t>
      </w:r>
    </w:p>
    <w:p w14:paraId="47C3B02B" w14:textId="77777777" w:rsidR="008203A8" w:rsidRDefault="008203A8" w:rsidP="008203A8">
      <w:pPr>
        <w:pStyle w:val="Sidehoved"/>
        <w:ind w:left="851"/>
        <w:rPr>
          <w:szCs w:val="24"/>
        </w:rPr>
      </w:pPr>
    </w:p>
    <w:p w14:paraId="394A4D72"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43C78B03" w14:textId="77777777" w:rsidR="009D3E09" w:rsidRPr="009D3E09" w:rsidRDefault="009D3E09" w:rsidP="009D3E09">
      <w:pPr>
        <w:pStyle w:val="Sidehoved"/>
        <w:ind w:left="851"/>
        <w:rPr>
          <w:szCs w:val="24"/>
        </w:rPr>
      </w:pPr>
      <w:r w:rsidRPr="009D3E09">
        <w:rPr>
          <w:szCs w:val="24"/>
        </w:rPr>
        <w:t>Må ikke anvendes til dyr, der lider af mavesår.</w:t>
      </w:r>
    </w:p>
    <w:p w14:paraId="592CB84C" w14:textId="77777777" w:rsidR="009D3E09" w:rsidRPr="009D3E09" w:rsidRDefault="009D3E09" w:rsidP="009D3E09">
      <w:pPr>
        <w:pStyle w:val="Sidehoved"/>
        <w:ind w:left="851"/>
        <w:rPr>
          <w:szCs w:val="24"/>
        </w:rPr>
      </w:pPr>
      <w:r w:rsidRPr="009D3E09">
        <w:rPr>
          <w:szCs w:val="24"/>
        </w:rPr>
        <w:t xml:space="preserve">Må ikke anvendes samtidig med </w:t>
      </w:r>
      <w:proofErr w:type="spellStart"/>
      <w:r w:rsidRPr="009D3E09">
        <w:rPr>
          <w:szCs w:val="24"/>
        </w:rPr>
        <w:t>kortikosteroider</w:t>
      </w:r>
      <w:proofErr w:type="spellEnd"/>
      <w:r w:rsidRPr="009D3E09">
        <w:rPr>
          <w:szCs w:val="24"/>
        </w:rPr>
        <w:t xml:space="preserve"> eller andre non-</w:t>
      </w:r>
      <w:proofErr w:type="spellStart"/>
      <w:r w:rsidRPr="009D3E09">
        <w:rPr>
          <w:szCs w:val="24"/>
        </w:rPr>
        <w:t>steroide</w:t>
      </w:r>
      <w:proofErr w:type="spellEnd"/>
      <w:r w:rsidRPr="009D3E09">
        <w:rPr>
          <w:szCs w:val="24"/>
        </w:rPr>
        <w:t xml:space="preserve"> antiinflammatoriske lægemidler (</w:t>
      </w:r>
      <w:proofErr w:type="spellStart"/>
      <w:r w:rsidRPr="009D3E09">
        <w:rPr>
          <w:szCs w:val="24"/>
        </w:rPr>
        <w:t>NSAID’er</w:t>
      </w:r>
      <w:proofErr w:type="spellEnd"/>
      <w:r w:rsidRPr="009D3E09">
        <w:rPr>
          <w:szCs w:val="24"/>
        </w:rPr>
        <w:t>).</w:t>
      </w:r>
    </w:p>
    <w:p w14:paraId="23A71D05" w14:textId="77777777" w:rsidR="009D3E09" w:rsidRPr="009D3E09" w:rsidRDefault="009D3E09" w:rsidP="009D3E09">
      <w:pPr>
        <w:pStyle w:val="Sidehoved"/>
        <w:ind w:left="851"/>
        <w:rPr>
          <w:szCs w:val="24"/>
        </w:rPr>
      </w:pPr>
      <w:r w:rsidRPr="009D3E09">
        <w:rPr>
          <w:szCs w:val="24"/>
        </w:rPr>
        <w:t>Må ikke anvendes i tilfælde af overfølsomhed over for det aktive stof eller over for et eller flere af hjælpestofferne.</w:t>
      </w:r>
    </w:p>
    <w:p w14:paraId="5D110163" w14:textId="77777777" w:rsidR="009D3E09" w:rsidRPr="009D3E09" w:rsidRDefault="009D3E09" w:rsidP="009D3E09">
      <w:pPr>
        <w:pStyle w:val="Sidehoved"/>
        <w:ind w:left="851"/>
        <w:rPr>
          <w:szCs w:val="24"/>
        </w:rPr>
      </w:pPr>
      <w:r w:rsidRPr="009D3E09">
        <w:rPr>
          <w:szCs w:val="24"/>
        </w:rPr>
        <w:t>Se også pkt. 3.7.</w:t>
      </w:r>
    </w:p>
    <w:p w14:paraId="2C10A048" w14:textId="77777777" w:rsidR="008203A8" w:rsidRPr="00406EE7" w:rsidRDefault="008203A8" w:rsidP="008203A8">
      <w:pPr>
        <w:pStyle w:val="Sidehoved"/>
        <w:tabs>
          <w:tab w:val="clear" w:pos="4819"/>
        </w:tabs>
        <w:ind w:left="851"/>
        <w:rPr>
          <w:szCs w:val="24"/>
        </w:rPr>
      </w:pPr>
    </w:p>
    <w:p w14:paraId="14E1C5A6"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34681C77" w14:textId="3CB4732B" w:rsidR="008203A8" w:rsidRPr="00406EE7" w:rsidRDefault="009D3E09" w:rsidP="008203A8">
      <w:pPr>
        <w:tabs>
          <w:tab w:val="left" w:pos="851"/>
        </w:tabs>
        <w:ind w:left="851"/>
        <w:rPr>
          <w:sz w:val="24"/>
          <w:szCs w:val="24"/>
        </w:rPr>
      </w:pPr>
      <w:r>
        <w:rPr>
          <w:sz w:val="24"/>
          <w:szCs w:val="24"/>
        </w:rPr>
        <w:t>Ingen</w:t>
      </w:r>
    </w:p>
    <w:p w14:paraId="1918CCB0" w14:textId="77777777" w:rsidR="008203A8" w:rsidRPr="00406EE7" w:rsidRDefault="008203A8" w:rsidP="008203A8">
      <w:pPr>
        <w:pStyle w:val="Sidehoved"/>
        <w:tabs>
          <w:tab w:val="clear" w:pos="4819"/>
        </w:tabs>
        <w:ind w:left="851"/>
        <w:rPr>
          <w:szCs w:val="24"/>
        </w:rPr>
      </w:pPr>
    </w:p>
    <w:p w14:paraId="67712C0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7BB36CFF" w14:textId="77777777" w:rsidR="008203A8" w:rsidRPr="002374DA" w:rsidRDefault="008203A8" w:rsidP="008203A8">
      <w:pPr>
        <w:tabs>
          <w:tab w:val="left" w:pos="851"/>
        </w:tabs>
        <w:ind w:left="851"/>
        <w:rPr>
          <w:sz w:val="24"/>
          <w:szCs w:val="24"/>
        </w:rPr>
      </w:pPr>
    </w:p>
    <w:p w14:paraId="2D696C06"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7A4A25EB" w14:textId="77777777" w:rsidR="009D3E09" w:rsidRPr="009D3E09" w:rsidRDefault="009D3E09" w:rsidP="009D3E09">
      <w:pPr>
        <w:tabs>
          <w:tab w:val="left" w:pos="851"/>
        </w:tabs>
        <w:ind w:left="851"/>
        <w:rPr>
          <w:sz w:val="24"/>
          <w:szCs w:val="24"/>
        </w:rPr>
      </w:pPr>
      <w:r w:rsidRPr="009D3E09">
        <w:rPr>
          <w:sz w:val="24"/>
          <w:szCs w:val="24"/>
        </w:rPr>
        <w:t>Veterinærlægemidlets sikkerhed er ikke fastlagt for katte, der er under 4 måneder gamle, for hunde, der er under 2 måneder gamle, eller for katte eller hunde, der vejer under 2,5 kg.</w:t>
      </w:r>
    </w:p>
    <w:p w14:paraId="099DB0D2" w14:textId="77777777" w:rsidR="009D3E09" w:rsidRPr="009D3E09" w:rsidRDefault="009D3E09" w:rsidP="009D3E09">
      <w:pPr>
        <w:tabs>
          <w:tab w:val="left" w:pos="851"/>
        </w:tabs>
        <w:ind w:left="851"/>
        <w:rPr>
          <w:sz w:val="24"/>
          <w:szCs w:val="24"/>
        </w:rPr>
      </w:pPr>
    </w:p>
    <w:p w14:paraId="019512ED" w14:textId="77777777" w:rsidR="009D3E09" w:rsidRPr="009D3E09" w:rsidRDefault="009D3E09" w:rsidP="009D3E09">
      <w:pPr>
        <w:tabs>
          <w:tab w:val="left" w:pos="851"/>
        </w:tabs>
        <w:ind w:left="851"/>
        <w:rPr>
          <w:sz w:val="24"/>
          <w:szCs w:val="24"/>
        </w:rPr>
      </w:pPr>
      <w:r w:rsidRPr="009D3E09">
        <w:rPr>
          <w:sz w:val="24"/>
          <w:szCs w:val="24"/>
        </w:rPr>
        <w:t>Anvendelse til dyr med nedsat hjerte</w:t>
      </w:r>
      <w:r w:rsidRPr="009D3E09">
        <w:rPr>
          <w:sz w:val="24"/>
          <w:szCs w:val="24"/>
        </w:rPr>
        <w:noBreakHyphen/>
        <w:t xml:space="preserve">, nyre- eller leverfunktion eller til dyr, der er dehydrerede, </w:t>
      </w:r>
      <w:proofErr w:type="spellStart"/>
      <w:r w:rsidRPr="009D3E09">
        <w:rPr>
          <w:sz w:val="24"/>
          <w:szCs w:val="24"/>
        </w:rPr>
        <w:t>hypovolæmiske</w:t>
      </w:r>
      <w:proofErr w:type="spellEnd"/>
      <w:r w:rsidRPr="009D3E09">
        <w:rPr>
          <w:sz w:val="24"/>
          <w:szCs w:val="24"/>
        </w:rPr>
        <w:t xml:space="preserve"> eller </w:t>
      </w:r>
      <w:proofErr w:type="spellStart"/>
      <w:r w:rsidRPr="009D3E09">
        <w:rPr>
          <w:sz w:val="24"/>
          <w:szCs w:val="24"/>
        </w:rPr>
        <w:t>hypotensive</w:t>
      </w:r>
      <w:proofErr w:type="spellEnd"/>
      <w:r w:rsidRPr="009D3E09">
        <w:rPr>
          <w:sz w:val="24"/>
          <w:szCs w:val="24"/>
        </w:rPr>
        <w:t>, kan indebære yderligere risici. Hvis anvendelse ikke kan undgås, kræver disse dyr omhyggelig monitorering og væsketerapi.</w:t>
      </w:r>
    </w:p>
    <w:p w14:paraId="4F03CF23" w14:textId="77777777" w:rsidR="009D3E09" w:rsidRPr="009D3E09" w:rsidRDefault="009D3E09" w:rsidP="009D3E09">
      <w:pPr>
        <w:tabs>
          <w:tab w:val="left" w:pos="851"/>
        </w:tabs>
        <w:ind w:left="851"/>
        <w:rPr>
          <w:sz w:val="24"/>
          <w:szCs w:val="24"/>
        </w:rPr>
      </w:pPr>
    </w:p>
    <w:p w14:paraId="602E3EAA" w14:textId="77777777" w:rsidR="009D3E09" w:rsidRPr="009D3E09" w:rsidRDefault="009D3E09" w:rsidP="009D3E09">
      <w:pPr>
        <w:tabs>
          <w:tab w:val="left" w:pos="851"/>
        </w:tabs>
        <w:ind w:left="851"/>
        <w:rPr>
          <w:sz w:val="24"/>
          <w:szCs w:val="24"/>
        </w:rPr>
      </w:pPr>
      <w:r w:rsidRPr="009D3E09">
        <w:rPr>
          <w:sz w:val="24"/>
          <w:szCs w:val="24"/>
        </w:rPr>
        <w:t xml:space="preserve">Ved anvendelse af dette veterinærlægemiddel til dyr med risiko for mavesår, eller til dyr, der tidligere har udvist intolerance over for andre </w:t>
      </w:r>
      <w:proofErr w:type="spellStart"/>
      <w:r w:rsidRPr="009D3E09">
        <w:rPr>
          <w:sz w:val="24"/>
          <w:szCs w:val="24"/>
        </w:rPr>
        <w:t>NSAID’er</w:t>
      </w:r>
      <w:proofErr w:type="spellEnd"/>
      <w:r w:rsidRPr="009D3E09">
        <w:rPr>
          <w:sz w:val="24"/>
          <w:szCs w:val="24"/>
        </w:rPr>
        <w:t>, er nøje tilsyn af en dyrlæge påkrævet.</w:t>
      </w:r>
    </w:p>
    <w:p w14:paraId="05C9CEA3" w14:textId="77777777" w:rsidR="008203A8" w:rsidRPr="00406EE7" w:rsidRDefault="008203A8" w:rsidP="008203A8">
      <w:pPr>
        <w:tabs>
          <w:tab w:val="left" w:pos="851"/>
        </w:tabs>
        <w:ind w:left="851"/>
        <w:rPr>
          <w:sz w:val="24"/>
          <w:szCs w:val="24"/>
        </w:rPr>
      </w:pPr>
    </w:p>
    <w:p w14:paraId="2A08EF59"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6456F82A" w14:textId="77777777" w:rsidR="009D3E09" w:rsidRPr="009D3E09" w:rsidRDefault="009D3E09" w:rsidP="009D3E09">
      <w:pPr>
        <w:tabs>
          <w:tab w:val="left" w:pos="851"/>
        </w:tabs>
        <w:ind w:left="851"/>
        <w:rPr>
          <w:sz w:val="24"/>
          <w:szCs w:val="24"/>
        </w:rPr>
      </w:pPr>
      <w:r w:rsidRPr="009D3E09">
        <w:rPr>
          <w:sz w:val="24"/>
          <w:szCs w:val="24"/>
        </w:rPr>
        <w:t xml:space="preserve">Hos gravide kvinder, især dem, der er tæt på terminen, øger utilsigtet selvinjektion og forlænget kontakt med huden risikoen for præmatur lukning af </w:t>
      </w:r>
      <w:proofErr w:type="spellStart"/>
      <w:r w:rsidRPr="009D3E09">
        <w:rPr>
          <w:sz w:val="24"/>
          <w:szCs w:val="24"/>
        </w:rPr>
        <w:t>ductus</w:t>
      </w:r>
      <w:proofErr w:type="spellEnd"/>
      <w:r w:rsidRPr="009D3E09">
        <w:rPr>
          <w:sz w:val="24"/>
          <w:szCs w:val="24"/>
        </w:rPr>
        <w:t xml:space="preserve"> </w:t>
      </w:r>
      <w:proofErr w:type="spellStart"/>
      <w:r w:rsidRPr="009D3E09">
        <w:rPr>
          <w:sz w:val="24"/>
          <w:szCs w:val="24"/>
        </w:rPr>
        <w:t>arteriosus</w:t>
      </w:r>
      <w:proofErr w:type="spellEnd"/>
      <w:r w:rsidRPr="009D3E09">
        <w:rPr>
          <w:sz w:val="24"/>
          <w:szCs w:val="24"/>
        </w:rPr>
        <w:t xml:space="preserve"> hos fostret.</w:t>
      </w:r>
    </w:p>
    <w:p w14:paraId="777B530C" w14:textId="77777777" w:rsidR="009D3E09" w:rsidRPr="009D3E09" w:rsidRDefault="009D3E09" w:rsidP="009D3E09">
      <w:pPr>
        <w:tabs>
          <w:tab w:val="left" w:pos="851"/>
        </w:tabs>
        <w:ind w:left="851"/>
        <w:rPr>
          <w:sz w:val="24"/>
          <w:szCs w:val="24"/>
        </w:rPr>
      </w:pPr>
      <w:r w:rsidRPr="009D3E09">
        <w:rPr>
          <w:sz w:val="24"/>
          <w:szCs w:val="24"/>
        </w:rPr>
        <w:t>Vask hænder og udsat hud umiddelbart efter brug af veterinærlægemidlet.</w:t>
      </w:r>
    </w:p>
    <w:p w14:paraId="512DF3DC" w14:textId="77777777" w:rsidR="009D3E09" w:rsidRPr="009D3E09" w:rsidRDefault="009D3E09" w:rsidP="009D3E09">
      <w:pPr>
        <w:tabs>
          <w:tab w:val="left" w:pos="851"/>
        </w:tabs>
        <w:ind w:left="851"/>
        <w:rPr>
          <w:sz w:val="24"/>
          <w:szCs w:val="24"/>
        </w:rPr>
      </w:pPr>
      <w:r w:rsidRPr="009D3E09">
        <w:rPr>
          <w:sz w:val="24"/>
          <w:szCs w:val="24"/>
        </w:rPr>
        <w:t xml:space="preserve">I tilfælde af utilsigtet oral eksponering (hånd-til-mund), langvarig </w:t>
      </w:r>
      <w:proofErr w:type="spellStart"/>
      <w:r w:rsidRPr="009D3E09">
        <w:rPr>
          <w:sz w:val="24"/>
          <w:szCs w:val="24"/>
        </w:rPr>
        <w:t>dermal</w:t>
      </w:r>
      <w:proofErr w:type="spellEnd"/>
      <w:r w:rsidRPr="009D3E09">
        <w:rPr>
          <w:sz w:val="24"/>
          <w:szCs w:val="24"/>
        </w:rPr>
        <w:t xml:space="preserve"> eksponering eller selvinjektion skal der straks søges lægehjælp, og indlægssedlen eller etiketten bør vises til lægen.</w:t>
      </w:r>
    </w:p>
    <w:p w14:paraId="41196190" w14:textId="77777777" w:rsidR="008203A8" w:rsidRDefault="008203A8" w:rsidP="008203A8">
      <w:pPr>
        <w:tabs>
          <w:tab w:val="left" w:pos="851"/>
        </w:tabs>
        <w:ind w:left="851"/>
        <w:rPr>
          <w:sz w:val="24"/>
          <w:szCs w:val="24"/>
        </w:rPr>
      </w:pPr>
    </w:p>
    <w:p w14:paraId="05C0A131"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12F24655" w14:textId="77777777" w:rsidR="009D3E09" w:rsidRPr="009D3E09" w:rsidRDefault="009D3E09" w:rsidP="009D3E09">
      <w:pPr>
        <w:tabs>
          <w:tab w:val="left" w:pos="851"/>
        </w:tabs>
        <w:ind w:left="851"/>
        <w:rPr>
          <w:sz w:val="24"/>
          <w:szCs w:val="24"/>
        </w:rPr>
      </w:pPr>
      <w:r w:rsidRPr="009D3E09">
        <w:rPr>
          <w:sz w:val="24"/>
          <w:szCs w:val="24"/>
        </w:rPr>
        <w:t>Ikke relevant.</w:t>
      </w:r>
    </w:p>
    <w:p w14:paraId="42FAB609" w14:textId="77777777" w:rsidR="008203A8" w:rsidRPr="00406EE7" w:rsidRDefault="008203A8" w:rsidP="008203A8">
      <w:pPr>
        <w:tabs>
          <w:tab w:val="left" w:pos="851"/>
        </w:tabs>
        <w:ind w:left="851"/>
        <w:rPr>
          <w:sz w:val="24"/>
          <w:szCs w:val="24"/>
        </w:rPr>
      </w:pPr>
    </w:p>
    <w:p w14:paraId="542E9A8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4ACBD4AE" w14:textId="77777777" w:rsidR="00CB32A5" w:rsidRPr="00CB32A5" w:rsidRDefault="00CB32A5" w:rsidP="00CB32A5">
      <w:pPr>
        <w:tabs>
          <w:tab w:val="left" w:pos="851"/>
        </w:tabs>
        <w:ind w:left="851"/>
        <w:rPr>
          <w:sz w:val="24"/>
          <w:szCs w:val="24"/>
        </w:rPr>
      </w:pPr>
    </w:p>
    <w:p w14:paraId="08AAE1D8" w14:textId="77777777" w:rsidR="00CB32A5" w:rsidRPr="00CB32A5" w:rsidRDefault="00CB32A5" w:rsidP="00CB32A5">
      <w:pPr>
        <w:tabs>
          <w:tab w:val="left" w:pos="851"/>
        </w:tabs>
        <w:ind w:left="851"/>
        <w:rPr>
          <w:sz w:val="24"/>
          <w:szCs w:val="24"/>
        </w:rPr>
      </w:pPr>
      <w:r w:rsidRPr="00CB32A5">
        <w:rPr>
          <w:sz w:val="24"/>
          <w:szCs w:val="24"/>
        </w:rPr>
        <w:t>Katte:</w:t>
      </w:r>
    </w:p>
    <w:p w14:paraId="1EA6CBA6" w14:textId="77777777" w:rsidR="00CB32A5" w:rsidRPr="00CB32A5" w:rsidRDefault="00CB32A5" w:rsidP="00CB32A5">
      <w:pPr>
        <w:tabs>
          <w:tab w:val="left" w:pos="851"/>
        </w:tabs>
        <w:ind w:left="851"/>
        <w:rPr>
          <w:sz w:val="24"/>
          <w:szCs w:val="24"/>
        </w:rPr>
      </w:pPr>
    </w:p>
    <w:tbl>
      <w:tblPr>
        <w:tblW w:w="500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265"/>
      </w:tblGrid>
      <w:tr w:rsidR="00CB32A5" w:rsidRPr="00CB32A5" w14:paraId="54F22D0D" w14:textId="77777777" w:rsidTr="00CB32A5">
        <w:tc>
          <w:tcPr>
            <w:tcW w:w="2266" w:type="pct"/>
            <w:tcBorders>
              <w:top w:val="single" w:sz="4" w:space="0" w:color="auto"/>
              <w:left w:val="single" w:sz="4" w:space="0" w:color="auto"/>
              <w:bottom w:val="single" w:sz="4" w:space="0" w:color="auto"/>
              <w:right w:val="single" w:sz="4" w:space="0" w:color="auto"/>
            </w:tcBorders>
            <w:hideMark/>
          </w:tcPr>
          <w:p w14:paraId="7FDF7146" w14:textId="77777777" w:rsidR="00CB32A5" w:rsidRPr="00CB32A5" w:rsidRDefault="00CB32A5" w:rsidP="00CB32A5">
            <w:pPr>
              <w:rPr>
                <w:sz w:val="24"/>
                <w:szCs w:val="24"/>
              </w:rPr>
            </w:pPr>
            <w:r w:rsidRPr="00CB32A5">
              <w:rPr>
                <w:sz w:val="24"/>
                <w:szCs w:val="24"/>
              </w:rPr>
              <w:t>Almindelig</w:t>
            </w:r>
          </w:p>
          <w:p w14:paraId="3A097FB1" w14:textId="77777777" w:rsidR="00CB32A5" w:rsidRPr="00CB32A5" w:rsidRDefault="00CB32A5" w:rsidP="00CB32A5">
            <w:pPr>
              <w:rPr>
                <w:sz w:val="24"/>
                <w:szCs w:val="24"/>
              </w:rPr>
            </w:pPr>
            <w:r w:rsidRPr="00CB32A5">
              <w:rPr>
                <w:sz w:val="24"/>
                <w:szCs w:val="24"/>
              </w:rPr>
              <w:t>(1 til 10 dyr ud af 100 behandlede dyr):</w:t>
            </w:r>
          </w:p>
        </w:tc>
        <w:tc>
          <w:tcPr>
            <w:tcW w:w="2734" w:type="pct"/>
            <w:tcBorders>
              <w:top w:val="single" w:sz="4" w:space="0" w:color="auto"/>
              <w:left w:val="single" w:sz="4" w:space="0" w:color="auto"/>
              <w:bottom w:val="single" w:sz="4" w:space="0" w:color="auto"/>
              <w:right w:val="single" w:sz="4" w:space="0" w:color="auto"/>
            </w:tcBorders>
            <w:hideMark/>
          </w:tcPr>
          <w:p w14:paraId="19748D7C" w14:textId="77777777" w:rsidR="00CB32A5" w:rsidRPr="00CB32A5" w:rsidRDefault="00CB32A5" w:rsidP="00CB32A5">
            <w:pPr>
              <w:rPr>
                <w:iCs/>
                <w:sz w:val="24"/>
                <w:szCs w:val="24"/>
              </w:rPr>
            </w:pPr>
            <w:r w:rsidRPr="00CB32A5">
              <w:rPr>
                <w:iCs/>
                <w:sz w:val="24"/>
                <w:szCs w:val="24"/>
              </w:rPr>
              <w:t>Smerter på injektionsstedet</w:t>
            </w:r>
          </w:p>
          <w:p w14:paraId="27647BE8" w14:textId="77777777" w:rsidR="00CB32A5" w:rsidRPr="00CB32A5" w:rsidRDefault="00CB32A5" w:rsidP="00CB32A5">
            <w:pPr>
              <w:rPr>
                <w:iCs/>
                <w:sz w:val="24"/>
                <w:szCs w:val="24"/>
              </w:rPr>
            </w:pPr>
            <w:proofErr w:type="spellStart"/>
            <w:r w:rsidRPr="00CB32A5">
              <w:rPr>
                <w:iCs/>
                <w:sz w:val="24"/>
                <w:szCs w:val="24"/>
              </w:rPr>
              <w:t>Gastrointestinale</w:t>
            </w:r>
            <w:proofErr w:type="spellEnd"/>
            <w:r w:rsidRPr="00CB32A5">
              <w:rPr>
                <w:iCs/>
                <w:sz w:val="24"/>
                <w:szCs w:val="24"/>
              </w:rPr>
              <w:t xml:space="preserve"> lidelser</w:t>
            </w:r>
            <w:r w:rsidRPr="00CB32A5">
              <w:rPr>
                <w:iCs/>
                <w:sz w:val="24"/>
                <w:szCs w:val="24"/>
                <w:vertAlign w:val="superscript"/>
              </w:rPr>
              <w:t>1</w:t>
            </w:r>
            <w:r w:rsidRPr="00CB32A5">
              <w:rPr>
                <w:iCs/>
                <w:sz w:val="24"/>
                <w:szCs w:val="24"/>
              </w:rPr>
              <w:t>, diarré</w:t>
            </w:r>
            <w:r w:rsidRPr="00CB32A5">
              <w:rPr>
                <w:iCs/>
                <w:sz w:val="24"/>
                <w:szCs w:val="24"/>
                <w:vertAlign w:val="superscript"/>
              </w:rPr>
              <w:t>1</w:t>
            </w:r>
            <w:r w:rsidRPr="00CB32A5">
              <w:rPr>
                <w:iCs/>
                <w:sz w:val="24"/>
                <w:szCs w:val="24"/>
              </w:rPr>
              <w:t>, opkasning</w:t>
            </w:r>
            <w:r w:rsidRPr="00CB32A5">
              <w:rPr>
                <w:iCs/>
                <w:sz w:val="24"/>
                <w:szCs w:val="24"/>
                <w:vertAlign w:val="superscript"/>
              </w:rPr>
              <w:t>1</w:t>
            </w:r>
          </w:p>
        </w:tc>
      </w:tr>
      <w:tr w:rsidR="00CB32A5" w:rsidRPr="00CB32A5" w14:paraId="7DA4AC13" w14:textId="77777777" w:rsidTr="00CB32A5">
        <w:tc>
          <w:tcPr>
            <w:tcW w:w="2266" w:type="pct"/>
            <w:tcBorders>
              <w:top w:val="single" w:sz="4" w:space="0" w:color="auto"/>
              <w:left w:val="single" w:sz="4" w:space="0" w:color="auto"/>
              <w:bottom w:val="single" w:sz="4" w:space="0" w:color="auto"/>
              <w:right w:val="single" w:sz="4" w:space="0" w:color="auto"/>
            </w:tcBorders>
            <w:hideMark/>
          </w:tcPr>
          <w:p w14:paraId="69B72748" w14:textId="77777777" w:rsidR="00CB32A5" w:rsidRPr="00CB32A5" w:rsidRDefault="00CB32A5" w:rsidP="00CB32A5">
            <w:pPr>
              <w:rPr>
                <w:sz w:val="24"/>
                <w:szCs w:val="24"/>
              </w:rPr>
            </w:pPr>
            <w:r w:rsidRPr="00CB32A5">
              <w:rPr>
                <w:sz w:val="24"/>
                <w:szCs w:val="24"/>
              </w:rPr>
              <w:t>Ikke almindelig</w:t>
            </w:r>
          </w:p>
          <w:p w14:paraId="326AF403" w14:textId="77777777" w:rsidR="00CB32A5" w:rsidRPr="00CB32A5" w:rsidRDefault="00CB32A5" w:rsidP="00CB32A5">
            <w:pPr>
              <w:rPr>
                <w:sz w:val="24"/>
                <w:szCs w:val="24"/>
              </w:rPr>
            </w:pPr>
            <w:r w:rsidRPr="00CB32A5">
              <w:rPr>
                <w:sz w:val="24"/>
                <w:szCs w:val="24"/>
              </w:rPr>
              <w:t>(1 til 10 dyr ud af 1.000 behandlede dyr):</w:t>
            </w:r>
          </w:p>
        </w:tc>
        <w:tc>
          <w:tcPr>
            <w:tcW w:w="2734" w:type="pct"/>
            <w:tcBorders>
              <w:top w:val="single" w:sz="4" w:space="0" w:color="auto"/>
              <w:left w:val="single" w:sz="4" w:space="0" w:color="auto"/>
              <w:bottom w:val="single" w:sz="4" w:space="0" w:color="auto"/>
              <w:right w:val="single" w:sz="4" w:space="0" w:color="auto"/>
            </w:tcBorders>
            <w:hideMark/>
          </w:tcPr>
          <w:p w14:paraId="4C1FDE6C" w14:textId="77777777" w:rsidR="00CB32A5" w:rsidRPr="00CB32A5" w:rsidRDefault="00CB32A5" w:rsidP="00CB32A5">
            <w:pPr>
              <w:rPr>
                <w:iCs/>
                <w:sz w:val="24"/>
                <w:szCs w:val="24"/>
              </w:rPr>
            </w:pPr>
            <w:r w:rsidRPr="00CB32A5">
              <w:rPr>
                <w:iCs/>
                <w:sz w:val="24"/>
                <w:szCs w:val="24"/>
              </w:rPr>
              <w:t>Blodig diarré, opkastning med blod</w:t>
            </w:r>
          </w:p>
        </w:tc>
      </w:tr>
    </w:tbl>
    <w:p w14:paraId="316A42C0" w14:textId="77777777" w:rsidR="00CB32A5" w:rsidRPr="00CB32A5" w:rsidRDefault="00CB32A5" w:rsidP="00CB32A5">
      <w:pPr>
        <w:tabs>
          <w:tab w:val="left" w:pos="851"/>
        </w:tabs>
        <w:ind w:left="851"/>
        <w:rPr>
          <w:sz w:val="20"/>
        </w:rPr>
      </w:pPr>
      <w:r w:rsidRPr="00CB32A5">
        <w:rPr>
          <w:sz w:val="20"/>
          <w:vertAlign w:val="superscript"/>
        </w:rPr>
        <w:t>1</w:t>
      </w:r>
      <w:r w:rsidRPr="00CB32A5">
        <w:rPr>
          <w:sz w:val="20"/>
        </w:rPr>
        <w:t xml:space="preserve"> De fleste tilfælde var milde, og bedring indtrådte uden behandling.</w:t>
      </w:r>
    </w:p>
    <w:p w14:paraId="548F7E50" w14:textId="77777777" w:rsidR="00CB32A5" w:rsidRPr="00CB32A5" w:rsidRDefault="00CB32A5" w:rsidP="00CB32A5">
      <w:pPr>
        <w:tabs>
          <w:tab w:val="left" w:pos="851"/>
        </w:tabs>
        <w:ind w:left="851"/>
        <w:rPr>
          <w:sz w:val="24"/>
          <w:szCs w:val="24"/>
        </w:rPr>
      </w:pPr>
    </w:p>
    <w:p w14:paraId="1FEDB69B" w14:textId="77777777" w:rsidR="00CB32A5" w:rsidRPr="00CB32A5" w:rsidRDefault="00CB32A5" w:rsidP="00CB32A5">
      <w:pPr>
        <w:tabs>
          <w:tab w:val="left" w:pos="851"/>
        </w:tabs>
        <w:ind w:left="851"/>
        <w:rPr>
          <w:sz w:val="24"/>
          <w:szCs w:val="24"/>
        </w:rPr>
      </w:pPr>
      <w:r w:rsidRPr="00CB32A5">
        <w:rPr>
          <w:sz w:val="24"/>
          <w:szCs w:val="24"/>
        </w:rPr>
        <w:t>Hunde:</w:t>
      </w:r>
    </w:p>
    <w:p w14:paraId="7D830F3A" w14:textId="77777777" w:rsidR="00CB32A5" w:rsidRPr="00CB32A5" w:rsidRDefault="00CB32A5" w:rsidP="00CB32A5">
      <w:pPr>
        <w:tabs>
          <w:tab w:val="left" w:pos="851"/>
        </w:tabs>
        <w:ind w:left="851"/>
        <w:rPr>
          <w:sz w:val="24"/>
          <w:szCs w:val="24"/>
        </w:rPr>
      </w:pPr>
    </w:p>
    <w:tbl>
      <w:tblPr>
        <w:tblW w:w="500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265"/>
      </w:tblGrid>
      <w:tr w:rsidR="00CB32A5" w:rsidRPr="00CB32A5" w14:paraId="5A537FC8" w14:textId="77777777" w:rsidTr="00CB32A5">
        <w:tc>
          <w:tcPr>
            <w:tcW w:w="2266" w:type="pct"/>
            <w:tcBorders>
              <w:top w:val="single" w:sz="4" w:space="0" w:color="auto"/>
              <w:left w:val="single" w:sz="4" w:space="0" w:color="auto"/>
              <w:bottom w:val="single" w:sz="4" w:space="0" w:color="auto"/>
              <w:right w:val="single" w:sz="4" w:space="0" w:color="auto"/>
            </w:tcBorders>
            <w:hideMark/>
          </w:tcPr>
          <w:p w14:paraId="27EC29BF" w14:textId="77777777" w:rsidR="00CB32A5" w:rsidRPr="00CB32A5" w:rsidRDefault="00CB32A5" w:rsidP="00CB32A5">
            <w:pPr>
              <w:rPr>
                <w:sz w:val="24"/>
                <w:szCs w:val="24"/>
              </w:rPr>
            </w:pPr>
            <w:r w:rsidRPr="00CB32A5">
              <w:rPr>
                <w:sz w:val="24"/>
                <w:szCs w:val="24"/>
              </w:rPr>
              <w:t>Almindelig</w:t>
            </w:r>
          </w:p>
          <w:p w14:paraId="2A0A39AA" w14:textId="77777777" w:rsidR="00CB32A5" w:rsidRPr="00CB32A5" w:rsidRDefault="00CB32A5" w:rsidP="00CB32A5">
            <w:pPr>
              <w:rPr>
                <w:sz w:val="24"/>
                <w:szCs w:val="24"/>
              </w:rPr>
            </w:pPr>
            <w:r w:rsidRPr="00CB32A5">
              <w:rPr>
                <w:sz w:val="24"/>
                <w:szCs w:val="24"/>
              </w:rPr>
              <w:t>(1 til 10 dyr ud af 100 behandlede dyr):</w:t>
            </w:r>
          </w:p>
        </w:tc>
        <w:tc>
          <w:tcPr>
            <w:tcW w:w="2734" w:type="pct"/>
            <w:tcBorders>
              <w:top w:val="single" w:sz="4" w:space="0" w:color="auto"/>
              <w:left w:val="single" w:sz="4" w:space="0" w:color="auto"/>
              <w:bottom w:val="single" w:sz="4" w:space="0" w:color="auto"/>
              <w:right w:val="single" w:sz="4" w:space="0" w:color="auto"/>
            </w:tcBorders>
            <w:hideMark/>
          </w:tcPr>
          <w:p w14:paraId="6552E7DA" w14:textId="77777777" w:rsidR="00CB32A5" w:rsidRPr="00CB32A5" w:rsidRDefault="00CB32A5" w:rsidP="00CB32A5">
            <w:pPr>
              <w:rPr>
                <w:iCs/>
                <w:sz w:val="24"/>
                <w:szCs w:val="24"/>
              </w:rPr>
            </w:pPr>
            <w:r w:rsidRPr="00CB32A5">
              <w:rPr>
                <w:iCs/>
                <w:sz w:val="24"/>
                <w:szCs w:val="24"/>
              </w:rPr>
              <w:t>Smerter på injektionsstedet</w:t>
            </w:r>
            <w:r w:rsidRPr="00CB32A5">
              <w:rPr>
                <w:iCs/>
                <w:sz w:val="24"/>
                <w:szCs w:val="24"/>
                <w:vertAlign w:val="superscript"/>
              </w:rPr>
              <w:t>1</w:t>
            </w:r>
          </w:p>
          <w:p w14:paraId="38957FC5" w14:textId="77777777" w:rsidR="00CB32A5" w:rsidRPr="00CB32A5" w:rsidRDefault="00CB32A5" w:rsidP="00CB32A5">
            <w:pPr>
              <w:rPr>
                <w:iCs/>
                <w:sz w:val="24"/>
                <w:szCs w:val="24"/>
              </w:rPr>
            </w:pPr>
            <w:proofErr w:type="spellStart"/>
            <w:r w:rsidRPr="00CB32A5">
              <w:rPr>
                <w:iCs/>
                <w:sz w:val="24"/>
                <w:szCs w:val="24"/>
              </w:rPr>
              <w:t>Gastrointestinale</w:t>
            </w:r>
            <w:proofErr w:type="spellEnd"/>
            <w:r w:rsidRPr="00CB32A5">
              <w:rPr>
                <w:iCs/>
                <w:sz w:val="24"/>
                <w:szCs w:val="24"/>
              </w:rPr>
              <w:t xml:space="preserve"> lidelser</w:t>
            </w:r>
            <w:r w:rsidRPr="00CB32A5">
              <w:rPr>
                <w:iCs/>
                <w:sz w:val="24"/>
                <w:szCs w:val="24"/>
                <w:vertAlign w:val="superscript"/>
              </w:rPr>
              <w:t>2</w:t>
            </w:r>
            <w:r w:rsidRPr="00CB32A5">
              <w:rPr>
                <w:iCs/>
                <w:sz w:val="24"/>
                <w:szCs w:val="24"/>
              </w:rPr>
              <w:t>, diarré</w:t>
            </w:r>
            <w:r w:rsidRPr="00CB32A5">
              <w:rPr>
                <w:iCs/>
                <w:sz w:val="24"/>
                <w:szCs w:val="24"/>
                <w:vertAlign w:val="superscript"/>
              </w:rPr>
              <w:t>2</w:t>
            </w:r>
            <w:r w:rsidRPr="00CB32A5">
              <w:rPr>
                <w:iCs/>
                <w:sz w:val="24"/>
                <w:szCs w:val="24"/>
              </w:rPr>
              <w:t>, opkasning</w:t>
            </w:r>
            <w:r w:rsidRPr="00CB32A5">
              <w:rPr>
                <w:iCs/>
                <w:sz w:val="24"/>
                <w:szCs w:val="24"/>
                <w:vertAlign w:val="superscript"/>
              </w:rPr>
              <w:t>2</w:t>
            </w:r>
          </w:p>
        </w:tc>
      </w:tr>
      <w:tr w:rsidR="00CB32A5" w:rsidRPr="00CB32A5" w14:paraId="7524E98F" w14:textId="77777777" w:rsidTr="00CB32A5">
        <w:tc>
          <w:tcPr>
            <w:tcW w:w="2266" w:type="pct"/>
            <w:tcBorders>
              <w:top w:val="single" w:sz="4" w:space="0" w:color="auto"/>
              <w:left w:val="single" w:sz="4" w:space="0" w:color="auto"/>
              <w:bottom w:val="single" w:sz="4" w:space="0" w:color="auto"/>
              <w:right w:val="single" w:sz="4" w:space="0" w:color="auto"/>
            </w:tcBorders>
            <w:hideMark/>
          </w:tcPr>
          <w:p w14:paraId="505A05FB" w14:textId="77777777" w:rsidR="00CB32A5" w:rsidRPr="00CB32A5" w:rsidRDefault="00CB32A5" w:rsidP="00CB32A5">
            <w:pPr>
              <w:rPr>
                <w:sz w:val="24"/>
                <w:szCs w:val="24"/>
              </w:rPr>
            </w:pPr>
            <w:r w:rsidRPr="00CB32A5">
              <w:rPr>
                <w:sz w:val="24"/>
                <w:szCs w:val="24"/>
              </w:rPr>
              <w:t>Ikke almindelig</w:t>
            </w:r>
          </w:p>
          <w:p w14:paraId="28A43E5C" w14:textId="77777777" w:rsidR="00CB32A5" w:rsidRPr="00CB32A5" w:rsidRDefault="00CB32A5" w:rsidP="00CB32A5">
            <w:pPr>
              <w:rPr>
                <w:sz w:val="24"/>
                <w:szCs w:val="24"/>
              </w:rPr>
            </w:pPr>
            <w:r w:rsidRPr="00CB32A5">
              <w:rPr>
                <w:sz w:val="24"/>
                <w:szCs w:val="24"/>
              </w:rPr>
              <w:t>(1 til 10 dyr ud af 1.000 behandlede dyr):</w:t>
            </w:r>
          </w:p>
        </w:tc>
        <w:tc>
          <w:tcPr>
            <w:tcW w:w="2734" w:type="pct"/>
            <w:tcBorders>
              <w:top w:val="single" w:sz="4" w:space="0" w:color="auto"/>
              <w:left w:val="single" w:sz="4" w:space="0" w:color="auto"/>
              <w:bottom w:val="single" w:sz="4" w:space="0" w:color="auto"/>
              <w:right w:val="single" w:sz="4" w:space="0" w:color="auto"/>
            </w:tcBorders>
            <w:hideMark/>
          </w:tcPr>
          <w:p w14:paraId="3FF91089" w14:textId="77777777" w:rsidR="00CB32A5" w:rsidRPr="00CB32A5" w:rsidRDefault="00CB32A5" w:rsidP="00CB32A5">
            <w:pPr>
              <w:rPr>
                <w:iCs/>
                <w:sz w:val="24"/>
                <w:szCs w:val="24"/>
              </w:rPr>
            </w:pPr>
            <w:r w:rsidRPr="00CB32A5">
              <w:rPr>
                <w:iCs/>
                <w:sz w:val="24"/>
                <w:szCs w:val="24"/>
              </w:rPr>
              <w:t>Mørk afføring</w:t>
            </w:r>
          </w:p>
          <w:p w14:paraId="50FC2BB0" w14:textId="77777777" w:rsidR="00CB32A5" w:rsidRPr="00CB32A5" w:rsidRDefault="00CB32A5" w:rsidP="00CB32A5">
            <w:pPr>
              <w:rPr>
                <w:iCs/>
                <w:sz w:val="24"/>
                <w:szCs w:val="24"/>
              </w:rPr>
            </w:pPr>
            <w:r w:rsidRPr="00CB32A5">
              <w:rPr>
                <w:iCs/>
                <w:sz w:val="24"/>
                <w:szCs w:val="24"/>
              </w:rPr>
              <w:t>Nedsat appetit</w:t>
            </w:r>
          </w:p>
        </w:tc>
      </w:tr>
    </w:tbl>
    <w:p w14:paraId="2420FEFF" w14:textId="77777777" w:rsidR="00CB32A5" w:rsidRPr="00CB32A5" w:rsidRDefault="00CB32A5" w:rsidP="00CB32A5">
      <w:pPr>
        <w:tabs>
          <w:tab w:val="left" w:pos="851"/>
        </w:tabs>
        <w:ind w:left="851"/>
        <w:rPr>
          <w:sz w:val="20"/>
        </w:rPr>
      </w:pPr>
      <w:r w:rsidRPr="00CB32A5">
        <w:rPr>
          <w:sz w:val="20"/>
          <w:vertAlign w:val="superscript"/>
        </w:rPr>
        <w:t>1</w:t>
      </w:r>
      <w:r w:rsidRPr="00CB32A5">
        <w:rPr>
          <w:sz w:val="20"/>
        </w:rPr>
        <w:t xml:space="preserve"> Moderate eller stærke smerter på injektionsstedet var ikke almindeligt.</w:t>
      </w:r>
    </w:p>
    <w:p w14:paraId="20E353C8" w14:textId="77777777" w:rsidR="00CB32A5" w:rsidRPr="00CB32A5" w:rsidRDefault="00CB32A5" w:rsidP="00CB32A5">
      <w:pPr>
        <w:tabs>
          <w:tab w:val="left" w:pos="851"/>
        </w:tabs>
        <w:ind w:left="851"/>
        <w:rPr>
          <w:sz w:val="20"/>
        </w:rPr>
      </w:pPr>
      <w:r w:rsidRPr="00CB32A5">
        <w:rPr>
          <w:sz w:val="20"/>
          <w:vertAlign w:val="superscript"/>
        </w:rPr>
        <w:t>2</w:t>
      </w:r>
      <w:r w:rsidRPr="00CB32A5">
        <w:rPr>
          <w:sz w:val="20"/>
        </w:rPr>
        <w:t xml:space="preserve"> De fleste tilfælde var milde, og bedring indtrådte uden behandling.</w:t>
      </w:r>
    </w:p>
    <w:p w14:paraId="4C11DCA6" w14:textId="77777777" w:rsidR="00CB32A5" w:rsidRPr="00CB32A5" w:rsidRDefault="00CB32A5" w:rsidP="00CB32A5">
      <w:pPr>
        <w:tabs>
          <w:tab w:val="left" w:pos="851"/>
        </w:tabs>
        <w:ind w:left="851"/>
        <w:rPr>
          <w:sz w:val="24"/>
          <w:szCs w:val="24"/>
        </w:rPr>
      </w:pPr>
    </w:p>
    <w:p w14:paraId="644AA099" w14:textId="77777777" w:rsidR="00CB32A5" w:rsidRPr="00CB32A5" w:rsidRDefault="00CB32A5" w:rsidP="00CB32A5">
      <w:pPr>
        <w:tabs>
          <w:tab w:val="left" w:pos="851"/>
        </w:tabs>
        <w:ind w:left="851"/>
        <w:rPr>
          <w:sz w:val="24"/>
          <w:szCs w:val="24"/>
        </w:rPr>
      </w:pPr>
      <w:bookmarkStart w:id="1" w:name="_Hlk66891708"/>
      <w:r w:rsidRPr="00CB32A5">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1"/>
    </w:p>
    <w:p w14:paraId="2DEAECD8" w14:textId="77777777" w:rsidR="008203A8" w:rsidRPr="00406EE7" w:rsidRDefault="008203A8" w:rsidP="008203A8">
      <w:pPr>
        <w:tabs>
          <w:tab w:val="left" w:pos="851"/>
        </w:tabs>
        <w:ind w:left="851"/>
        <w:rPr>
          <w:sz w:val="24"/>
          <w:szCs w:val="24"/>
        </w:rPr>
      </w:pPr>
    </w:p>
    <w:p w14:paraId="288CD37E"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2D37F1D2" w14:textId="77777777" w:rsidR="00CB32A5" w:rsidRPr="00CB32A5" w:rsidRDefault="00CB32A5" w:rsidP="00CB32A5">
      <w:pPr>
        <w:tabs>
          <w:tab w:val="left" w:pos="851"/>
        </w:tabs>
        <w:ind w:left="851"/>
        <w:rPr>
          <w:sz w:val="24"/>
          <w:szCs w:val="24"/>
        </w:rPr>
      </w:pPr>
      <w:r w:rsidRPr="00CB32A5">
        <w:rPr>
          <w:sz w:val="24"/>
          <w:szCs w:val="24"/>
        </w:rPr>
        <w:t>Veterinærlægemidlets sikkerhed under drægtighed og diegivning er ikke fastlagt.</w:t>
      </w:r>
    </w:p>
    <w:p w14:paraId="5644C37A" w14:textId="77777777" w:rsidR="00CB32A5" w:rsidRPr="00CB32A5" w:rsidRDefault="00CB32A5" w:rsidP="00CB32A5">
      <w:pPr>
        <w:tabs>
          <w:tab w:val="left" w:pos="851"/>
        </w:tabs>
        <w:ind w:left="851"/>
        <w:rPr>
          <w:sz w:val="24"/>
          <w:szCs w:val="24"/>
        </w:rPr>
      </w:pPr>
      <w:r w:rsidRPr="00CB32A5">
        <w:rPr>
          <w:sz w:val="24"/>
          <w:szCs w:val="24"/>
        </w:rPr>
        <w:t>Veterinærlægemidlets sikkerhed er ikke blevet fastslået hos katte og hunde, der anvendes til avl.</w:t>
      </w:r>
    </w:p>
    <w:p w14:paraId="270C1662" w14:textId="77777777" w:rsidR="00CB32A5" w:rsidRPr="00CB32A5" w:rsidRDefault="00CB32A5" w:rsidP="00CB32A5">
      <w:pPr>
        <w:tabs>
          <w:tab w:val="left" w:pos="851"/>
        </w:tabs>
        <w:ind w:left="851"/>
        <w:rPr>
          <w:sz w:val="24"/>
          <w:szCs w:val="24"/>
          <w:u w:val="single"/>
        </w:rPr>
      </w:pPr>
    </w:p>
    <w:p w14:paraId="15C37922" w14:textId="0AF0E546" w:rsidR="00CB32A5" w:rsidRPr="00CB32A5" w:rsidRDefault="00CB32A5" w:rsidP="00CB32A5">
      <w:pPr>
        <w:tabs>
          <w:tab w:val="left" w:pos="851"/>
        </w:tabs>
        <w:ind w:left="851"/>
        <w:rPr>
          <w:sz w:val="24"/>
          <w:szCs w:val="24"/>
          <w:u w:val="single"/>
        </w:rPr>
      </w:pPr>
      <w:r w:rsidRPr="00CB32A5">
        <w:rPr>
          <w:sz w:val="24"/>
          <w:szCs w:val="24"/>
          <w:u w:val="single"/>
        </w:rPr>
        <w:t>Drægtighed og diegivning</w:t>
      </w:r>
    </w:p>
    <w:p w14:paraId="070AC46D" w14:textId="77777777" w:rsidR="00CB32A5" w:rsidRPr="00CB32A5" w:rsidRDefault="00CB32A5" w:rsidP="00CB32A5">
      <w:pPr>
        <w:tabs>
          <w:tab w:val="left" w:pos="851"/>
        </w:tabs>
        <w:ind w:left="851"/>
        <w:rPr>
          <w:sz w:val="24"/>
          <w:szCs w:val="24"/>
        </w:rPr>
      </w:pPr>
      <w:r w:rsidRPr="00CB32A5">
        <w:rPr>
          <w:sz w:val="24"/>
          <w:szCs w:val="24"/>
        </w:rPr>
        <w:t>Må ikke anvendes under drægtighed og diegivning.</w:t>
      </w:r>
    </w:p>
    <w:p w14:paraId="431E507B" w14:textId="77777777" w:rsidR="00CB32A5" w:rsidRPr="00CB32A5" w:rsidRDefault="00CB32A5" w:rsidP="00CB32A5">
      <w:pPr>
        <w:tabs>
          <w:tab w:val="left" w:pos="851"/>
        </w:tabs>
        <w:ind w:left="851"/>
        <w:rPr>
          <w:sz w:val="24"/>
          <w:szCs w:val="24"/>
        </w:rPr>
      </w:pPr>
    </w:p>
    <w:p w14:paraId="7D025213" w14:textId="56985F6F" w:rsidR="00CB32A5" w:rsidRPr="00CB32A5" w:rsidRDefault="00CB32A5" w:rsidP="00CB32A5">
      <w:pPr>
        <w:tabs>
          <w:tab w:val="left" w:pos="851"/>
        </w:tabs>
        <w:ind w:left="851"/>
        <w:rPr>
          <w:sz w:val="24"/>
          <w:szCs w:val="24"/>
        </w:rPr>
      </w:pPr>
      <w:r w:rsidRPr="00CB32A5">
        <w:rPr>
          <w:sz w:val="24"/>
          <w:szCs w:val="24"/>
          <w:u w:val="single"/>
        </w:rPr>
        <w:t>Fertilitet</w:t>
      </w:r>
    </w:p>
    <w:p w14:paraId="5D13A979" w14:textId="77777777" w:rsidR="00CB32A5" w:rsidRPr="00CB32A5" w:rsidRDefault="00CB32A5" w:rsidP="00CB32A5">
      <w:pPr>
        <w:tabs>
          <w:tab w:val="left" w:pos="851"/>
        </w:tabs>
        <w:ind w:left="851"/>
        <w:rPr>
          <w:sz w:val="24"/>
          <w:szCs w:val="24"/>
        </w:rPr>
      </w:pPr>
      <w:r w:rsidRPr="00CB32A5">
        <w:rPr>
          <w:sz w:val="24"/>
          <w:szCs w:val="24"/>
        </w:rPr>
        <w:t>Må ikke anvendes til avlsdyr.</w:t>
      </w:r>
    </w:p>
    <w:p w14:paraId="625685CA" w14:textId="77777777" w:rsidR="008203A8" w:rsidRPr="00406EE7" w:rsidRDefault="008203A8" w:rsidP="008203A8">
      <w:pPr>
        <w:tabs>
          <w:tab w:val="left" w:pos="851"/>
        </w:tabs>
        <w:ind w:left="851"/>
        <w:rPr>
          <w:sz w:val="24"/>
          <w:szCs w:val="24"/>
        </w:rPr>
      </w:pPr>
    </w:p>
    <w:p w14:paraId="2C578055"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71FF4255" w14:textId="77777777" w:rsidR="00053864" w:rsidRPr="00053864" w:rsidRDefault="00053864" w:rsidP="00053864">
      <w:pPr>
        <w:tabs>
          <w:tab w:val="left" w:pos="851"/>
        </w:tabs>
        <w:ind w:left="851"/>
        <w:rPr>
          <w:sz w:val="24"/>
          <w:szCs w:val="24"/>
        </w:rPr>
      </w:pPr>
      <w:r w:rsidRPr="00053864">
        <w:rPr>
          <w:sz w:val="24"/>
          <w:szCs w:val="24"/>
        </w:rPr>
        <w:t xml:space="preserve">Dette veterinærlægemiddel må ikke administreres samtidig med andre </w:t>
      </w:r>
      <w:proofErr w:type="spellStart"/>
      <w:r w:rsidRPr="00053864">
        <w:rPr>
          <w:sz w:val="24"/>
          <w:szCs w:val="24"/>
        </w:rPr>
        <w:t>NSAID’er</w:t>
      </w:r>
      <w:proofErr w:type="spellEnd"/>
      <w:r w:rsidRPr="00053864">
        <w:rPr>
          <w:sz w:val="24"/>
          <w:szCs w:val="24"/>
        </w:rPr>
        <w:t xml:space="preserve"> eller </w:t>
      </w:r>
      <w:proofErr w:type="spellStart"/>
      <w:r w:rsidRPr="00053864">
        <w:rPr>
          <w:sz w:val="24"/>
          <w:szCs w:val="24"/>
        </w:rPr>
        <w:t>glukokortikosteroider</w:t>
      </w:r>
      <w:proofErr w:type="spellEnd"/>
      <w:r w:rsidRPr="00053864">
        <w:rPr>
          <w:sz w:val="24"/>
          <w:szCs w:val="24"/>
        </w:rPr>
        <w:t xml:space="preserve">. Forbehandling med andre antiinflammatoriske lægemidler kan resultere i nye eller forøgede bivirkninger, og derfor bør der være en behandlingsfri periode på mindst 24 timer, før behandling med dette veterinærlægemiddel begynder. Imidlertid skal der ved den behandlingsfri periode tages hensyn til de </w:t>
      </w:r>
      <w:proofErr w:type="spellStart"/>
      <w:r w:rsidRPr="00053864">
        <w:rPr>
          <w:sz w:val="24"/>
          <w:szCs w:val="24"/>
        </w:rPr>
        <w:t>farmakokinetiske</w:t>
      </w:r>
      <w:proofErr w:type="spellEnd"/>
      <w:r w:rsidRPr="00053864">
        <w:rPr>
          <w:sz w:val="24"/>
          <w:szCs w:val="24"/>
        </w:rPr>
        <w:t xml:space="preserve"> egenskaber af de veterinærlægemidler, der er brugt tidligere.</w:t>
      </w:r>
    </w:p>
    <w:p w14:paraId="68A0A70B" w14:textId="77777777" w:rsidR="00053864" w:rsidRPr="00053864" w:rsidRDefault="00053864" w:rsidP="00053864">
      <w:pPr>
        <w:tabs>
          <w:tab w:val="left" w:pos="851"/>
        </w:tabs>
        <w:ind w:left="851"/>
        <w:rPr>
          <w:sz w:val="24"/>
          <w:szCs w:val="24"/>
        </w:rPr>
      </w:pPr>
    </w:p>
    <w:p w14:paraId="76354E0C" w14:textId="77777777" w:rsidR="00053864" w:rsidRPr="00053864" w:rsidRDefault="00053864" w:rsidP="00053864">
      <w:pPr>
        <w:tabs>
          <w:tab w:val="left" w:pos="851"/>
        </w:tabs>
        <w:ind w:left="851"/>
        <w:rPr>
          <w:sz w:val="24"/>
          <w:szCs w:val="24"/>
        </w:rPr>
      </w:pPr>
      <w:r w:rsidRPr="00053864">
        <w:rPr>
          <w:sz w:val="24"/>
          <w:szCs w:val="24"/>
        </w:rPr>
        <w:t xml:space="preserve">Samtidig behandling med lægemidler, der påvirker det </w:t>
      </w:r>
      <w:proofErr w:type="spellStart"/>
      <w:r w:rsidRPr="00053864">
        <w:rPr>
          <w:sz w:val="24"/>
          <w:szCs w:val="24"/>
        </w:rPr>
        <w:t>renale</w:t>
      </w:r>
      <w:proofErr w:type="spellEnd"/>
      <w:r w:rsidRPr="00053864">
        <w:rPr>
          <w:sz w:val="24"/>
          <w:szCs w:val="24"/>
        </w:rPr>
        <w:t xml:space="preserve"> flow, f.eks. </w:t>
      </w:r>
      <w:proofErr w:type="spellStart"/>
      <w:r w:rsidRPr="00053864">
        <w:rPr>
          <w:sz w:val="24"/>
          <w:szCs w:val="24"/>
        </w:rPr>
        <w:t>diuretika</w:t>
      </w:r>
      <w:proofErr w:type="spellEnd"/>
      <w:r w:rsidRPr="00053864">
        <w:rPr>
          <w:sz w:val="24"/>
          <w:szCs w:val="24"/>
        </w:rPr>
        <w:t xml:space="preserve"> eller </w:t>
      </w:r>
      <w:proofErr w:type="spellStart"/>
      <w:r w:rsidRPr="00053864">
        <w:rPr>
          <w:sz w:val="24"/>
          <w:szCs w:val="24"/>
        </w:rPr>
        <w:t>angiotensin</w:t>
      </w:r>
      <w:proofErr w:type="spellEnd"/>
      <w:r w:rsidRPr="00053864">
        <w:rPr>
          <w:sz w:val="24"/>
          <w:szCs w:val="24"/>
        </w:rPr>
        <w:t xml:space="preserve"> </w:t>
      </w:r>
      <w:proofErr w:type="spellStart"/>
      <w:r w:rsidRPr="00053864">
        <w:rPr>
          <w:sz w:val="24"/>
          <w:szCs w:val="24"/>
        </w:rPr>
        <w:t>converting</w:t>
      </w:r>
      <w:proofErr w:type="spellEnd"/>
      <w:r w:rsidRPr="00053864">
        <w:rPr>
          <w:sz w:val="24"/>
          <w:szCs w:val="24"/>
        </w:rPr>
        <w:t xml:space="preserve"> </w:t>
      </w:r>
      <w:proofErr w:type="spellStart"/>
      <w:r w:rsidRPr="00053864">
        <w:rPr>
          <w:sz w:val="24"/>
          <w:szCs w:val="24"/>
        </w:rPr>
        <w:t>enzyme</w:t>
      </w:r>
      <w:proofErr w:type="spellEnd"/>
      <w:r w:rsidRPr="00053864">
        <w:rPr>
          <w:sz w:val="24"/>
          <w:szCs w:val="24"/>
        </w:rPr>
        <w:t xml:space="preserve"> (ACE)-</w:t>
      </w:r>
      <w:proofErr w:type="spellStart"/>
      <w:r w:rsidRPr="00053864">
        <w:rPr>
          <w:sz w:val="24"/>
          <w:szCs w:val="24"/>
        </w:rPr>
        <w:t>hæmmere</w:t>
      </w:r>
      <w:proofErr w:type="spellEnd"/>
      <w:r w:rsidRPr="00053864">
        <w:rPr>
          <w:sz w:val="24"/>
          <w:szCs w:val="24"/>
        </w:rPr>
        <w:t>, bør monitoreres klinisk.</w:t>
      </w:r>
    </w:p>
    <w:p w14:paraId="760028A1" w14:textId="77777777" w:rsidR="00053864" w:rsidRPr="00053864" w:rsidRDefault="00053864" w:rsidP="00053864">
      <w:pPr>
        <w:tabs>
          <w:tab w:val="left" w:pos="851"/>
        </w:tabs>
        <w:ind w:left="851"/>
        <w:rPr>
          <w:sz w:val="24"/>
          <w:szCs w:val="24"/>
        </w:rPr>
      </w:pPr>
      <w:r w:rsidRPr="00053864">
        <w:rPr>
          <w:sz w:val="24"/>
          <w:szCs w:val="24"/>
        </w:rPr>
        <w:t xml:space="preserve">Hos raske katte eller hunde, der blev behandlet med eller uden vanddrivende </w:t>
      </w:r>
      <w:proofErr w:type="spellStart"/>
      <w:r w:rsidRPr="00053864">
        <w:rPr>
          <w:sz w:val="24"/>
          <w:szCs w:val="24"/>
        </w:rPr>
        <w:t>furosemid</w:t>
      </w:r>
      <w:proofErr w:type="spellEnd"/>
      <w:r w:rsidRPr="00053864">
        <w:rPr>
          <w:sz w:val="24"/>
          <w:szCs w:val="24"/>
        </w:rPr>
        <w:t>, var samtidig administration af dette veterinærlægemiddel og ACE-</w:t>
      </w:r>
      <w:proofErr w:type="spellStart"/>
      <w:r w:rsidRPr="00053864">
        <w:rPr>
          <w:sz w:val="24"/>
          <w:szCs w:val="24"/>
        </w:rPr>
        <w:t>hæmmeren</w:t>
      </w:r>
      <w:proofErr w:type="spellEnd"/>
      <w:r w:rsidRPr="00053864">
        <w:rPr>
          <w:sz w:val="24"/>
          <w:szCs w:val="24"/>
        </w:rPr>
        <w:t xml:space="preserve"> </w:t>
      </w:r>
      <w:proofErr w:type="spellStart"/>
      <w:r w:rsidRPr="00053864">
        <w:rPr>
          <w:sz w:val="24"/>
          <w:szCs w:val="24"/>
        </w:rPr>
        <w:t>benazepril</w:t>
      </w:r>
      <w:proofErr w:type="spellEnd"/>
      <w:r w:rsidRPr="00053864">
        <w:rPr>
          <w:sz w:val="24"/>
          <w:szCs w:val="24"/>
        </w:rPr>
        <w:t xml:space="preserve"> i 7 dage ikke forbundet med nogen negative virkninger på plasmakoncentrationen (katte) eller urinkoncentrationen (hunde) af </w:t>
      </w:r>
      <w:proofErr w:type="spellStart"/>
      <w:r w:rsidRPr="00053864">
        <w:rPr>
          <w:sz w:val="24"/>
          <w:szCs w:val="24"/>
        </w:rPr>
        <w:t>aldosteron</w:t>
      </w:r>
      <w:proofErr w:type="spellEnd"/>
      <w:r w:rsidRPr="00053864">
        <w:rPr>
          <w:sz w:val="24"/>
          <w:szCs w:val="24"/>
        </w:rPr>
        <w:t xml:space="preserve">, </w:t>
      </w:r>
      <w:proofErr w:type="spellStart"/>
      <w:r w:rsidRPr="00053864">
        <w:rPr>
          <w:sz w:val="24"/>
          <w:szCs w:val="24"/>
        </w:rPr>
        <w:t>plasmarenin</w:t>
      </w:r>
      <w:proofErr w:type="spellEnd"/>
      <w:r w:rsidRPr="00053864">
        <w:rPr>
          <w:sz w:val="24"/>
          <w:szCs w:val="24"/>
        </w:rPr>
        <w:t xml:space="preserve">-aktiviteten eller den </w:t>
      </w:r>
      <w:proofErr w:type="spellStart"/>
      <w:r w:rsidRPr="00053864">
        <w:rPr>
          <w:sz w:val="24"/>
          <w:szCs w:val="24"/>
        </w:rPr>
        <w:t>glomerulære</w:t>
      </w:r>
      <w:proofErr w:type="spellEnd"/>
      <w:r w:rsidRPr="00053864">
        <w:rPr>
          <w:sz w:val="24"/>
          <w:szCs w:val="24"/>
        </w:rPr>
        <w:t xml:space="preserve"> filtrationshastighed. Der findes generelt ingen sikkerhedsdata i målpopulationen og virkningsdata for den kombinerede behandling med </w:t>
      </w:r>
      <w:proofErr w:type="spellStart"/>
      <w:r w:rsidRPr="00053864">
        <w:rPr>
          <w:sz w:val="24"/>
          <w:szCs w:val="24"/>
        </w:rPr>
        <w:t>robenacoxib</w:t>
      </w:r>
      <w:proofErr w:type="spellEnd"/>
      <w:r w:rsidRPr="00053864">
        <w:rPr>
          <w:sz w:val="24"/>
          <w:szCs w:val="24"/>
        </w:rPr>
        <w:t xml:space="preserve"> og </w:t>
      </w:r>
      <w:proofErr w:type="spellStart"/>
      <w:r w:rsidRPr="00053864">
        <w:rPr>
          <w:sz w:val="24"/>
          <w:szCs w:val="24"/>
        </w:rPr>
        <w:t>benazepril</w:t>
      </w:r>
      <w:proofErr w:type="spellEnd"/>
      <w:r w:rsidRPr="00053864">
        <w:rPr>
          <w:sz w:val="24"/>
          <w:szCs w:val="24"/>
        </w:rPr>
        <w:t>.</w:t>
      </w:r>
    </w:p>
    <w:p w14:paraId="7F239581" w14:textId="77777777" w:rsidR="00053864" w:rsidRPr="00053864" w:rsidRDefault="00053864" w:rsidP="00053864">
      <w:pPr>
        <w:tabs>
          <w:tab w:val="left" w:pos="851"/>
        </w:tabs>
        <w:ind w:left="851"/>
        <w:rPr>
          <w:sz w:val="24"/>
          <w:szCs w:val="24"/>
        </w:rPr>
      </w:pPr>
    </w:p>
    <w:p w14:paraId="132B8128" w14:textId="77777777" w:rsidR="00053864" w:rsidRPr="00053864" w:rsidRDefault="00053864" w:rsidP="00053864">
      <w:pPr>
        <w:tabs>
          <w:tab w:val="left" w:pos="851"/>
        </w:tabs>
        <w:ind w:left="851"/>
        <w:rPr>
          <w:sz w:val="24"/>
          <w:szCs w:val="24"/>
        </w:rPr>
      </w:pPr>
      <w:r w:rsidRPr="00053864">
        <w:rPr>
          <w:sz w:val="24"/>
          <w:szCs w:val="24"/>
        </w:rPr>
        <w:t xml:space="preserve">Da </w:t>
      </w:r>
      <w:proofErr w:type="spellStart"/>
      <w:r w:rsidRPr="00053864">
        <w:rPr>
          <w:sz w:val="24"/>
          <w:szCs w:val="24"/>
        </w:rPr>
        <w:t>anæstetika</w:t>
      </w:r>
      <w:proofErr w:type="spellEnd"/>
      <w:r w:rsidRPr="00053864">
        <w:rPr>
          <w:sz w:val="24"/>
          <w:szCs w:val="24"/>
        </w:rPr>
        <w:t xml:space="preserve"> kan påvirke den </w:t>
      </w:r>
      <w:proofErr w:type="spellStart"/>
      <w:r w:rsidRPr="00053864">
        <w:rPr>
          <w:sz w:val="24"/>
          <w:szCs w:val="24"/>
        </w:rPr>
        <w:t>renale</w:t>
      </w:r>
      <w:proofErr w:type="spellEnd"/>
      <w:r w:rsidRPr="00053864">
        <w:rPr>
          <w:sz w:val="24"/>
          <w:szCs w:val="24"/>
        </w:rPr>
        <w:t xml:space="preserve"> perfusion, bør det overvejes at bruge parenteral væsketerapi under operation for at nedsætte </w:t>
      </w:r>
      <w:proofErr w:type="spellStart"/>
      <w:r w:rsidRPr="00053864">
        <w:rPr>
          <w:sz w:val="24"/>
          <w:szCs w:val="24"/>
        </w:rPr>
        <w:t>renale</w:t>
      </w:r>
      <w:proofErr w:type="spellEnd"/>
      <w:r w:rsidRPr="00053864">
        <w:rPr>
          <w:sz w:val="24"/>
          <w:szCs w:val="24"/>
        </w:rPr>
        <w:t xml:space="preserve"> komplikationer, når der bruges </w:t>
      </w:r>
      <w:proofErr w:type="spellStart"/>
      <w:r w:rsidRPr="00053864">
        <w:rPr>
          <w:sz w:val="24"/>
          <w:szCs w:val="24"/>
        </w:rPr>
        <w:t>NSAID’er</w:t>
      </w:r>
      <w:proofErr w:type="spellEnd"/>
      <w:r w:rsidRPr="00053864">
        <w:rPr>
          <w:sz w:val="24"/>
          <w:szCs w:val="24"/>
        </w:rPr>
        <w:t xml:space="preserve"> i forbindelse med operationen.</w:t>
      </w:r>
    </w:p>
    <w:p w14:paraId="0706A8C9" w14:textId="77777777" w:rsidR="00053864" w:rsidRPr="00053864" w:rsidRDefault="00053864" w:rsidP="00053864">
      <w:pPr>
        <w:tabs>
          <w:tab w:val="left" w:pos="851"/>
        </w:tabs>
        <w:ind w:left="851"/>
        <w:rPr>
          <w:sz w:val="24"/>
          <w:szCs w:val="24"/>
        </w:rPr>
      </w:pPr>
    </w:p>
    <w:p w14:paraId="2585E4EA" w14:textId="77777777" w:rsidR="00053864" w:rsidRPr="00053864" w:rsidRDefault="00053864" w:rsidP="00053864">
      <w:pPr>
        <w:tabs>
          <w:tab w:val="left" w:pos="851"/>
        </w:tabs>
        <w:ind w:left="851"/>
        <w:rPr>
          <w:sz w:val="24"/>
          <w:szCs w:val="24"/>
        </w:rPr>
      </w:pPr>
      <w:r w:rsidRPr="00053864">
        <w:rPr>
          <w:sz w:val="24"/>
          <w:szCs w:val="24"/>
        </w:rPr>
        <w:t xml:space="preserve">Samtidig administration af potentielt nyretoksiske lægemidler bør undgås, da der kan være en forøget risiko for </w:t>
      </w:r>
      <w:proofErr w:type="spellStart"/>
      <w:r w:rsidRPr="00053864">
        <w:rPr>
          <w:sz w:val="24"/>
          <w:szCs w:val="24"/>
        </w:rPr>
        <w:t>renal</w:t>
      </w:r>
      <w:proofErr w:type="spellEnd"/>
      <w:r w:rsidRPr="00053864">
        <w:rPr>
          <w:sz w:val="24"/>
          <w:szCs w:val="24"/>
        </w:rPr>
        <w:t xml:space="preserve"> toksicitet.</w:t>
      </w:r>
    </w:p>
    <w:p w14:paraId="1CAB99D6" w14:textId="77777777" w:rsidR="00053864" w:rsidRPr="00053864" w:rsidRDefault="00053864" w:rsidP="00053864">
      <w:pPr>
        <w:tabs>
          <w:tab w:val="left" w:pos="851"/>
        </w:tabs>
        <w:ind w:left="851"/>
        <w:rPr>
          <w:sz w:val="24"/>
          <w:szCs w:val="24"/>
        </w:rPr>
      </w:pPr>
    </w:p>
    <w:p w14:paraId="7E395C63" w14:textId="77777777" w:rsidR="00053864" w:rsidRPr="00053864" w:rsidRDefault="00053864" w:rsidP="00053864">
      <w:pPr>
        <w:tabs>
          <w:tab w:val="left" w:pos="851"/>
        </w:tabs>
        <w:ind w:left="851"/>
        <w:rPr>
          <w:sz w:val="24"/>
          <w:szCs w:val="24"/>
        </w:rPr>
      </w:pPr>
      <w:r w:rsidRPr="00053864">
        <w:rPr>
          <w:sz w:val="24"/>
          <w:szCs w:val="24"/>
        </w:rPr>
        <w:t xml:space="preserve">Samtidig brug af andre aktive stoffer, der har en høj grad af proteinbinding, kan konkurrere med </w:t>
      </w:r>
      <w:proofErr w:type="spellStart"/>
      <w:r w:rsidRPr="00053864">
        <w:rPr>
          <w:sz w:val="24"/>
          <w:szCs w:val="24"/>
        </w:rPr>
        <w:t>robenacoxib</w:t>
      </w:r>
      <w:proofErr w:type="spellEnd"/>
      <w:r w:rsidRPr="00053864">
        <w:rPr>
          <w:sz w:val="24"/>
          <w:szCs w:val="24"/>
        </w:rPr>
        <w:t xml:space="preserve"> om binding og således føre til toksiske effekter.</w:t>
      </w:r>
    </w:p>
    <w:p w14:paraId="28FFAD1F" w14:textId="77777777" w:rsidR="008203A8" w:rsidRPr="00406EE7" w:rsidRDefault="008203A8" w:rsidP="008203A8">
      <w:pPr>
        <w:tabs>
          <w:tab w:val="left" w:pos="851"/>
        </w:tabs>
        <w:ind w:left="851"/>
        <w:rPr>
          <w:sz w:val="24"/>
          <w:szCs w:val="24"/>
        </w:rPr>
      </w:pPr>
    </w:p>
    <w:p w14:paraId="73A1504E"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382B9BD9" w14:textId="77777777" w:rsidR="00053864" w:rsidRPr="00053864" w:rsidRDefault="00053864" w:rsidP="00053864">
      <w:pPr>
        <w:tabs>
          <w:tab w:val="left" w:pos="851"/>
        </w:tabs>
        <w:ind w:left="851"/>
        <w:rPr>
          <w:sz w:val="24"/>
          <w:szCs w:val="24"/>
        </w:rPr>
      </w:pPr>
      <w:r w:rsidRPr="00053864">
        <w:rPr>
          <w:sz w:val="24"/>
          <w:szCs w:val="24"/>
        </w:rPr>
        <w:t>Subkutan anvendelse (</w:t>
      </w:r>
      <w:proofErr w:type="spellStart"/>
      <w:r w:rsidRPr="00053864">
        <w:rPr>
          <w:bCs/>
          <w:sz w:val="24"/>
          <w:szCs w:val="24"/>
        </w:rPr>
        <w:t>s.c</w:t>
      </w:r>
      <w:proofErr w:type="spellEnd"/>
      <w:r w:rsidRPr="00053864">
        <w:rPr>
          <w:bCs/>
          <w:sz w:val="24"/>
          <w:szCs w:val="24"/>
        </w:rPr>
        <w:t>.</w:t>
      </w:r>
      <w:r w:rsidRPr="00053864">
        <w:rPr>
          <w:sz w:val="24"/>
          <w:szCs w:val="24"/>
        </w:rPr>
        <w:t>).</w:t>
      </w:r>
    </w:p>
    <w:p w14:paraId="7C06AE7E" w14:textId="77777777" w:rsidR="00053864" w:rsidRPr="00053864" w:rsidRDefault="00053864" w:rsidP="00053864">
      <w:pPr>
        <w:tabs>
          <w:tab w:val="left" w:pos="851"/>
        </w:tabs>
        <w:ind w:left="851"/>
        <w:rPr>
          <w:sz w:val="24"/>
          <w:szCs w:val="24"/>
        </w:rPr>
      </w:pPr>
    </w:p>
    <w:p w14:paraId="27610FBC" w14:textId="77777777" w:rsidR="00053864" w:rsidRPr="00053864" w:rsidRDefault="00053864" w:rsidP="00053864">
      <w:pPr>
        <w:tabs>
          <w:tab w:val="left" w:pos="851"/>
        </w:tabs>
        <w:ind w:left="851"/>
        <w:rPr>
          <w:sz w:val="24"/>
          <w:szCs w:val="24"/>
        </w:rPr>
      </w:pPr>
      <w:r w:rsidRPr="00053864">
        <w:rPr>
          <w:sz w:val="24"/>
          <w:szCs w:val="24"/>
        </w:rPr>
        <w:t xml:space="preserve">Den anbefalede dosis er 2 mg </w:t>
      </w:r>
      <w:proofErr w:type="spellStart"/>
      <w:r w:rsidRPr="00053864">
        <w:rPr>
          <w:sz w:val="24"/>
          <w:szCs w:val="24"/>
        </w:rPr>
        <w:t>robenacoxib</w:t>
      </w:r>
      <w:proofErr w:type="spellEnd"/>
      <w:r w:rsidRPr="00053864">
        <w:rPr>
          <w:sz w:val="24"/>
          <w:szCs w:val="24"/>
        </w:rPr>
        <w:t>/kg legemsvægt (1 ml af veterinærlægemidlet pr. 10 kg legemsvægt).</w:t>
      </w:r>
    </w:p>
    <w:p w14:paraId="51A571CB" w14:textId="77777777" w:rsidR="00053864" w:rsidRPr="00053864" w:rsidRDefault="00053864" w:rsidP="00053864">
      <w:pPr>
        <w:tabs>
          <w:tab w:val="left" w:pos="851"/>
        </w:tabs>
        <w:ind w:left="851"/>
        <w:rPr>
          <w:sz w:val="24"/>
          <w:szCs w:val="24"/>
        </w:rPr>
      </w:pPr>
      <w:r w:rsidRPr="00053864">
        <w:rPr>
          <w:sz w:val="24"/>
          <w:szCs w:val="24"/>
        </w:rPr>
        <w:t>Veterinærlægemidlet skal administreres ca. 30 minutter før påbegyndelse af operation, f.eks. omkring tidspunktet for induktion af generel anæstesi.</w:t>
      </w:r>
    </w:p>
    <w:p w14:paraId="530B520F" w14:textId="77777777" w:rsidR="00053864" w:rsidRPr="00053864" w:rsidRDefault="00053864" w:rsidP="00053864">
      <w:pPr>
        <w:tabs>
          <w:tab w:val="left" w:pos="851"/>
        </w:tabs>
        <w:ind w:left="851"/>
        <w:rPr>
          <w:sz w:val="24"/>
          <w:szCs w:val="24"/>
        </w:rPr>
      </w:pPr>
      <w:r w:rsidRPr="00053864">
        <w:rPr>
          <w:sz w:val="24"/>
          <w:szCs w:val="24"/>
        </w:rPr>
        <w:t>Efter operation hos katte kan behandling én gang dagligt fortsættes med samme dosering og på samme tidspunkt hver dag i op til 2 dage.</w:t>
      </w:r>
    </w:p>
    <w:p w14:paraId="7457F711" w14:textId="77777777" w:rsidR="00053864" w:rsidRPr="00053864" w:rsidRDefault="00053864" w:rsidP="00053864">
      <w:pPr>
        <w:tabs>
          <w:tab w:val="left" w:pos="851"/>
        </w:tabs>
        <w:ind w:left="851"/>
        <w:rPr>
          <w:sz w:val="24"/>
          <w:szCs w:val="24"/>
        </w:rPr>
      </w:pPr>
      <w:r w:rsidRPr="00053864">
        <w:rPr>
          <w:sz w:val="24"/>
          <w:szCs w:val="24"/>
        </w:rPr>
        <w:t>Efter bløddelskirurgi hos hunde kan behandling én gang dagligt fortsættes med samme dosering og på samme tidspunkt hver dag i op til 2 dage.</w:t>
      </w:r>
    </w:p>
    <w:p w14:paraId="6DAE3D69" w14:textId="77777777" w:rsidR="00053864" w:rsidRPr="00053864" w:rsidRDefault="00053864" w:rsidP="00053864">
      <w:pPr>
        <w:tabs>
          <w:tab w:val="left" w:pos="851"/>
        </w:tabs>
        <w:ind w:left="851"/>
        <w:rPr>
          <w:sz w:val="24"/>
          <w:szCs w:val="24"/>
        </w:rPr>
      </w:pPr>
    </w:p>
    <w:p w14:paraId="5076D742" w14:textId="77777777" w:rsidR="00053864" w:rsidRPr="00053864" w:rsidRDefault="00053864" w:rsidP="00053864">
      <w:pPr>
        <w:tabs>
          <w:tab w:val="left" w:pos="851"/>
        </w:tabs>
        <w:ind w:left="851"/>
        <w:rPr>
          <w:sz w:val="24"/>
          <w:szCs w:val="24"/>
        </w:rPr>
      </w:pPr>
      <w:r w:rsidRPr="00053864">
        <w:rPr>
          <w:sz w:val="24"/>
          <w:szCs w:val="24"/>
        </w:rPr>
        <w:t xml:space="preserve">Skiftevis brug af </w:t>
      </w:r>
      <w:proofErr w:type="spellStart"/>
      <w:r w:rsidRPr="00053864">
        <w:rPr>
          <w:sz w:val="24"/>
          <w:szCs w:val="24"/>
        </w:rPr>
        <w:t>robenacoxib</w:t>
      </w:r>
      <w:proofErr w:type="spellEnd"/>
      <w:r w:rsidRPr="00053864">
        <w:rPr>
          <w:sz w:val="24"/>
          <w:szCs w:val="24"/>
        </w:rPr>
        <w:t xml:space="preserve">-tabletter og </w:t>
      </w:r>
      <w:proofErr w:type="spellStart"/>
      <w:r w:rsidRPr="00053864">
        <w:rPr>
          <w:sz w:val="24"/>
          <w:szCs w:val="24"/>
        </w:rPr>
        <w:t>robenacoxib</w:t>
      </w:r>
      <w:proofErr w:type="spellEnd"/>
      <w:r w:rsidRPr="00053864">
        <w:rPr>
          <w:sz w:val="24"/>
          <w:szCs w:val="24"/>
        </w:rPr>
        <w:t>-injektionsvæske, opløsning er blevet testet i sikkerhedsstudier med dyr fra målgruppen og viste sig at være veltolereret af katte og hunde.</w:t>
      </w:r>
    </w:p>
    <w:p w14:paraId="7A2CF164" w14:textId="77777777" w:rsidR="00053864" w:rsidRPr="00053864" w:rsidRDefault="00053864" w:rsidP="00053864">
      <w:pPr>
        <w:tabs>
          <w:tab w:val="left" w:pos="851"/>
        </w:tabs>
        <w:ind w:left="851"/>
        <w:rPr>
          <w:sz w:val="24"/>
          <w:szCs w:val="24"/>
        </w:rPr>
      </w:pPr>
    </w:p>
    <w:p w14:paraId="2935712E" w14:textId="77777777" w:rsidR="00053864" w:rsidRPr="00053864" w:rsidRDefault="00053864" w:rsidP="00053864">
      <w:pPr>
        <w:tabs>
          <w:tab w:val="left" w:pos="851"/>
        </w:tabs>
        <w:ind w:left="851"/>
        <w:rPr>
          <w:sz w:val="24"/>
          <w:szCs w:val="24"/>
        </w:rPr>
      </w:pPr>
      <w:proofErr w:type="spellStart"/>
      <w:r w:rsidRPr="00053864">
        <w:rPr>
          <w:sz w:val="24"/>
          <w:szCs w:val="24"/>
        </w:rPr>
        <w:t>Robenacoxib</w:t>
      </w:r>
      <w:proofErr w:type="spellEnd"/>
      <w:r w:rsidRPr="00053864">
        <w:rPr>
          <w:sz w:val="24"/>
          <w:szCs w:val="24"/>
        </w:rPr>
        <w:t xml:space="preserve">-injektionsvæske, opløsning eller </w:t>
      </w:r>
      <w:proofErr w:type="spellStart"/>
      <w:r w:rsidRPr="00053864">
        <w:rPr>
          <w:sz w:val="24"/>
          <w:szCs w:val="24"/>
        </w:rPr>
        <w:t>robenacoxib</w:t>
      </w:r>
      <w:proofErr w:type="spellEnd"/>
      <w:r w:rsidRPr="00053864">
        <w:rPr>
          <w:sz w:val="24"/>
          <w:szCs w:val="24"/>
        </w:rPr>
        <w:t>-tabletter bruges skiftevis i henhold til indikationerne og brugsanvisningen, der er godkendt for hver lægemiddelform. Behandlingen bør ikke overskride én dosis (enten tablet eller injektion) pr. dag. Bemærk, at den anbefalede dosis kan være forskellig for de to formuleringer.</w:t>
      </w:r>
    </w:p>
    <w:p w14:paraId="0243C243" w14:textId="77777777" w:rsidR="00053864" w:rsidRPr="00053864" w:rsidRDefault="00053864" w:rsidP="00053864">
      <w:pPr>
        <w:tabs>
          <w:tab w:val="left" w:pos="851"/>
        </w:tabs>
        <w:ind w:left="851"/>
        <w:rPr>
          <w:sz w:val="24"/>
          <w:szCs w:val="24"/>
        </w:rPr>
      </w:pPr>
    </w:p>
    <w:p w14:paraId="7C8041ED" w14:textId="77777777" w:rsidR="00053864" w:rsidRPr="00053864" w:rsidRDefault="00053864" w:rsidP="00053864">
      <w:pPr>
        <w:tabs>
          <w:tab w:val="left" w:pos="851"/>
        </w:tabs>
        <w:ind w:left="851"/>
        <w:rPr>
          <w:sz w:val="24"/>
          <w:szCs w:val="24"/>
        </w:rPr>
      </w:pPr>
      <w:r w:rsidRPr="00053864">
        <w:rPr>
          <w:sz w:val="24"/>
          <w:szCs w:val="24"/>
        </w:rPr>
        <w:t>Proppen må maksimalt gennembores 16 gange.</w:t>
      </w:r>
    </w:p>
    <w:p w14:paraId="2E58E6CF" w14:textId="77777777" w:rsidR="008203A8" w:rsidRPr="00406EE7" w:rsidRDefault="008203A8" w:rsidP="008203A8">
      <w:pPr>
        <w:tabs>
          <w:tab w:val="left" w:pos="851"/>
        </w:tabs>
        <w:ind w:left="851"/>
        <w:rPr>
          <w:sz w:val="24"/>
          <w:szCs w:val="24"/>
        </w:rPr>
      </w:pPr>
    </w:p>
    <w:p w14:paraId="239B6EC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1588DD19" w14:textId="77777777" w:rsidR="00053864" w:rsidRPr="00053864" w:rsidRDefault="00053864" w:rsidP="00053864">
      <w:pPr>
        <w:tabs>
          <w:tab w:val="left" w:pos="851"/>
        </w:tabs>
        <w:ind w:left="851"/>
        <w:rPr>
          <w:sz w:val="24"/>
          <w:szCs w:val="24"/>
        </w:rPr>
      </w:pPr>
      <w:r w:rsidRPr="00053864">
        <w:rPr>
          <w:sz w:val="24"/>
          <w:szCs w:val="24"/>
        </w:rPr>
        <w:t xml:space="preserve">Hos raske unge hunde på 6 måneder frembragte subkutan administration af </w:t>
      </w:r>
      <w:proofErr w:type="spellStart"/>
      <w:r w:rsidRPr="00053864">
        <w:rPr>
          <w:sz w:val="24"/>
          <w:szCs w:val="24"/>
        </w:rPr>
        <w:t>robenacoxib</w:t>
      </w:r>
      <w:proofErr w:type="spellEnd"/>
      <w:r w:rsidRPr="00053864">
        <w:rPr>
          <w:sz w:val="24"/>
          <w:szCs w:val="24"/>
        </w:rPr>
        <w:t xml:space="preserve"> én gang dagligt i doser på 2 mg/kg (anbefalet terapeutisk dosis; ATD), 6 mg/kg (3 gange ATD) og 20 mg/kg (10 gange ATD), der blev administreret 9 gange i løbet af en 5</w:t>
      </w:r>
      <w:r w:rsidRPr="00053864">
        <w:rPr>
          <w:sz w:val="24"/>
          <w:szCs w:val="24"/>
        </w:rPr>
        <w:noBreakHyphen/>
        <w:t xml:space="preserve">ugers periode (3 serier af 3 sammenhængende injektioner én gang dagligt) ingen tegn på toksicitet, inklusive </w:t>
      </w:r>
      <w:proofErr w:type="spellStart"/>
      <w:r w:rsidRPr="00053864">
        <w:rPr>
          <w:sz w:val="24"/>
          <w:szCs w:val="24"/>
        </w:rPr>
        <w:t>gastrointestinal</w:t>
      </w:r>
      <w:proofErr w:type="spellEnd"/>
      <w:r w:rsidRPr="00053864">
        <w:rPr>
          <w:sz w:val="24"/>
          <w:szCs w:val="24"/>
        </w:rPr>
        <w:t xml:space="preserve"> toksicitet, nyre</w:t>
      </w:r>
      <w:r w:rsidRPr="00053864">
        <w:rPr>
          <w:sz w:val="24"/>
          <w:szCs w:val="24"/>
        </w:rPr>
        <w:noBreakHyphen/>
        <w:t xml:space="preserve"> eller levertoksicitet og havde ingen effekt på blødningstid. Reversibel inflammation på injektionsstedet blev observeret i alle grupper (inklusive kontrolgrupper) og var mere alvorlig i dosisgrupperne med 6 og 20 mg/kg.</w:t>
      </w:r>
    </w:p>
    <w:p w14:paraId="3E96BFFB" w14:textId="77777777" w:rsidR="00053864" w:rsidRPr="00053864" w:rsidRDefault="00053864" w:rsidP="00053864">
      <w:pPr>
        <w:tabs>
          <w:tab w:val="left" w:pos="851"/>
        </w:tabs>
        <w:ind w:left="851"/>
        <w:rPr>
          <w:sz w:val="24"/>
          <w:szCs w:val="24"/>
        </w:rPr>
      </w:pPr>
    </w:p>
    <w:p w14:paraId="384FC6FE" w14:textId="77777777" w:rsidR="00053864" w:rsidRPr="00053864" w:rsidRDefault="00053864" w:rsidP="00053864">
      <w:pPr>
        <w:tabs>
          <w:tab w:val="left" w:pos="851"/>
        </w:tabs>
        <w:ind w:left="851"/>
        <w:rPr>
          <w:sz w:val="24"/>
          <w:szCs w:val="24"/>
        </w:rPr>
      </w:pPr>
      <w:r w:rsidRPr="00053864">
        <w:rPr>
          <w:sz w:val="24"/>
          <w:szCs w:val="24"/>
        </w:rPr>
        <w:t xml:space="preserve">Hos raske unge katte på 10 måneder gav </w:t>
      </w:r>
      <w:proofErr w:type="spellStart"/>
      <w:r w:rsidRPr="00053864">
        <w:rPr>
          <w:sz w:val="24"/>
          <w:szCs w:val="24"/>
        </w:rPr>
        <w:t>robenacoxib</w:t>
      </w:r>
      <w:proofErr w:type="spellEnd"/>
      <w:r w:rsidRPr="00053864">
        <w:rPr>
          <w:sz w:val="24"/>
          <w:szCs w:val="24"/>
        </w:rPr>
        <w:t xml:space="preserve"> administreret subkutant én gang dagligt i doser på 4 mg/kg (2 gange ATD) 2 dage i træk og 10 mg/kg (5 gange ATD) 3 dage i træk ikke tegn på toksicitet, inklusive tegn på </w:t>
      </w:r>
      <w:proofErr w:type="spellStart"/>
      <w:r w:rsidRPr="00053864">
        <w:rPr>
          <w:sz w:val="24"/>
          <w:szCs w:val="24"/>
        </w:rPr>
        <w:t>gastrointestinal</w:t>
      </w:r>
      <w:proofErr w:type="spellEnd"/>
      <w:r w:rsidRPr="00053864">
        <w:rPr>
          <w:sz w:val="24"/>
          <w:szCs w:val="24"/>
        </w:rPr>
        <w:t xml:space="preserve"> toksicitet, nyre</w:t>
      </w:r>
      <w:r w:rsidRPr="00053864">
        <w:rPr>
          <w:sz w:val="24"/>
          <w:szCs w:val="24"/>
        </w:rPr>
        <w:noBreakHyphen/>
        <w:t xml:space="preserve"> eller levertoksicitet og havde ingen effekt på blødningstid. Reversible, minimale reaktioner på injektionsstedet blev observeret i begge dosisgrupper.</w:t>
      </w:r>
    </w:p>
    <w:p w14:paraId="6791CAB3" w14:textId="77777777" w:rsidR="00053864" w:rsidRPr="00053864" w:rsidRDefault="00053864" w:rsidP="00053864">
      <w:pPr>
        <w:tabs>
          <w:tab w:val="left" w:pos="851"/>
        </w:tabs>
        <w:ind w:left="851"/>
        <w:rPr>
          <w:sz w:val="24"/>
          <w:szCs w:val="24"/>
        </w:rPr>
      </w:pPr>
    </w:p>
    <w:p w14:paraId="5F1A195B" w14:textId="77777777" w:rsidR="00053864" w:rsidRPr="00053864" w:rsidRDefault="00053864" w:rsidP="00053864">
      <w:pPr>
        <w:tabs>
          <w:tab w:val="left" w:pos="851"/>
        </w:tabs>
        <w:ind w:left="851"/>
        <w:rPr>
          <w:sz w:val="24"/>
          <w:szCs w:val="24"/>
        </w:rPr>
      </w:pPr>
      <w:r w:rsidRPr="00053864">
        <w:rPr>
          <w:sz w:val="24"/>
          <w:szCs w:val="24"/>
        </w:rPr>
        <w:t xml:space="preserve">Skiftevis brug af </w:t>
      </w:r>
      <w:proofErr w:type="spellStart"/>
      <w:r w:rsidRPr="00053864">
        <w:rPr>
          <w:sz w:val="24"/>
          <w:szCs w:val="24"/>
        </w:rPr>
        <w:t>robenacoxib</w:t>
      </w:r>
      <w:proofErr w:type="spellEnd"/>
      <w:r w:rsidRPr="00053864">
        <w:rPr>
          <w:sz w:val="24"/>
          <w:szCs w:val="24"/>
        </w:rPr>
        <w:t xml:space="preserve">-tabletter og </w:t>
      </w:r>
      <w:proofErr w:type="spellStart"/>
      <w:r w:rsidRPr="00053864">
        <w:rPr>
          <w:sz w:val="24"/>
          <w:szCs w:val="24"/>
        </w:rPr>
        <w:t>robenacoxib</w:t>
      </w:r>
      <w:proofErr w:type="spellEnd"/>
      <w:r w:rsidRPr="00053864">
        <w:rPr>
          <w:sz w:val="24"/>
          <w:szCs w:val="24"/>
        </w:rPr>
        <w:t xml:space="preserve">-injektionsvæske, opløsning hos 4 måneder gamle katte med overdoser på op til 3 gange den maksimalt anbefalede dosis (2,4 mg, 4,8 mg, 7,2 mg </w:t>
      </w:r>
      <w:proofErr w:type="spellStart"/>
      <w:r w:rsidRPr="00053864">
        <w:rPr>
          <w:sz w:val="24"/>
          <w:szCs w:val="24"/>
        </w:rPr>
        <w:t>robenacoxib</w:t>
      </w:r>
      <w:proofErr w:type="spellEnd"/>
      <w:r w:rsidRPr="00053864">
        <w:rPr>
          <w:sz w:val="24"/>
          <w:szCs w:val="24"/>
        </w:rPr>
        <w:t xml:space="preserve">/kg oralt og 2,0 mg, 4,0 mg og 6,0 mg </w:t>
      </w:r>
      <w:proofErr w:type="spellStart"/>
      <w:r w:rsidRPr="00053864">
        <w:rPr>
          <w:sz w:val="24"/>
          <w:szCs w:val="24"/>
        </w:rPr>
        <w:t>robenacoxib</w:t>
      </w:r>
      <w:proofErr w:type="spellEnd"/>
      <w:r w:rsidRPr="00053864">
        <w:rPr>
          <w:sz w:val="24"/>
          <w:szCs w:val="24"/>
        </w:rPr>
        <w:t xml:space="preserve">/kg subkutant) resulterede i en dosisafhængig stigning i sporadisk ødem på injektionsstedet og minimal til mild </w:t>
      </w:r>
      <w:proofErr w:type="spellStart"/>
      <w:r w:rsidRPr="00053864">
        <w:rPr>
          <w:sz w:val="24"/>
          <w:szCs w:val="24"/>
        </w:rPr>
        <w:t>subakut</w:t>
      </w:r>
      <w:proofErr w:type="spellEnd"/>
      <w:r w:rsidRPr="00053864">
        <w:rPr>
          <w:sz w:val="24"/>
          <w:szCs w:val="24"/>
        </w:rPr>
        <w:t>/kronisk inflammation af det subkutane væv. En dosisafhængig forhøjelse af QT</w:t>
      </w:r>
      <w:r w:rsidRPr="00053864">
        <w:rPr>
          <w:sz w:val="24"/>
          <w:szCs w:val="24"/>
        </w:rPr>
        <w:noBreakHyphen/>
        <w:t>intervallet, nedsat hjertefrekvens og tilsvarende øget respirationsfrekvens blev observeret i laboratoriestudier. Der blev ikke set nogen relevant effekt på legemsvægt eller blødningstid eller tegn på toksicitet i mave-tarm-kanal, nyrer eller lever.</w:t>
      </w:r>
    </w:p>
    <w:p w14:paraId="074B9A38" w14:textId="77777777" w:rsidR="00053864" w:rsidRPr="00053864" w:rsidRDefault="00053864" w:rsidP="00053864">
      <w:pPr>
        <w:tabs>
          <w:tab w:val="left" w:pos="851"/>
        </w:tabs>
        <w:ind w:left="851"/>
        <w:rPr>
          <w:sz w:val="24"/>
          <w:szCs w:val="24"/>
        </w:rPr>
      </w:pPr>
    </w:p>
    <w:p w14:paraId="7A6807DE" w14:textId="77777777" w:rsidR="00053864" w:rsidRPr="00053864" w:rsidRDefault="00053864" w:rsidP="00053864">
      <w:pPr>
        <w:tabs>
          <w:tab w:val="left" w:pos="851"/>
        </w:tabs>
        <w:ind w:left="851"/>
        <w:rPr>
          <w:sz w:val="24"/>
          <w:szCs w:val="24"/>
        </w:rPr>
      </w:pPr>
      <w:r w:rsidRPr="00053864">
        <w:rPr>
          <w:sz w:val="24"/>
          <w:szCs w:val="24"/>
        </w:rPr>
        <w:t>I studier af overdosis hos katte blev der set en dosisafhængig stigning i QT</w:t>
      </w:r>
      <w:r w:rsidRPr="00053864">
        <w:rPr>
          <w:sz w:val="24"/>
          <w:szCs w:val="24"/>
        </w:rPr>
        <w:noBreakHyphen/>
        <w:t>intervallet. Den biologiske relevans af øgede QT</w:t>
      </w:r>
      <w:r w:rsidRPr="00053864">
        <w:rPr>
          <w:sz w:val="24"/>
          <w:szCs w:val="24"/>
        </w:rPr>
        <w:noBreakHyphen/>
        <w:t xml:space="preserve">intervaller, uden for normale variationer observeret efter overdosis af </w:t>
      </w:r>
      <w:proofErr w:type="spellStart"/>
      <w:r w:rsidRPr="00053864">
        <w:rPr>
          <w:sz w:val="24"/>
          <w:szCs w:val="24"/>
        </w:rPr>
        <w:t>robenacoxib</w:t>
      </w:r>
      <w:proofErr w:type="spellEnd"/>
      <w:r w:rsidRPr="00053864">
        <w:rPr>
          <w:sz w:val="24"/>
          <w:szCs w:val="24"/>
        </w:rPr>
        <w:t>, er ukendt. Der blev ikke set nogen ændringer i QT</w:t>
      </w:r>
      <w:r w:rsidRPr="00053864">
        <w:rPr>
          <w:sz w:val="24"/>
          <w:szCs w:val="24"/>
        </w:rPr>
        <w:noBreakHyphen/>
        <w:t xml:space="preserve">intervallet efter en enkelt intravenøs administration af 2 eller 4 mg/kg </w:t>
      </w:r>
      <w:proofErr w:type="spellStart"/>
      <w:r w:rsidRPr="00053864">
        <w:rPr>
          <w:sz w:val="24"/>
          <w:szCs w:val="24"/>
        </w:rPr>
        <w:t>robenacoxib</w:t>
      </w:r>
      <w:proofErr w:type="spellEnd"/>
      <w:r w:rsidRPr="00053864">
        <w:rPr>
          <w:sz w:val="24"/>
          <w:szCs w:val="24"/>
        </w:rPr>
        <w:t xml:space="preserve"> til raske katte i anæstesi.</w:t>
      </w:r>
    </w:p>
    <w:p w14:paraId="0402D254" w14:textId="77777777" w:rsidR="00053864" w:rsidRPr="00053864" w:rsidRDefault="00053864" w:rsidP="00053864">
      <w:pPr>
        <w:tabs>
          <w:tab w:val="left" w:pos="851"/>
        </w:tabs>
        <w:ind w:left="851"/>
        <w:rPr>
          <w:sz w:val="24"/>
          <w:szCs w:val="24"/>
        </w:rPr>
      </w:pPr>
    </w:p>
    <w:p w14:paraId="7B4B8B99" w14:textId="77777777" w:rsidR="00053864" w:rsidRPr="00053864" w:rsidRDefault="00053864" w:rsidP="00053864">
      <w:pPr>
        <w:tabs>
          <w:tab w:val="left" w:pos="851"/>
        </w:tabs>
        <w:ind w:left="851"/>
        <w:rPr>
          <w:sz w:val="24"/>
          <w:szCs w:val="24"/>
        </w:rPr>
      </w:pPr>
      <w:r w:rsidRPr="00053864">
        <w:rPr>
          <w:sz w:val="24"/>
          <w:szCs w:val="24"/>
        </w:rPr>
        <w:t xml:space="preserve">Skiftevis brug af </w:t>
      </w:r>
      <w:proofErr w:type="spellStart"/>
      <w:r w:rsidRPr="00053864">
        <w:rPr>
          <w:sz w:val="24"/>
          <w:szCs w:val="24"/>
        </w:rPr>
        <w:t>robenacoxib</w:t>
      </w:r>
      <w:proofErr w:type="spellEnd"/>
      <w:r w:rsidRPr="00053864">
        <w:rPr>
          <w:sz w:val="24"/>
          <w:szCs w:val="24"/>
        </w:rPr>
        <w:t xml:space="preserve">-tabletter og </w:t>
      </w:r>
      <w:proofErr w:type="spellStart"/>
      <w:r w:rsidRPr="00053864">
        <w:rPr>
          <w:sz w:val="24"/>
          <w:szCs w:val="24"/>
        </w:rPr>
        <w:t>robenacoxib</w:t>
      </w:r>
      <w:proofErr w:type="spellEnd"/>
      <w:r w:rsidRPr="00053864">
        <w:rPr>
          <w:sz w:val="24"/>
          <w:szCs w:val="24"/>
        </w:rPr>
        <w:t xml:space="preserve">-injektionsvæske, opløsning hos blandingsracer af hunde med overdoser på op til 3 gange den maksimalt anbefalede dosis (2,0, 4,0 og 6,0 mg plus 4,0, 8,0 og 12,0 mg </w:t>
      </w:r>
      <w:proofErr w:type="spellStart"/>
      <w:r w:rsidRPr="00053864">
        <w:rPr>
          <w:sz w:val="24"/>
          <w:szCs w:val="24"/>
        </w:rPr>
        <w:t>robenacoxib</w:t>
      </w:r>
      <w:proofErr w:type="spellEnd"/>
      <w:r w:rsidRPr="00053864">
        <w:rPr>
          <w:sz w:val="24"/>
          <w:szCs w:val="24"/>
        </w:rPr>
        <w:t xml:space="preserve">/kg oralt og 2,0 mg, 4,0 mg og 6,0 mg </w:t>
      </w:r>
      <w:proofErr w:type="spellStart"/>
      <w:r w:rsidRPr="00053864">
        <w:rPr>
          <w:sz w:val="24"/>
          <w:szCs w:val="24"/>
        </w:rPr>
        <w:t>robenacoxib</w:t>
      </w:r>
      <w:proofErr w:type="spellEnd"/>
      <w:r w:rsidRPr="00053864">
        <w:rPr>
          <w:sz w:val="24"/>
          <w:szCs w:val="24"/>
        </w:rPr>
        <w:t xml:space="preserve">/kg subkutant) resulterede i dosisafhængigt ødem, </w:t>
      </w:r>
      <w:proofErr w:type="spellStart"/>
      <w:r w:rsidRPr="00053864">
        <w:rPr>
          <w:sz w:val="24"/>
          <w:szCs w:val="24"/>
        </w:rPr>
        <w:t>erytem</w:t>
      </w:r>
      <w:proofErr w:type="spellEnd"/>
      <w:r w:rsidRPr="00053864">
        <w:rPr>
          <w:sz w:val="24"/>
          <w:szCs w:val="24"/>
        </w:rPr>
        <w:t xml:space="preserve">, fortykkelse af huden og </w:t>
      </w:r>
      <w:proofErr w:type="spellStart"/>
      <w:r w:rsidRPr="00053864">
        <w:rPr>
          <w:sz w:val="24"/>
          <w:szCs w:val="24"/>
        </w:rPr>
        <w:t>hudsår</w:t>
      </w:r>
      <w:proofErr w:type="spellEnd"/>
      <w:r w:rsidRPr="00053864">
        <w:rPr>
          <w:sz w:val="24"/>
          <w:szCs w:val="24"/>
        </w:rPr>
        <w:t xml:space="preserve"> på injektionsstedet og inflammation, ophobning af blod eller blødning i duodenum, jejunum og </w:t>
      </w:r>
      <w:proofErr w:type="spellStart"/>
      <w:r w:rsidRPr="00053864">
        <w:rPr>
          <w:sz w:val="24"/>
          <w:szCs w:val="24"/>
        </w:rPr>
        <w:t>cæcum</w:t>
      </w:r>
      <w:proofErr w:type="spellEnd"/>
      <w:r w:rsidRPr="00053864">
        <w:rPr>
          <w:sz w:val="24"/>
          <w:szCs w:val="24"/>
        </w:rPr>
        <w:t>.</w:t>
      </w:r>
    </w:p>
    <w:p w14:paraId="1C37576F" w14:textId="77777777" w:rsidR="00053864" w:rsidRPr="00053864" w:rsidRDefault="00053864" w:rsidP="00053864">
      <w:pPr>
        <w:tabs>
          <w:tab w:val="left" w:pos="851"/>
        </w:tabs>
        <w:ind w:left="851"/>
        <w:rPr>
          <w:sz w:val="24"/>
          <w:szCs w:val="24"/>
        </w:rPr>
      </w:pPr>
      <w:r w:rsidRPr="00053864">
        <w:rPr>
          <w:sz w:val="24"/>
          <w:szCs w:val="24"/>
        </w:rPr>
        <w:t>Der blev ikke observeret nogen relevante effekter på legemsvægt, blødningstid eller tegn på nyre</w:t>
      </w:r>
      <w:r w:rsidRPr="00053864">
        <w:rPr>
          <w:sz w:val="24"/>
          <w:szCs w:val="24"/>
        </w:rPr>
        <w:noBreakHyphen/>
        <w:t xml:space="preserve"> eller levertoksicitet.</w:t>
      </w:r>
    </w:p>
    <w:p w14:paraId="1221F1B4" w14:textId="77777777" w:rsidR="00053864" w:rsidRPr="00053864" w:rsidRDefault="00053864" w:rsidP="00053864">
      <w:pPr>
        <w:tabs>
          <w:tab w:val="left" w:pos="851"/>
        </w:tabs>
        <w:ind w:left="851"/>
        <w:rPr>
          <w:sz w:val="24"/>
          <w:szCs w:val="24"/>
        </w:rPr>
      </w:pPr>
    </w:p>
    <w:p w14:paraId="3B423898" w14:textId="77777777" w:rsidR="00053864" w:rsidRPr="00053864" w:rsidRDefault="00053864" w:rsidP="00053864">
      <w:pPr>
        <w:tabs>
          <w:tab w:val="left" w:pos="851"/>
        </w:tabs>
        <w:ind w:left="851"/>
        <w:rPr>
          <w:sz w:val="24"/>
          <w:szCs w:val="24"/>
        </w:rPr>
      </w:pPr>
      <w:r w:rsidRPr="00053864">
        <w:rPr>
          <w:sz w:val="24"/>
          <w:szCs w:val="24"/>
        </w:rPr>
        <w:t xml:space="preserve">Der blev ikke observeret ændringer i blodtryk eller elektrokardiogram hos raske hunde efter én enkelt administration af 2 mg/kg </w:t>
      </w:r>
      <w:proofErr w:type="spellStart"/>
      <w:r w:rsidRPr="00053864">
        <w:rPr>
          <w:sz w:val="24"/>
          <w:szCs w:val="24"/>
        </w:rPr>
        <w:t>robenacoxib</w:t>
      </w:r>
      <w:proofErr w:type="spellEnd"/>
      <w:r w:rsidRPr="00053864">
        <w:rPr>
          <w:sz w:val="24"/>
          <w:szCs w:val="24"/>
        </w:rPr>
        <w:t xml:space="preserve"> subkutant eller 2 eller 4 mg/kg intravenøst. Opkastning opstod 6 eller 8 timer efter dosering hos 2 ud af 8 hunde, der fik administreret injektionsvæske, opløsning i en dosis på 4 mg/kg intravenøst.</w:t>
      </w:r>
    </w:p>
    <w:p w14:paraId="7681ED84" w14:textId="77777777" w:rsidR="00053864" w:rsidRPr="00053864" w:rsidRDefault="00053864" w:rsidP="00053864">
      <w:pPr>
        <w:tabs>
          <w:tab w:val="left" w:pos="851"/>
        </w:tabs>
        <w:ind w:left="851"/>
        <w:rPr>
          <w:sz w:val="24"/>
          <w:szCs w:val="24"/>
        </w:rPr>
      </w:pPr>
    </w:p>
    <w:p w14:paraId="7181DA09" w14:textId="77777777" w:rsidR="00053864" w:rsidRPr="00053864" w:rsidRDefault="00053864" w:rsidP="00053864">
      <w:pPr>
        <w:tabs>
          <w:tab w:val="left" w:pos="851"/>
        </w:tabs>
        <w:ind w:left="851"/>
        <w:rPr>
          <w:sz w:val="24"/>
          <w:szCs w:val="24"/>
        </w:rPr>
      </w:pPr>
      <w:r w:rsidRPr="00053864">
        <w:rPr>
          <w:sz w:val="24"/>
          <w:szCs w:val="24"/>
        </w:rPr>
        <w:t xml:space="preserve">Som ved alle </w:t>
      </w:r>
      <w:proofErr w:type="spellStart"/>
      <w:r w:rsidRPr="00053864">
        <w:rPr>
          <w:sz w:val="24"/>
          <w:szCs w:val="24"/>
        </w:rPr>
        <w:t>NSAID’er</w:t>
      </w:r>
      <w:proofErr w:type="spellEnd"/>
      <w:r w:rsidRPr="00053864">
        <w:rPr>
          <w:sz w:val="24"/>
          <w:szCs w:val="24"/>
        </w:rPr>
        <w:t xml:space="preserve"> kan overdosis forårsage </w:t>
      </w:r>
      <w:proofErr w:type="spellStart"/>
      <w:r w:rsidRPr="00053864">
        <w:rPr>
          <w:sz w:val="24"/>
          <w:szCs w:val="24"/>
        </w:rPr>
        <w:t>gastrointestinal</w:t>
      </w:r>
      <w:proofErr w:type="spellEnd"/>
      <w:r w:rsidRPr="00053864">
        <w:rPr>
          <w:sz w:val="24"/>
          <w:szCs w:val="24"/>
        </w:rPr>
        <w:t xml:space="preserve"> toksicitet, nyre</w:t>
      </w:r>
      <w:r w:rsidRPr="00053864">
        <w:rPr>
          <w:sz w:val="24"/>
          <w:szCs w:val="24"/>
        </w:rPr>
        <w:noBreakHyphen/>
        <w:t xml:space="preserve"> eller levertoksicitet hos følsomme eller allerede syge dyr. Der er ingen specifik modgift. Symptomatisk, understøttende behandling anbefales og bør bestå af administration af stoffer, der beskytter mave-tarm-systemet, samt infusion af isotonisk saltvand.</w:t>
      </w:r>
    </w:p>
    <w:p w14:paraId="1D96797E" w14:textId="77777777" w:rsidR="00053864" w:rsidRPr="00053864" w:rsidRDefault="00053864" w:rsidP="00053864">
      <w:pPr>
        <w:tabs>
          <w:tab w:val="left" w:pos="851"/>
        </w:tabs>
        <w:ind w:left="851"/>
        <w:rPr>
          <w:sz w:val="24"/>
          <w:szCs w:val="24"/>
        </w:rPr>
      </w:pPr>
    </w:p>
    <w:p w14:paraId="187F6176"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0C78D48B" w14:textId="77777777" w:rsidR="00053864" w:rsidRPr="00053864" w:rsidRDefault="00053864" w:rsidP="00053864">
      <w:pPr>
        <w:tabs>
          <w:tab w:val="left" w:pos="851"/>
        </w:tabs>
        <w:ind w:left="851"/>
        <w:rPr>
          <w:sz w:val="24"/>
          <w:szCs w:val="24"/>
        </w:rPr>
      </w:pPr>
      <w:r w:rsidRPr="00053864">
        <w:rPr>
          <w:sz w:val="24"/>
          <w:szCs w:val="24"/>
        </w:rPr>
        <w:t>Ikke relevant.</w:t>
      </w:r>
    </w:p>
    <w:p w14:paraId="205221FC" w14:textId="77777777" w:rsidR="008203A8" w:rsidRPr="00406EE7" w:rsidRDefault="008203A8" w:rsidP="008203A8">
      <w:pPr>
        <w:tabs>
          <w:tab w:val="left" w:pos="851"/>
        </w:tabs>
        <w:ind w:left="851"/>
        <w:rPr>
          <w:sz w:val="24"/>
          <w:szCs w:val="24"/>
        </w:rPr>
      </w:pPr>
    </w:p>
    <w:p w14:paraId="09EE7BAB"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76115D38" w14:textId="77777777" w:rsidR="00053864" w:rsidRPr="00053864" w:rsidRDefault="00053864" w:rsidP="00053864">
      <w:pPr>
        <w:pStyle w:val="Sidehoved"/>
        <w:ind w:left="851"/>
        <w:rPr>
          <w:szCs w:val="24"/>
        </w:rPr>
      </w:pPr>
      <w:r w:rsidRPr="00053864">
        <w:rPr>
          <w:szCs w:val="24"/>
        </w:rPr>
        <w:t>Ikke relevant.</w:t>
      </w:r>
    </w:p>
    <w:p w14:paraId="4C3E446F" w14:textId="77777777" w:rsidR="008203A8" w:rsidRPr="00406EE7" w:rsidRDefault="008203A8" w:rsidP="008203A8">
      <w:pPr>
        <w:pStyle w:val="Sidehoved"/>
        <w:tabs>
          <w:tab w:val="clear" w:pos="4819"/>
        </w:tabs>
        <w:ind w:left="851"/>
        <w:rPr>
          <w:szCs w:val="24"/>
        </w:rPr>
      </w:pPr>
    </w:p>
    <w:p w14:paraId="0BD42467" w14:textId="77777777" w:rsidR="008203A8" w:rsidRPr="00406EE7" w:rsidRDefault="008203A8" w:rsidP="008203A8">
      <w:pPr>
        <w:tabs>
          <w:tab w:val="left" w:pos="851"/>
        </w:tabs>
        <w:ind w:left="851"/>
        <w:rPr>
          <w:sz w:val="24"/>
          <w:szCs w:val="24"/>
        </w:rPr>
      </w:pPr>
    </w:p>
    <w:p w14:paraId="6485413B" w14:textId="2639047C" w:rsidR="008203A8" w:rsidRPr="00AE0CE1" w:rsidRDefault="008203A8" w:rsidP="008203A8">
      <w:pPr>
        <w:ind w:left="851" w:hanging="851"/>
        <w:rPr>
          <w:b/>
          <w:sz w:val="24"/>
          <w:szCs w:val="24"/>
        </w:rPr>
      </w:pPr>
      <w:r w:rsidRPr="00AE0CE1">
        <w:rPr>
          <w:b/>
          <w:sz w:val="24"/>
          <w:szCs w:val="24"/>
        </w:rPr>
        <w:t>4.</w:t>
      </w:r>
      <w:r w:rsidRPr="00AE0CE1">
        <w:rPr>
          <w:b/>
          <w:sz w:val="24"/>
          <w:szCs w:val="24"/>
        </w:rPr>
        <w:tab/>
        <w:t>FARMAKOLOGISKE OPLYSNINGER</w:t>
      </w:r>
    </w:p>
    <w:p w14:paraId="67246F04" w14:textId="77777777" w:rsidR="008203A8" w:rsidRPr="00AE0CE1" w:rsidRDefault="008203A8" w:rsidP="008203A8">
      <w:pPr>
        <w:ind w:left="851"/>
        <w:rPr>
          <w:sz w:val="24"/>
          <w:szCs w:val="24"/>
        </w:rPr>
      </w:pPr>
    </w:p>
    <w:p w14:paraId="7BC3CC95" w14:textId="77777777" w:rsidR="008203A8" w:rsidRPr="00AE0CE1" w:rsidRDefault="008203A8" w:rsidP="008203A8">
      <w:pPr>
        <w:ind w:left="851" w:hanging="851"/>
        <w:rPr>
          <w:b/>
          <w:sz w:val="24"/>
          <w:szCs w:val="24"/>
        </w:rPr>
      </w:pPr>
      <w:r w:rsidRPr="00AE0CE1">
        <w:rPr>
          <w:b/>
          <w:sz w:val="24"/>
          <w:szCs w:val="24"/>
        </w:rPr>
        <w:t>4.1</w:t>
      </w:r>
      <w:r w:rsidRPr="00AE0CE1">
        <w:rPr>
          <w:b/>
          <w:sz w:val="24"/>
          <w:szCs w:val="24"/>
        </w:rPr>
        <w:tab/>
      </w:r>
      <w:proofErr w:type="spellStart"/>
      <w:r w:rsidRPr="00AE0CE1">
        <w:rPr>
          <w:b/>
          <w:sz w:val="24"/>
          <w:szCs w:val="24"/>
        </w:rPr>
        <w:t>ATCvet</w:t>
      </w:r>
      <w:proofErr w:type="spellEnd"/>
      <w:r w:rsidRPr="00AE0CE1">
        <w:rPr>
          <w:b/>
          <w:sz w:val="24"/>
          <w:szCs w:val="24"/>
        </w:rPr>
        <w:t>-kode</w:t>
      </w:r>
    </w:p>
    <w:p w14:paraId="218C720F" w14:textId="2AE81E4B" w:rsidR="008203A8" w:rsidRPr="00AE0CE1" w:rsidRDefault="00AE0CE1" w:rsidP="008203A8">
      <w:pPr>
        <w:ind w:left="851"/>
        <w:rPr>
          <w:sz w:val="24"/>
          <w:szCs w:val="24"/>
        </w:rPr>
      </w:pPr>
      <w:r w:rsidRPr="00AE0CE1">
        <w:rPr>
          <w:bCs/>
          <w:sz w:val="24"/>
          <w:szCs w:val="24"/>
        </w:rPr>
        <w:t>QM01AH91</w:t>
      </w:r>
    </w:p>
    <w:p w14:paraId="24005BBA" w14:textId="77777777" w:rsidR="008203A8" w:rsidRPr="00AE0CE1" w:rsidRDefault="008203A8" w:rsidP="008203A8">
      <w:pPr>
        <w:ind w:left="851"/>
        <w:rPr>
          <w:sz w:val="24"/>
          <w:szCs w:val="24"/>
        </w:rPr>
      </w:pPr>
    </w:p>
    <w:p w14:paraId="3CCBC3D7" w14:textId="77777777" w:rsidR="008203A8" w:rsidRPr="00AE0CE1" w:rsidRDefault="008203A8" w:rsidP="008203A8">
      <w:pPr>
        <w:tabs>
          <w:tab w:val="left" w:pos="851"/>
        </w:tabs>
        <w:ind w:left="851" w:hanging="851"/>
        <w:rPr>
          <w:b/>
          <w:sz w:val="24"/>
          <w:szCs w:val="24"/>
        </w:rPr>
      </w:pPr>
      <w:r w:rsidRPr="00AE0CE1">
        <w:rPr>
          <w:b/>
          <w:sz w:val="24"/>
          <w:szCs w:val="24"/>
        </w:rPr>
        <w:t>4.2</w:t>
      </w:r>
      <w:r w:rsidRPr="00AE0CE1">
        <w:rPr>
          <w:b/>
          <w:sz w:val="24"/>
          <w:szCs w:val="24"/>
        </w:rPr>
        <w:tab/>
      </w:r>
      <w:proofErr w:type="spellStart"/>
      <w:r w:rsidRPr="00AE0CE1">
        <w:rPr>
          <w:b/>
          <w:sz w:val="24"/>
          <w:szCs w:val="24"/>
        </w:rPr>
        <w:t>Farmakodynamiske</w:t>
      </w:r>
      <w:proofErr w:type="spellEnd"/>
      <w:r w:rsidRPr="00AE0CE1">
        <w:rPr>
          <w:b/>
          <w:sz w:val="24"/>
          <w:szCs w:val="24"/>
        </w:rPr>
        <w:t xml:space="preserve"> oplysninger</w:t>
      </w:r>
    </w:p>
    <w:p w14:paraId="3739FB9B"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er et non-</w:t>
      </w:r>
      <w:proofErr w:type="spellStart"/>
      <w:r w:rsidRPr="00AE0CE1">
        <w:rPr>
          <w:sz w:val="24"/>
          <w:szCs w:val="24"/>
        </w:rPr>
        <w:t>steroidt</w:t>
      </w:r>
      <w:proofErr w:type="spellEnd"/>
      <w:r w:rsidRPr="00AE0CE1">
        <w:rPr>
          <w:sz w:val="24"/>
          <w:szCs w:val="24"/>
        </w:rPr>
        <w:t xml:space="preserve"> antiinflammatorisk lægemiddel (NSAID), der tilhører </w:t>
      </w:r>
      <w:proofErr w:type="spellStart"/>
      <w:r w:rsidRPr="00AE0CE1">
        <w:rPr>
          <w:sz w:val="24"/>
          <w:szCs w:val="24"/>
        </w:rPr>
        <w:t>coxib</w:t>
      </w:r>
      <w:proofErr w:type="spellEnd"/>
      <w:r w:rsidRPr="00AE0CE1">
        <w:rPr>
          <w:sz w:val="24"/>
          <w:szCs w:val="24"/>
        </w:rPr>
        <w:t xml:space="preserve">-gruppen. Det er en potent og </w:t>
      </w:r>
      <w:proofErr w:type="gramStart"/>
      <w:r w:rsidRPr="00AE0CE1">
        <w:rPr>
          <w:sz w:val="24"/>
          <w:szCs w:val="24"/>
        </w:rPr>
        <w:t>selektiv</w:t>
      </w:r>
      <w:proofErr w:type="gramEnd"/>
      <w:r w:rsidRPr="00AE0CE1">
        <w:rPr>
          <w:sz w:val="24"/>
          <w:szCs w:val="24"/>
        </w:rPr>
        <w:t xml:space="preserve"> hæmmer af </w:t>
      </w:r>
      <w:proofErr w:type="spellStart"/>
      <w:r w:rsidRPr="00AE0CE1">
        <w:rPr>
          <w:sz w:val="24"/>
          <w:szCs w:val="24"/>
        </w:rPr>
        <w:t>cyclooxygenase</w:t>
      </w:r>
      <w:proofErr w:type="spellEnd"/>
      <w:r w:rsidRPr="00AE0CE1">
        <w:rPr>
          <w:sz w:val="24"/>
          <w:szCs w:val="24"/>
        </w:rPr>
        <w:t> 2-enzymet (COX</w:t>
      </w:r>
      <w:r w:rsidRPr="00AE0CE1">
        <w:rPr>
          <w:sz w:val="24"/>
          <w:szCs w:val="24"/>
        </w:rPr>
        <w:noBreakHyphen/>
        <w:t xml:space="preserve">2). </w:t>
      </w:r>
      <w:proofErr w:type="spellStart"/>
      <w:r w:rsidRPr="00AE0CE1">
        <w:rPr>
          <w:sz w:val="24"/>
          <w:szCs w:val="24"/>
        </w:rPr>
        <w:t>Cyclooxygenase</w:t>
      </w:r>
      <w:proofErr w:type="spellEnd"/>
      <w:r w:rsidRPr="00AE0CE1">
        <w:rPr>
          <w:sz w:val="24"/>
          <w:szCs w:val="24"/>
        </w:rPr>
        <w:t>-enzymet (COX) findes i to former. COX</w:t>
      </w:r>
      <w:r w:rsidRPr="00AE0CE1">
        <w:rPr>
          <w:sz w:val="24"/>
          <w:szCs w:val="24"/>
        </w:rPr>
        <w:noBreakHyphen/>
        <w:t>1 er grundformen af enzymet og har beskyttende funktioner, f.eks. i mave-tarm-kanalen og nyrerne. COX</w:t>
      </w:r>
      <w:r w:rsidRPr="00AE0CE1">
        <w:rPr>
          <w:sz w:val="24"/>
          <w:szCs w:val="24"/>
        </w:rPr>
        <w:noBreakHyphen/>
        <w:t xml:space="preserve">2 er den </w:t>
      </w:r>
      <w:proofErr w:type="spellStart"/>
      <w:r w:rsidRPr="00AE0CE1">
        <w:rPr>
          <w:sz w:val="24"/>
          <w:szCs w:val="24"/>
        </w:rPr>
        <w:t>inducerbare</w:t>
      </w:r>
      <w:proofErr w:type="spellEnd"/>
      <w:r w:rsidRPr="00AE0CE1">
        <w:rPr>
          <w:sz w:val="24"/>
          <w:szCs w:val="24"/>
        </w:rPr>
        <w:t xml:space="preserve"> form af enzymet og er ansvarlig for dannelsen af </w:t>
      </w:r>
      <w:proofErr w:type="spellStart"/>
      <w:r w:rsidRPr="00AE0CE1">
        <w:rPr>
          <w:sz w:val="24"/>
          <w:szCs w:val="24"/>
        </w:rPr>
        <w:t>mediatorer</w:t>
      </w:r>
      <w:proofErr w:type="spellEnd"/>
      <w:r w:rsidRPr="00AE0CE1">
        <w:rPr>
          <w:sz w:val="24"/>
          <w:szCs w:val="24"/>
        </w:rPr>
        <w:t>, herunder PGE</w:t>
      </w:r>
      <w:r w:rsidRPr="00AE0CE1">
        <w:rPr>
          <w:sz w:val="24"/>
          <w:szCs w:val="24"/>
          <w:vertAlign w:val="subscript"/>
        </w:rPr>
        <w:t>2</w:t>
      </w:r>
      <w:r w:rsidRPr="00AE0CE1">
        <w:rPr>
          <w:sz w:val="24"/>
          <w:szCs w:val="24"/>
        </w:rPr>
        <w:t>, der inducerer smerter, inflammation eller feber.</w:t>
      </w:r>
    </w:p>
    <w:p w14:paraId="4676465F" w14:textId="77777777" w:rsidR="00AE0CE1" w:rsidRPr="00AE0CE1" w:rsidRDefault="00AE0CE1" w:rsidP="00AE0CE1">
      <w:pPr>
        <w:tabs>
          <w:tab w:val="left" w:pos="851"/>
        </w:tabs>
        <w:ind w:left="851"/>
        <w:rPr>
          <w:sz w:val="24"/>
          <w:szCs w:val="24"/>
        </w:rPr>
      </w:pPr>
    </w:p>
    <w:p w14:paraId="427674EA" w14:textId="77777777" w:rsidR="00AE0CE1" w:rsidRPr="00AE0CE1" w:rsidRDefault="00AE0CE1" w:rsidP="00AE0CE1">
      <w:pPr>
        <w:tabs>
          <w:tab w:val="left" w:pos="851"/>
        </w:tabs>
        <w:ind w:left="851"/>
        <w:rPr>
          <w:sz w:val="24"/>
          <w:szCs w:val="24"/>
        </w:rPr>
      </w:pPr>
      <w:r w:rsidRPr="00AE0CE1">
        <w:rPr>
          <w:sz w:val="24"/>
          <w:szCs w:val="24"/>
        </w:rPr>
        <w:t xml:space="preserve">I </w:t>
      </w:r>
      <w:r w:rsidRPr="00AE0CE1">
        <w:rPr>
          <w:i/>
          <w:iCs/>
          <w:sz w:val="24"/>
          <w:szCs w:val="24"/>
        </w:rPr>
        <w:t>in </w:t>
      </w:r>
      <w:proofErr w:type="spellStart"/>
      <w:r w:rsidRPr="00AE0CE1">
        <w:rPr>
          <w:i/>
          <w:iCs/>
          <w:sz w:val="24"/>
          <w:szCs w:val="24"/>
        </w:rPr>
        <w:t>vitro</w:t>
      </w:r>
      <w:proofErr w:type="spellEnd"/>
      <w:r w:rsidRPr="00AE0CE1">
        <w:rPr>
          <w:sz w:val="24"/>
          <w:szCs w:val="24"/>
        </w:rPr>
        <w:t xml:space="preserve">-fuldblodsanalysen hos katte var </w:t>
      </w:r>
      <w:proofErr w:type="spellStart"/>
      <w:r w:rsidRPr="00AE0CE1">
        <w:rPr>
          <w:sz w:val="24"/>
          <w:szCs w:val="24"/>
        </w:rPr>
        <w:t>robenacoxib</w:t>
      </w:r>
      <w:proofErr w:type="spellEnd"/>
      <w:r w:rsidRPr="00AE0CE1">
        <w:rPr>
          <w:sz w:val="24"/>
          <w:szCs w:val="24"/>
        </w:rPr>
        <w:t xml:space="preserve"> ca. 500 gange så selektiv for COX</w:t>
      </w:r>
      <w:r w:rsidRPr="00AE0CE1">
        <w:rPr>
          <w:sz w:val="24"/>
          <w:szCs w:val="24"/>
        </w:rPr>
        <w:noBreakHyphen/>
        <w:t>2 (IC</w:t>
      </w:r>
      <w:r w:rsidRPr="00AE0CE1">
        <w:rPr>
          <w:sz w:val="24"/>
          <w:szCs w:val="24"/>
          <w:vertAlign w:val="subscript"/>
        </w:rPr>
        <w:t>50</w:t>
      </w:r>
      <w:r w:rsidRPr="00AE0CE1">
        <w:rPr>
          <w:sz w:val="24"/>
          <w:szCs w:val="24"/>
        </w:rPr>
        <w:t xml:space="preserve"> 0,058 </w:t>
      </w:r>
      <w:proofErr w:type="spellStart"/>
      <w:r w:rsidRPr="00AE0CE1">
        <w:rPr>
          <w:sz w:val="24"/>
          <w:szCs w:val="24"/>
        </w:rPr>
        <w:t>μM</w:t>
      </w:r>
      <w:proofErr w:type="spellEnd"/>
      <w:r w:rsidRPr="00AE0CE1">
        <w:rPr>
          <w:sz w:val="24"/>
          <w:szCs w:val="24"/>
        </w:rPr>
        <w:t>) som for COX</w:t>
      </w:r>
      <w:r w:rsidRPr="00AE0CE1">
        <w:rPr>
          <w:sz w:val="24"/>
          <w:szCs w:val="24"/>
        </w:rPr>
        <w:noBreakHyphen/>
        <w:t>1 (IC</w:t>
      </w:r>
      <w:r w:rsidRPr="00AE0CE1">
        <w:rPr>
          <w:sz w:val="24"/>
          <w:szCs w:val="24"/>
          <w:vertAlign w:val="subscript"/>
        </w:rPr>
        <w:t>50</w:t>
      </w:r>
      <w:r w:rsidRPr="00AE0CE1">
        <w:rPr>
          <w:sz w:val="24"/>
          <w:szCs w:val="24"/>
        </w:rPr>
        <w:t xml:space="preserve"> 28,9 </w:t>
      </w:r>
      <w:proofErr w:type="spellStart"/>
      <w:r w:rsidRPr="00AE0CE1">
        <w:rPr>
          <w:sz w:val="24"/>
          <w:szCs w:val="24"/>
        </w:rPr>
        <w:t>μM</w:t>
      </w:r>
      <w:proofErr w:type="spellEnd"/>
      <w:r w:rsidRPr="00AE0CE1">
        <w:rPr>
          <w:sz w:val="24"/>
          <w:szCs w:val="24"/>
        </w:rPr>
        <w:t xml:space="preserve">). </w:t>
      </w:r>
      <w:r w:rsidRPr="00AE0CE1">
        <w:rPr>
          <w:i/>
          <w:iCs/>
          <w:sz w:val="24"/>
          <w:szCs w:val="24"/>
        </w:rPr>
        <w:t>In </w:t>
      </w:r>
      <w:proofErr w:type="spellStart"/>
      <w:r w:rsidRPr="00AE0CE1">
        <w:rPr>
          <w:i/>
          <w:iCs/>
          <w:sz w:val="24"/>
          <w:szCs w:val="24"/>
        </w:rPr>
        <w:t>vivo</w:t>
      </w:r>
      <w:proofErr w:type="spellEnd"/>
      <w:r w:rsidRPr="00AE0CE1">
        <w:rPr>
          <w:sz w:val="24"/>
          <w:szCs w:val="24"/>
        </w:rPr>
        <w:t xml:space="preserve"> gav </w:t>
      </w:r>
      <w:proofErr w:type="spellStart"/>
      <w:r w:rsidRPr="00AE0CE1">
        <w:rPr>
          <w:sz w:val="24"/>
          <w:szCs w:val="24"/>
        </w:rPr>
        <w:t>robenacoxib</w:t>
      </w:r>
      <w:proofErr w:type="spellEnd"/>
      <w:r w:rsidRPr="00AE0CE1">
        <w:rPr>
          <w:sz w:val="24"/>
          <w:szCs w:val="24"/>
        </w:rPr>
        <w:t>-injektionsvæske, opløsning en markant hæmning af COX</w:t>
      </w:r>
      <w:r w:rsidRPr="00AE0CE1">
        <w:rPr>
          <w:sz w:val="24"/>
          <w:szCs w:val="24"/>
        </w:rPr>
        <w:noBreakHyphen/>
        <w:t>2-aktiviteten og havde ingen virkning på COX</w:t>
      </w:r>
      <w:r w:rsidRPr="00AE0CE1">
        <w:rPr>
          <w:sz w:val="24"/>
          <w:szCs w:val="24"/>
        </w:rPr>
        <w:noBreakHyphen/>
        <w:t>1-</w:t>
      </w:r>
      <w:r w:rsidRPr="00AE0CE1">
        <w:rPr>
          <w:sz w:val="24"/>
          <w:szCs w:val="24"/>
        </w:rPr>
        <w:lastRenderedPageBreak/>
        <w:t xml:space="preserve">aktiviteten. Ved den anbefalede dosis (2 mg/kg) demonstreredes analgetisk, antiinflammatorisk og </w:t>
      </w:r>
      <w:proofErr w:type="spellStart"/>
      <w:r w:rsidRPr="00AE0CE1">
        <w:rPr>
          <w:sz w:val="24"/>
          <w:szCs w:val="24"/>
        </w:rPr>
        <w:t>antipyretisk</w:t>
      </w:r>
      <w:proofErr w:type="spellEnd"/>
      <w:r w:rsidRPr="00AE0CE1">
        <w:rPr>
          <w:sz w:val="24"/>
          <w:szCs w:val="24"/>
        </w:rPr>
        <w:t xml:space="preserve"> effekt i en inflammationsmodel, og i kliniske studier reducerede </w:t>
      </w:r>
      <w:proofErr w:type="spellStart"/>
      <w:r w:rsidRPr="00AE0CE1">
        <w:rPr>
          <w:sz w:val="24"/>
          <w:szCs w:val="24"/>
        </w:rPr>
        <w:t>robenacoxib</w:t>
      </w:r>
      <w:proofErr w:type="spellEnd"/>
      <w:r w:rsidRPr="00AE0CE1">
        <w:rPr>
          <w:sz w:val="24"/>
          <w:szCs w:val="24"/>
        </w:rPr>
        <w:t xml:space="preserve"> smerter og inflammation hos katte, der fik foretaget ortopæd</w:t>
      </w:r>
      <w:r w:rsidRPr="00AE0CE1">
        <w:rPr>
          <w:sz w:val="24"/>
          <w:szCs w:val="24"/>
        </w:rPr>
        <w:noBreakHyphen/>
        <w:t xml:space="preserve"> eller bløddelskirurgi.</w:t>
      </w:r>
    </w:p>
    <w:p w14:paraId="55701D02" w14:textId="77777777" w:rsidR="00AE0CE1" w:rsidRPr="00AE0CE1" w:rsidRDefault="00AE0CE1" w:rsidP="00AE0CE1">
      <w:pPr>
        <w:tabs>
          <w:tab w:val="left" w:pos="851"/>
        </w:tabs>
        <w:ind w:left="851"/>
        <w:rPr>
          <w:sz w:val="24"/>
          <w:szCs w:val="24"/>
        </w:rPr>
      </w:pPr>
    </w:p>
    <w:p w14:paraId="4915B410" w14:textId="77777777" w:rsidR="00AE0CE1" w:rsidRPr="00AE0CE1" w:rsidRDefault="00AE0CE1" w:rsidP="00AE0CE1">
      <w:pPr>
        <w:tabs>
          <w:tab w:val="left" w:pos="851"/>
        </w:tabs>
        <w:ind w:left="851"/>
        <w:rPr>
          <w:sz w:val="24"/>
          <w:szCs w:val="24"/>
        </w:rPr>
      </w:pPr>
      <w:r w:rsidRPr="00AE0CE1">
        <w:rPr>
          <w:sz w:val="24"/>
          <w:szCs w:val="24"/>
        </w:rPr>
        <w:t xml:space="preserve">Hos hunde var </w:t>
      </w:r>
      <w:proofErr w:type="spellStart"/>
      <w:r w:rsidRPr="00AE0CE1">
        <w:rPr>
          <w:sz w:val="24"/>
          <w:szCs w:val="24"/>
        </w:rPr>
        <w:t>robenacoxib</w:t>
      </w:r>
      <w:proofErr w:type="spellEnd"/>
      <w:r w:rsidRPr="00AE0CE1">
        <w:rPr>
          <w:sz w:val="24"/>
          <w:szCs w:val="24"/>
        </w:rPr>
        <w:t xml:space="preserve">, </w:t>
      </w:r>
      <w:r w:rsidRPr="00AE0CE1">
        <w:rPr>
          <w:i/>
          <w:iCs/>
          <w:sz w:val="24"/>
          <w:szCs w:val="24"/>
        </w:rPr>
        <w:t>in </w:t>
      </w:r>
      <w:proofErr w:type="spellStart"/>
      <w:r w:rsidRPr="00AE0CE1">
        <w:rPr>
          <w:i/>
          <w:iCs/>
          <w:sz w:val="24"/>
          <w:szCs w:val="24"/>
        </w:rPr>
        <w:t>vitro</w:t>
      </w:r>
      <w:proofErr w:type="spellEnd"/>
      <w:r w:rsidRPr="00AE0CE1">
        <w:rPr>
          <w:sz w:val="24"/>
          <w:szCs w:val="24"/>
        </w:rPr>
        <w:t>, ca. 140 gange så selektiv for COX</w:t>
      </w:r>
      <w:r w:rsidRPr="00AE0CE1">
        <w:rPr>
          <w:sz w:val="24"/>
          <w:szCs w:val="24"/>
        </w:rPr>
        <w:noBreakHyphen/>
        <w:t>2 (IC</w:t>
      </w:r>
      <w:r w:rsidRPr="00AE0CE1">
        <w:rPr>
          <w:sz w:val="24"/>
          <w:szCs w:val="24"/>
          <w:vertAlign w:val="subscript"/>
        </w:rPr>
        <w:t>50</w:t>
      </w:r>
      <w:r w:rsidRPr="00AE0CE1">
        <w:rPr>
          <w:sz w:val="24"/>
          <w:szCs w:val="24"/>
        </w:rPr>
        <w:t xml:space="preserve"> 0,04 </w:t>
      </w:r>
      <w:proofErr w:type="spellStart"/>
      <w:r w:rsidRPr="00AE0CE1">
        <w:rPr>
          <w:sz w:val="24"/>
          <w:szCs w:val="24"/>
        </w:rPr>
        <w:t>μM</w:t>
      </w:r>
      <w:proofErr w:type="spellEnd"/>
      <w:r w:rsidRPr="00AE0CE1">
        <w:rPr>
          <w:sz w:val="24"/>
          <w:szCs w:val="24"/>
        </w:rPr>
        <w:t>) som for COX</w:t>
      </w:r>
      <w:r w:rsidRPr="00AE0CE1">
        <w:rPr>
          <w:sz w:val="24"/>
          <w:szCs w:val="24"/>
        </w:rPr>
        <w:noBreakHyphen/>
        <w:t>1 (IC</w:t>
      </w:r>
      <w:r w:rsidRPr="00AE0CE1">
        <w:rPr>
          <w:sz w:val="24"/>
          <w:szCs w:val="24"/>
          <w:vertAlign w:val="subscript"/>
        </w:rPr>
        <w:t>50</w:t>
      </w:r>
      <w:r w:rsidRPr="00AE0CE1">
        <w:rPr>
          <w:sz w:val="24"/>
          <w:szCs w:val="24"/>
        </w:rPr>
        <w:t xml:space="preserve"> 7,9 </w:t>
      </w:r>
      <w:proofErr w:type="spellStart"/>
      <w:r w:rsidRPr="00AE0CE1">
        <w:rPr>
          <w:sz w:val="24"/>
          <w:szCs w:val="24"/>
        </w:rPr>
        <w:t>μM</w:t>
      </w:r>
      <w:proofErr w:type="spellEnd"/>
      <w:r w:rsidRPr="00AE0CE1">
        <w:rPr>
          <w:sz w:val="24"/>
          <w:szCs w:val="24"/>
        </w:rPr>
        <w:t xml:space="preserve">). </w:t>
      </w:r>
      <w:r w:rsidRPr="00AE0CE1">
        <w:rPr>
          <w:i/>
          <w:iCs/>
          <w:sz w:val="24"/>
          <w:szCs w:val="24"/>
        </w:rPr>
        <w:t>In </w:t>
      </w:r>
      <w:proofErr w:type="spellStart"/>
      <w:r w:rsidRPr="00AE0CE1">
        <w:rPr>
          <w:i/>
          <w:iCs/>
          <w:sz w:val="24"/>
          <w:szCs w:val="24"/>
        </w:rPr>
        <w:t>vivo</w:t>
      </w:r>
      <w:proofErr w:type="spellEnd"/>
      <w:r w:rsidRPr="00AE0CE1">
        <w:rPr>
          <w:sz w:val="24"/>
          <w:szCs w:val="24"/>
        </w:rPr>
        <w:t xml:space="preserve"> gav </w:t>
      </w:r>
      <w:proofErr w:type="spellStart"/>
      <w:r w:rsidRPr="00AE0CE1">
        <w:rPr>
          <w:sz w:val="24"/>
          <w:szCs w:val="24"/>
        </w:rPr>
        <w:t>robenacoxib</w:t>
      </w:r>
      <w:proofErr w:type="spellEnd"/>
      <w:r w:rsidRPr="00AE0CE1">
        <w:rPr>
          <w:sz w:val="24"/>
          <w:szCs w:val="24"/>
        </w:rPr>
        <w:t xml:space="preserve"> injektionsvæske, opløsning en markant hæmning af COX</w:t>
      </w:r>
      <w:r w:rsidRPr="00AE0CE1">
        <w:rPr>
          <w:sz w:val="24"/>
          <w:szCs w:val="24"/>
        </w:rPr>
        <w:noBreakHyphen/>
        <w:t>2-aktiviteten og havde ingen virkning på COX</w:t>
      </w:r>
      <w:r w:rsidRPr="00AE0CE1">
        <w:rPr>
          <w:sz w:val="24"/>
          <w:szCs w:val="24"/>
        </w:rPr>
        <w:noBreakHyphen/>
        <w:t xml:space="preserve">1-aktiviteten. Ved doser fra 0,25 til 4 mg/kg havde </w:t>
      </w:r>
      <w:proofErr w:type="spellStart"/>
      <w:r w:rsidRPr="00AE0CE1">
        <w:rPr>
          <w:sz w:val="24"/>
          <w:szCs w:val="24"/>
        </w:rPr>
        <w:t>robenacoxib</w:t>
      </w:r>
      <w:proofErr w:type="spellEnd"/>
      <w:r w:rsidRPr="00AE0CE1">
        <w:rPr>
          <w:sz w:val="24"/>
          <w:szCs w:val="24"/>
        </w:rPr>
        <w:t xml:space="preserve"> analgetisk, antiinflammatorisk og </w:t>
      </w:r>
      <w:proofErr w:type="spellStart"/>
      <w:r w:rsidRPr="00AE0CE1">
        <w:rPr>
          <w:sz w:val="24"/>
          <w:szCs w:val="24"/>
        </w:rPr>
        <w:t>antipyretisk</w:t>
      </w:r>
      <w:proofErr w:type="spellEnd"/>
      <w:r w:rsidRPr="00AE0CE1">
        <w:rPr>
          <w:sz w:val="24"/>
          <w:szCs w:val="24"/>
        </w:rPr>
        <w:t xml:space="preserve"> effekt i en inflammationsmodel med en hurtigt indsættende virkning (1 t). I kliniske studier med den anbefalede dosis (2 mg/kg), reducerede </w:t>
      </w:r>
      <w:proofErr w:type="spellStart"/>
      <w:r w:rsidRPr="00AE0CE1">
        <w:rPr>
          <w:sz w:val="24"/>
          <w:szCs w:val="24"/>
        </w:rPr>
        <w:t>robenacoxib</w:t>
      </w:r>
      <w:proofErr w:type="spellEnd"/>
      <w:r w:rsidRPr="00AE0CE1">
        <w:rPr>
          <w:sz w:val="24"/>
          <w:szCs w:val="24"/>
        </w:rPr>
        <w:t xml:space="preserve"> smerter og inflammation hos hunde, der fik foretaget ortopæd</w:t>
      </w:r>
      <w:r w:rsidRPr="00AE0CE1">
        <w:rPr>
          <w:sz w:val="24"/>
          <w:szCs w:val="24"/>
        </w:rPr>
        <w:noBreakHyphen/>
        <w:t xml:space="preserve"> eller bløddelskirurgi og reducerede behovet for nødvendig supplerende behandling hos hunde, der gennemgik bløddelskirurgi.</w:t>
      </w:r>
    </w:p>
    <w:p w14:paraId="515A30FC" w14:textId="77777777" w:rsidR="008203A8" w:rsidRPr="00406EE7" w:rsidRDefault="008203A8" w:rsidP="008203A8">
      <w:pPr>
        <w:tabs>
          <w:tab w:val="left" w:pos="851"/>
        </w:tabs>
        <w:ind w:left="851"/>
        <w:rPr>
          <w:sz w:val="24"/>
          <w:szCs w:val="24"/>
        </w:rPr>
      </w:pPr>
    </w:p>
    <w:p w14:paraId="0C161149" w14:textId="77777777" w:rsidR="008203A8" w:rsidRPr="00406EE7" w:rsidRDefault="008203A8" w:rsidP="008203A8">
      <w:pPr>
        <w:tabs>
          <w:tab w:val="left" w:pos="851"/>
        </w:tabs>
        <w:ind w:left="851" w:hanging="851"/>
        <w:rPr>
          <w:b/>
          <w:sz w:val="24"/>
          <w:szCs w:val="24"/>
        </w:rPr>
      </w:pPr>
      <w:r w:rsidRPr="00AE0CE1">
        <w:rPr>
          <w:b/>
          <w:sz w:val="24"/>
          <w:szCs w:val="24"/>
        </w:rPr>
        <w:t>4.3</w:t>
      </w:r>
      <w:r w:rsidRPr="00AE0CE1">
        <w:rPr>
          <w:b/>
          <w:sz w:val="24"/>
          <w:szCs w:val="24"/>
        </w:rPr>
        <w:tab/>
      </w:r>
      <w:proofErr w:type="spellStart"/>
      <w:r w:rsidRPr="00AE0CE1">
        <w:rPr>
          <w:b/>
          <w:sz w:val="24"/>
          <w:szCs w:val="24"/>
        </w:rPr>
        <w:t>Farmakokinetiske</w:t>
      </w:r>
      <w:proofErr w:type="spellEnd"/>
      <w:r w:rsidRPr="00AE0CE1">
        <w:rPr>
          <w:b/>
          <w:sz w:val="24"/>
          <w:szCs w:val="24"/>
        </w:rPr>
        <w:t xml:space="preserve"> oplysninger</w:t>
      </w:r>
    </w:p>
    <w:p w14:paraId="3CD37B8F" w14:textId="77777777" w:rsidR="00AE0CE1" w:rsidRDefault="00AE0CE1" w:rsidP="00AE0CE1">
      <w:pPr>
        <w:tabs>
          <w:tab w:val="left" w:pos="851"/>
        </w:tabs>
        <w:ind w:left="851"/>
        <w:rPr>
          <w:sz w:val="24"/>
          <w:szCs w:val="24"/>
        </w:rPr>
      </w:pPr>
    </w:p>
    <w:p w14:paraId="68DA7FC5" w14:textId="1837EF26" w:rsidR="00AE0CE1" w:rsidRPr="00AE0CE1" w:rsidRDefault="00AE0CE1" w:rsidP="00AE0CE1">
      <w:pPr>
        <w:tabs>
          <w:tab w:val="left" w:pos="851"/>
        </w:tabs>
        <w:ind w:left="851"/>
        <w:rPr>
          <w:b/>
          <w:sz w:val="24"/>
          <w:szCs w:val="24"/>
        </w:rPr>
      </w:pPr>
      <w:r w:rsidRPr="00AE0CE1">
        <w:rPr>
          <w:b/>
          <w:sz w:val="24"/>
          <w:szCs w:val="24"/>
        </w:rPr>
        <w:t>Katte</w:t>
      </w:r>
    </w:p>
    <w:p w14:paraId="2164A9D2" w14:textId="77777777" w:rsidR="00AE0CE1" w:rsidRPr="00AE0CE1" w:rsidRDefault="00AE0CE1" w:rsidP="00AE0CE1">
      <w:pPr>
        <w:tabs>
          <w:tab w:val="left" w:pos="851"/>
        </w:tabs>
        <w:ind w:left="851"/>
        <w:rPr>
          <w:sz w:val="24"/>
          <w:szCs w:val="24"/>
        </w:rPr>
      </w:pPr>
    </w:p>
    <w:p w14:paraId="2DD39D6E" w14:textId="77777777" w:rsidR="00AE0CE1" w:rsidRPr="00AE0CE1" w:rsidRDefault="00AE0CE1" w:rsidP="00AE0CE1">
      <w:pPr>
        <w:tabs>
          <w:tab w:val="left" w:pos="851"/>
        </w:tabs>
        <w:ind w:left="851"/>
        <w:rPr>
          <w:sz w:val="24"/>
          <w:szCs w:val="24"/>
          <w:u w:val="single"/>
        </w:rPr>
      </w:pPr>
      <w:r w:rsidRPr="00AE0CE1">
        <w:rPr>
          <w:sz w:val="24"/>
          <w:szCs w:val="24"/>
          <w:u w:val="single"/>
        </w:rPr>
        <w:t>Absorption</w:t>
      </w:r>
    </w:p>
    <w:p w14:paraId="2A4B4B05" w14:textId="77777777" w:rsidR="00AE0CE1" w:rsidRPr="00AE0CE1" w:rsidRDefault="00AE0CE1" w:rsidP="00AE0CE1">
      <w:pPr>
        <w:tabs>
          <w:tab w:val="left" w:pos="851"/>
        </w:tabs>
        <w:ind w:left="851"/>
        <w:rPr>
          <w:sz w:val="24"/>
          <w:szCs w:val="24"/>
        </w:rPr>
      </w:pPr>
      <w:r w:rsidRPr="00AE0CE1">
        <w:rPr>
          <w:sz w:val="24"/>
          <w:szCs w:val="24"/>
        </w:rPr>
        <w:t xml:space="preserve">De højeste blodkoncentrationer af </w:t>
      </w:r>
      <w:proofErr w:type="spellStart"/>
      <w:r w:rsidRPr="00AE0CE1">
        <w:rPr>
          <w:sz w:val="24"/>
          <w:szCs w:val="24"/>
        </w:rPr>
        <w:t>robenacoxib</w:t>
      </w:r>
      <w:proofErr w:type="spellEnd"/>
      <w:r w:rsidRPr="00AE0CE1">
        <w:rPr>
          <w:sz w:val="24"/>
          <w:szCs w:val="24"/>
        </w:rPr>
        <w:t xml:space="preserve"> nås hurtigt efter subkutan injektion. Efter en dosis på 2 mg/kg opnås en </w:t>
      </w:r>
      <w:proofErr w:type="spellStart"/>
      <w:r w:rsidRPr="00AE0CE1">
        <w:rPr>
          <w:sz w:val="24"/>
          <w:szCs w:val="24"/>
        </w:rPr>
        <w:t>T</w:t>
      </w:r>
      <w:r w:rsidRPr="00AE0CE1">
        <w:rPr>
          <w:sz w:val="24"/>
          <w:szCs w:val="24"/>
          <w:vertAlign w:val="subscript"/>
        </w:rPr>
        <w:t>max</w:t>
      </w:r>
      <w:proofErr w:type="spellEnd"/>
      <w:r w:rsidRPr="00AE0CE1">
        <w:rPr>
          <w:sz w:val="24"/>
          <w:szCs w:val="24"/>
        </w:rPr>
        <w:t xml:space="preserve"> på 1 t., en </w:t>
      </w:r>
      <w:proofErr w:type="spellStart"/>
      <w:r w:rsidRPr="00AE0CE1">
        <w:rPr>
          <w:sz w:val="24"/>
          <w:szCs w:val="24"/>
        </w:rPr>
        <w:t>C</w:t>
      </w:r>
      <w:r w:rsidRPr="00AE0CE1">
        <w:rPr>
          <w:sz w:val="24"/>
          <w:szCs w:val="24"/>
          <w:vertAlign w:val="subscript"/>
        </w:rPr>
        <w:t>max</w:t>
      </w:r>
      <w:proofErr w:type="spellEnd"/>
      <w:r w:rsidRPr="00AE0CE1">
        <w:rPr>
          <w:sz w:val="24"/>
          <w:szCs w:val="24"/>
        </w:rPr>
        <w:t xml:space="preserve"> på 1.464 </w:t>
      </w:r>
      <w:proofErr w:type="spellStart"/>
      <w:r w:rsidRPr="00AE0CE1">
        <w:rPr>
          <w:sz w:val="24"/>
          <w:szCs w:val="24"/>
        </w:rPr>
        <w:t>ng</w:t>
      </w:r>
      <w:proofErr w:type="spellEnd"/>
      <w:r w:rsidRPr="00AE0CE1">
        <w:rPr>
          <w:sz w:val="24"/>
          <w:szCs w:val="24"/>
        </w:rPr>
        <w:t>/ml og et AUC på 3.128 ng.t./ml. Efter subkutan administration af 1 mg/kg er den systemiske biotilgængelighed 69 %.</w:t>
      </w:r>
    </w:p>
    <w:p w14:paraId="2589D24A" w14:textId="77777777" w:rsidR="00AE0CE1" w:rsidRPr="00AE0CE1" w:rsidRDefault="00AE0CE1" w:rsidP="00AE0CE1">
      <w:pPr>
        <w:tabs>
          <w:tab w:val="left" w:pos="851"/>
        </w:tabs>
        <w:ind w:left="851"/>
        <w:rPr>
          <w:sz w:val="24"/>
          <w:szCs w:val="24"/>
        </w:rPr>
      </w:pPr>
    </w:p>
    <w:p w14:paraId="335521B2" w14:textId="77777777" w:rsidR="00AE0CE1" w:rsidRPr="00AE0CE1" w:rsidRDefault="00AE0CE1" w:rsidP="00AE0CE1">
      <w:pPr>
        <w:tabs>
          <w:tab w:val="left" w:pos="851"/>
        </w:tabs>
        <w:ind w:left="851"/>
        <w:rPr>
          <w:sz w:val="24"/>
          <w:szCs w:val="24"/>
          <w:u w:val="single"/>
        </w:rPr>
      </w:pPr>
      <w:r w:rsidRPr="00AE0CE1">
        <w:rPr>
          <w:sz w:val="24"/>
          <w:szCs w:val="24"/>
          <w:u w:val="single"/>
        </w:rPr>
        <w:t>Fordeling</w:t>
      </w:r>
    </w:p>
    <w:p w14:paraId="63FA8812"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har et relativt lille fordelingsvolumen (</w:t>
      </w:r>
      <w:proofErr w:type="spellStart"/>
      <w:r w:rsidRPr="00AE0CE1">
        <w:rPr>
          <w:sz w:val="24"/>
          <w:szCs w:val="24"/>
        </w:rPr>
        <w:t>Vss</w:t>
      </w:r>
      <w:proofErr w:type="spellEnd"/>
      <w:r w:rsidRPr="00AE0CE1">
        <w:rPr>
          <w:sz w:val="24"/>
          <w:szCs w:val="24"/>
        </w:rPr>
        <w:t xml:space="preserve"> 190 ml/kg) og er i høj grad bundet til plasmaproteiner (&gt; 99 %).</w:t>
      </w:r>
    </w:p>
    <w:p w14:paraId="1D4315A6" w14:textId="77777777" w:rsidR="00AE0CE1" w:rsidRPr="00AE0CE1" w:rsidRDefault="00AE0CE1" w:rsidP="00AE0CE1">
      <w:pPr>
        <w:tabs>
          <w:tab w:val="left" w:pos="851"/>
        </w:tabs>
        <w:ind w:left="851"/>
        <w:rPr>
          <w:sz w:val="24"/>
          <w:szCs w:val="24"/>
        </w:rPr>
      </w:pPr>
    </w:p>
    <w:p w14:paraId="31A2457E" w14:textId="77777777" w:rsidR="00AE0CE1" w:rsidRPr="00AE0CE1" w:rsidRDefault="00AE0CE1" w:rsidP="00AE0CE1">
      <w:pPr>
        <w:tabs>
          <w:tab w:val="left" w:pos="851"/>
        </w:tabs>
        <w:ind w:left="851"/>
        <w:rPr>
          <w:sz w:val="24"/>
          <w:szCs w:val="24"/>
          <w:u w:val="single"/>
        </w:rPr>
      </w:pPr>
      <w:r w:rsidRPr="00AE0CE1">
        <w:rPr>
          <w:sz w:val="24"/>
          <w:szCs w:val="24"/>
          <w:u w:val="single"/>
        </w:rPr>
        <w:t>Biotransformation</w:t>
      </w:r>
    </w:p>
    <w:p w14:paraId="3950B17D"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w:t>
      </w:r>
      <w:proofErr w:type="spellStart"/>
      <w:r w:rsidRPr="00AE0CE1">
        <w:rPr>
          <w:sz w:val="24"/>
          <w:szCs w:val="24"/>
        </w:rPr>
        <w:t>metaboliseres</w:t>
      </w:r>
      <w:proofErr w:type="spellEnd"/>
      <w:r w:rsidRPr="00AE0CE1">
        <w:rPr>
          <w:sz w:val="24"/>
          <w:szCs w:val="24"/>
        </w:rPr>
        <w:t xml:space="preserve"> i udstrakt grad i leveren. Bortset fra en metabolit af </w:t>
      </w:r>
      <w:proofErr w:type="spellStart"/>
      <w:r w:rsidRPr="00AE0CE1">
        <w:rPr>
          <w:sz w:val="24"/>
          <w:szCs w:val="24"/>
        </w:rPr>
        <w:t>lactam</w:t>
      </w:r>
      <w:proofErr w:type="spellEnd"/>
      <w:r w:rsidRPr="00AE0CE1">
        <w:rPr>
          <w:sz w:val="24"/>
          <w:szCs w:val="24"/>
        </w:rPr>
        <w:t xml:space="preserve"> kendes ingen andre metabolitter.</w:t>
      </w:r>
    </w:p>
    <w:p w14:paraId="67B5E385" w14:textId="77777777" w:rsidR="00AE0CE1" w:rsidRPr="00AE0CE1" w:rsidRDefault="00AE0CE1" w:rsidP="00AE0CE1">
      <w:pPr>
        <w:tabs>
          <w:tab w:val="left" w:pos="851"/>
        </w:tabs>
        <w:ind w:left="851"/>
        <w:rPr>
          <w:sz w:val="24"/>
          <w:szCs w:val="24"/>
        </w:rPr>
      </w:pPr>
    </w:p>
    <w:p w14:paraId="47E660B9" w14:textId="77777777" w:rsidR="00AE0CE1" w:rsidRPr="00AE0CE1" w:rsidRDefault="00AE0CE1" w:rsidP="00AE0CE1">
      <w:pPr>
        <w:tabs>
          <w:tab w:val="left" w:pos="851"/>
        </w:tabs>
        <w:ind w:left="851"/>
        <w:rPr>
          <w:sz w:val="24"/>
          <w:szCs w:val="24"/>
          <w:u w:val="single"/>
        </w:rPr>
      </w:pPr>
      <w:r w:rsidRPr="00AE0CE1">
        <w:rPr>
          <w:sz w:val="24"/>
          <w:szCs w:val="24"/>
          <w:u w:val="single"/>
        </w:rPr>
        <w:t>Elimination</w:t>
      </w:r>
    </w:p>
    <w:p w14:paraId="6C197943" w14:textId="77777777" w:rsidR="00AE0CE1" w:rsidRPr="00AE0CE1" w:rsidRDefault="00AE0CE1" w:rsidP="00AE0CE1">
      <w:pPr>
        <w:tabs>
          <w:tab w:val="left" w:pos="851"/>
        </w:tabs>
        <w:ind w:left="851"/>
        <w:rPr>
          <w:sz w:val="24"/>
          <w:szCs w:val="24"/>
        </w:rPr>
      </w:pPr>
      <w:r w:rsidRPr="00AE0CE1">
        <w:rPr>
          <w:sz w:val="24"/>
          <w:szCs w:val="24"/>
        </w:rPr>
        <w:t xml:space="preserve">Efter intravenøs administration blev </w:t>
      </w:r>
      <w:proofErr w:type="spellStart"/>
      <w:r w:rsidRPr="00AE0CE1">
        <w:rPr>
          <w:sz w:val="24"/>
          <w:szCs w:val="24"/>
        </w:rPr>
        <w:t>robenacoxib</w:t>
      </w:r>
      <w:proofErr w:type="spellEnd"/>
      <w:r w:rsidRPr="00AE0CE1">
        <w:rPr>
          <w:sz w:val="24"/>
          <w:szCs w:val="24"/>
        </w:rPr>
        <w:t xml:space="preserve"> hurtigt elimineret fra blodet (CL 0,44 l/kg/t.) med en eliminationshalveringstid (t½) på 1,1 t. Efter subkutan administration var den terminale halveringstid fra blod 1,1 t.</w:t>
      </w:r>
    </w:p>
    <w:p w14:paraId="284DFA4D"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varer længere og har højere koncentrationer på steder med inflammation end i blodet.</w:t>
      </w:r>
    </w:p>
    <w:p w14:paraId="5288124B"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udskilles overvejende biliært (</w:t>
      </w:r>
      <w:r w:rsidRPr="00AE0CE1">
        <w:rPr>
          <w:rFonts w:ascii="Cambria Math" w:hAnsi="Cambria Math" w:cs="Cambria Math"/>
          <w:sz w:val="24"/>
          <w:szCs w:val="24"/>
        </w:rPr>
        <w:t>∼</w:t>
      </w:r>
      <w:r w:rsidRPr="00AE0CE1">
        <w:rPr>
          <w:sz w:val="24"/>
          <w:szCs w:val="24"/>
        </w:rPr>
        <w:t>70 %) og resten via nyrerne. Gentagen subkutan administration i doser på 2</w:t>
      </w:r>
      <w:r w:rsidRPr="00AE0CE1">
        <w:rPr>
          <w:sz w:val="24"/>
          <w:szCs w:val="24"/>
        </w:rPr>
        <w:noBreakHyphen/>
        <w:t xml:space="preserve">20 mg/kg forårsagede ingen ændring i blodprofilen, hverken bioakkumulation af </w:t>
      </w:r>
      <w:proofErr w:type="spellStart"/>
      <w:r w:rsidRPr="00AE0CE1">
        <w:rPr>
          <w:sz w:val="24"/>
          <w:szCs w:val="24"/>
        </w:rPr>
        <w:t>robenacoxib</w:t>
      </w:r>
      <w:proofErr w:type="spellEnd"/>
      <w:r w:rsidRPr="00AE0CE1">
        <w:rPr>
          <w:sz w:val="24"/>
          <w:szCs w:val="24"/>
        </w:rPr>
        <w:t xml:space="preserve"> eller enzyminduktion. Bioakkumulation af metabolitter er ikke blevet undersøgt. Farmakokinetikken af </w:t>
      </w:r>
      <w:proofErr w:type="spellStart"/>
      <w:r w:rsidRPr="00AE0CE1">
        <w:rPr>
          <w:sz w:val="24"/>
          <w:szCs w:val="24"/>
        </w:rPr>
        <w:t>robenacoxib</w:t>
      </w:r>
      <w:proofErr w:type="spellEnd"/>
      <w:r w:rsidRPr="00AE0CE1">
        <w:rPr>
          <w:sz w:val="24"/>
          <w:szCs w:val="24"/>
        </w:rPr>
        <w:t>-injektion er ikke forskellig hos henholdsvis hanner og hunner.</w:t>
      </w:r>
    </w:p>
    <w:p w14:paraId="4932BB89" w14:textId="77777777" w:rsidR="00AE0CE1" w:rsidRPr="00AE0CE1" w:rsidRDefault="00AE0CE1" w:rsidP="00AE0CE1">
      <w:pPr>
        <w:tabs>
          <w:tab w:val="left" w:pos="851"/>
        </w:tabs>
        <w:ind w:left="851"/>
        <w:rPr>
          <w:sz w:val="24"/>
          <w:szCs w:val="24"/>
        </w:rPr>
      </w:pPr>
    </w:p>
    <w:p w14:paraId="3A514D03" w14:textId="34DE423F" w:rsidR="00AE0CE1" w:rsidRPr="00AE0CE1" w:rsidRDefault="00AE0CE1" w:rsidP="00AE0CE1">
      <w:pPr>
        <w:tabs>
          <w:tab w:val="left" w:pos="851"/>
        </w:tabs>
        <w:ind w:left="851"/>
        <w:rPr>
          <w:b/>
          <w:sz w:val="24"/>
          <w:szCs w:val="24"/>
        </w:rPr>
      </w:pPr>
      <w:r w:rsidRPr="00AE0CE1">
        <w:rPr>
          <w:b/>
          <w:sz w:val="24"/>
          <w:szCs w:val="24"/>
        </w:rPr>
        <w:t>Hunde</w:t>
      </w:r>
    </w:p>
    <w:p w14:paraId="5C04488D" w14:textId="77777777" w:rsidR="00AE0CE1" w:rsidRPr="00AE0CE1" w:rsidRDefault="00AE0CE1" w:rsidP="00AE0CE1">
      <w:pPr>
        <w:tabs>
          <w:tab w:val="left" w:pos="851"/>
        </w:tabs>
        <w:ind w:left="851"/>
        <w:rPr>
          <w:sz w:val="24"/>
          <w:szCs w:val="24"/>
        </w:rPr>
      </w:pPr>
    </w:p>
    <w:p w14:paraId="2B60289C" w14:textId="77777777" w:rsidR="00AE0CE1" w:rsidRPr="00AE0CE1" w:rsidRDefault="00AE0CE1" w:rsidP="00AE0CE1">
      <w:pPr>
        <w:tabs>
          <w:tab w:val="left" w:pos="851"/>
        </w:tabs>
        <w:ind w:left="851"/>
        <w:rPr>
          <w:sz w:val="24"/>
          <w:szCs w:val="24"/>
          <w:u w:val="single"/>
        </w:rPr>
      </w:pPr>
      <w:r w:rsidRPr="00AE0CE1">
        <w:rPr>
          <w:sz w:val="24"/>
          <w:szCs w:val="24"/>
          <w:u w:val="single"/>
        </w:rPr>
        <w:t>Absorption</w:t>
      </w:r>
    </w:p>
    <w:p w14:paraId="2302A4EB" w14:textId="77777777" w:rsidR="00AE0CE1" w:rsidRPr="00AE0CE1" w:rsidRDefault="00AE0CE1" w:rsidP="00AE0CE1">
      <w:pPr>
        <w:tabs>
          <w:tab w:val="left" w:pos="851"/>
        </w:tabs>
        <w:ind w:left="851"/>
        <w:rPr>
          <w:sz w:val="24"/>
          <w:szCs w:val="24"/>
        </w:rPr>
      </w:pPr>
      <w:r w:rsidRPr="00AE0CE1">
        <w:rPr>
          <w:sz w:val="24"/>
          <w:szCs w:val="24"/>
        </w:rPr>
        <w:t xml:space="preserve">De højeste blodkoncentrationer af </w:t>
      </w:r>
      <w:proofErr w:type="spellStart"/>
      <w:r w:rsidRPr="00AE0CE1">
        <w:rPr>
          <w:sz w:val="24"/>
          <w:szCs w:val="24"/>
        </w:rPr>
        <w:t>robenacoxib</w:t>
      </w:r>
      <w:proofErr w:type="spellEnd"/>
      <w:r w:rsidRPr="00AE0CE1">
        <w:rPr>
          <w:sz w:val="24"/>
          <w:szCs w:val="24"/>
        </w:rPr>
        <w:t xml:space="preserve"> nås hurtigt efter subkutan injektion. Efter en dosis på 2 mg/kg opnås en </w:t>
      </w:r>
      <w:proofErr w:type="spellStart"/>
      <w:r w:rsidRPr="00AE0CE1">
        <w:rPr>
          <w:sz w:val="24"/>
          <w:szCs w:val="24"/>
        </w:rPr>
        <w:t>T</w:t>
      </w:r>
      <w:r w:rsidRPr="00AE0CE1">
        <w:rPr>
          <w:sz w:val="24"/>
          <w:szCs w:val="24"/>
          <w:vertAlign w:val="subscript"/>
        </w:rPr>
        <w:t>max</w:t>
      </w:r>
      <w:proofErr w:type="spellEnd"/>
      <w:r w:rsidRPr="00AE0CE1">
        <w:rPr>
          <w:sz w:val="24"/>
          <w:szCs w:val="24"/>
        </w:rPr>
        <w:t xml:space="preserve"> på 1 t., en </w:t>
      </w:r>
      <w:proofErr w:type="spellStart"/>
      <w:r w:rsidRPr="00AE0CE1">
        <w:rPr>
          <w:sz w:val="24"/>
          <w:szCs w:val="24"/>
        </w:rPr>
        <w:t>C</w:t>
      </w:r>
      <w:r w:rsidRPr="00AE0CE1">
        <w:rPr>
          <w:sz w:val="24"/>
          <w:szCs w:val="24"/>
          <w:vertAlign w:val="subscript"/>
        </w:rPr>
        <w:t>max</w:t>
      </w:r>
      <w:proofErr w:type="spellEnd"/>
      <w:r w:rsidRPr="00AE0CE1">
        <w:rPr>
          <w:sz w:val="24"/>
          <w:szCs w:val="24"/>
        </w:rPr>
        <w:t xml:space="preserve"> på 615 </w:t>
      </w:r>
      <w:proofErr w:type="spellStart"/>
      <w:r w:rsidRPr="00AE0CE1">
        <w:rPr>
          <w:sz w:val="24"/>
          <w:szCs w:val="24"/>
        </w:rPr>
        <w:t>ng</w:t>
      </w:r>
      <w:proofErr w:type="spellEnd"/>
      <w:r w:rsidRPr="00AE0CE1">
        <w:rPr>
          <w:sz w:val="24"/>
          <w:szCs w:val="24"/>
        </w:rPr>
        <w:t>/ml og et AUC på 2.180 ng.t./ml. Efter subkutan administration af 1 mg/kg er den systemiske biotilgængelighed 88 %.</w:t>
      </w:r>
    </w:p>
    <w:p w14:paraId="377D8059" w14:textId="77777777" w:rsidR="00AE0CE1" w:rsidRPr="00AE0CE1" w:rsidRDefault="00AE0CE1" w:rsidP="00AE0CE1">
      <w:pPr>
        <w:tabs>
          <w:tab w:val="left" w:pos="851"/>
        </w:tabs>
        <w:ind w:left="851"/>
        <w:rPr>
          <w:sz w:val="24"/>
          <w:szCs w:val="24"/>
        </w:rPr>
      </w:pPr>
    </w:p>
    <w:p w14:paraId="64B199EA" w14:textId="77777777" w:rsidR="00AE0CE1" w:rsidRPr="00AE0CE1" w:rsidRDefault="00AE0CE1" w:rsidP="00AE0CE1">
      <w:pPr>
        <w:tabs>
          <w:tab w:val="left" w:pos="851"/>
        </w:tabs>
        <w:ind w:left="851"/>
        <w:rPr>
          <w:sz w:val="24"/>
          <w:szCs w:val="24"/>
          <w:u w:val="single"/>
        </w:rPr>
      </w:pPr>
      <w:r w:rsidRPr="00AE0CE1">
        <w:rPr>
          <w:sz w:val="24"/>
          <w:szCs w:val="24"/>
          <w:u w:val="single"/>
        </w:rPr>
        <w:t>Fordeling</w:t>
      </w:r>
    </w:p>
    <w:p w14:paraId="0C6AA012"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har et relativt lille fordelingsvolumen (</w:t>
      </w:r>
      <w:proofErr w:type="spellStart"/>
      <w:r w:rsidRPr="00AE0CE1">
        <w:rPr>
          <w:sz w:val="24"/>
          <w:szCs w:val="24"/>
        </w:rPr>
        <w:t>Vss</w:t>
      </w:r>
      <w:proofErr w:type="spellEnd"/>
      <w:r w:rsidRPr="00AE0CE1">
        <w:rPr>
          <w:sz w:val="24"/>
          <w:szCs w:val="24"/>
        </w:rPr>
        <w:t xml:space="preserve"> 240 ml/kg) og er i høj grad bundet til plasmaproteiner (&gt; 99 %).</w:t>
      </w:r>
    </w:p>
    <w:p w14:paraId="718B81E4" w14:textId="77777777" w:rsidR="00AE0CE1" w:rsidRPr="00AE0CE1" w:rsidRDefault="00AE0CE1" w:rsidP="00AE0CE1">
      <w:pPr>
        <w:tabs>
          <w:tab w:val="left" w:pos="851"/>
        </w:tabs>
        <w:ind w:left="851"/>
        <w:rPr>
          <w:sz w:val="24"/>
          <w:szCs w:val="24"/>
        </w:rPr>
      </w:pPr>
    </w:p>
    <w:p w14:paraId="1003003E" w14:textId="77777777" w:rsidR="00AE0CE1" w:rsidRPr="00AE0CE1" w:rsidRDefault="00AE0CE1" w:rsidP="00AE0CE1">
      <w:pPr>
        <w:tabs>
          <w:tab w:val="left" w:pos="851"/>
        </w:tabs>
        <w:ind w:left="851"/>
        <w:rPr>
          <w:sz w:val="24"/>
          <w:szCs w:val="24"/>
          <w:u w:val="single"/>
        </w:rPr>
      </w:pPr>
      <w:r w:rsidRPr="00AE0CE1">
        <w:rPr>
          <w:sz w:val="24"/>
          <w:szCs w:val="24"/>
          <w:u w:val="single"/>
        </w:rPr>
        <w:t>Biotransformation</w:t>
      </w:r>
    </w:p>
    <w:p w14:paraId="5E2CFA1A"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w:t>
      </w:r>
      <w:proofErr w:type="spellStart"/>
      <w:r w:rsidRPr="00AE0CE1">
        <w:rPr>
          <w:sz w:val="24"/>
          <w:szCs w:val="24"/>
        </w:rPr>
        <w:t>metaboliseres</w:t>
      </w:r>
      <w:proofErr w:type="spellEnd"/>
      <w:r w:rsidRPr="00AE0CE1">
        <w:rPr>
          <w:sz w:val="24"/>
          <w:szCs w:val="24"/>
        </w:rPr>
        <w:t xml:space="preserve"> i udstrakt grad i leveren. Bortset fra en metabolit af </w:t>
      </w:r>
      <w:proofErr w:type="spellStart"/>
      <w:r w:rsidRPr="00AE0CE1">
        <w:rPr>
          <w:sz w:val="24"/>
          <w:szCs w:val="24"/>
        </w:rPr>
        <w:t>lactam</w:t>
      </w:r>
      <w:proofErr w:type="spellEnd"/>
      <w:r w:rsidRPr="00AE0CE1">
        <w:rPr>
          <w:sz w:val="24"/>
          <w:szCs w:val="24"/>
        </w:rPr>
        <w:t xml:space="preserve"> kendes ingen andre metabolitter.</w:t>
      </w:r>
    </w:p>
    <w:p w14:paraId="7E839E65" w14:textId="77777777" w:rsidR="00AE0CE1" w:rsidRPr="00AE0CE1" w:rsidRDefault="00AE0CE1" w:rsidP="00AE0CE1">
      <w:pPr>
        <w:tabs>
          <w:tab w:val="left" w:pos="851"/>
        </w:tabs>
        <w:ind w:left="851"/>
        <w:rPr>
          <w:sz w:val="24"/>
          <w:szCs w:val="24"/>
        </w:rPr>
      </w:pPr>
    </w:p>
    <w:p w14:paraId="1A607890" w14:textId="77777777" w:rsidR="00AE0CE1" w:rsidRPr="00AE0CE1" w:rsidRDefault="00AE0CE1" w:rsidP="00AE0CE1">
      <w:pPr>
        <w:tabs>
          <w:tab w:val="left" w:pos="851"/>
        </w:tabs>
        <w:ind w:left="851"/>
        <w:rPr>
          <w:sz w:val="24"/>
          <w:szCs w:val="24"/>
          <w:u w:val="single"/>
        </w:rPr>
      </w:pPr>
      <w:r w:rsidRPr="00AE0CE1">
        <w:rPr>
          <w:sz w:val="24"/>
          <w:szCs w:val="24"/>
          <w:u w:val="single"/>
        </w:rPr>
        <w:t>Elimination</w:t>
      </w:r>
    </w:p>
    <w:p w14:paraId="01FDE723" w14:textId="77777777" w:rsidR="00AE0CE1" w:rsidRPr="00AE0CE1" w:rsidRDefault="00AE0CE1" w:rsidP="00AE0CE1">
      <w:pPr>
        <w:tabs>
          <w:tab w:val="left" w:pos="851"/>
        </w:tabs>
        <w:ind w:left="851"/>
        <w:rPr>
          <w:sz w:val="24"/>
          <w:szCs w:val="24"/>
        </w:rPr>
      </w:pPr>
      <w:r w:rsidRPr="00AE0CE1">
        <w:rPr>
          <w:sz w:val="24"/>
          <w:szCs w:val="24"/>
        </w:rPr>
        <w:t xml:space="preserve">Efter intravenøs administration blev </w:t>
      </w:r>
      <w:proofErr w:type="spellStart"/>
      <w:r w:rsidRPr="00AE0CE1">
        <w:rPr>
          <w:sz w:val="24"/>
          <w:szCs w:val="24"/>
        </w:rPr>
        <w:t>robenacoxib</w:t>
      </w:r>
      <w:proofErr w:type="spellEnd"/>
      <w:r w:rsidRPr="00AE0CE1">
        <w:rPr>
          <w:sz w:val="24"/>
          <w:szCs w:val="24"/>
        </w:rPr>
        <w:t xml:space="preserve"> hurtigt elimineret fra blodet (CL 0,81 l/kg/t.) med en eliminationshalveringstid (t½) på 0,8 t. Efter subkutan administration var den terminale halveringstid fra blod 1,2 t.</w:t>
      </w:r>
    </w:p>
    <w:p w14:paraId="0498CD62"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varer længere og har højere koncentrationer på steder med inflammation end i blodet.</w:t>
      </w:r>
    </w:p>
    <w:p w14:paraId="750BEDC3" w14:textId="77777777" w:rsidR="00AE0CE1" w:rsidRPr="00AE0CE1" w:rsidRDefault="00AE0CE1" w:rsidP="00AE0CE1">
      <w:pPr>
        <w:tabs>
          <w:tab w:val="left" w:pos="851"/>
        </w:tabs>
        <w:ind w:left="851"/>
        <w:rPr>
          <w:sz w:val="24"/>
          <w:szCs w:val="24"/>
        </w:rPr>
      </w:pPr>
      <w:proofErr w:type="spellStart"/>
      <w:r w:rsidRPr="00AE0CE1">
        <w:rPr>
          <w:sz w:val="24"/>
          <w:szCs w:val="24"/>
        </w:rPr>
        <w:t>Robenacoxib</w:t>
      </w:r>
      <w:proofErr w:type="spellEnd"/>
      <w:r w:rsidRPr="00AE0CE1">
        <w:rPr>
          <w:sz w:val="24"/>
          <w:szCs w:val="24"/>
        </w:rPr>
        <w:t xml:space="preserve"> udskilles overvejende biliært (</w:t>
      </w:r>
      <w:r w:rsidRPr="00AE0CE1">
        <w:rPr>
          <w:rFonts w:ascii="Cambria Math" w:hAnsi="Cambria Math" w:cs="Cambria Math"/>
          <w:sz w:val="24"/>
          <w:szCs w:val="24"/>
        </w:rPr>
        <w:t>∼</w:t>
      </w:r>
      <w:r w:rsidRPr="00AE0CE1">
        <w:rPr>
          <w:sz w:val="24"/>
          <w:szCs w:val="24"/>
        </w:rPr>
        <w:t>65 %) og resten via nyrerne. Gentagen subkutan administration i doser på 2</w:t>
      </w:r>
      <w:r w:rsidRPr="00AE0CE1">
        <w:rPr>
          <w:sz w:val="24"/>
          <w:szCs w:val="24"/>
        </w:rPr>
        <w:noBreakHyphen/>
        <w:t xml:space="preserve">20 mg/kg forårsagede ingen ændring i blodprofilen, hverken bioakkumulation af </w:t>
      </w:r>
      <w:proofErr w:type="spellStart"/>
      <w:r w:rsidRPr="00AE0CE1">
        <w:rPr>
          <w:sz w:val="24"/>
          <w:szCs w:val="24"/>
        </w:rPr>
        <w:t>robenacoxib</w:t>
      </w:r>
      <w:proofErr w:type="spellEnd"/>
      <w:r w:rsidRPr="00AE0CE1">
        <w:rPr>
          <w:sz w:val="24"/>
          <w:szCs w:val="24"/>
        </w:rPr>
        <w:t xml:space="preserve"> eller enzyminduktion. Bioakkumulation af metabolitter er ikke blevet undersøgt. Farmakokinetikken af </w:t>
      </w:r>
      <w:proofErr w:type="spellStart"/>
      <w:r w:rsidRPr="00AE0CE1">
        <w:rPr>
          <w:sz w:val="24"/>
          <w:szCs w:val="24"/>
        </w:rPr>
        <w:t>robenacoxib</w:t>
      </w:r>
      <w:proofErr w:type="spellEnd"/>
      <w:r w:rsidRPr="00AE0CE1">
        <w:rPr>
          <w:sz w:val="24"/>
          <w:szCs w:val="24"/>
        </w:rPr>
        <w:t>-injektion er ikke forskellig hos henholdsvis hanner og hunner, og er lineær i intervallet 0,25</w:t>
      </w:r>
      <w:r w:rsidRPr="00AE0CE1">
        <w:rPr>
          <w:sz w:val="24"/>
          <w:szCs w:val="24"/>
        </w:rPr>
        <w:noBreakHyphen/>
        <w:t>4 mg/kg.</w:t>
      </w:r>
    </w:p>
    <w:p w14:paraId="65AD3569" w14:textId="77777777" w:rsidR="00AE0CE1" w:rsidRPr="00AE0CE1" w:rsidRDefault="00AE0CE1" w:rsidP="00AE0CE1">
      <w:pPr>
        <w:tabs>
          <w:tab w:val="left" w:pos="851"/>
        </w:tabs>
        <w:ind w:left="851"/>
        <w:rPr>
          <w:sz w:val="24"/>
          <w:szCs w:val="24"/>
        </w:rPr>
      </w:pPr>
    </w:p>
    <w:p w14:paraId="6D31A8EB" w14:textId="77777777" w:rsidR="008203A8" w:rsidRPr="00406EE7" w:rsidRDefault="008203A8" w:rsidP="008203A8">
      <w:pPr>
        <w:tabs>
          <w:tab w:val="left" w:pos="851"/>
        </w:tabs>
        <w:ind w:left="851"/>
        <w:rPr>
          <w:sz w:val="24"/>
          <w:szCs w:val="24"/>
        </w:rPr>
      </w:pPr>
    </w:p>
    <w:p w14:paraId="718FF387"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3A7E652C" w14:textId="77777777" w:rsidR="008203A8" w:rsidRPr="00406EE7" w:rsidRDefault="008203A8" w:rsidP="008203A8">
      <w:pPr>
        <w:tabs>
          <w:tab w:val="left" w:pos="851"/>
        </w:tabs>
        <w:ind w:left="851"/>
        <w:rPr>
          <w:sz w:val="24"/>
          <w:szCs w:val="24"/>
        </w:rPr>
      </w:pPr>
    </w:p>
    <w:p w14:paraId="1DFC2ED0"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7543CCA9" w14:textId="77777777" w:rsidR="00AE0CE1" w:rsidRPr="00AE0CE1" w:rsidRDefault="00AE0CE1" w:rsidP="00AE0CE1">
      <w:pPr>
        <w:tabs>
          <w:tab w:val="left" w:pos="851"/>
        </w:tabs>
        <w:ind w:left="851"/>
        <w:rPr>
          <w:sz w:val="24"/>
          <w:szCs w:val="24"/>
        </w:rPr>
      </w:pPr>
      <w:r w:rsidRPr="00AE0CE1">
        <w:rPr>
          <w:sz w:val="24"/>
          <w:szCs w:val="24"/>
        </w:rPr>
        <w:t>Da der ikke er undersøgelser vedrørende eventuelle uforligeligheder, må dette veterinærlægemiddel ikke blandes med andre veterinærlægemidler.</w:t>
      </w:r>
    </w:p>
    <w:p w14:paraId="450F5333" w14:textId="77777777" w:rsidR="00AE0CE1" w:rsidRPr="00AE0CE1" w:rsidRDefault="00AE0CE1" w:rsidP="00AE0CE1">
      <w:pPr>
        <w:tabs>
          <w:tab w:val="left" w:pos="851"/>
        </w:tabs>
        <w:ind w:left="851"/>
        <w:rPr>
          <w:sz w:val="24"/>
          <w:szCs w:val="24"/>
        </w:rPr>
      </w:pPr>
    </w:p>
    <w:p w14:paraId="0EE9E23E"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3050B261" w14:textId="77777777" w:rsidR="00AE0CE1" w:rsidRPr="00AE0CE1" w:rsidRDefault="00AE0CE1" w:rsidP="00AE0CE1">
      <w:pPr>
        <w:tabs>
          <w:tab w:val="left" w:pos="851"/>
        </w:tabs>
        <w:ind w:left="851"/>
        <w:rPr>
          <w:sz w:val="24"/>
          <w:szCs w:val="24"/>
        </w:rPr>
      </w:pPr>
      <w:r w:rsidRPr="00AE0CE1">
        <w:rPr>
          <w:sz w:val="24"/>
          <w:szCs w:val="24"/>
        </w:rPr>
        <w:t>Opbevaringstid for veterinærlægemidlet i salgspakning: 2 år.</w:t>
      </w:r>
    </w:p>
    <w:p w14:paraId="22D7F986" w14:textId="77777777" w:rsidR="00AE0CE1" w:rsidRPr="00AE0CE1" w:rsidRDefault="00AE0CE1" w:rsidP="00AE0CE1">
      <w:pPr>
        <w:tabs>
          <w:tab w:val="left" w:pos="851"/>
        </w:tabs>
        <w:ind w:left="851"/>
        <w:rPr>
          <w:sz w:val="24"/>
          <w:szCs w:val="24"/>
        </w:rPr>
      </w:pPr>
      <w:r w:rsidRPr="00AE0CE1">
        <w:rPr>
          <w:sz w:val="24"/>
          <w:szCs w:val="24"/>
        </w:rPr>
        <w:t>Opbevaringstid efter første åbning af den indre emballage: 28 dage.</w:t>
      </w:r>
    </w:p>
    <w:p w14:paraId="35F56144" w14:textId="77777777" w:rsidR="008203A8" w:rsidRPr="00406EE7" w:rsidRDefault="008203A8" w:rsidP="008203A8">
      <w:pPr>
        <w:tabs>
          <w:tab w:val="left" w:pos="851"/>
        </w:tabs>
        <w:ind w:left="851"/>
        <w:rPr>
          <w:sz w:val="24"/>
          <w:szCs w:val="24"/>
        </w:rPr>
      </w:pPr>
    </w:p>
    <w:p w14:paraId="21A147C5"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7D32C8D8" w14:textId="5CEF31AA" w:rsidR="00AE0CE1" w:rsidRPr="00AE0CE1" w:rsidRDefault="00AE0CE1" w:rsidP="00AE0CE1">
      <w:pPr>
        <w:tabs>
          <w:tab w:val="left" w:pos="851"/>
        </w:tabs>
        <w:ind w:left="851"/>
        <w:rPr>
          <w:sz w:val="24"/>
          <w:szCs w:val="24"/>
        </w:rPr>
      </w:pPr>
      <w:r w:rsidRPr="00AE0CE1">
        <w:rPr>
          <w:sz w:val="24"/>
          <w:szCs w:val="24"/>
        </w:rPr>
        <w:t>Opbevares i køleskab (2 °C</w:t>
      </w:r>
      <w:r>
        <w:rPr>
          <w:sz w:val="24"/>
          <w:szCs w:val="24"/>
        </w:rPr>
        <w:t>-</w:t>
      </w:r>
      <w:r w:rsidRPr="00AE0CE1">
        <w:rPr>
          <w:sz w:val="24"/>
          <w:szCs w:val="24"/>
        </w:rPr>
        <w:t>8 °C).</w:t>
      </w:r>
    </w:p>
    <w:p w14:paraId="396A62D1" w14:textId="77777777" w:rsidR="00AE0CE1" w:rsidRPr="00AE0CE1" w:rsidRDefault="00AE0CE1" w:rsidP="00AE0CE1">
      <w:pPr>
        <w:tabs>
          <w:tab w:val="left" w:pos="851"/>
        </w:tabs>
        <w:ind w:left="851"/>
        <w:rPr>
          <w:sz w:val="24"/>
          <w:szCs w:val="24"/>
        </w:rPr>
      </w:pPr>
      <w:r w:rsidRPr="00AE0CE1">
        <w:rPr>
          <w:sz w:val="24"/>
          <w:szCs w:val="24"/>
        </w:rPr>
        <w:t>Opbevares i den originale pakning for at beskytte mod lys.</w:t>
      </w:r>
    </w:p>
    <w:p w14:paraId="43D95B30" w14:textId="77777777" w:rsidR="00AE0CE1" w:rsidRDefault="00AE0CE1" w:rsidP="00AE0CE1">
      <w:pPr>
        <w:tabs>
          <w:tab w:val="left" w:pos="851"/>
        </w:tabs>
        <w:ind w:left="851"/>
        <w:rPr>
          <w:sz w:val="24"/>
          <w:szCs w:val="24"/>
        </w:rPr>
      </w:pPr>
    </w:p>
    <w:p w14:paraId="2C7A4191" w14:textId="69322599" w:rsidR="00AE0CE1" w:rsidRPr="00AE0CE1" w:rsidRDefault="00AE0CE1" w:rsidP="00AE0CE1">
      <w:pPr>
        <w:tabs>
          <w:tab w:val="left" w:pos="851"/>
        </w:tabs>
        <w:ind w:left="851"/>
        <w:rPr>
          <w:sz w:val="24"/>
          <w:szCs w:val="24"/>
        </w:rPr>
      </w:pPr>
      <w:r w:rsidRPr="00AE0CE1">
        <w:rPr>
          <w:sz w:val="24"/>
          <w:szCs w:val="24"/>
        </w:rPr>
        <w:t>Opbevares under 25 °C efter første anbrud af hætteglasset.</w:t>
      </w:r>
    </w:p>
    <w:p w14:paraId="31CF95AF" w14:textId="77777777" w:rsidR="008203A8" w:rsidRPr="00406EE7" w:rsidRDefault="008203A8" w:rsidP="008203A8">
      <w:pPr>
        <w:tabs>
          <w:tab w:val="left" w:pos="851"/>
        </w:tabs>
        <w:ind w:left="851"/>
        <w:rPr>
          <w:sz w:val="24"/>
          <w:szCs w:val="24"/>
        </w:rPr>
      </w:pPr>
    </w:p>
    <w:p w14:paraId="03AE29ED"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7ACAB5B7" w14:textId="7E7AC61E" w:rsidR="00AE0CE1" w:rsidRDefault="00AE0CE1" w:rsidP="00AE0CE1">
      <w:pPr>
        <w:tabs>
          <w:tab w:val="left" w:pos="851"/>
        </w:tabs>
        <w:ind w:left="851"/>
        <w:rPr>
          <w:sz w:val="24"/>
          <w:szCs w:val="24"/>
        </w:rPr>
      </w:pPr>
      <w:r w:rsidRPr="00AE0CE1">
        <w:rPr>
          <w:sz w:val="24"/>
          <w:szCs w:val="24"/>
        </w:rPr>
        <w:t xml:space="preserve">En kartonæske indeholdende ét ravfarvet 20 ml hætteglas af type I glas, lukket med en type I </w:t>
      </w:r>
      <w:proofErr w:type="spellStart"/>
      <w:r w:rsidRPr="00AE0CE1">
        <w:rPr>
          <w:sz w:val="24"/>
          <w:szCs w:val="24"/>
        </w:rPr>
        <w:t>bromobutylgummiprop</w:t>
      </w:r>
      <w:proofErr w:type="spellEnd"/>
      <w:r w:rsidRPr="00AE0CE1">
        <w:rPr>
          <w:sz w:val="24"/>
          <w:szCs w:val="24"/>
        </w:rPr>
        <w:t xml:space="preserve"> og en aluminiumsforsegling med en plastik afrivningsflig.</w:t>
      </w:r>
    </w:p>
    <w:p w14:paraId="470F6E60" w14:textId="360A2DEB" w:rsidR="00755F19" w:rsidRDefault="00755F19" w:rsidP="00AE0CE1">
      <w:pPr>
        <w:tabs>
          <w:tab w:val="left" w:pos="851"/>
        </w:tabs>
        <w:ind w:left="851"/>
        <w:rPr>
          <w:sz w:val="24"/>
          <w:szCs w:val="24"/>
        </w:rPr>
      </w:pPr>
    </w:p>
    <w:p w14:paraId="3F90706E" w14:textId="0AA6A228" w:rsidR="00755F19" w:rsidRDefault="00755F19" w:rsidP="00AE0CE1">
      <w:pPr>
        <w:tabs>
          <w:tab w:val="left" w:pos="851"/>
        </w:tabs>
        <w:ind w:left="851"/>
        <w:rPr>
          <w:sz w:val="24"/>
          <w:szCs w:val="24"/>
        </w:rPr>
      </w:pPr>
      <w:r>
        <w:rPr>
          <w:sz w:val="24"/>
          <w:szCs w:val="24"/>
        </w:rPr>
        <w:t>Pakningsstørrelser: 20 ml.</w:t>
      </w:r>
    </w:p>
    <w:p w14:paraId="3631087A" w14:textId="77777777" w:rsidR="00755F19" w:rsidRDefault="00755F19" w:rsidP="00AE0CE1">
      <w:pPr>
        <w:tabs>
          <w:tab w:val="left" w:pos="851"/>
        </w:tabs>
        <w:ind w:left="851"/>
        <w:rPr>
          <w:sz w:val="24"/>
          <w:szCs w:val="24"/>
        </w:rPr>
      </w:pPr>
    </w:p>
    <w:p w14:paraId="35A78C75" w14:textId="2C9A4AB7" w:rsidR="00755F19" w:rsidRPr="00AE0CE1" w:rsidRDefault="00755F19" w:rsidP="00AE0CE1">
      <w:pPr>
        <w:tabs>
          <w:tab w:val="left" w:pos="851"/>
        </w:tabs>
        <w:ind w:left="851"/>
        <w:rPr>
          <w:sz w:val="24"/>
          <w:szCs w:val="24"/>
        </w:rPr>
      </w:pPr>
      <w:r>
        <w:rPr>
          <w:sz w:val="24"/>
          <w:szCs w:val="24"/>
        </w:rPr>
        <w:t>Ikke alle pakningsstørrelser er nødvendigvis markedsført.</w:t>
      </w:r>
    </w:p>
    <w:p w14:paraId="34E20D69" w14:textId="77777777" w:rsidR="008203A8" w:rsidRPr="00406EE7" w:rsidRDefault="008203A8" w:rsidP="008203A8">
      <w:pPr>
        <w:tabs>
          <w:tab w:val="left" w:pos="851"/>
        </w:tabs>
        <w:ind w:left="851"/>
        <w:rPr>
          <w:sz w:val="24"/>
          <w:szCs w:val="24"/>
        </w:rPr>
      </w:pPr>
    </w:p>
    <w:p w14:paraId="5F293548"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6768D22B" w14:textId="77777777" w:rsidR="00755F19" w:rsidRPr="00755F19" w:rsidRDefault="00755F19" w:rsidP="00755F19">
      <w:pPr>
        <w:tabs>
          <w:tab w:val="left" w:pos="851"/>
        </w:tabs>
        <w:ind w:left="851"/>
        <w:rPr>
          <w:sz w:val="24"/>
          <w:szCs w:val="24"/>
        </w:rPr>
      </w:pPr>
      <w:r w:rsidRPr="00755F19">
        <w:rPr>
          <w:sz w:val="24"/>
          <w:szCs w:val="24"/>
        </w:rPr>
        <w:t>Lægemidler må ikke bortskaffes sammen med spildevand eller husholdningsaffald.</w:t>
      </w:r>
    </w:p>
    <w:p w14:paraId="3B539E14" w14:textId="77777777" w:rsidR="00755F19" w:rsidRPr="00755F19" w:rsidRDefault="00755F19" w:rsidP="00755F19">
      <w:pPr>
        <w:tabs>
          <w:tab w:val="left" w:pos="851"/>
        </w:tabs>
        <w:ind w:left="851"/>
        <w:rPr>
          <w:sz w:val="24"/>
          <w:szCs w:val="24"/>
        </w:rPr>
      </w:pPr>
    </w:p>
    <w:p w14:paraId="11E432AB" w14:textId="77777777" w:rsidR="00755F19" w:rsidRPr="00755F19" w:rsidRDefault="00755F19" w:rsidP="00755F19">
      <w:pPr>
        <w:tabs>
          <w:tab w:val="left" w:pos="851"/>
        </w:tabs>
        <w:ind w:left="851"/>
        <w:rPr>
          <w:sz w:val="24"/>
          <w:szCs w:val="24"/>
        </w:rPr>
      </w:pPr>
      <w:r w:rsidRPr="00755F19">
        <w:rPr>
          <w:sz w:val="24"/>
          <w:szCs w:val="24"/>
        </w:rPr>
        <w:lastRenderedPageBreak/>
        <w:t>Benyt returordninger ved bortskaffelse af ubrugte veterinærlægemidler eller affaldsmaterialer herfra i henhold til lokale retningslinjer og nationale indsamlingsordninger, der er relevante for det pågældende veterinærlægemiddel.</w:t>
      </w:r>
    </w:p>
    <w:p w14:paraId="263FBC3D" w14:textId="77777777" w:rsidR="008203A8" w:rsidRDefault="008203A8" w:rsidP="008203A8">
      <w:pPr>
        <w:tabs>
          <w:tab w:val="left" w:pos="851"/>
        </w:tabs>
        <w:ind w:left="851"/>
        <w:rPr>
          <w:sz w:val="24"/>
          <w:szCs w:val="24"/>
        </w:rPr>
      </w:pPr>
    </w:p>
    <w:p w14:paraId="762530F8" w14:textId="77777777" w:rsidR="008203A8" w:rsidRPr="00070728" w:rsidRDefault="008203A8" w:rsidP="008203A8">
      <w:pPr>
        <w:tabs>
          <w:tab w:val="left" w:pos="851"/>
        </w:tabs>
        <w:ind w:left="851"/>
        <w:rPr>
          <w:sz w:val="24"/>
          <w:szCs w:val="24"/>
        </w:rPr>
      </w:pPr>
    </w:p>
    <w:p w14:paraId="0BD49EDF"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2B399B17" w14:textId="77777777" w:rsidR="00755F19" w:rsidRPr="00755F19" w:rsidRDefault="00755F19" w:rsidP="00755F19">
      <w:pPr>
        <w:tabs>
          <w:tab w:val="left" w:pos="851"/>
        </w:tabs>
        <w:ind w:left="851"/>
        <w:rPr>
          <w:sz w:val="24"/>
          <w:szCs w:val="24"/>
        </w:rPr>
      </w:pPr>
      <w:proofErr w:type="spellStart"/>
      <w:r w:rsidRPr="00755F19">
        <w:rPr>
          <w:sz w:val="24"/>
          <w:szCs w:val="24"/>
        </w:rPr>
        <w:t>Krka</w:t>
      </w:r>
      <w:proofErr w:type="spellEnd"/>
      <w:r w:rsidRPr="00755F19">
        <w:rPr>
          <w:sz w:val="24"/>
          <w:szCs w:val="24"/>
        </w:rPr>
        <w:t xml:space="preserve">, d.d., Novo </w:t>
      </w:r>
      <w:proofErr w:type="spellStart"/>
      <w:r w:rsidRPr="00755F19">
        <w:rPr>
          <w:sz w:val="24"/>
          <w:szCs w:val="24"/>
        </w:rPr>
        <w:t>mesto</w:t>
      </w:r>
      <w:proofErr w:type="spellEnd"/>
    </w:p>
    <w:p w14:paraId="5BFF87C9" w14:textId="77777777" w:rsidR="00755F19" w:rsidRPr="00755F19" w:rsidRDefault="00755F19" w:rsidP="00755F19">
      <w:pPr>
        <w:tabs>
          <w:tab w:val="left" w:pos="851"/>
        </w:tabs>
        <w:ind w:left="851"/>
        <w:rPr>
          <w:sz w:val="24"/>
          <w:szCs w:val="24"/>
        </w:rPr>
      </w:pPr>
      <w:proofErr w:type="spellStart"/>
      <w:r w:rsidRPr="00755F19">
        <w:rPr>
          <w:sz w:val="24"/>
          <w:szCs w:val="24"/>
        </w:rPr>
        <w:t>Šmarješka</w:t>
      </w:r>
      <w:proofErr w:type="spellEnd"/>
      <w:r w:rsidRPr="00755F19">
        <w:rPr>
          <w:sz w:val="24"/>
          <w:szCs w:val="24"/>
        </w:rPr>
        <w:t xml:space="preserve"> </w:t>
      </w:r>
      <w:proofErr w:type="spellStart"/>
      <w:r w:rsidRPr="00755F19">
        <w:rPr>
          <w:sz w:val="24"/>
          <w:szCs w:val="24"/>
        </w:rPr>
        <w:t>cesta</w:t>
      </w:r>
      <w:proofErr w:type="spellEnd"/>
      <w:r w:rsidRPr="00755F19">
        <w:rPr>
          <w:sz w:val="24"/>
          <w:szCs w:val="24"/>
        </w:rPr>
        <w:t xml:space="preserve"> 6 </w:t>
      </w:r>
    </w:p>
    <w:p w14:paraId="75092054" w14:textId="77777777" w:rsidR="00755F19" w:rsidRPr="00755F19" w:rsidRDefault="00755F19" w:rsidP="00755F19">
      <w:pPr>
        <w:tabs>
          <w:tab w:val="left" w:pos="851"/>
        </w:tabs>
        <w:ind w:left="851"/>
        <w:rPr>
          <w:sz w:val="24"/>
          <w:szCs w:val="24"/>
        </w:rPr>
      </w:pPr>
      <w:r w:rsidRPr="00755F19">
        <w:rPr>
          <w:sz w:val="24"/>
          <w:szCs w:val="24"/>
        </w:rPr>
        <w:t xml:space="preserve">8501 Novo </w:t>
      </w:r>
      <w:proofErr w:type="spellStart"/>
      <w:r w:rsidRPr="00755F19">
        <w:rPr>
          <w:sz w:val="24"/>
          <w:szCs w:val="24"/>
        </w:rPr>
        <w:t>mesto</w:t>
      </w:r>
      <w:proofErr w:type="spellEnd"/>
    </w:p>
    <w:p w14:paraId="7A2A2F72" w14:textId="4C779ACC" w:rsidR="00755F19" w:rsidRDefault="00755F19" w:rsidP="00755F19">
      <w:pPr>
        <w:tabs>
          <w:tab w:val="left" w:pos="851"/>
        </w:tabs>
        <w:ind w:left="851"/>
        <w:rPr>
          <w:sz w:val="24"/>
          <w:szCs w:val="24"/>
        </w:rPr>
      </w:pPr>
      <w:r w:rsidRPr="00755F19">
        <w:rPr>
          <w:sz w:val="24"/>
          <w:szCs w:val="24"/>
        </w:rPr>
        <w:t>Slovenien</w:t>
      </w:r>
    </w:p>
    <w:p w14:paraId="237A6931" w14:textId="2A22318D" w:rsidR="00C0509D" w:rsidRDefault="00C0509D" w:rsidP="00755F19">
      <w:pPr>
        <w:tabs>
          <w:tab w:val="left" w:pos="851"/>
        </w:tabs>
        <w:ind w:left="851"/>
        <w:rPr>
          <w:sz w:val="24"/>
          <w:szCs w:val="24"/>
        </w:rPr>
      </w:pPr>
    </w:p>
    <w:p w14:paraId="7CD3C343" w14:textId="2A73FE49" w:rsidR="00C0509D" w:rsidRDefault="00C0509D" w:rsidP="00755F19">
      <w:pPr>
        <w:tabs>
          <w:tab w:val="left" w:pos="851"/>
        </w:tabs>
        <w:ind w:left="851"/>
        <w:rPr>
          <w:sz w:val="24"/>
          <w:szCs w:val="24"/>
        </w:rPr>
      </w:pPr>
      <w:r>
        <w:rPr>
          <w:b/>
          <w:sz w:val="24"/>
          <w:szCs w:val="24"/>
        </w:rPr>
        <w:t>Repræsentant</w:t>
      </w:r>
    </w:p>
    <w:p w14:paraId="22065B58" w14:textId="77777777" w:rsidR="00C0509D" w:rsidRPr="00C0509D" w:rsidRDefault="00C0509D" w:rsidP="00C0509D">
      <w:pPr>
        <w:tabs>
          <w:tab w:val="left" w:pos="851"/>
        </w:tabs>
        <w:ind w:left="851"/>
        <w:rPr>
          <w:sz w:val="24"/>
          <w:szCs w:val="24"/>
        </w:rPr>
      </w:pPr>
      <w:proofErr w:type="spellStart"/>
      <w:r w:rsidRPr="00C0509D">
        <w:rPr>
          <w:sz w:val="24"/>
          <w:szCs w:val="24"/>
        </w:rPr>
        <w:t>Salfarm</w:t>
      </w:r>
      <w:proofErr w:type="spellEnd"/>
      <w:r w:rsidRPr="00C0509D">
        <w:rPr>
          <w:sz w:val="24"/>
          <w:szCs w:val="24"/>
        </w:rPr>
        <w:t xml:space="preserve"> Danmark A/S</w:t>
      </w:r>
    </w:p>
    <w:p w14:paraId="68EB03D3" w14:textId="77777777" w:rsidR="00C0509D" w:rsidRPr="00C0509D" w:rsidRDefault="00C0509D" w:rsidP="00C0509D">
      <w:pPr>
        <w:tabs>
          <w:tab w:val="left" w:pos="851"/>
        </w:tabs>
        <w:ind w:left="851"/>
        <w:rPr>
          <w:sz w:val="24"/>
          <w:szCs w:val="24"/>
        </w:rPr>
      </w:pPr>
      <w:r w:rsidRPr="00C0509D">
        <w:rPr>
          <w:sz w:val="24"/>
          <w:szCs w:val="24"/>
        </w:rPr>
        <w:t>Nordager 19</w:t>
      </w:r>
    </w:p>
    <w:p w14:paraId="3EEEF23D" w14:textId="1AFEB316" w:rsidR="00C0509D" w:rsidRPr="00C0509D" w:rsidRDefault="00C0509D" w:rsidP="00C0509D">
      <w:pPr>
        <w:tabs>
          <w:tab w:val="left" w:pos="851"/>
        </w:tabs>
        <w:ind w:left="851"/>
        <w:rPr>
          <w:sz w:val="24"/>
          <w:szCs w:val="24"/>
        </w:rPr>
      </w:pPr>
      <w:r w:rsidRPr="00C0509D">
        <w:rPr>
          <w:sz w:val="24"/>
          <w:szCs w:val="24"/>
        </w:rPr>
        <w:t>6000 Kolding</w:t>
      </w:r>
    </w:p>
    <w:p w14:paraId="772709E0" w14:textId="77777777" w:rsidR="008203A8" w:rsidRDefault="008203A8" w:rsidP="008203A8">
      <w:pPr>
        <w:tabs>
          <w:tab w:val="left" w:pos="851"/>
        </w:tabs>
        <w:ind w:left="851"/>
        <w:rPr>
          <w:sz w:val="24"/>
          <w:szCs w:val="24"/>
        </w:rPr>
      </w:pPr>
    </w:p>
    <w:p w14:paraId="1340AD8A"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334E3CA2" w14:textId="7CD972BA" w:rsidR="008203A8" w:rsidRPr="00406EE7" w:rsidRDefault="00755F19" w:rsidP="008203A8">
      <w:pPr>
        <w:tabs>
          <w:tab w:val="left" w:pos="851"/>
        </w:tabs>
        <w:ind w:left="851"/>
        <w:rPr>
          <w:sz w:val="24"/>
          <w:szCs w:val="24"/>
        </w:rPr>
      </w:pPr>
      <w:r>
        <w:rPr>
          <w:sz w:val="24"/>
          <w:szCs w:val="24"/>
        </w:rPr>
        <w:t>72482</w:t>
      </w:r>
    </w:p>
    <w:p w14:paraId="5B78E0DA" w14:textId="77777777" w:rsidR="008203A8" w:rsidRPr="00406EE7" w:rsidRDefault="008203A8" w:rsidP="008203A8">
      <w:pPr>
        <w:tabs>
          <w:tab w:val="left" w:pos="851"/>
        </w:tabs>
        <w:ind w:left="851"/>
        <w:rPr>
          <w:sz w:val="24"/>
          <w:szCs w:val="24"/>
        </w:rPr>
      </w:pPr>
    </w:p>
    <w:p w14:paraId="4756E868"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6C1EB61F" w14:textId="3F661259" w:rsidR="008203A8" w:rsidRPr="00406EE7" w:rsidRDefault="00755F19" w:rsidP="008203A8">
      <w:pPr>
        <w:tabs>
          <w:tab w:val="left" w:pos="851"/>
        </w:tabs>
        <w:ind w:left="851"/>
        <w:rPr>
          <w:sz w:val="24"/>
          <w:szCs w:val="24"/>
        </w:rPr>
      </w:pPr>
      <w:r>
        <w:rPr>
          <w:sz w:val="24"/>
          <w:szCs w:val="24"/>
        </w:rPr>
        <w:t>7. februar 2025 (tyggetabletter)</w:t>
      </w:r>
    </w:p>
    <w:p w14:paraId="713DA304" w14:textId="77777777" w:rsidR="008203A8" w:rsidRPr="00406EE7" w:rsidRDefault="008203A8" w:rsidP="008203A8">
      <w:pPr>
        <w:tabs>
          <w:tab w:val="left" w:pos="851"/>
        </w:tabs>
        <w:ind w:left="851"/>
        <w:rPr>
          <w:sz w:val="24"/>
          <w:szCs w:val="24"/>
        </w:rPr>
      </w:pPr>
    </w:p>
    <w:p w14:paraId="64A3D60C"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7C578577" w14:textId="0D81ED41" w:rsidR="008203A8" w:rsidRPr="00406EE7" w:rsidRDefault="00C0509D" w:rsidP="008203A8">
      <w:pPr>
        <w:tabs>
          <w:tab w:val="left" w:pos="851"/>
        </w:tabs>
        <w:ind w:left="851"/>
        <w:rPr>
          <w:sz w:val="24"/>
          <w:szCs w:val="24"/>
        </w:rPr>
      </w:pPr>
      <w:r>
        <w:rPr>
          <w:sz w:val="24"/>
          <w:szCs w:val="24"/>
        </w:rPr>
        <w:t>20. januar 2026</w:t>
      </w:r>
    </w:p>
    <w:p w14:paraId="44A810C7" w14:textId="77777777" w:rsidR="008203A8" w:rsidRPr="00406EE7" w:rsidRDefault="008203A8" w:rsidP="008203A8">
      <w:pPr>
        <w:tabs>
          <w:tab w:val="left" w:pos="851"/>
        </w:tabs>
        <w:ind w:left="851"/>
        <w:rPr>
          <w:sz w:val="24"/>
          <w:szCs w:val="24"/>
        </w:rPr>
      </w:pPr>
    </w:p>
    <w:p w14:paraId="7E988785"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1504E42F" w14:textId="1B6251DB" w:rsidR="00755F19" w:rsidRPr="00755F19" w:rsidRDefault="00755F19" w:rsidP="00755F19">
      <w:pPr>
        <w:pStyle w:val="Sidehoved"/>
        <w:tabs>
          <w:tab w:val="left" w:pos="851"/>
        </w:tabs>
        <w:ind w:left="851"/>
        <w:rPr>
          <w:szCs w:val="24"/>
        </w:rPr>
      </w:pPr>
      <w:r w:rsidRPr="00755F19">
        <w:rPr>
          <w:szCs w:val="24"/>
        </w:rPr>
        <w:t>B</w:t>
      </w:r>
    </w:p>
    <w:p w14:paraId="77B299AA" w14:textId="77777777" w:rsidR="00755F19" w:rsidRPr="00755F19" w:rsidRDefault="00755F19" w:rsidP="00755F19">
      <w:pPr>
        <w:pStyle w:val="Sidehoved"/>
        <w:tabs>
          <w:tab w:val="left" w:pos="851"/>
        </w:tabs>
        <w:ind w:left="851"/>
        <w:rPr>
          <w:szCs w:val="24"/>
        </w:rPr>
      </w:pPr>
    </w:p>
    <w:p w14:paraId="105FFD1A" w14:textId="25EB0E0F" w:rsidR="0003527F" w:rsidRPr="00755F19" w:rsidRDefault="00755F19" w:rsidP="00755F19">
      <w:pPr>
        <w:pStyle w:val="Sidehoved"/>
        <w:tabs>
          <w:tab w:val="left" w:pos="851"/>
        </w:tabs>
        <w:ind w:left="851"/>
        <w:rPr>
          <w:szCs w:val="24"/>
        </w:rPr>
      </w:pPr>
      <w:r w:rsidRPr="00755F19">
        <w:rPr>
          <w:szCs w:val="24"/>
        </w:rPr>
        <w:t>Der findes detaljerede oplysninger om dette veterinærlægemiddel i EU-lægemiddeldatabasen (</w:t>
      </w:r>
      <w:hyperlink r:id="rId8" w:history="1">
        <w:r w:rsidRPr="00755F19">
          <w:rPr>
            <w:rStyle w:val="Hyperlink"/>
            <w:szCs w:val="24"/>
          </w:rPr>
          <w:t>https://medicines.health.europa.eu/veterinary</w:t>
        </w:r>
      </w:hyperlink>
      <w:r w:rsidRPr="00755F19">
        <w:rPr>
          <w:szCs w:val="24"/>
        </w:rPr>
        <w:t>).</w:t>
      </w:r>
    </w:p>
    <w:sectPr w:rsidR="0003527F" w:rsidRPr="00755F19"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AF40" w14:textId="77777777" w:rsidR="00524A63" w:rsidRDefault="00524A63">
      <w:r>
        <w:separator/>
      </w:r>
    </w:p>
  </w:endnote>
  <w:endnote w:type="continuationSeparator" w:id="0">
    <w:p w14:paraId="0A6CF30F" w14:textId="77777777" w:rsidR="00524A63" w:rsidRDefault="0052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530F" w14:textId="77777777" w:rsidR="004A62CC" w:rsidRDefault="004A62CC">
    <w:pPr>
      <w:pStyle w:val="Sidefod"/>
      <w:pBdr>
        <w:bottom w:val="single" w:sz="6" w:space="1" w:color="auto"/>
      </w:pBdr>
      <w:tabs>
        <w:tab w:val="clear" w:pos="4819"/>
        <w:tab w:val="left" w:pos="8647"/>
      </w:tabs>
      <w:rPr>
        <w:i/>
        <w:snapToGrid w:val="0"/>
        <w:sz w:val="18"/>
      </w:rPr>
    </w:pPr>
  </w:p>
  <w:p w14:paraId="74B515BA" w14:textId="77777777" w:rsidR="004A62CC" w:rsidRDefault="004A62CC">
    <w:pPr>
      <w:pStyle w:val="Sidefod"/>
      <w:tabs>
        <w:tab w:val="clear" w:pos="4819"/>
        <w:tab w:val="left" w:pos="8647"/>
      </w:tabs>
      <w:rPr>
        <w:i/>
        <w:snapToGrid w:val="0"/>
        <w:sz w:val="18"/>
      </w:rPr>
    </w:pPr>
  </w:p>
  <w:p w14:paraId="620F7203" w14:textId="6B06B95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9D3E09">
      <w:rPr>
        <w:i/>
        <w:noProof/>
        <w:snapToGrid w:val="0"/>
        <w:sz w:val="18"/>
      </w:rPr>
      <w:t>Robexera Vet., injektionsvæske, opløsning 20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DD1B" w14:textId="77777777" w:rsidR="004A62CC" w:rsidRDefault="004A62CC">
    <w:pPr>
      <w:pStyle w:val="Sidefod"/>
      <w:pBdr>
        <w:bottom w:val="single" w:sz="6" w:space="1" w:color="auto"/>
      </w:pBdr>
      <w:tabs>
        <w:tab w:val="clear" w:pos="4819"/>
        <w:tab w:val="left" w:pos="8647"/>
      </w:tabs>
      <w:rPr>
        <w:i/>
        <w:snapToGrid w:val="0"/>
        <w:sz w:val="18"/>
      </w:rPr>
    </w:pPr>
  </w:p>
  <w:p w14:paraId="17AD358B" w14:textId="77777777" w:rsidR="004A62CC" w:rsidRDefault="004A62CC">
    <w:pPr>
      <w:pStyle w:val="Sidefod"/>
      <w:tabs>
        <w:tab w:val="clear" w:pos="4819"/>
        <w:tab w:val="left" w:pos="8647"/>
      </w:tabs>
      <w:rPr>
        <w:i/>
        <w:snapToGrid w:val="0"/>
        <w:sz w:val="18"/>
      </w:rPr>
    </w:pPr>
  </w:p>
  <w:p w14:paraId="6AEBDC14" w14:textId="79BC2ACB"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9D3E09">
      <w:rPr>
        <w:i/>
        <w:noProof/>
        <w:snapToGrid w:val="0"/>
        <w:sz w:val="18"/>
      </w:rPr>
      <w:t>Robexera Vet., injektionsvæske, opløsning 20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7FF3F" w14:textId="77777777" w:rsidR="00524A63" w:rsidRDefault="00524A63">
      <w:r>
        <w:separator/>
      </w:r>
    </w:p>
  </w:footnote>
  <w:footnote w:type="continuationSeparator" w:id="0">
    <w:p w14:paraId="2898E86F" w14:textId="77777777" w:rsidR="00524A63" w:rsidRDefault="0052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AD8B"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B20A"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63"/>
    <w:rsid w:val="000241E8"/>
    <w:rsid w:val="0003527F"/>
    <w:rsid w:val="0004390D"/>
    <w:rsid w:val="0005355A"/>
    <w:rsid w:val="00053864"/>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900DA"/>
    <w:rsid w:val="002C3E74"/>
    <w:rsid w:val="002E304C"/>
    <w:rsid w:val="002E7439"/>
    <w:rsid w:val="002F3591"/>
    <w:rsid w:val="00322BDE"/>
    <w:rsid w:val="00340679"/>
    <w:rsid w:val="00371CA6"/>
    <w:rsid w:val="003E4B6F"/>
    <w:rsid w:val="00406EE7"/>
    <w:rsid w:val="00407013"/>
    <w:rsid w:val="00412537"/>
    <w:rsid w:val="004126A6"/>
    <w:rsid w:val="00415D7C"/>
    <w:rsid w:val="00417225"/>
    <w:rsid w:val="00451FEF"/>
    <w:rsid w:val="004A62CC"/>
    <w:rsid w:val="004C733C"/>
    <w:rsid w:val="00514C36"/>
    <w:rsid w:val="00524A63"/>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5F19"/>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3E09"/>
    <w:rsid w:val="009D66C6"/>
    <w:rsid w:val="009E300C"/>
    <w:rsid w:val="009E5184"/>
    <w:rsid w:val="009F1F5E"/>
    <w:rsid w:val="00A31E52"/>
    <w:rsid w:val="00A74A8A"/>
    <w:rsid w:val="00A85606"/>
    <w:rsid w:val="00A86C63"/>
    <w:rsid w:val="00A957A6"/>
    <w:rsid w:val="00A96525"/>
    <w:rsid w:val="00AA0C89"/>
    <w:rsid w:val="00AA0D25"/>
    <w:rsid w:val="00AC012D"/>
    <w:rsid w:val="00AD4D77"/>
    <w:rsid w:val="00AE0CE1"/>
    <w:rsid w:val="00AE29E5"/>
    <w:rsid w:val="00AE5757"/>
    <w:rsid w:val="00B25EB8"/>
    <w:rsid w:val="00B764E3"/>
    <w:rsid w:val="00B85456"/>
    <w:rsid w:val="00B87267"/>
    <w:rsid w:val="00B93A25"/>
    <w:rsid w:val="00BC634B"/>
    <w:rsid w:val="00BF2AE0"/>
    <w:rsid w:val="00C0509D"/>
    <w:rsid w:val="00C2691F"/>
    <w:rsid w:val="00C41394"/>
    <w:rsid w:val="00C479BF"/>
    <w:rsid w:val="00C66C59"/>
    <w:rsid w:val="00C838AB"/>
    <w:rsid w:val="00C83AA2"/>
    <w:rsid w:val="00CB32A5"/>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66251"/>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1D6EF"/>
  <w15:chartTrackingRefBased/>
  <w15:docId w15:val="{F08B1E27-631B-423C-BACB-611177BC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755F19"/>
    <w:rPr>
      <w:color w:val="0563C1" w:themeColor="hyperlink"/>
      <w:u w:val="single"/>
    </w:rPr>
  </w:style>
  <w:style w:type="character" w:styleId="Ulstomtale">
    <w:name w:val="Unresolved Mention"/>
    <w:basedOn w:val="Standardskrifttypeiafsnit"/>
    <w:uiPriority w:val="99"/>
    <w:semiHidden/>
    <w:unhideWhenUsed/>
    <w:rsid w:val="00755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46340261">
      <w:bodyDiv w:val="1"/>
      <w:marLeft w:val="0"/>
      <w:marRight w:val="0"/>
      <w:marTop w:val="0"/>
      <w:marBottom w:val="0"/>
      <w:divBdr>
        <w:top w:val="none" w:sz="0" w:space="0" w:color="auto"/>
        <w:left w:val="none" w:sz="0" w:space="0" w:color="auto"/>
        <w:bottom w:val="none" w:sz="0" w:space="0" w:color="auto"/>
        <w:right w:val="none" w:sz="0" w:space="0" w:color="auto"/>
      </w:divBdr>
    </w:div>
    <w:div w:id="79327626">
      <w:bodyDiv w:val="1"/>
      <w:marLeft w:val="0"/>
      <w:marRight w:val="0"/>
      <w:marTop w:val="0"/>
      <w:marBottom w:val="0"/>
      <w:divBdr>
        <w:top w:val="none" w:sz="0" w:space="0" w:color="auto"/>
        <w:left w:val="none" w:sz="0" w:space="0" w:color="auto"/>
        <w:bottom w:val="none" w:sz="0" w:space="0" w:color="auto"/>
        <w:right w:val="none" w:sz="0" w:space="0" w:color="auto"/>
      </w:divBdr>
    </w:div>
    <w:div w:id="98332189">
      <w:bodyDiv w:val="1"/>
      <w:marLeft w:val="0"/>
      <w:marRight w:val="0"/>
      <w:marTop w:val="0"/>
      <w:marBottom w:val="0"/>
      <w:divBdr>
        <w:top w:val="none" w:sz="0" w:space="0" w:color="auto"/>
        <w:left w:val="none" w:sz="0" w:space="0" w:color="auto"/>
        <w:bottom w:val="none" w:sz="0" w:space="0" w:color="auto"/>
        <w:right w:val="none" w:sz="0" w:space="0" w:color="auto"/>
      </w:divBdr>
    </w:div>
    <w:div w:id="109321291">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87400017">
      <w:bodyDiv w:val="1"/>
      <w:marLeft w:val="0"/>
      <w:marRight w:val="0"/>
      <w:marTop w:val="0"/>
      <w:marBottom w:val="0"/>
      <w:divBdr>
        <w:top w:val="none" w:sz="0" w:space="0" w:color="auto"/>
        <w:left w:val="none" w:sz="0" w:space="0" w:color="auto"/>
        <w:bottom w:val="none" w:sz="0" w:space="0" w:color="auto"/>
        <w:right w:val="none" w:sz="0" w:space="0" w:color="auto"/>
      </w:divBdr>
    </w:div>
    <w:div w:id="311256952">
      <w:bodyDiv w:val="1"/>
      <w:marLeft w:val="0"/>
      <w:marRight w:val="0"/>
      <w:marTop w:val="0"/>
      <w:marBottom w:val="0"/>
      <w:divBdr>
        <w:top w:val="none" w:sz="0" w:space="0" w:color="auto"/>
        <w:left w:val="none" w:sz="0" w:space="0" w:color="auto"/>
        <w:bottom w:val="none" w:sz="0" w:space="0" w:color="auto"/>
        <w:right w:val="none" w:sz="0" w:space="0" w:color="auto"/>
      </w:divBdr>
    </w:div>
    <w:div w:id="363790788">
      <w:bodyDiv w:val="1"/>
      <w:marLeft w:val="0"/>
      <w:marRight w:val="0"/>
      <w:marTop w:val="0"/>
      <w:marBottom w:val="0"/>
      <w:divBdr>
        <w:top w:val="none" w:sz="0" w:space="0" w:color="auto"/>
        <w:left w:val="none" w:sz="0" w:space="0" w:color="auto"/>
        <w:bottom w:val="none" w:sz="0" w:space="0" w:color="auto"/>
        <w:right w:val="none" w:sz="0" w:space="0" w:color="auto"/>
      </w:divBdr>
    </w:div>
    <w:div w:id="486287900">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02550756">
      <w:bodyDiv w:val="1"/>
      <w:marLeft w:val="0"/>
      <w:marRight w:val="0"/>
      <w:marTop w:val="0"/>
      <w:marBottom w:val="0"/>
      <w:divBdr>
        <w:top w:val="none" w:sz="0" w:space="0" w:color="auto"/>
        <w:left w:val="none" w:sz="0" w:space="0" w:color="auto"/>
        <w:bottom w:val="none" w:sz="0" w:space="0" w:color="auto"/>
        <w:right w:val="none" w:sz="0" w:space="0" w:color="auto"/>
      </w:divBdr>
    </w:div>
    <w:div w:id="563838755">
      <w:bodyDiv w:val="1"/>
      <w:marLeft w:val="0"/>
      <w:marRight w:val="0"/>
      <w:marTop w:val="0"/>
      <w:marBottom w:val="0"/>
      <w:divBdr>
        <w:top w:val="none" w:sz="0" w:space="0" w:color="auto"/>
        <w:left w:val="none" w:sz="0" w:space="0" w:color="auto"/>
        <w:bottom w:val="none" w:sz="0" w:space="0" w:color="auto"/>
        <w:right w:val="none" w:sz="0" w:space="0" w:color="auto"/>
      </w:divBdr>
    </w:div>
    <w:div w:id="610825582">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21770657">
      <w:bodyDiv w:val="1"/>
      <w:marLeft w:val="0"/>
      <w:marRight w:val="0"/>
      <w:marTop w:val="0"/>
      <w:marBottom w:val="0"/>
      <w:divBdr>
        <w:top w:val="none" w:sz="0" w:space="0" w:color="auto"/>
        <w:left w:val="none" w:sz="0" w:space="0" w:color="auto"/>
        <w:bottom w:val="none" w:sz="0" w:space="0" w:color="auto"/>
        <w:right w:val="none" w:sz="0" w:space="0" w:color="auto"/>
      </w:divBdr>
    </w:div>
    <w:div w:id="628244415">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65136471">
      <w:bodyDiv w:val="1"/>
      <w:marLeft w:val="0"/>
      <w:marRight w:val="0"/>
      <w:marTop w:val="0"/>
      <w:marBottom w:val="0"/>
      <w:divBdr>
        <w:top w:val="none" w:sz="0" w:space="0" w:color="auto"/>
        <w:left w:val="none" w:sz="0" w:space="0" w:color="auto"/>
        <w:bottom w:val="none" w:sz="0" w:space="0" w:color="auto"/>
        <w:right w:val="none" w:sz="0" w:space="0" w:color="auto"/>
      </w:divBdr>
    </w:div>
    <w:div w:id="775441848">
      <w:bodyDiv w:val="1"/>
      <w:marLeft w:val="0"/>
      <w:marRight w:val="0"/>
      <w:marTop w:val="0"/>
      <w:marBottom w:val="0"/>
      <w:divBdr>
        <w:top w:val="none" w:sz="0" w:space="0" w:color="auto"/>
        <w:left w:val="none" w:sz="0" w:space="0" w:color="auto"/>
        <w:bottom w:val="none" w:sz="0" w:space="0" w:color="auto"/>
        <w:right w:val="none" w:sz="0" w:space="0" w:color="auto"/>
      </w:divBdr>
    </w:div>
    <w:div w:id="846752208">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05014314">
      <w:bodyDiv w:val="1"/>
      <w:marLeft w:val="0"/>
      <w:marRight w:val="0"/>
      <w:marTop w:val="0"/>
      <w:marBottom w:val="0"/>
      <w:divBdr>
        <w:top w:val="none" w:sz="0" w:space="0" w:color="auto"/>
        <w:left w:val="none" w:sz="0" w:space="0" w:color="auto"/>
        <w:bottom w:val="none" w:sz="0" w:space="0" w:color="auto"/>
        <w:right w:val="none" w:sz="0" w:space="0" w:color="auto"/>
      </w:divBdr>
    </w:div>
    <w:div w:id="1046417257">
      <w:bodyDiv w:val="1"/>
      <w:marLeft w:val="0"/>
      <w:marRight w:val="0"/>
      <w:marTop w:val="0"/>
      <w:marBottom w:val="0"/>
      <w:divBdr>
        <w:top w:val="none" w:sz="0" w:space="0" w:color="auto"/>
        <w:left w:val="none" w:sz="0" w:space="0" w:color="auto"/>
        <w:bottom w:val="none" w:sz="0" w:space="0" w:color="auto"/>
        <w:right w:val="none" w:sz="0" w:space="0" w:color="auto"/>
      </w:divBdr>
    </w:div>
    <w:div w:id="1063064768">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13076405">
      <w:bodyDiv w:val="1"/>
      <w:marLeft w:val="0"/>
      <w:marRight w:val="0"/>
      <w:marTop w:val="0"/>
      <w:marBottom w:val="0"/>
      <w:divBdr>
        <w:top w:val="none" w:sz="0" w:space="0" w:color="auto"/>
        <w:left w:val="none" w:sz="0" w:space="0" w:color="auto"/>
        <w:bottom w:val="none" w:sz="0" w:space="0" w:color="auto"/>
        <w:right w:val="none" w:sz="0" w:space="0" w:color="auto"/>
      </w:divBdr>
    </w:div>
    <w:div w:id="1300725605">
      <w:bodyDiv w:val="1"/>
      <w:marLeft w:val="0"/>
      <w:marRight w:val="0"/>
      <w:marTop w:val="0"/>
      <w:marBottom w:val="0"/>
      <w:divBdr>
        <w:top w:val="none" w:sz="0" w:space="0" w:color="auto"/>
        <w:left w:val="none" w:sz="0" w:space="0" w:color="auto"/>
        <w:bottom w:val="none" w:sz="0" w:space="0" w:color="auto"/>
        <w:right w:val="none" w:sz="0" w:space="0" w:color="auto"/>
      </w:divBdr>
    </w:div>
    <w:div w:id="1390150208">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392579392">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4736164">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7717519">
      <w:bodyDiv w:val="1"/>
      <w:marLeft w:val="0"/>
      <w:marRight w:val="0"/>
      <w:marTop w:val="0"/>
      <w:marBottom w:val="0"/>
      <w:divBdr>
        <w:top w:val="none" w:sz="0" w:space="0" w:color="auto"/>
        <w:left w:val="none" w:sz="0" w:space="0" w:color="auto"/>
        <w:bottom w:val="none" w:sz="0" w:space="0" w:color="auto"/>
        <w:right w:val="none" w:sz="0" w:space="0" w:color="auto"/>
      </w:divBdr>
    </w:div>
    <w:div w:id="1513570357">
      <w:bodyDiv w:val="1"/>
      <w:marLeft w:val="0"/>
      <w:marRight w:val="0"/>
      <w:marTop w:val="0"/>
      <w:marBottom w:val="0"/>
      <w:divBdr>
        <w:top w:val="none" w:sz="0" w:space="0" w:color="auto"/>
        <w:left w:val="none" w:sz="0" w:space="0" w:color="auto"/>
        <w:bottom w:val="none" w:sz="0" w:space="0" w:color="auto"/>
        <w:right w:val="none" w:sz="0" w:space="0" w:color="auto"/>
      </w:divBdr>
    </w:div>
    <w:div w:id="1513951281">
      <w:bodyDiv w:val="1"/>
      <w:marLeft w:val="0"/>
      <w:marRight w:val="0"/>
      <w:marTop w:val="0"/>
      <w:marBottom w:val="0"/>
      <w:divBdr>
        <w:top w:val="none" w:sz="0" w:space="0" w:color="auto"/>
        <w:left w:val="none" w:sz="0" w:space="0" w:color="auto"/>
        <w:bottom w:val="none" w:sz="0" w:space="0" w:color="auto"/>
        <w:right w:val="none" w:sz="0" w:space="0" w:color="auto"/>
      </w:divBdr>
    </w:div>
    <w:div w:id="1556626249">
      <w:bodyDiv w:val="1"/>
      <w:marLeft w:val="0"/>
      <w:marRight w:val="0"/>
      <w:marTop w:val="0"/>
      <w:marBottom w:val="0"/>
      <w:divBdr>
        <w:top w:val="none" w:sz="0" w:space="0" w:color="auto"/>
        <w:left w:val="none" w:sz="0" w:space="0" w:color="auto"/>
        <w:bottom w:val="none" w:sz="0" w:space="0" w:color="auto"/>
        <w:right w:val="none" w:sz="0" w:space="0" w:color="auto"/>
      </w:divBdr>
    </w:div>
    <w:div w:id="1657952487">
      <w:bodyDiv w:val="1"/>
      <w:marLeft w:val="0"/>
      <w:marRight w:val="0"/>
      <w:marTop w:val="0"/>
      <w:marBottom w:val="0"/>
      <w:divBdr>
        <w:top w:val="none" w:sz="0" w:space="0" w:color="auto"/>
        <w:left w:val="none" w:sz="0" w:space="0" w:color="auto"/>
        <w:bottom w:val="none" w:sz="0" w:space="0" w:color="auto"/>
        <w:right w:val="none" w:sz="0" w:space="0" w:color="auto"/>
      </w:divBdr>
    </w:div>
    <w:div w:id="1720125418">
      <w:bodyDiv w:val="1"/>
      <w:marLeft w:val="0"/>
      <w:marRight w:val="0"/>
      <w:marTop w:val="0"/>
      <w:marBottom w:val="0"/>
      <w:divBdr>
        <w:top w:val="none" w:sz="0" w:space="0" w:color="auto"/>
        <w:left w:val="none" w:sz="0" w:space="0" w:color="auto"/>
        <w:bottom w:val="none" w:sz="0" w:space="0" w:color="auto"/>
        <w:right w:val="none" w:sz="0" w:space="0" w:color="auto"/>
      </w:divBdr>
    </w:div>
    <w:div w:id="1758744933">
      <w:bodyDiv w:val="1"/>
      <w:marLeft w:val="0"/>
      <w:marRight w:val="0"/>
      <w:marTop w:val="0"/>
      <w:marBottom w:val="0"/>
      <w:divBdr>
        <w:top w:val="none" w:sz="0" w:space="0" w:color="auto"/>
        <w:left w:val="none" w:sz="0" w:space="0" w:color="auto"/>
        <w:bottom w:val="none" w:sz="0" w:space="0" w:color="auto"/>
        <w:right w:val="none" w:sz="0" w:space="0" w:color="auto"/>
      </w:divBdr>
    </w:div>
    <w:div w:id="1772123178">
      <w:bodyDiv w:val="1"/>
      <w:marLeft w:val="0"/>
      <w:marRight w:val="0"/>
      <w:marTop w:val="0"/>
      <w:marBottom w:val="0"/>
      <w:divBdr>
        <w:top w:val="none" w:sz="0" w:space="0" w:color="auto"/>
        <w:left w:val="none" w:sz="0" w:space="0" w:color="auto"/>
        <w:bottom w:val="none" w:sz="0" w:space="0" w:color="auto"/>
        <w:right w:val="none" w:sz="0" w:space="0" w:color="auto"/>
      </w:divBdr>
    </w:div>
    <w:div w:id="1826816548">
      <w:bodyDiv w:val="1"/>
      <w:marLeft w:val="0"/>
      <w:marRight w:val="0"/>
      <w:marTop w:val="0"/>
      <w:marBottom w:val="0"/>
      <w:divBdr>
        <w:top w:val="none" w:sz="0" w:space="0" w:color="auto"/>
        <w:left w:val="none" w:sz="0" w:space="0" w:color="auto"/>
        <w:bottom w:val="none" w:sz="0" w:space="0" w:color="auto"/>
        <w:right w:val="none" w:sz="0" w:space="0" w:color="auto"/>
      </w:divBdr>
    </w:div>
    <w:div w:id="1844196560">
      <w:bodyDiv w:val="1"/>
      <w:marLeft w:val="0"/>
      <w:marRight w:val="0"/>
      <w:marTop w:val="0"/>
      <w:marBottom w:val="0"/>
      <w:divBdr>
        <w:top w:val="none" w:sz="0" w:space="0" w:color="auto"/>
        <w:left w:val="none" w:sz="0" w:space="0" w:color="auto"/>
        <w:bottom w:val="none" w:sz="0" w:space="0" w:color="auto"/>
        <w:right w:val="none" w:sz="0" w:space="0" w:color="auto"/>
      </w:divBdr>
    </w:div>
    <w:div w:id="1857382447">
      <w:bodyDiv w:val="1"/>
      <w:marLeft w:val="0"/>
      <w:marRight w:val="0"/>
      <w:marTop w:val="0"/>
      <w:marBottom w:val="0"/>
      <w:divBdr>
        <w:top w:val="none" w:sz="0" w:space="0" w:color="auto"/>
        <w:left w:val="none" w:sz="0" w:space="0" w:color="auto"/>
        <w:bottom w:val="none" w:sz="0" w:space="0" w:color="auto"/>
        <w:right w:val="none" w:sz="0" w:space="0" w:color="auto"/>
      </w:divBdr>
    </w:div>
    <w:div w:id="1861582272">
      <w:bodyDiv w:val="1"/>
      <w:marLeft w:val="0"/>
      <w:marRight w:val="0"/>
      <w:marTop w:val="0"/>
      <w:marBottom w:val="0"/>
      <w:divBdr>
        <w:top w:val="none" w:sz="0" w:space="0" w:color="auto"/>
        <w:left w:val="none" w:sz="0" w:space="0" w:color="auto"/>
        <w:bottom w:val="none" w:sz="0" w:space="0" w:color="auto"/>
        <w:right w:val="none" w:sz="0" w:space="0" w:color="auto"/>
      </w:divBdr>
    </w:div>
    <w:div w:id="1884441359">
      <w:bodyDiv w:val="1"/>
      <w:marLeft w:val="0"/>
      <w:marRight w:val="0"/>
      <w:marTop w:val="0"/>
      <w:marBottom w:val="0"/>
      <w:divBdr>
        <w:top w:val="none" w:sz="0" w:space="0" w:color="auto"/>
        <w:left w:val="none" w:sz="0" w:space="0" w:color="auto"/>
        <w:bottom w:val="none" w:sz="0" w:space="0" w:color="auto"/>
        <w:right w:val="none" w:sz="0" w:space="0" w:color="auto"/>
      </w:divBdr>
    </w:div>
    <w:div w:id="1915506269">
      <w:bodyDiv w:val="1"/>
      <w:marLeft w:val="0"/>
      <w:marRight w:val="0"/>
      <w:marTop w:val="0"/>
      <w:marBottom w:val="0"/>
      <w:divBdr>
        <w:top w:val="none" w:sz="0" w:space="0" w:color="auto"/>
        <w:left w:val="none" w:sz="0" w:space="0" w:color="auto"/>
        <w:bottom w:val="none" w:sz="0" w:space="0" w:color="auto"/>
        <w:right w:val="none" w:sz="0" w:space="0" w:color="auto"/>
      </w:divBdr>
    </w:div>
    <w:div w:id="1938172709">
      <w:bodyDiv w:val="1"/>
      <w:marLeft w:val="0"/>
      <w:marRight w:val="0"/>
      <w:marTop w:val="0"/>
      <w:marBottom w:val="0"/>
      <w:divBdr>
        <w:top w:val="none" w:sz="0" w:space="0" w:color="auto"/>
        <w:left w:val="none" w:sz="0" w:space="0" w:color="auto"/>
        <w:bottom w:val="none" w:sz="0" w:space="0" w:color="auto"/>
        <w:right w:val="none" w:sz="0" w:space="0" w:color="auto"/>
      </w:divBdr>
    </w:div>
    <w:div w:id="1951743348">
      <w:bodyDiv w:val="1"/>
      <w:marLeft w:val="0"/>
      <w:marRight w:val="0"/>
      <w:marTop w:val="0"/>
      <w:marBottom w:val="0"/>
      <w:divBdr>
        <w:top w:val="none" w:sz="0" w:space="0" w:color="auto"/>
        <w:left w:val="none" w:sz="0" w:space="0" w:color="auto"/>
        <w:bottom w:val="none" w:sz="0" w:space="0" w:color="auto"/>
        <w:right w:val="none" w:sz="0" w:space="0" w:color="auto"/>
      </w:divBdr>
    </w:div>
    <w:div w:id="1954091253">
      <w:bodyDiv w:val="1"/>
      <w:marLeft w:val="0"/>
      <w:marRight w:val="0"/>
      <w:marTop w:val="0"/>
      <w:marBottom w:val="0"/>
      <w:divBdr>
        <w:top w:val="none" w:sz="0" w:space="0" w:color="auto"/>
        <w:left w:val="none" w:sz="0" w:space="0" w:color="auto"/>
        <w:bottom w:val="none" w:sz="0" w:space="0" w:color="auto"/>
        <w:right w:val="none" w:sz="0" w:space="0" w:color="auto"/>
      </w:divBdr>
    </w:div>
    <w:div w:id="1956448211">
      <w:bodyDiv w:val="1"/>
      <w:marLeft w:val="0"/>
      <w:marRight w:val="0"/>
      <w:marTop w:val="0"/>
      <w:marBottom w:val="0"/>
      <w:divBdr>
        <w:top w:val="none" w:sz="0" w:space="0" w:color="auto"/>
        <w:left w:val="none" w:sz="0" w:space="0" w:color="auto"/>
        <w:bottom w:val="none" w:sz="0" w:space="0" w:color="auto"/>
        <w:right w:val="none" w:sz="0" w:space="0" w:color="auto"/>
      </w:divBdr>
    </w:div>
    <w:div w:id="1971787594">
      <w:bodyDiv w:val="1"/>
      <w:marLeft w:val="0"/>
      <w:marRight w:val="0"/>
      <w:marTop w:val="0"/>
      <w:marBottom w:val="0"/>
      <w:divBdr>
        <w:top w:val="none" w:sz="0" w:space="0" w:color="auto"/>
        <w:left w:val="none" w:sz="0" w:space="0" w:color="auto"/>
        <w:bottom w:val="none" w:sz="0" w:space="0" w:color="auto"/>
        <w:right w:val="none" w:sz="0" w:space="0" w:color="auto"/>
      </w:divBdr>
    </w:div>
    <w:div w:id="21070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2</TotalTime>
  <Pages>8</Pages>
  <Words>2289</Words>
  <Characters>14741</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2026010427_x000d_
Tilføjelse af repræsentanten Salfram Danmark A/S</dc:description>
  <cp:lastModifiedBy>Marianne Ott Jensen</cp:lastModifiedBy>
  <cp:revision>4</cp:revision>
  <cp:lastPrinted>2022-05-18T14:03:00Z</cp:lastPrinted>
  <dcterms:created xsi:type="dcterms:W3CDTF">2026-01-20T10:37:00Z</dcterms:created>
  <dcterms:modified xsi:type="dcterms:W3CDTF">2026-01-20T10:39:00Z</dcterms:modified>
</cp:coreProperties>
</file>