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722" w:rsidRPr="008F49E1" w:rsidRDefault="00FD4722" w:rsidP="00FD4722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316919E8" wp14:editId="2813ABA1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22" w:rsidRDefault="00FD4722" w:rsidP="00FD4722">
      <w:pPr>
        <w:rPr>
          <w:sz w:val="24"/>
          <w:szCs w:val="24"/>
        </w:rPr>
      </w:pPr>
    </w:p>
    <w:p w:rsidR="00FD4722" w:rsidRPr="00C20AF7" w:rsidRDefault="00FD4722" w:rsidP="00FD4722">
      <w:pPr>
        <w:rPr>
          <w:sz w:val="24"/>
          <w:szCs w:val="24"/>
        </w:rPr>
      </w:pPr>
    </w:p>
    <w:p w:rsidR="00FD4722" w:rsidRPr="00406EE7" w:rsidRDefault="00FD4722" w:rsidP="00FD4722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D445F">
        <w:rPr>
          <w:b/>
          <w:sz w:val="24"/>
          <w:szCs w:val="24"/>
        </w:rPr>
        <w:t>18</w:t>
      </w:r>
      <w:r>
        <w:rPr>
          <w:b/>
          <w:sz w:val="24"/>
          <w:szCs w:val="24"/>
        </w:rPr>
        <w:t xml:space="preserve">. </w:t>
      </w:r>
      <w:r w:rsidR="00CD445F"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20</w:t>
      </w:r>
      <w:r w:rsidR="00CD445F">
        <w:rPr>
          <w:b/>
          <w:sz w:val="24"/>
          <w:szCs w:val="24"/>
        </w:rPr>
        <w:t>20</w:t>
      </w:r>
    </w:p>
    <w:p w:rsidR="00FD4722" w:rsidRPr="00406EE7" w:rsidRDefault="00FD4722" w:rsidP="00FD4722">
      <w:pPr>
        <w:rPr>
          <w:sz w:val="24"/>
          <w:szCs w:val="24"/>
        </w:rPr>
      </w:pPr>
    </w:p>
    <w:p w:rsidR="00FD4722" w:rsidRPr="00406EE7" w:rsidRDefault="00FD4722" w:rsidP="00FD4722">
      <w:pPr>
        <w:rPr>
          <w:sz w:val="24"/>
          <w:szCs w:val="24"/>
        </w:rPr>
      </w:pPr>
    </w:p>
    <w:p w:rsidR="00FD4722" w:rsidRDefault="00FD4722" w:rsidP="00FD472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D4722" w:rsidRDefault="00FD4722" w:rsidP="00FD472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FD4722" w:rsidRPr="00406EE7" w:rsidRDefault="00FD4722" w:rsidP="00FD472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FD4722" w:rsidRPr="00406EE7" w:rsidRDefault="00FD4722" w:rsidP="00FD4722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D4722" w:rsidRPr="00565A74" w:rsidRDefault="00FD4722" w:rsidP="00FD4722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Rominervin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</w:t>
      </w:r>
    </w:p>
    <w:p w:rsidR="00FD4722" w:rsidRPr="00406EE7" w:rsidRDefault="00FD4722" w:rsidP="00FD4722">
      <w:pPr>
        <w:tabs>
          <w:tab w:val="left" w:pos="8222"/>
        </w:tabs>
        <w:jc w:val="both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jc w:val="both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FD4722" w:rsidRPr="00406EE7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30879</w:t>
      </w:r>
    </w:p>
    <w:p w:rsidR="00FD4722" w:rsidRPr="00406EE7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FD4722" w:rsidRPr="00406EE7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Rominervin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FD4722" w:rsidRPr="00406EE7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FD4722" w:rsidRPr="00B35016" w:rsidRDefault="00FD4722" w:rsidP="00FD4722">
      <w:pPr>
        <w:ind w:left="851"/>
        <w:rPr>
          <w:sz w:val="24"/>
          <w:szCs w:val="24"/>
          <w:lang w:eastAsia="da-DK"/>
        </w:rPr>
      </w:pPr>
      <w:r w:rsidRPr="00B35016">
        <w:rPr>
          <w:sz w:val="24"/>
          <w:szCs w:val="24"/>
          <w:lang w:eastAsia="da-DK"/>
        </w:rPr>
        <w:t>Hver ml indeholder:</w:t>
      </w:r>
    </w:p>
    <w:p w:rsidR="00FD4722" w:rsidRPr="00B35016" w:rsidRDefault="00FD4722" w:rsidP="00FD4722">
      <w:pPr>
        <w:ind w:left="851"/>
        <w:rPr>
          <w:sz w:val="24"/>
          <w:szCs w:val="24"/>
          <w:lang w:eastAsia="da-DK"/>
        </w:rPr>
      </w:pPr>
    </w:p>
    <w:p w:rsidR="00FD4722" w:rsidRPr="00B35016" w:rsidRDefault="00FD4722" w:rsidP="00FD4722">
      <w:pPr>
        <w:keepNext/>
        <w:ind w:left="851"/>
        <w:rPr>
          <w:sz w:val="24"/>
          <w:szCs w:val="24"/>
          <w:u w:val="single"/>
          <w:lang w:eastAsia="da-DK"/>
        </w:rPr>
      </w:pPr>
      <w:bookmarkStart w:id="0" w:name="_Hlk479256618"/>
      <w:r>
        <w:rPr>
          <w:sz w:val="24"/>
          <w:szCs w:val="24"/>
          <w:u w:val="single"/>
          <w:lang w:eastAsia="da-DK"/>
        </w:rPr>
        <w:t>Aktivt stof</w:t>
      </w:r>
    </w:p>
    <w:p w:rsidR="00FD4722" w:rsidRPr="00B35016" w:rsidRDefault="00FD4722" w:rsidP="00FD4722">
      <w:pPr>
        <w:ind w:left="851"/>
        <w:rPr>
          <w:iCs/>
          <w:sz w:val="24"/>
          <w:szCs w:val="24"/>
          <w:lang w:eastAsia="da-DK"/>
        </w:rPr>
      </w:pPr>
      <w:proofErr w:type="spellStart"/>
      <w:r w:rsidRPr="00B35016">
        <w:rPr>
          <w:sz w:val="24"/>
          <w:szCs w:val="24"/>
          <w:lang w:eastAsia="da-DK"/>
        </w:rPr>
        <w:t>Romifidinhydrochlorid</w:t>
      </w:r>
      <w:proofErr w:type="spellEnd"/>
      <w:r w:rsidRPr="00B35016">
        <w:rPr>
          <w:sz w:val="24"/>
          <w:szCs w:val="24"/>
          <w:lang w:eastAsia="da-DK"/>
        </w:rPr>
        <w:tab/>
        <w:t xml:space="preserve">10 mg </w:t>
      </w:r>
    </w:p>
    <w:p w:rsidR="00FD4722" w:rsidRPr="00B35016" w:rsidRDefault="00FD4722" w:rsidP="00FD4722">
      <w:pPr>
        <w:ind w:left="851"/>
        <w:rPr>
          <w:iCs/>
          <w:sz w:val="24"/>
          <w:szCs w:val="24"/>
          <w:lang w:eastAsia="da-DK"/>
        </w:rPr>
      </w:pPr>
      <w:r w:rsidRPr="00B35016">
        <w:rPr>
          <w:sz w:val="24"/>
          <w:szCs w:val="24"/>
          <w:lang w:eastAsia="da-DK"/>
        </w:rPr>
        <w:t xml:space="preserve">svarende til 8,76 mg </w:t>
      </w:r>
      <w:proofErr w:type="spellStart"/>
      <w:r w:rsidRPr="00B35016">
        <w:rPr>
          <w:sz w:val="24"/>
          <w:szCs w:val="24"/>
          <w:lang w:eastAsia="da-DK"/>
        </w:rPr>
        <w:t>romifidin</w:t>
      </w:r>
      <w:proofErr w:type="spellEnd"/>
    </w:p>
    <w:p w:rsidR="00FD4722" w:rsidRPr="00B35016" w:rsidRDefault="00FD4722" w:rsidP="00FD4722">
      <w:pPr>
        <w:ind w:left="851"/>
        <w:rPr>
          <w:iCs/>
          <w:sz w:val="24"/>
          <w:szCs w:val="24"/>
          <w:lang w:eastAsia="da-DK"/>
        </w:rPr>
      </w:pPr>
    </w:p>
    <w:p w:rsidR="00FD4722" w:rsidRPr="00B35016" w:rsidRDefault="00FD4722" w:rsidP="00FD4722">
      <w:pPr>
        <w:keepNext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Hjælpestof</w:t>
      </w:r>
    </w:p>
    <w:p w:rsidR="00FD4722" w:rsidRPr="00B35016" w:rsidRDefault="00FD4722" w:rsidP="00FD4722">
      <w:pPr>
        <w:ind w:left="851"/>
        <w:rPr>
          <w:sz w:val="24"/>
          <w:szCs w:val="24"/>
          <w:lang w:eastAsia="da-DK"/>
        </w:rPr>
      </w:pPr>
      <w:proofErr w:type="spellStart"/>
      <w:r w:rsidRPr="00B35016">
        <w:rPr>
          <w:sz w:val="24"/>
          <w:szCs w:val="24"/>
          <w:lang w:eastAsia="da-DK"/>
        </w:rPr>
        <w:t>Chlorocresol</w:t>
      </w:r>
      <w:proofErr w:type="spellEnd"/>
      <w:r w:rsidRPr="00B35016">
        <w:rPr>
          <w:sz w:val="24"/>
          <w:szCs w:val="24"/>
          <w:lang w:eastAsia="da-DK"/>
        </w:rPr>
        <w:tab/>
      </w:r>
      <w:r w:rsidRPr="00B35016">
        <w:rPr>
          <w:sz w:val="24"/>
          <w:szCs w:val="24"/>
          <w:lang w:eastAsia="da-DK"/>
        </w:rPr>
        <w:tab/>
        <w:t>2 mg</w:t>
      </w:r>
    </w:p>
    <w:bookmarkEnd w:id="0"/>
    <w:p w:rsidR="00FD4722" w:rsidRPr="00B35016" w:rsidRDefault="00FD4722" w:rsidP="00FD4722">
      <w:pPr>
        <w:ind w:left="851"/>
        <w:rPr>
          <w:sz w:val="24"/>
          <w:szCs w:val="24"/>
          <w:lang w:eastAsia="da-DK"/>
        </w:rPr>
      </w:pPr>
    </w:p>
    <w:p w:rsidR="00FD4722" w:rsidRPr="00B35016" w:rsidRDefault="00FD4722" w:rsidP="00FD4722">
      <w:pPr>
        <w:ind w:left="851"/>
        <w:rPr>
          <w:sz w:val="24"/>
          <w:szCs w:val="24"/>
          <w:lang w:eastAsia="da-DK"/>
        </w:rPr>
      </w:pPr>
      <w:r w:rsidRPr="00B35016">
        <w:rPr>
          <w:sz w:val="24"/>
          <w:szCs w:val="24"/>
          <w:lang w:eastAsia="da-DK"/>
        </w:rPr>
        <w:t>Alle hjælpestoffer er anført under pkt. 6.1.</w:t>
      </w:r>
    </w:p>
    <w:p w:rsidR="00FD4722" w:rsidRPr="00406EE7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FD4722" w:rsidRDefault="00FD4722" w:rsidP="00FD4722">
      <w:pPr>
        <w:ind w:left="851"/>
        <w:rPr>
          <w:sz w:val="24"/>
          <w:szCs w:val="24"/>
          <w:lang w:eastAsia="da-DK"/>
        </w:rPr>
      </w:pPr>
      <w:r w:rsidRPr="001D1B80">
        <w:rPr>
          <w:sz w:val="24"/>
          <w:szCs w:val="24"/>
          <w:lang w:eastAsia="da-DK"/>
        </w:rPr>
        <w:t>Injektionsvæske, opløsning</w:t>
      </w:r>
    </w:p>
    <w:p w:rsidR="00FD4722" w:rsidRPr="001D1B80" w:rsidRDefault="00FD4722" w:rsidP="00FD4722">
      <w:pPr>
        <w:ind w:left="851"/>
        <w:rPr>
          <w:sz w:val="24"/>
          <w:szCs w:val="24"/>
          <w:lang w:eastAsia="da-DK"/>
        </w:rPr>
      </w:pPr>
    </w:p>
    <w:p w:rsidR="00FD4722" w:rsidRPr="00406EE7" w:rsidRDefault="00FD4722" w:rsidP="00FD4722">
      <w:pPr>
        <w:ind w:left="851"/>
        <w:rPr>
          <w:sz w:val="24"/>
          <w:szCs w:val="24"/>
          <w:lang w:eastAsia="da-DK"/>
        </w:rPr>
      </w:pPr>
      <w:r w:rsidRPr="001D1B80">
        <w:rPr>
          <w:sz w:val="24"/>
          <w:szCs w:val="24"/>
          <w:lang w:eastAsia="da-DK"/>
        </w:rPr>
        <w:t>Klar, farveløs til let gullig opløsning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FD4722" w:rsidRPr="00406EE7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Hest</w:t>
      </w:r>
    </w:p>
    <w:p w:rsidR="00FD4722" w:rsidRPr="00406EE7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FD4722" w:rsidRPr="00EF718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bookmarkStart w:id="1" w:name="_Hlk479256666"/>
      <w:r w:rsidRPr="00EF718E">
        <w:rPr>
          <w:color w:val="000000"/>
          <w:sz w:val="24"/>
          <w:szCs w:val="24"/>
          <w:lang w:eastAsia="da-DK"/>
        </w:rPr>
        <w:t>Sederende præparat til at facilitere håndtering, undersøgelse, mindre kirurgiske interventioner og mindre indgreb.</w:t>
      </w:r>
    </w:p>
    <w:p w:rsidR="00FD4722" w:rsidRPr="00EF718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bookmarkStart w:id="2" w:name="_Hlk504048704"/>
      <w:r w:rsidRPr="00EF718E">
        <w:rPr>
          <w:color w:val="000000"/>
          <w:sz w:val="24"/>
          <w:szCs w:val="24"/>
          <w:lang w:eastAsia="da-DK"/>
        </w:rPr>
        <w:t xml:space="preserve">Til præmedicinering før administration af </w:t>
      </w:r>
      <w:proofErr w:type="spellStart"/>
      <w:r w:rsidRPr="00EF718E">
        <w:rPr>
          <w:color w:val="000000"/>
          <w:sz w:val="24"/>
          <w:szCs w:val="24"/>
          <w:lang w:eastAsia="da-DK"/>
        </w:rPr>
        <w:t>injicerbare</w:t>
      </w:r>
      <w:proofErr w:type="spellEnd"/>
      <w:r w:rsidRPr="00EF718E">
        <w:rPr>
          <w:color w:val="000000"/>
          <w:sz w:val="24"/>
          <w:szCs w:val="24"/>
          <w:lang w:eastAsia="da-DK"/>
        </w:rPr>
        <w:t xml:space="preserve"> eller </w:t>
      </w:r>
      <w:proofErr w:type="spellStart"/>
      <w:r w:rsidRPr="00EF718E">
        <w:rPr>
          <w:color w:val="000000"/>
          <w:sz w:val="24"/>
          <w:szCs w:val="24"/>
          <w:lang w:eastAsia="da-DK"/>
        </w:rPr>
        <w:t>inhalerbare</w:t>
      </w:r>
      <w:proofErr w:type="spellEnd"/>
      <w:r w:rsidRPr="00EF718E">
        <w:rPr>
          <w:color w:val="000000"/>
          <w:sz w:val="24"/>
          <w:szCs w:val="24"/>
          <w:lang w:eastAsia="da-DK"/>
        </w:rPr>
        <w:t xml:space="preserve"> </w:t>
      </w:r>
      <w:proofErr w:type="spellStart"/>
      <w:r w:rsidRPr="00EF718E">
        <w:rPr>
          <w:color w:val="000000"/>
          <w:sz w:val="24"/>
          <w:szCs w:val="24"/>
          <w:lang w:eastAsia="da-DK"/>
        </w:rPr>
        <w:t>anæstetika</w:t>
      </w:r>
      <w:proofErr w:type="spellEnd"/>
      <w:r w:rsidRPr="00EF718E">
        <w:rPr>
          <w:color w:val="000000"/>
          <w:sz w:val="24"/>
          <w:szCs w:val="24"/>
          <w:lang w:eastAsia="da-DK"/>
        </w:rPr>
        <w:t xml:space="preserve">. </w:t>
      </w:r>
    </w:p>
    <w:bookmarkEnd w:id="2"/>
    <w:p w:rsidR="00FD4722" w:rsidRPr="008C01DC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proofErr w:type="spellStart"/>
      <w:r w:rsidRPr="00EF718E">
        <w:rPr>
          <w:color w:val="000000"/>
          <w:sz w:val="24"/>
          <w:szCs w:val="24"/>
          <w:lang w:eastAsia="da-DK"/>
        </w:rPr>
        <w:lastRenderedPageBreak/>
        <w:t>Romifidin</w:t>
      </w:r>
      <w:proofErr w:type="spellEnd"/>
      <w:r w:rsidRPr="00EF718E">
        <w:rPr>
          <w:color w:val="000000"/>
          <w:sz w:val="24"/>
          <w:szCs w:val="24"/>
          <w:lang w:eastAsia="da-DK"/>
        </w:rPr>
        <w:t xml:space="preserve"> kan også anvendes sammen med syntetiske opiater (f.eks. </w:t>
      </w:r>
      <w:proofErr w:type="spellStart"/>
      <w:r w:rsidRPr="00EF718E">
        <w:rPr>
          <w:color w:val="000000"/>
          <w:sz w:val="24"/>
          <w:szCs w:val="24"/>
          <w:lang w:eastAsia="da-DK"/>
        </w:rPr>
        <w:t>butorphanol</w:t>
      </w:r>
      <w:proofErr w:type="spellEnd"/>
      <w:r w:rsidRPr="00EF718E">
        <w:rPr>
          <w:color w:val="000000"/>
          <w:sz w:val="24"/>
          <w:szCs w:val="24"/>
          <w:lang w:eastAsia="da-DK"/>
        </w:rPr>
        <w:t xml:space="preserve">) for at give en dybere </w:t>
      </w:r>
      <w:proofErr w:type="spellStart"/>
      <w:r w:rsidRPr="00EF718E">
        <w:rPr>
          <w:color w:val="000000"/>
          <w:sz w:val="24"/>
          <w:szCs w:val="24"/>
          <w:lang w:eastAsia="da-DK"/>
        </w:rPr>
        <w:t>sedering</w:t>
      </w:r>
      <w:proofErr w:type="spellEnd"/>
      <w:r w:rsidRPr="00EF718E">
        <w:rPr>
          <w:color w:val="000000"/>
          <w:sz w:val="24"/>
          <w:szCs w:val="24"/>
          <w:lang w:eastAsia="da-DK"/>
        </w:rPr>
        <w:t>/analgesi.</w:t>
      </w:r>
      <w:bookmarkEnd w:id="1"/>
    </w:p>
    <w:p w:rsidR="00FD4722" w:rsidRPr="00406EE7" w:rsidRDefault="00FD4722" w:rsidP="00FD472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D4722" w:rsidRPr="00406EE7" w:rsidRDefault="00FD4722" w:rsidP="00FD4722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FD4722" w:rsidRPr="008C01DC" w:rsidRDefault="00FD4722" w:rsidP="00FD4722">
      <w:pPr>
        <w:ind w:left="851"/>
        <w:rPr>
          <w:sz w:val="24"/>
          <w:szCs w:val="24"/>
          <w:lang w:eastAsia="da-DK"/>
        </w:rPr>
      </w:pPr>
      <w:bookmarkStart w:id="3" w:name="_Hlk505087460"/>
      <w:r w:rsidRPr="008C01DC">
        <w:rPr>
          <w:sz w:val="24"/>
          <w:szCs w:val="24"/>
          <w:lang w:eastAsia="da-DK"/>
        </w:rPr>
        <w:t>Bør ikke anvendes til heste i løbet af den sidste drægtighedsmåned.</w:t>
      </w:r>
    </w:p>
    <w:bookmarkEnd w:id="3"/>
    <w:p w:rsidR="00FD4722" w:rsidRPr="008C01DC" w:rsidRDefault="00FD4722" w:rsidP="00FD4722">
      <w:pPr>
        <w:ind w:left="851"/>
        <w:rPr>
          <w:sz w:val="24"/>
          <w:szCs w:val="24"/>
          <w:lang w:eastAsia="da-DK"/>
        </w:rPr>
      </w:pPr>
      <w:r w:rsidRPr="008C01DC">
        <w:rPr>
          <w:sz w:val="24"/>
          <w:szCs w:val="24"/>
          <w:lang w:eastAsia="da-DK"/>
        </w:rPr>
        <w:t>Bør ikke anvendes i tilfælde af overfølsomhed over for det aktive stof eller over for et eller flere af hjælpestofferne.</w:t>
      </w:r>
    </w:p>
    <w:p w:rsidR="00FD4722" w:rsidRPr="008C01DC" w:rsidRDefault="00FD4722" w:rsidP="00FD4722">
      <w:pPr>
        <w:ind w:left="851"/>
        <w:rPr>
          <w:sz w:val="24"/>
          <w:szCs w:val="24"/>
          <w:lang w:eastAsia="da-DK"/>
        </w:rPr>
      </w:pPr>
      <w:bookmarkStart w:id="4" w:name="_Hlk513447609"/>
      <w:r w:rsidRPr="008C01DC">
        <w:rPr>
          <w:sz w:val="24"/>
          <w:szCs w:val="24"/>
          <w:lang w:eastAsia="da-DK"/>
        </w:rPr>
        <w:t xml:space="preserve">Præparater indeholdende TMP/S bør ikke anvendes intravenøst, når hestene er blevet sederet med </w:t>
      </w:r>
      <w:proofErr w:type="spellStart"/>
      <w:r w:rsidRPr="008C01DC">
        <w:rPr>
          <w:sz w:val="24"/>
          <w:szCs w:val="24"/>
          <w:lang w:eastAsia="da-DK"/>
        </w:rPr>
        <w:t>romifidin</w:t>
      </w:r>
      <w:proofErr w:type="spellEnd"/>
      <w:r w:rsidRPr="008C01DC">
        <w:rPr>
          <w:sz w:val="24"/>
          <w:szCs w:val="24"/>
          <w:lang w:eastAsia="da-DK"/>
        </w:rPr>
        <w:t>.</w:t>
      </w:r>
      <w:bookmarkEnd w:id="4"/>
    </w:p>
    <w:p w:rsidR="00FD4722" w:rsidRPr="00406EE7" w:rsidRDefault="00FD4722" w:rsidP="00FD472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Ingen</w:t>
      </w:r>
    </w:p>
    <w:p w:rsidR="00FD4722" w:rsidRPr="00406EE7" w:rsidRDefault="00FD4722" w:rsidP="00FD472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FD4722" w:rsidRPr="002374DA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FD4722" w:rsidRPr="007C045E" w:rsidRDefault="00FD4722" w:rsidP="00FD4722">
      <w:pPr>
        <w:ind w:left="851"/>
        <w:rPr>
          <w:sz w:val="24"/>
          <w:szCs w:val="24"/>
          <w:lang w:eastAsia="da-DK"/>
        </w:rPr>
      </w:pPr>
      <w:bookmarkStart w:id="5" w:name="_Hlk479257055"/>
      <w:proofErr w:type="spellStart"/>
      <w:r w:rsidRPr="007C045E">
        <w:rPr>
          <w:sz w:val="24"/>
          <w:szCs w:val="24"/>
          <w:lang w:eastAsia="da-DK"/>
        </w:rPr>
        <w:t>Sedering</w:t>
      </w:r>
      <w:proofErr w:type="spellEnd"/>
      <w:r w:rsidRPr="007C045E">
        <w:rPr>
          <w:sz w:val="24"/>
          <w:szCs w:val="24"/>
          <w:lang w:eastAsia="da-DK"/>
        </w:rPr>
        <w:t xml:space="preserve"> med </w:t>
      </w:r>
      <w:bookmarkStart w:id="6" w:name="_Hlk505249715"/>
      <w:r w:rsidRPr="007C045E">
        <w:rPr>
          <w:sz w:val="24"/>
          <w:szCs w:val="24"/>
          <w:lang w:eastAsia="da-DK"/>
        </w:rPr>
        <w:t>α2</w:t>
      </w:r>
      <w:r w:rsidRPr="007C045E">
        <w:rPr>
          <w:sz w:val="24"/>
          <w:szCs w:val="24"/>
          <w:lang w:eastAsia="da-DK"/>
        </w:rPr>
        <w:noBreakHyphen/>
        <w:t xml:space="preserve">agonistiske lægemidler, såsom </w:t>
      </w:r>
      <w:proofErr w:type="spellStart"/>
      <w:r w:rsidRPr="007C045E">
        <w:rPr>
          <w:sz w:val="24"/>
          <w:szCs w:val="24"/>
          <w:lang w:eastAsia="da-DK"/>
        </w:rPr>
        <w:t>romifidin</w:t>
      </w:r>
      <w:proofErr w:type="spellEnd"/>
      <w:r w:rsidRPr="007C045E">
        <w:rPr>
          <w:sz w:val="24"/>
          <w:szCs w:val="24"/>
          <w:lang w:eastAsia="da-DK"/>
        </w:rPr>
        <w:t xml:space="preserve">, kan øge følsomheden i bagbenene over for taktile stimuleringer. Der kan til tider </w:t>
      </w:r>
      <w:bookmarkEnd w:id="6"/>
      <w:r w:rsidRPr="007C045E">
        <w:rPr>
          <w:sz w:val="24"/>
          <w:szCs w:val="24"/>
          <w:lang w:eastAsia="da-DK"/>
        </w:rPr>
        <w:t xml:space="preserve">opstå defensive reaktioner, dvs. spark, selv hos dyr, der virker velsederede. </w:t>
      </w:r>
    </w:p>
    <w:p w:rsidR="00FD4722" w:rsidRPr="007C045E" w:rsidRDefault="00FD4722" w:rsidP="00FD4722">
      <w:pPr>
        <w:ind w:left="851"/>
        <w:rPr>
          <w:bCs/>
          <w:iCs/>
          <w:sz w:val="24"/>
          <w:szCs w:val="24"/>
          <w:lang w:eastAsia="da-DK"/>
        </w:rPr>
      </w:pPr>
      <w:bookmarkStart w:id="7" w:name="_Hlk503782100"/>
      <w:r w:rsidRPr="007C045E">
        <w:rPr>
          <w:sz w:val="24"/>
          <w:szCs w:val="24"/>
          <w:lang w:eastAsia="da-DK"/>
        </w:rPr>
        <w:t xml:space="preserve">Veterinærlægemidlet skal anvendes med forsigtighed hos dyr, der lider af </w:t>
      </w:r>
      <w:proofErr w:type="spellStart"/>
      <w:r w:rsidRPr="007C045E">
        <w:rPr>
          <w:sz w:val="24"/>
          <w:szCs w:val="24"/>
          <w:lang w:eastAsia="da-DK"/>
        </w:rPr>
        <w:t>kardiovaskulære</w:t>
      </w:r>
      <w:proofErr w:type="spellEnd"/>
      <w:r w:rsidRPr="007C045E">
        <w:rPr>
          <w:sz w:val="24"/>
          <w:szCs w:val="24"/>
          <w:lang w:eastAsia="da-DK"/>
        </w:rPr>
        <w:t xml:space="preserve"> sygdomme eller respirationssygdomme, nedsat lever- eller nyrefunktion og hos dyr i </w:t>
      </w:r>
      <w:proofErr w:type="spellStart"/>
      <w:r w:rsidRPr="007C045E">
        <w:rPr>
          <w:sz w:val="24"/>
          <w:szCs w:val="24"/>
          <w:lang w:eastAsia="da-DK"/>
        </w:rPr>
        <w:t>shock</w:t>
      </w:r>
      <w:proofErr w:type="spellEnd"/>
      <w:r w:rsidRPr="007C045E">
        <w:rPr>
          <w:sz w:val="24"/>
          <w:szCs w:val="24"/>
          <w:lang w:eastAsia="da-DK"/>
        </w:rPr>
        <w:t>.</w:t>
      </w:r>
      <w:bookmarkEnd w:id="7"/>
    </w:p>
    <w:p w:rsidR="00FD4722" w:rsidRPr="007C045E" w:rsidRDefault="00FD4722" w:rsidP="00FD4722">
      <w:pPr>
        <w:ind w:left="851"/>
        <w:rPr>
          <w:sz w:val="24"/>
          <w:szCs w:val="24"/>
          <w:lang w:eastAsia="da-DK"/>
        </w:rPr>
      </w:pPr>
      <w:r w:rsidRPr="007C045E">
        <w:rPr>
          <w:sz w:val="24"/>
          <w:szCs w:val="24"/>
          <w:lang w:eastAsia="da-DK"/>
        </w:rPr>
        <w:t xml:space="preserve">Når det anvendes som præanæstesi, bør </w:t>
      </w:r>
      <w:proofErr w:type="spellStart"/>
      <w:r w:rsidRPr="007C045E">
        <w:rPr>
          <w:sz w:val="24"/>
          <w:szCs w:val="24"/>
          <w:lang w:eastAsia="da-DK"/>
        </w:rPr>
        <w:t>sederingen</w:t>
      </w:r>
      <w:proofErr w:type="spellEnd"/>
      <w:r w:rsidRPr="007C045E">
        <w:rPr>
          <w:sz w:val="24"/>
          <w:szCs w:val="24"/>
          <w:lang w:eastAsia="da-DK"/>
        </w:rPr>
        <w:t xml:space="preserve"> være tydelig, før induktion af anæstesi.</w:t>
      </w:r>
    </w:p>
    <w:p w:rsidR="00FD4722" w:rsidRDefault="00FD4722" w:rsidP="00FD4722">
      <w:pPr>
        <w:ind w:left="851"/>
        <w:rPr>
          <w:sz w:val="24"/>
          <w:szCs w:val="24"/>
          <w:lang w:eastAsia="da-DK"/>
        </w:rPr>
      </w:pPr>
      <w:r w:rsidRPr="007C045E">
        <w:rPr>
          <w:sz w:val="24"/>
          <w:szCs w:val="24"/>
          <w:lang w:eastAsia="da-DK"/>
        </w:rPr>
        <w:t xml:space="preserve">Når veterinærlægemidlet anvendes som en del af den anæstetiske procedure, skal der udvises forsigtighed under </w:t>
      </w:r>
      <w:proofErr w:type="spellStart"/>
      <w:r w:rsidRPr="007C045E">
        <w:rPr>
          <w:sz w:val="24"/>
          <w:szCs w:val="24"/>
          <w:lang w:eastAsia="da-DK"/>
        </w:rPr>
        <w:t>rekonvalensfasen</w:t>
      </w:r>
      <w:proofErr w:type="spellEnd"/>
      <w:r w:rsidRPr="007C045E">
        <w:rPr>
          <w:sz w:val="24"/>
          <w:szCs w:val="24"/>
          <w:lang w:eastAsia="da-DK"/>
        </w:rPr>
        <w:t xml:space="preserve"> for at sikre, at hesten er i varme og rolige omgivelser.</w:t>
      </w:r>
      <w:bookmarkEnd w:id="5"/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personer, der administrerer lægemidlet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r w:rsidRPr="007C045E">
        <w:rPr>
          <w:color w:val="000000"/>
          <w:sz w:val="24"/>
          <w:szCs w:val="24"/>
          <w:lang w:eastAsia="da-DK"/>
        </w:rPr>
        <w:t xml:space="preserve">I tilfælde af oral indtagelse eller selvinjektion ved hændeligt uheld skal der straks søges lægehjælp, og indlægssedlen bør vises til lægen, men der MÅ IKKE FØRES MOTORKØRETØJ, da der kan opstå </w:t>
      </w:r>
      <w:proofErr w:type="spellStart"/>
      <w:r w:rsidRPr="007C045E">
        <w:rPr>
          <w:color w:val="000000"/>
          <w:sz w:val="24"/>
          <w:szCs w:val="24"/>
          <w:lang w:eastAsia="da-DK"/>
        </w:rPr>
        <w:t>sedering</w:t>
      </w:r>
      <w:proofErr w:type="spellEnd"/>
      <w:r w:rsidRPr="007C045E">
        <w:rPr>
          <w:color w:val="000000"/>
          <w:sz w:val="24"/>
          <w:szCs w:val="24"/>
          <w:lang w:eastAsia="da-DK"/>
        </w:rPr>
        <w:t xml:space="preserve"> og ændringer i blodtrykket.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r w:rsidRPr="007C045E">
        <w:rPr>
          <w:color w:val="000000"/>
          <w:sz w:val="24"/>
          <w:szCs w:val="24"/>
          <w:lang w:eastAsia="da-DK"/>
        </w:rPr>
        <w:t xml:space="preserve">Undgå kontakt med hud, øjne og slimhinder. 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r w:rsidRPr="007C045E">
        <w:rPr>
          <w:color w:val="000000"/>
          <w:sz w:val="24"/>
          <w:szCs w:val="24"/>
          <w:lang w:eastAsia="da-DK"/>
        </w:rPr>
        <w:t xml:space="preserve">Efter eksponering skal den eksponerede hud straks vaskes med rigelige mængder vand. 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r w:rsidRPr="007C045E">
        <w:rPr>
          <w:color w:val="000000"/>
          <w:sz w:val="24"/>
          <w:szCs w:val="24"/>
          <w:lang w:eastAsia="da-DK"/>
        </w:rPr>
        <w:t>Fjern forurenet beklædning, som er i direkte kontakt med huden.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r w:rsidRPr="007C045E">
        <w:rPr>
          <w:color w:val="000000"/>
          <w:sz w:val="24"/>
          <w:szCs w:val="24"/>
          <w:lang w:eastAsia="da-DK"/>
        </w:rPr>
        <w:t xml:space="preserve">I tilfælde af kontakt med øjnene ved hændeligt uheld skal der skylles grundigt med frisk vand. Hvis der opstår symptomer, skal der søges lægehjælp. 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r w:rsidRPr="007C045E">
        <w:rPr>
          <w:color w:val="000000"/>
          <w:sz w:val="24"/>
          <w:szCs w:val="24"/>
          <w:lang w:eastAsia="da-DK"/>
        </w:rPr>
        <w:t>Hvis gravide kvinder håndterer præparatet, skal der udvises særlig forsigtighed, så der ikke selvinjiceres, da der kan opstå livmodersammentrækninger og nedsat blodtryk hos fosteret efter systemisk eksponering ved hændeligt uheld.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bookmarkStart w:id="8" w:name="_Hlk485110639"/>
    </w:p>
    <w:p w:rsidR="00FD4722" w:rsidRPr="007C045E" w:rsidRDefault="00FD4722" w:rsidP="00FD4722">
      <w:pPr>
        <w:ind w:left="851"/>
        <w:rPr>
          <w:color w:val="000000"/>
          <w:sz w:val="24"/>
          <w:szCs w:val="24"/>
          <w:u w:val="single"/>
          <w:lang w:eastAsia="da-DK"/>
        </w:rPr>
      </w:pPr>
      <w:bookmarkStart w:id="9" w:name="_Hlk484679839"/>
      <w:bookmarkEnd w:id="8"/>
      <w:r>
        <w:rPr>
          <w:color w:val="000000"/>
          <w:sz w:val="24"/>
          <w:szCs w:val="24"/>
          <w:u w:val="single"/>
          <w:lang w:eastAsia="da-DK"/>
        </w:rPr>
        <w:t>Til lægen</w:t>
      </w:r>
    </w:p>
    <w:p w:rsidR="00FD4722" w:rsidRPr="007C045E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proofErr w:type="spellStart"/>
      <w:r w:rsidRPr="007C045E">
        <w:rPr>
          <w:color w:val="000000"/>
          <w:sz w:val="24"/>
          <w:szCs w:val="24"/>
          <w:lang w:eastAsia="da-DK"/>
        </w:rPr>
        <w:t>Romifidin</w:t>
      </w:r>
      <w:proofErr w:type="spellEnd"/>
      <w:r w:rsidRPr="007C045E">
        <w:rPr>
          <w:color w:val="000000"/>
          <w:sz w:val="24"/>
          <w:szCs w:val="24"/>
          <w:lang w:eastAsia="da-DK"/>
        </w:rPr>
        <w:t xml:space="preserve"> er </w:t>
      </w:r>
      <w:proofErr w:type="gramStart"/>
      <w:r w:rsidRPr="007C045E">
        <w:rPr>
          <w:color w:val="000000"/>
          <w:sz w:val="24"/>
          <w:szCs w:val="24"/>
          <w:lang w:eastAsia="da-DK"/>
        </w:rPr>
        <w:t>en alfa</w:t>
      </w:r>
      <w:proofErr w:type="gramEnd"/>
      <w:r w:rsidRPr="007C045E">
        <w:rPr>
          <w:color w:val="000000"/>
          <w:sz w:val="24"/>
          <w:szCs w:val="24"/>
          <w:lang w:eastAsia="da-DK"/>
        </w:rPr>
        <w:noBreakHyphen/>
        <w:t xml:space="preserve">2-adrenoreceptoragonist, og symptomer efter absorption kan omfatte kliniske virkninger, herunder dosisafhængig </w:t>
      </w:r>
      <w:proofErr w:type="spellStart"/>
      <w:r w:rsidRPr="007C045E">
        <w:rPr>
          <w:color w:val="000000"/>
          <w:sz w:val="24"/>
          <w:szCs w:val="24"/>
          <w:lang w:eastAsia="da-DK"/>
        </w:rPr>
        <w:t>sedering</w:t>
      </w:r>
      <w:proofErr w:type="spellEnd"/>
      <w:r w:rsidRPr="007C045E">
        <w:rPr>
          <w:color w:val="000000"/>
          <w:sz w:val="24"/>
          <w:szCs w:val="24"/>
          <w:lang w:eastAsia="da-DK"/>
        </w:rPr>
        <w:t xml:space="preserve">, respirationsundertrykkelse, bradykardi, hypotension, mundtørhed og </w:t>
      </w:r>
      <w:proofErr w:type="spellStart"/>
      <w:r w:rsidRPr="007C045E">
        <w:rPr>
          <w:color w:val="000000"/>
          <w:sz w:val="24"/>
          <w:szCs w:val="24"/>
          <w:lang w:eastAsia="da-DK"/>
        </w:rPr>
        <w:t>hyperglykæmi</w:t>
      </w:r>
      <w:proofErr w:type="spellEnd"/>
      <w:r w:rsidRPr="007C045E">
        <w:rPr>
          <w:color w:val="000000"/>
          <w:sz w:val="24"/>
          <w:szCs w:val="24"/>
          <w:lang w:eastAsia="da-DK"/>
        </w:rPr>
        <w:t xml:space="preserve">. Der er også blevet rapporteret </w:t>
      </w:r>
      <w:proofErr w:type="spellStart"/>
      <w:r w:rsidRPr="007C045E">
        <w:rPr>
          <w:color w:val="000000"/>
          <w:sz w:val="24"/>
          <w:szCs w:val="24"/>
          <w:lang w:eastAsia="da-DK"/>
        </w:rPr>
        <w:t>ventrikulære</w:t>
      </w:r>
      <w:proofErr w:type="spellEnd"/>
      <w:r w:rsidRPr="007C045E">
        <w:rPr>
          <w:color w:val="000000"/>
          <w:sz w:val="24"/>
          <w:szCs w:val="24"/>
          <w:lang w:eastAsia="da-DK"/>
        </w:rPr>
        <w:t xml:space="preserve"> </w:t>
      </w:r>
      <w:proofErr w:type="spellStart"/>
      <w:r w:rsidRPr="007C045E">
        <w:rPr>
          <w:color w:val="000000"/>
          <w:sz w:val="24"/>
          <w:szCs w:val="24"/>
          <w:lang w:eastAsia="da-DK"/>
        </w:rPr>
        <w:t>arytmier</w:t>
      </w:r>
      <w:proofErr w:type="spellEnd"/>
      <w:r w:rsidRPr="007C045E">
        <w:rPr>
          <w:color w:val="000000"/>
          <w:sz w:val="24"/>
          <w:szCs w:val="24"/>
          <w:lang w:eastAsia="da-DK"/>
        </w:rPr>
        <w:t xml:space="preserve">. Symptomer i luftvejene og </w:t>
      </w:r>
      <w:proofErr w:type="spellStart"/>
      <w:r w:rsidRPr="007C045E">
        <w:rPr>
          <w:color w:val="000000"/>
          <w:sz w:val="24"/>
          <w:szCs w:val="24"/>
          <w:lang w:eastAsia="da-DK"/>
        </w:rPr>
        <w:t>hæmodynamiske</w:t>
      </w:r>
      <w:proofErr w:type="spellEnd"/>
      <w:r w:rsidRPr="007C045E">
        <w:rPr>
          <w:color w:val="000000"/>
          <w:sz w:val="24"/>
          <w:szCs w:val="24"/>
          <w:lang w:eastAsia="da-DK"/>
        </w:rPr>
        <w:t xml:space="preserve"> symptomer bør behandles symptomatisk.</w:t>
      </w:r>
    </w:p>
    <w:bookmarkEnd w:id="9"/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FD4722" w:rsidRPr="00961497" w:rsidRDefault="00FD4722" w:rsidP="00FD4722">
      <w:pPr>
        <w:tabs>
          <w:tab w:val="left" w:pos="567"/>
        </w:tabs>
        <w:ind w:left="851"/>
        <w:rPr>
          <w:color w:val="000000"/>
          <w:sz w:val="24"/>
          <w:szCs w:val="24"/>
          <w:lang w:eastAsia="da-DK"/>
        </w:rPr>
      </w:pPr>
      <w:bookmarkStart w:id="10" w:name="_Hlk513447720"/>
      <w:bookmarkStart w:id="11" w:name="_Hlk479256932"/>
      <w:bookmarkStart w:id="12" w:name="_Hlk505257802"/>
      <w:r w:rsidRPr="00961497">
        <w:rPr>
          <w:color w:val="000000"/>
          <w:sz w:val="24"/>
          <w:szCs w:val="24"/>
          <w:lang w:eastAsia="da-DK"/>
        </w:rPr>
        <w:t>Som for andre veterinærlægemidler i denne klasse kan de følgende uønskede hændelser opstå</w:t>
      </w:r>
      <w:bookmarkEnd w:id="10"/>
      <w:r w:rsidRPr="00961497">
        <w:rPr>
          <w:color w:val="000000"/>
          <w:sz w:val="24"/>
          <w:szCs w:val="24"/>
          <w:lang w:eastAsia="da-DK"/>
        </w:rPr>
        <w:t>: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>Bradykardi, som kan være udtalt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lastRenderedPageBreak/>
        <w:t xml:space="preserve">Godartede, reversible </w:t>
      </w:r>
      <w:proofErr w:type="spellStart"/>
      <w:r w:rsidRPr="00961497">
        <w:rPr>
          <w:color w:val="000000"/>
          <w:sz w:val="24"/>
          <w:szCs w:val="24"/>
          <w:lang w:eastAsia="da-DK"/>
        </w:rPr>
        <w:t>hjertearytmier</w:t>
      </w:r>
      <w:proofErr w:type="spellEnd"/>
      <w:r w:rsidRPr="00961497">
        <w:rPr>
          <w:color w:val="000000"/>
          <w:sz w:val="24"/>
          <w:szCs w:val="24"/>
          <w:lang w:eastAsia="da-DK"/>
        </w:rPr>
        <w:t xml:space="preserve"> (</w:t>
      </w:r>
      <w:proofErr w:type="spellStart"/>
      <w:r w:rsidRPr="00961497">
        <w:rPr>
          <w:color w:val="000000"/>
          <w:sz w:val="24"/>
          <w:szCs w:val="24"/>
          <w:lang w:eastAsia="da-DK"/>
        </w:rPr>
        <w:t>andengrads</w:t>
      </w:r>
      <w:proofErr w:type="spellEnd"/>
      <w:r w:rsidRPr="00961497">
        <w:rPr>
          <w:color w:val="000000"/>
          <w:sz w:val="24"/>
          <w:szCs w:val="24"/>
          <w:lang w:eastAsia="da-DK"/>
        </w:rPr>
        <w:t xml:space="preserve"> AV-blok og i mindre grad </w:t>
      </w:r>
      <w:proofErr w:type="spellStart"/>
      <w:r w:rsidRPr="00961497">
        <w:rPr>
          <w:color w:val="000000"/>
          <w:sz w:val="24"/>
          <w:szCs w:val="24"/>
          <w:lang w:eastAsia="da-DK"/>
        </w:rPr>
        <w:t>sino</w:t>
      </w:r>
      <w:r w:rsidRPr="00961497">
        <w:rPr>
          <w:color w:val="000000"/>
          <w:sz w:val="24"/>
          <w:szCs w:val="24"/>
          <w:lang w:eastAsia="da-DK"/>
        </w:rPr>
        <w:noBreakHyphen/>
        <w:t>atrialt</w:t>
      </w:r>
      <w:proofErr w:type="spellEnd"/>
      <w:r w:rsidRPr="00961497">
        <w:rPr>
          <w:color w:val="000000"/>
          <w:sz w:val="24"/>
          <w:szCs w:val="24"/>
          <w:lang w:eastAsia="da-DK"/>
        </w:rPr>
        <w:t xml:space="preserve"> blok)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>Hypotension, efter en kort periode med hypertension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>Ukoordinerede lemmer/</w:t>
      </w:r>
      <w:proofErr w:type="spellStart"/>
      <w:r w:rsidRPr="00961497">
        <w:rPr>
          <w:color w:val="000000"/>
          <w:sz w:val="24"/>
          <w:szCs w:val="24"/>
          <w:lang w:eastAsia="da-DK"/>
        </w:rPr>
        <w:t>ataksi</w:t>
      </w:r>
      <w:proofErr w:type="spellEnd"/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>Svedtendens og øget spytdannelse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proofErr w:type="spellStart"/>
      <w:r w:rsidRPr="00961497">
        <w:rPr>
          <w:color w:val="000000"/>
          <w:sz w:val="24"/>
          <w:szCs w:val="24"/>
          <w:lang w:eastAsia="da-DK"/>
        </w:rPr>
        <w:t>Hyperglykæmi</w:t>
      </w:r>
      <w:proofErr w:type="spellEnd"/>
      <w:r w:rsidRPr="00961497">
        <w:rPr>
          <w:color w:val="000000"/>
          <w:sz w:val="24"/>
          <w:szCs w:val="24"/>
          <w:lang w:eastAsia="da-DK"/>
        </w:rPr>
        <w:t xml:space="preserve"> og diurese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 xml:space="preserve">Hos hingste og vallakker kan der opstå et reversibelt, delvist </w:t>
      </w:r>
      <w:proofErr w:type="spellStart"/>
      <w:r w:rsidRPr="00961497">
        <w:rPr>
          <w:color w:val="000000"/>
          <w:sz w:val="24"/>
          <w:szCs w:val="24"/>
          <w:lang w:eastAsia="da-DK"/>
        </w:rPr>
        <w:t>penilt</w:t>
      </w:r>
      <w:proofErr w:type="spellEnd"/>
      <w:r w:rsidRPr="00961497">
        <w:rPr>
          <w:color w:val="000000"/>
          <w:sz w:val="24"/>
          <w:szCs w:val="24"/>
          <w:lang w:eastAsia="da-DK"/>
        </w:rPr>
        <w:t xml:space="preserve"> prolaps.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>Øget følsomhed i bagbenene (defensive bevægelser)</w:t>
      </w:r>
    </w:p>
    <w:p w:rsidR="00FD4722" w:rsidRPr="00961497" w:rsidRDefault="00FD4722" w:rsidP="00FD4722">
      <w:pPr>
        <w:numPr>
          <w:ilvl w:val="0"/>
          <w:numId w:val="4"/>
        </w:numPr>
        <w:ind w:left="1134" w:hanging="283"/>
        <w:contextualSpacing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 xml:space="preserve">I meget sjældne tilfælde lette koliksymptomer, da </w:t>
      </w:r>
      <w:proofErr w:type="spellStart"/>
      <w:r w:rsidRPr="00961497">
        <w:rPr>
          <w:color w:val="000000"/>
          <w:sz w:val="24"/>
          <w:szCs w:val="24"/>
          <w:lang w:eastAsia="da-DK"/>
        </w:rPr>
        <w:t>tarmmotiliteten</w:t>
      </w:r>
      <w:proofErr w:type="spellEnd"/>
      <w:r w:rsidRPr="00961497">
        <w:rPr>
          <w:color w:val="000000"/>
          <w:sz w:val="24"/>
          <w:szCs w:val="24"/>
          <w:lang w:eastAsia="da-DK"/>
        </w:rPr>
        <w:t xml:space="preserve"> midlertidigt er hæmmet.</w:t>
      </w:r>
    </w:p>
    <w:p w:rsidR="00FD4722" w:rsidRPr="00961497" w:rsidRDefault="00FD4722" w:rsidP="00FD4722">
      <w:pPr>
        <w:tabs>
          <w:tab w:val="left" w:pos="567"/>
        </w:tabs>
        <w:ind w:left="851"/>
        <w:rPr>
          <w:color w:val="000000"/>
          <w:sz w:val="24"/>
          <w:szCs w:val="24"/>
          <w:lang w:eastAsia="da-DK"/>
        </w:rPr>
      </w:pPr>
      <w:r w:rsidRPr="00961497">
        <w:rPr>
          <w:color w:val="000000"/>
          <w:sz w:val="24"/>
          <w:szCs w:val="24"/>
          <w:lang w:eastAsia="da-DK"/>
        </w:rPr>
        <w:t>Overfølsomhed kan forekomme i meget sjældne tilfælde.</w:t>
      </w:r>
    </w:p>
    <w:p w:rsidR="00FD4722" w:rsidRPr="00961497" w:rsidRDefault="00FD4722" w:rsidP="00FD4722">
      <w:pPr>
        <w:ind w:left="851"/>
        <w:rPr>
          <w:color w:val="000000"/>
          <w:sz w:val="24"/>
          <w:szCs w:val="24"/>
          <w:lang w:eastAsia="da-DK"/>
        </w:rPr>
      </w:pPr>
    </w:p>
    <w:p w:rsidR="00FD4722" w:rsidRPr="00961497" w:rsidRDefault="00FD4722" w:rsidP="00FD4722">
      <w:pPr>
        <w:tabs>
          <w:tab w:val="left" w:pos="567"/>
        </w:tabs>
        <w:ind w:left="851"/>
        <w:rPr>
          <w:bCs/>
          <w:iCs/>
          <w:sz w:val="24"/>
          <w:szCs w:val="24"/>
          <w:lang w:eastAsia="da-DK"/>
        </w:rPr>
      </w:pPr>
      <w:r w:rsidRPr="00961497">
        <w:rPr>
          <w:sz w:val="24"/>
          <w:szCs w:val="24"/>
          <w:lang w:eastAsia="da-DK"/>
        </w:rPr>
        <w:t xml:space="preserve">Hyppigheden af bivirkninger er defineret som: </w:t>
      </w:r>
    </w:p>
    <w:p w:rsidR="00FD4722" w:rsidRPr="00961497" w:rsidRDefault="00FD4722" w:rsidP="00FD4722">
      <w:pPr>
        <w:tabs>
          <w:tab w:val="left" w:pos="567"/>
        </w:tabs>
        <w:ind w:left="1134" w:hanging="283"/>
        <w:rPr>
          <w:bCs/>
          <w:iCs/>
          <w:sz w:val="24"/>
          <w:szCs w:val="24"/>
          <w:lang w:eastAsia="da-DK"/>
        </w:rPr>
      </w:pPr>
      <w:r w:rsidRPr="00961497"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961497">
        <w:rPr>
          <w:sz w:val="24"/>
          <w:szCs w:val="24"/>
          <w:lang w:eastAsia="da-DK"/>
        </w:rPr>
        <w:t xml:space="preserve">Meget almindelig (flere end 1 ud af 10 behandlede dyr, der viser bivirkninger i løbet af en behandling) </w:t>
      </w:r>
    </w:p>
    <w:p w:rsidR="00FD4722" w:rsidRPr="00961497" w:rsidRDefault="00FD4722" w:rsidP="00FD4722">
      <w:pPr>
        <w:tabs>
          <w:tab w:val="left" w:pos="567"/>
        </w:tabs>
        <w:ind w:left="1134" w:hanging="283"/>
        <w:rPr>
          <w:bCs/>
          <w:iCs/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961497">
        <w:rPr>
          <w:sz w:val="24"/>
          <w:szCs w:val="24"/>
          <w:lang w:eastAsia="da-DK"/>
        </w:rPr>
        <w:t xml:space="preserve">Almindelige (flere end 1, men færre end 10 dyr af 100 behandlede dyr) </w:t>
      </w:r>
    </w:p>
    <w:p w:rsidR="00FD4722" w:rsidRPr="00961497" w:rsidRDefault="00FD4722" w:rsidP="00FD4722">
      <w:pPr>
        <w:tabs>
          <w:tab w:val="left" w:pos="567"/>
        </w:tabs>
        <w:ind w:left="1134" w:hanging="283"/>
        <w:rPr>
          <w:bCs/>
          <w:iCs/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961497">
        <w:rPr>
          <w:sz w:val="24"/>
          <w:szCs w:val="24"/>
          <w:lang w:eastAsia="da-DK"/>
        </w:rPr>
        <w:t xml:space="preserve">Ikke almindelige (flere end 1, men færre end 10 dyr af 1.000 behandlede dyr) </w:t>
      </w:r>
    </w:p>
    <w:p w:rsidR="00FD4722" w:rsidRPr="00961497" w:rsidRDefault="00FD4722" w:rsidP="00FD4722">
      <w:pPr>
        <w:tabs>
          <w:tab w:val="left" w:pos="567"/>
        </w:tabs>
        <w:ind w:left="1134" w:hanging="283"/>
        <w:rPr>
          <w:bCs/>
          <w:iCs/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961497">
        <w:rPr>
          <w:sz w:val="24"/>
          <w:szCs w:val="24"/>
          <w:lang w:eastAsia="da-DK"/>
        </w:rPr>
        <w:t xml:space="preserve">Sjældne (flere end 1, men færre end 10 dyr ud af 10.000 behandlede dyr) </w:t>
      </w:r>
    </w:p>
    <w:p w:rsidR="00FD4722" w:rsidRPr="00406EE7" w:rsidRDefault="00FD4722" w:rsidP="00FD4722">
      <w:pPr>
        <w:ind w:left="1134" w:hanging="283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-</w:t>
      </w:r>
      <w:r>
        <w:rPr>
          <w:sz w:val="24"/>
          <w:szCs w:val="24"/>
          <w:lang w:eastAsia="da-DK"/>
        </w:rPr>
        <w:tab/>
      </w:r>
      <w:r w:rsidRPr="00961497">
        <w:rPr>
          <w:sz w:val="24"/>
          <w:szCs w:val="24"/>
          <w:lang w:eastAsia="da-DK"/>
        </w:rPr>
        <w:t>Meget sjælden (færre end 1 dyr ud af 10.000 behandlede dyr, herunder isolerede rapporter)</w:t>
      </w:r>
      <w:bookmarkEnd w:id="11"/>
      <w:bookmarkEnd w:id="12"/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FD4722" w:rsidRPr="00406EE7" w:rsidRDefault="00FD4722" w:rsidP="00FD4722">
      <w:pPr>
        <w:ind w:left="851"/>
        <w:rPr>
          <w:sz w:val="24"/>
          <w:szCs w:val="24"/>
          <w:lang w:eastAsia="da-DK"/>
        </w:rPr>
      </w:pPr>
      <w:r w:rsidRPr="00A11A16">
        <w:rPr>
          <w:sz w:val="24"/>
          <w:szCs w:val="24"/>
          <w:lang w:eastAsia="da-DK"/>
        </w:rPr>
        <w:t>Bør ikke anvendes i løbet af den sidste drægtighedsmåned.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FD4722" w:rsidRPr="008149C1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  <w:bookmarkStart w:id="13" w:name="_Hlk479257157"/>
      <w:r w:rsidRPr="008149C1">
        <w:rPr>
          <w:sz w:val="24"/>
          <w:szCs w:val="24"/>
          <w:lang w:eastAsia="da-DK"/>
        </w:rPr>
        <w:t xml:space="preserve">Den sederende virkning af veterinærlægemidlet kan potenseres af andre psykoaktive stoffer, såsom beroligende midler, andre sederende midler eller morfinlignende </w:t>
      </w:r>
      <w:proofErr w:type="spellStart"/>
      <w:r w:rsidRPr="008149C1">
        <w:rPr>
          <w:sz w:val="24"/>
          <w:szCs w:val="24"/>
          <w:lang w:eastAsia="da-DK"/>
        </w:rPr>
        <w:t>analgetika</w:t>
      </w:r>
      <w:proofErr w:type="spellEnd"/>
      <w:r w:rsidRPr="008149C1">
        <w:rPr>
          <w:sz w:val="24"/>
          <w:szCs w:val="24"/>
          <w:lang w:eastAsia="da-DK"/>
        </w:rPr>
        <w:t xml:space="preserve">, og derfor reducere den nødvendige dosis af efterfølgende </w:t>
      </w:r>
      <w:proofErr w:type="spellStart"/>
      <w:r w:rsidRPr="008149C1">
        <w:rPr>
          <w:sz w:val="24"/>
          <w:szCs w:val="24"/>
          <w:lang w:eastAsia="da-DK"/>
        </w:rPr>
        <w:t>anæstetika</w:t>
      </w:r>
      <w:proofErr w:type="spellEnd"/>
      <w:r w:rsidRPr="008149C1">
        <w:rPr>
          <w:sz w:val="24"/>
          <w:szCs w:val="24"/>
          <w:lang w:eastAsia="da-DK"/>
        </w:rPr>
        <w:t>.</w:t>
      </w:r>
    </w:p>
    <w:p w:rsidR="00FD4722" w:rsidRPr="008149C1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FD4722" w:rsidRPr="008149C1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  <w:r w:rsidRPr="008149C1">
        <w:rPr>
          <w:sz w:val="24"/>
          <w:szCs w:val="24"/>
          <w:lang w:eastAsia="da-DK"/>
        </w:rPr>
        <w:t>Samtidig intravenøs anvendelse af potenserende sulfonamider med alfa</w:t>
      </w:r>
      <w:r w:rsidRPr="008149C1">
        <w:rPr>
          <w:sz w:val="24"/>
          <w:szCs w:val="24"/>
          <w:lang w:eastAsia="da-DK"/>
        </w:rPr>
        <w:noBreakHyphen/>
        <w:t xml:space="preserve">2-agonister er blevet rapporteret til at forårsage </w:t>
      </w:r>
      <w:proofErr w:type="spellStart"/>
      <w:r w:rsidRPr="008149C1">
        <w:rPr>
          <w:sz w:val="24"/>
          <w:szCs w:val="24"/>
          <w:lang w:eastAsia="da-DK"/>
        </w:rPr>
        <w:t>hjertearytmier</w:t>
      </w:r>
      <w:proofErr w:type="spellEnd"/>
      <w:r w:rsidRPr="008149C1">
        <w:rPr>
          <w:sz w:val="24"/>
          <w:szCs w:val="24"/>
          <w:lang w:eastAsia="da-DK"/>
        </w:rPr>
        <w:t xml:space="preserve">, som kan være dødelige. Intravenøs administration af præparater, der indeholder TMP/S, er derfor kontraindiceret, når hestene er blevet sederet med </w:t>
      </w:r>
      <w:proofErr w:type="spellStart"/>
      <w:r w:rsidRPr="008149C1">
        <w:rPr>
          <w:sz w:val="24"/>
          <w:szCs w:val="24"/>
          <w:lang w:eastAsia="da-DK"/>
        </w:rPr>
        <w:t>romifidin</w:t>
      </w:r>
      <w:proofErr w:type="spellEnd"/>
      <w:r w:rsidRPr="008149C1">
        <w:rPr>
          <w:sz w:val="24"/>
          <w:szCs w:val="24"/>
          <w:lang w:eastAsia="da-DK"/>
        </w:rPr>
        <w:t>.</w:t>
      </w:r>
    </w:p>
    <w:p w:rsidR="00FD4722" w:rsidRPr="008149C1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FD4722" w:rsidRPr="008149C1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  <w:r w:rsidRPr="008149C1">
        <w:rPr>
          <w:sz w:val="24"/>
          <w:szCs w:val="24"/>
          <w:lang w:eastAsia="da-DK"/>
        </w:rPr>
        <w:t xml:space="preserve">Samtidig anvendelse af </w:t>
      </w:r>
      <w:proofErr w:type="spellStart"/>
      <w:r w:rsidRPr="008149C1">
        <w:rPr>
          <w:sz w:val="24"/>
          <w:szCs w:val="24"/>
          <w:lang w:eastAsia="da-DK"/>
        </w:rPr>
        <w:t>romifidin</w:t>
      </w:r>
      <w:proofErr w:type="spellEnd"/>
      <w:r w:rsidRPr="008149C1">
        <w:rPr>
          <w:sz w:val="24"/>
          <w:szCs w:val="24"/>
          <w:lang w:eastAsia="da-DK"/>
        </w:rPr>
        <w:t xml:space="preserve"> og </w:t>
      </w:r>
      <w:proofErr w:type="spellStart"/>
      <w:r w:rsidRPr="008149C1">
        <w:rPr>
          <w:sz w:val="24"/>
          <w:szCs w:val="24"/>
          <w:lang w:eastAsia="da-DK"/>
        </w:rPr>
        <w:t>phenothiaziner</w:t>
      </w:r>
      <w:proofErr w:type="spellEnd"/>
      <w:r w:rsidRPr="008149C1">
        <w:rPr>
          <w:sz w:val="24"/>
          <w:szCs w:val="24"/>
          <w:lang w:eastAsia="da-DK"/>
        </w:rPr>
        <w:t xml:space="preserve"> (f.eks. </w:t>
      </w:r>
      <w:proofErr w:type="spellStart"/>
      <w:r w:rsidRPr="008149C1">
        <w:rPr>
          <w:sz w:val="24"/>
          <w:szCs w:val="24"/>
          <w:lang w:eastAsia="da-DK"/>
        </w:rPr>
        <w:t>acepromazin</w:t>
      </w:r>
      <w:proofErr w:type="spellEnd"/>
      <w:r w:rsidRPr="008149C1">
        <w:rPr>
          <w:sz w:val="24"/>
          <w:szCs w:val="24"/>
          <w:lang w:eastAsia="da-DK"/>
        </w:rPr>
        <w:t>) kan føre til svær hypotension.</w:t>
      </w:r>
    </w:p>
    <w:p w:rsidR="00FD4722" w:rsidRDefault="00FD4722" w:rsidP="00CD445F">
      <w:pPr>
        <w:tabs>
          <w:tab w:val="left" w:pos="567"/>
        </w:tabs>
        <w:ind w:left="851"/>
        <w:rPr>
          <w:sz w:val="24"/>
          <w:szCs w:val="24"/>
          <w:lang w:eastAsia="da-DK"/>
        </w:rPr>
      </w:pPr>
      <w:bookmarkStart w:id="14" w:name="_Hlk513449082"/>
      <w:r w:rsidRPr="008149C1">
        <w:rPr>
          <w:sz w:val="24"/>
          <w:szCs w:val="24"/>
          <w:lang w:eastAsia="da-DK"/>
        </w:rPr>
        <w:t>Præparatet bør ikke anvendes i forbindelse med andre stoffer, som tilhører den samme farmakologiske klasse (</w:t>
      </w:r>
      <w:proofErr w:type="spellStart"/>
      <w:r w:rsidRPr="008149C1">
        <w:rPr>
          <w:sz w:val="24"/>
          <w:szCs w:val="24"/>
          <w:lang w:eastAsia="da-DK"/>
        </w:rPr>
        <w:t>sympatikomimetiske</w:t>
      </w:r>
      <w:proofErr w:type="spellEnd"/>
      <w:r w:rsidRPr="008149C1">
        <w:rPr>
          <w:sz w:val="24"/>
          <w:szCs w:val="24"/>
          <w:lang w:eastAsia="da-DK"/>
        </w:rPr>
        <w:t xml:space="preserve"> </w:t>
      </w:r>
      <w:proofErr w:type="spellStart"/>
      <w:r w:rsidRPr="008149C1">
        <w:rPr>
          <w:sz w:val="24"/>
          <w:szCs w:val="24"/>
          <w:lang w:eastAsia="da-DK"/>
        </w:rPr>
        <w:t>aminer</w:t>
      </w:r>
      <w:proofErr w:type="spellEnd"/>
      <w:r w:rsidRPr="008149C1">
        <w:rPr>
          <w:sz w:val="24"/>
          <w:szCs w:val="24"/>
          <w:lang w:eastAsia="da-DK"/>
        </w:rPr>
        <w:t>, herunder alfa</w:t>
      </w:r>
      <w:r w:rsidRPr="008149C1">
        <w:rPr>
          <w:sz w:val="24"/>
          <w:szCs w:val="24"/>
          <w:lang w:eastAsia="da-DK"/>
        </w:rPr>
        <w:noBreakHyphen/>
        <w:t xml:space="preserve">2-agonister, såsom </w:t>
      </w:r>
      <w:proofErr w:type="spellStart"/>
      <w:r w:rsidRPr="008149C1">
        <w:rPr>
          <w:sz w:val="24"/>
          <w:szCs w:val="24"/>
          <w:lang w:eastAsia="da-DK"/>
        </w:rPr>
        <w:t>xylazin</w:t>
      </w:r>
      <w:proofErr w:type="spellEnd"/>
      <w:r w:rsidRPr="008149C1">
        <w:rPr>
          <w:sz w:val="24"/>
          <w:szCs w:val="24"/>
          <w:lang w:eastAsia="da-DK"/>
        </w:rPr>
        <w:t xml:space="preserve">, </w:t>
      </w:r>
      <w:proofErr w:type="spellStart"/>
      <w:r w:rsidRPr="008149C1">
        <w:rPr>
          <w:sz w:val="24"/>
          <w:szCs w:val="24"/>
          <w:lang w:eastAsia="da-DK"/>
        </w:rPr>
        <w:t>detomidin</w:t>
      </w:r>
      <w:proofErr w:type="spellEnd"/>
      <w:r w:rsidRPr="008149C1">
        <w:rPr>
          <w:sz w:val="24"/>
          <w:szCs w:val="24"/>
          <w:lang w:eastAsia="da-DK"/>
        </w:rPr>
        <w:t>).</w:t>
      </w:r>
      <w:bookmarkEnd w:id="13"/>
      <w:bookmarkEnd w:id="14"/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  <w:bookmarkStart w:id="15" w:name="_Hlk483919367"/>
      <w:bookmarkStart w:id="16" w:name="_Hlk479256714"/>
      <w:r w:rsidRPr="00CF7518">
        <w:rPr>
          <w:sz w:val="24"/>
          <w:szCs w:val="24"/>
          <w:lang w:eastAsia="da-DK"/>
        </w:rPr>
        <w:t>Intravenøs anvendelse.</w:t>
      </w:r>
    </w:p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  <w:r w:rsidRPr="00CF7518">
        <w:rPr>
          <w:sz w:val="24"/>
          <w:szCs w:val="24"/>
          <w:lang w:eastAsia="da-DK"/>
        </w:rPr>
        <w:t>Et dosisinterval fra 0,04</w:t>
      </w:r>
      <w:r w:rsidRPr="00CF7518">
        <w:rPr>
          <w:sz w:val="24"/>
          <w:szCs w:val="24"/>
          <w:lang w:eastAsia="da-DK"/>
        </w:rPr>
        <w:noBreakHyphen/>
        <w:t xml:space="preserve">0,12 mg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</w:t>
      </w:r>
      <w:proofErr w:type="spellStart"/>
      <w:r w:rsidRPr="00CF7518">
        <w:rPr>
          <w:sz w:val="24"/>
          <w:szCs w:val="24"/>
          <w:lang w:eastAsia="da-DK"/>
        </w:rPr>
        <w:t>HCl</w:t>
      </w:r>
      <w:proofErr w:type="spellEnd"/>
      <w:r w:rsidRPr="00CF7518">
        <w:rPr>
          <w:sz w:val="24"/>
          <w:szCs w:val="24"/>
          <w:lang w:eastAsia="da-DK"/>
        </w:rPr>
        <w:t>/kg legemsvægt (0,4</w:t>
      </w:r>
      <w:r w:rsidRPr="00CF7518">
        <w:rPr>
          <w:sz w:val="24"/>
          <w:szCs w:val="24"/>
          <w:lang w:eastAsia="da-DK"/>
        </w:rPr>
        <w:noBreakHyphen/>
        <w:t>1,2 ml præparat/100 kg legemsvægt) giver et dosisrelateret respons.</w:t>
      </w:r>
    </w:p>
    <w:p w:rsidR="00FD4722" w:rsidRPr="00CF7518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  <w:r w:rsidRPr="00CF7518">
        <w:rPr>
          <w:sz w:val="24"/>
          <w:szCs w:val="24"/>
          <w:lang w:eastAsia="da-DK"/>
        </w:rPr>
        <w:t>Præparatet begynder at virke, uafhængigt af dosis, efter 1</w:t>
      </w:r>
      <w:r w:rsidRPr="00CF7518">
        <w:rPr>
          <w:sz w:val="24"/>
          <w:szCs w:val="24"/>
          <w:lang w:eastAsia="da-DK"/>
        </w:rPr>
        <w:noBreakHyphen/>
        <w:t xml:space="preserve">2 minutter. Maksimal </w:t>
      </w:r>
      <w:proofErr w:type="spellStart"/>
      <w:r w:rsidRPr="00CF7518">
        <w:rPr>
          <w:sz w:val="24"/>
          <w:szCs w:val="24"/>
          <w:lang w:eastAsia="da-DK"/>
        </w:rPr>
        <w:t>sedering</w:t>
      </w:r>
      <w:proofErr w:type="spellEnd"/>
      <w:r w:rsidRPr="00CF7518">
        <w:rPr>
          <w:sz w:val="24"/>
          <w:szCs w:val="24"/>
          <w:lang w:eastAsia="da-DK"/>
        </w:rPr>
        <w:t xml:space="preserve"> opnås efter 5</w:t>
      </w:r>
      <w:r w:rsidRPr="00CF7518">
        <w:rPr>
          <w:sz w:val="24"/>
          <w:szCs w:val="24"/>
          <w:lang w:eastAsia="da-DK"/>
        </w:rPr>
        <w:noBreakHyphen/>
        <w:t>10 minutter. Se tabellen nedenfor.</w:t>
      </w:r>
    </w:p>
    <w:p w:rsidR="00FD4722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CD445F" w:rsidRDefault="00CD445F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CD445F" w:rsidRDefault="00CD445F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CD445F" w:rsidRDefault="00CD445F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CD445F" w:rsidRPr="00CF7518" w:rsidRDefault="00CD445F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FD4722" w:rsidRPr="00CF7518" w:rsidRDefault="00FD4722" w:rsidP="00FD4722">
      <w:pPr>
        <w:ind w:left="851"/>
        <w:rPr>
          <w:b/>
          <w:sz w:val="24"/>
          <w:szCs w:val="24"/>
          <w:lang w:eastAsia="da-DK"/>
        </w:rPr>
      </w:pPr>
      <w:r w:rsidRPr="00CF7518">
        <w:rPr>
          <w:b/>
          <w:sz w:val="24"/>
          <w:szCs w:val="24"/>
          <w:lang w:eastAsia="da-DK"/>
        </w:rPr>
        <w:lastRenderedPageBreak/>
        <w:t>Anbefalet dosis</w:t>
      </w:r>
    </w:p>
    <w:p w:rsidR="00FD4722" w:rsidRPr="00CF7518" w:rsidRDefault="00FD4722" w:rsidP="00FD4722">
      <w:pPr>
        <w:ind w:left="851"/>
        <w:rPr>
          <w:b/>
          <w:sz w:val="24"/>
          <w:szCs w:val="24"/>
          <w:lang w:eastAsia="da-DK"/>
        </w:rPr>
      </w:pPr>
    </w:p>
    <w:p w:rsidR="00FD4722" w:rsidRPr="00CF7518" w:rsidRDefault="00FD4722" w:rsidP="00FD4722">
      <w:pPr>
        <w:ind w:left="851"/>
        <w:rPr>
          <w:sz w:val="24"/>
          <w:szCs w:val="24"/>
          <w:u w:val="single"/>
          <w:lang w:eastAsia="da-DK"/>
        </w:rPr>
      </w:pPr>
      <w:proofErr w:type="spellStart"/>
      <w:r w:rsidRPr="00CF7518">
        <w:rPr>
          <w:sz w:val="24"/>
          <w:szCs w:val="24"/>
          <w:u w:val="single"/>
          <w:lang w:eastAsia="da-DK"/>
        </w:rPr>
        <w:t>Sedering</w:t>
      </w:r>
      <w:proofErr w:type="spellEnd"/>
    </w:p>
    <w:p w:rsidR="00FD4722" w:rsidRPr="00CF7518" w:rsidRDefault="00FD4722" w:rsidP="00FD4722">
      <w:pPr>
        <w:ind w:left="851"/>
        <w:rPr>
          <w:b/>
          <w:i/>
          <w:sz w:val="24"/>
          <w:szCs w:val="24"/>
          <w:lang w:eastAsia="da-DK"/>
        </w:rPr>
      </w:pPr>
    </w:p>
    <w:tbl>
      <w:tblPr>
        <w:tblW w:w="8610" w:type="dxa"/>
        <w:tblInd w:w="84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2548"/>
        <w:gridCol w:w="2268"/>
      </w:tblGrid>
      <w:tr w:rsidR="00FD4722" w:rsidRPr="00CF7518" w:rsidTr="00AB5E79">
        <w:trPr>
          <w:trHeight w:val="600"/>
        </w:trPr>
        <w:tc>
          <w:tcPr>
            <w:tcW w:w="3794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34"/>
              <w:rPr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b/>
                <w:color w:val="000000"/>
                <w:sz w:val="24"/>
                <w:szCs w:val="24"/>
                <w:lang w:eastAsia="da-DK"/>
              </w:rPr>
              <w:t>Dosis</w:t>
            </w:r>
          </w:p>
        </w:tc>
        <w:tc>
          <w:tcPr>
            <w:tcW w:w="2548" w:type="dxa"/>
            <w:shd w:val="clear" w:color="auto" w:fill="ECECEC"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67"/>
              <w:rPr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CF7518">
              <w:rPr>
                <w:b/>
                <w:color w:val="000000"/>
                <w:sz w:val="24"/>
                <w:szCs w:val="24"/>
                <w:lang w:eastAsia="da-DK"/>
              </w:rPr>
              <w:t>Sederingsgrad</w:t>
            </w:r>
            <w:proofErr w:type="spellEnd"/>
          </w:p>
        </w:tc>
        <w:tc>
          <w:tcPr>
            <w:tcW w:w="2268" w:type="dxa"/>
            <w:shd w:val="clear" w:color="auto" w:fill="ECECEC"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70"/>
              <w:rPr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b/>
                <w:color w:val="000000"/>
                <w:sz w:val="24"/>
                <w:szCs w:val="24"/>
                <w:lang w:eastAsia="da-DK"/>
              </w:rPr>
              <w:t xml:space="preserve">Varighed af </w:t>
            </w:r>
            <w:proofErr w:type="spellStart"/>
            <w:r w:rsidRPr="00CF7518">
              <w:rPr>
                <w:b/>
                <w:color w:val="000000"/>
                <w:sz w:val="24"/>
                <w:szCs w:val="24"/>
                <w:lang w:eastAsia="da-DK"/>
              </w:rPr>
              <w:t>sedering</w:t>
            </w:r>
            <w:proofErr w:type="spellEnd"/>
          </w:p>
        </w:tc>
      </w:tr>
      <w:tr w:rsidR="00FD4722" w:rsidRPr="00CF7518" w:rsidTr="00AB5E79">
        <w:trPr>
          <w:trHeight w:val="300"/>
        </w:trPr>
        <w:tc>
          <w:tcPr>
            <w:tcW w:w="3794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34"/>
              <w:rPr>
                <w:b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0,04 mg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romifidin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HCl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>/kg legemsvægt</w:t>
            </w:r>
          </w:p>
          <w:p w:rsidR="00FD4722" w:rsidRPr="00CF7518" w:rsidRDefault="00FD4722" w:rsidP="00AB5E79">
            <w:pPr>
              <w:keepNext/>
              <w:tabs>
                <w:tab w:val="left" w:pos="567"/>
              </w:tabs>
              <w:ind w:left="34"/>
              <w:rPr>
                <w:b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(dvs. </w:t>
            </w:r>
            <w:r w:rsidRPr="00CF7518">
              <w:rPr>
                <w:b/>
                <w:color w:val="000000"/>
                <w:sz w:val="24"/>
                <w:szCs w:val="24"/>
                <w:lang w:eastAsia="da-DK"/>
              </w:rPr>
              <w:t>0,4 ml præparat/100 kg</w:t>
            </w: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legemsvægt)</w:t>
            </w:r>
          </w:p>
        </w:tc>
        <w:tc>
          <w:tcPr>
            <w:tcW w:w="2548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67"/>
              <w:rPr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>Let</w:t>
            </w:r>
          </w:p>
        </w:tc>
        <w:tc>
          <w:tcPr>
            <w:tcW w:w="2268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70"/>
              <w:rPr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>0,5</w:t>
            </w:r>
            <w:r w:rsidRPr="00CF7518">
              <w:rPr>
                <w:color w:val="000000"/>
                <w:sz w:val="24"/>
                <w:szCs w:val="24"/>
                <w:lang w:eastAsia="da-DK"/>
              </w:rPr>
              <w:noBreakHyphen/>
              <w:t>1 time</w:t>
            </w:r>
          </w:p>
        </w:tc>
      </w:tr>
      <w:tr w:rsidR="00FD4722" w:rsidRPr="00CF7518" w:rsidTr="00AB5E79">
        <w:trPr>
          <w:trHeight w:val="300"/>
        </w:trPr>
        <w:tc>
          <w:tcPr>
            <w:tcW w:w="3794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34"/>
              <w:rPr>
                <w:b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0,08 mg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romifidin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HCl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/kg legemsvægt </w:t>
            </w:r>
          </w:p>
          <w:p w:rsidR="00FD4722" w:rsidRPr="00CF7518" w:rsidRDefault="00FD4722" w:rsidP="00AB5E79">
            <w:pPr>
              <w:keepNext/>
              <w:tabs>
                <w:tab w:val="left" w:pos="567"/>
              </w:tabs>
              <w:ind w:left="34"/>
              <w:rPr>
                <w:b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(dvs. </w:t>
            </w:r>
            <w:r w:rsidRPr="00CF7518">
              <w:rPr>
                <w:b/>
                <w:color w:val="000000"/>
                <w:sz w:val="24"/>
                <w:szCs w:val="24"/>
                <w:lang w:eastAsia="da-DK"/>
              </w:rPr>
              <w:t>0,8 ml præparat/100 kg</w:t>
            </w: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legemsvægt)</w:t>
            </w:r>
          </w:p>
        </w:tc>
        <w:tc>
          <w:tcPr>
            <w:tcW w:w="2548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67"/>
              <w:rPr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sz w:val="24"/>
                <w:szCs w:val="24"/>
                <w:lang w:eastAsia="da-DK"/>
              </w:rPr>
              <w:t>Dyb</w:t>
            </w:r>
          </w:p>
        </w:tc>
        <w:tc>
          <w:tcPr>
            <w:tcW w:w="2268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70"/>
              <w:rPr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>0,5</w:t>
            </w:r>
            <w:r w:rsidRPr="00CF7518">
              <w:rPr>
                <w:color w:val="000000"/>
                <w:sz w:val="24"/>
                <w:szCs w:val="24"/>
                <w:lang w:eastAsia="da-DK"/>
              </w:rPr>
              <w:noBreakHyphen/>
              <w:t>1,5 time</w:t>
            </w:r>
          </w:p>
        </w:tc>
      </w:tr>
      <w:tr w:rsidR="00FD4722" w:rsidRPr="00CF7518" w:rsidTr="00AB5E79">
        <w:trPr>
          <w:trHeight w:val="300"/>
        </w:trPr>
        <w:tc>
          <w:tcPr>
            <w:tcW w:w="3794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34"/>
              <w:rPr>
                <w:b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0,12 mg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romifidin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HCl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>/kg legemsvægt</w:t>
            </w:r>
          </w:p>
          <w:p w:rsidR="00FD4722" w:rsidRPr="00CF7518" w:rsidRDefault="00FD4722" w:rsidP="00AB5E79">
            <w:pPr>
              <w:keepNext/>
              <w:tabs>
                <w:tab w:val="left" w:pos="567"/>
              </w:tabs>
              <w:ind w:left="34"/>
              <w:rPr>
                <w:b/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(dvs. </w:t>
            </w:r>
            <w:r w:rsidRPr="00CF7518">
              <w:rPr>
                <w:b/>
                <w:color w:val="000000"/>
                <w:sz w:val="24"/>
                <w:szCs w:val="24"/>
                <w:lang w:eastAsia="da-DK"/>
              </w:rPr>
              <w:t>1,2 ml præparat/100 kg</w:t>
            </w: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legemsvægt)</w:t>
            </w:r>
          </w:p>
        </w:tc>
        <w:tc>
          <w:tcPr>
            <w:tcW w:w="2548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67"/>
              <w:rPr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sz w:val="24"/>
                <w:szCs w:val="24"/>
                <w:lang w:eastAsia="da-DK"/>
              </w:rPr>
              <w:t xml:space="preserve">Dyb </w:t>
            </w:r>
            <w:proofErr w:type="spellStart"/>
            <w:r w:rsidRPr="00CF7518">
              <w:rPr>
                <w:sz w:val="24"/>
                <w:szCs w:val="24"/>
                <w:lang w:eastAsia="da-DK"/>
              </w:rPr>
              <w:t>sedering</w:t>
            </w:r>
            <w:proofErr w:type="spellEnd"/>
            <w:r w:rsidRPr="00CF7518">
              <w:rPr>
                <w:sz w:val="24"/>
                <w:szCs w:val="24"/>
                <w:lang w:eastAsia="da-DK"/>
              </w:rPr>
              <w:t>, der varer længe</w:t>
            </w:r>
          </w:p>
        </w:tc>
        <w:tc>
          <w:tcPr>
            <w:tcW w:w="2268" w:type="dxa"/>
            <w:shd w:val="clear" w:color="auto" w:fill="ECECEC"/>
            <w:noWrap/>
            <w:vAlign w:val="center"/>
            <w:hideMark/>
          </w:tcPr>
          <w:p w:rsidR="00FD4722" w:rsidRPr="00CF7518" w:rsidRDefault="00FD4722" w:rsidP="00AB5E79">
            <w:pPr>
              <w:keepNext/>
              <w:tabs>
                <w:tab w:val="left" w:pos="567"/>
              </w:tabs>
              <w:ind w:left="70"/>
              <w:rPr>
                <w:color w:val="000000"/>
                <w:sz w:val="24"/>
                <w:szCs w:val="24"/>
                <w:lang w:eastAsia="da-DK"/>
              </w:rPr>
            </w:pPr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Ved denne dosis kan en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residuel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</w:t>
            </w:r>
            <w:proofErr w:type="spellStart"/>
            <w:r w:rsidRPr="00CF7518">
              <w:rPr>
                <w:color w:val="000000"/>
                <w:sz w:val="24"/>
                <w:szCs w:val="24"/>
                <w:lang w:eastAsia="da-DK"/>
              </w:rPr>
              <w:t>sedering</w:t>
            </w:r>
            <w:proofErr w:type="spellEnd"/>
            <w:r w:rsidRPr="00CF7518">
              <w:rPr>
                <w:color w:val="000000"/>
                <w:sz w:val="24"/>
                <w:szCs w:val="24"/>
                <w:lang w:eastAsia="da-DK"/>
              </w:rPr>
              <w:t xml:space="preserve"> vare i op til 3 timer.</w:t>
            </w:r>
          </w:p>
        </w:tc>
      </w:tr>
    </w:tbl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  <w:bookmarkStart w:id="17" w:name="_Hlk519505877"/>
      <w:bookmarkEnd w:id="15"/>
    </w:p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  <w:bookmarkStart w:id="18" w:name="_Hlk504475550"/>
      <w:r w:rsidRPr="00CF7518">
        <w:rPr>
          <w:sz w:val="24"/>
          <w:szCs w:val="24"/>
          <w:lang w:eastAsia="da-DK"/>
        </w:rPr>
        <w:t xml:space="preserve">Når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anvendes i kombination med </w:t>
      </w:r>
      <w:proofErr w:type="spellStart"/>
      <w:r w:rsidRPr="00CF7518">
        <w:rPr>
          <w:sz w:val="24"/>
          <w:szCs w:val="24"/>
          <w:lang w:eastAsia="da-DK"/>
        </w:rPr>
        <w:t>butorphanol</w:t>
      </w:r>
      <w:proofErr w:type="spellEnd"/>
      <w:r w:rsidRPr="00CF7518">
        <w:rPr>
          <w:sz w:val="24"/>
          <w:szCs w:val="24"/>
          <w:lang w:eastAsia="da-DK"/>
        </w:rPr>
        <w:t xml:space="preserve"> for dybere </w:t>
      </w:r>
      <w:proofErr w:type="spellStart"/>
      <w:r w:rsidRPr="00CF7518">
        <w:rPr>
          <w:sz w:val="24"/>
          <w:szCs w:val="24"/>
          <w:lang w:eastAsia="da-DK"/>
        </w:rPr>
        <w:t>sedering</w:t>
      </w:r>
      <w:proofErr w:type="spellEnd"/>
      <w:r w:rsidRPr="00CF7518">
        <w:rPr>
          <w:sz w:val="24"/>
          <w:szCs w:val="24"/>
          <w:lang w:eastAsia="da-DK"/>
        </w:rPr>
        <w:t xml:space="preserve"> og analgesi, bør der anvendes en dosis på 0,04 mg</w:t>
      </w:r>
      <w:r w:rsidRPr="00CF7518">
        <w:rPr>
          <w:sz w:val="24"/>
          <w:szCs w:val="24"/>
          <w:lang w:eastAsia="da-DK"/>
        </w:rPr>
        <w:noBreakHyphen/>
        <w:t xml:space="preserve">0,12 mg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</w:t>
      </w:r>
      <w:proofErr w:type="spellStart"/>
      <w:r w:rsidRPr="00CF7518">
        <w:rPr>
          <w:sz w:val="24"/>
          <w:szCs w:val="24"/>
          <w:lang w:eastAsia="da-DK"/>
        </w:rPr>
        <w:t>HCl</w:t>
      </w:r>
      <w:proofErr w:type="spellEnd"/>
      <w:r w:rsidRPr="00CF7518">
        <w:rPr>
          <w:sz w:val="24"/>
          <w:szCs w:val="24"/>
          <w:lang w:eastAsia="da-DK"/>
        </w:rPr>
        <w:t>/kg legemsvægt (0,4</w:t>
      </w:r>
      <w:r w:rsidRPr="00CF7518">
        <w:rPr>
          <w:sz w:val="24"/>
          <w:szCs w:val="24"/>
          <w:lang w:eastAsia="da-DK"/>
        </w:rPr>
        <w:noBreakHyphen/>
        <w:t xml:space="preserve">1,2 ml præparat pr. 100 kg legemsvægt), efterfulgt af </w:t>
      </w:r>
      <w:proofErr w:type="spellStart"/>
      <w:r w:rsidRPr="00CF7518">
        <w:rPr>
          <w:sz w:val="24"/>
          <w:szCs w:val="24"/>
          <w:lang w:eastAsia="da-DK"/>
        </w:rPr>
        <w:t>butorphanol</w:t>
      </w:r>
      <w:proofErr w:type="spellEnd"/>
      <w:r w:rsidRPr="00CF7518">
        <w:rPr>
          <w:sz w:val="24"/>
          <w:szCs w:val="24"/>
          <w:lang w:eastAsia="da-DK"/>
        </w:rPr>
        <w:t xml:space="preserve">. </w:t>
      </w:r>
    </w:p>
    <w:p w:rsidR="00FD4722" w:rsidRPr="00CF7518" w:rsidRDefault="00FD4722" w:rsidP="00FD4722">
      <w:pPr>
        <w:tabs>
          <w:tab w:val="left" w:pos="567"/>
        </w:tabs>
        <w:ind w:left="851"/>
        <w:rPr>
          <w:b/>
          <w:bCs/>
          <w:i/>
          <w:sz w:val="24"/>
          <w:szCs w:val="24"/>
          <w:lang w:eastAsia="da-DK"/>
        </w:rPr>
      </w:pPr>
    </w:p>
    <w:p w:rsidR="00FD4722" w:rsidRPr="00CF7518" w:rsidRDefault="00FD4722" w:rsidP="00FD4722">
      <w:pPr>
        <w:tabs>
          <w:tab w:val="left" w:pos="567"/>
        </w:tabs>
        <w:ind w:left="851"/>
        <w:rPr>
          <w:bCs/>
          <w:sz w:val="24"/>
          <w:szCs w:val="24"/>
          <w:u w:val="single"/>
          <w:lang w:eastAsia="da-DK"/>
        </w:rPr>
      </w:pPr>
      <w:r w:rsidRPr="00CF7518">
        <w:rPr>
          <w:sz w:val="24"/>
          <w:szCs w:val="24"/>
          <w:u w:val="single"/>
          <w:lang w:eastAsia="da-DK"/>
        </w:rPr>
        <w:t>Præmedicin</w:t>
      </w:r>
    </w:p>
    <w:p w:rsidR="00FD4722" w:rsidRPr="00CF7518" w:rsidRDefault="00FD4722" w:rsidP="00FD4722">
      <w:pPr>
        <w:tabs>
          <w:tab w:val="left" w:pos="567"/>
        </w:tabs>
        <w:ind w:left="851"/>
        <w:rPr>
          <w:b/>
          <w:bCs/>
          <w:i/>
          <w:sz w:val="24"/>
          <w:szCs w:val="24"/>
          <w:u w:val="single"/>
          <w:lang w:eastAsia="da-DK"/>
        </w:rPr>
      </w:pPr>
    </w:p>
    <w:p w:rsidR="00FD4722" w:rsidRPr="00CF7518" w:rsidRDefault="00FD4722" w:rsidP="00FD4722">
      <w:pPr>
        <w:tabs>
          <w:tab w:val="left" w:pos="567"/>
        </w:tabs>
        <w:ind w:left="851"/>
        <w:rPr>
          <w:bCs/>
          <w:i/>
          <w:sz w:val="24"/>
          <w:szCs w:val="24"/>
          <w:lang w:eastAsia="da-DK"/>
        </w:rPr>
      </w:pPr>
      <w:r w:rsidRPr="00CF7518">
        <w:rPr>
          <w:i/>
          <w:sz w:val="24"/>
          <w:szCs w:val="24"/>
          <w:lang w:eastAsia="da-DK"/>
        </w:rPr>
        <w:t xml:space="preserve">Præmedicinering med </w:t>
      </w:r>
      <w:proofErr w:type="spellStart"/>
      <w:r w:rsidRPr="00CF7518">
        <w:rPr>
          <w:i/>
          <w:sz w:val="24"/>
          <w:szCs w:val="24"/>
          <w:lang w:eastAsia="da-DK"/>
        </w:rPr>
        <w:t>ketamin</w:t>
      </w:r>
      <w:proofErr w:type="spellEnd"/>
      <w:r w:rsidRPr="00CF7518">
        <w:rPr>
          <w:i/>
          <w:sz w:val="24"/>
          <w:szCs w:val="24"/>
          <w:lang w:eastAsia="da-DK"/>
        </w:rPr>
        <w:t xml:space="preserve"> til induktion</w:t>
      </w:r>
    </w:p>
    <w:bookmarkEnd w:id="17"/>
    <w:p w:rsidR="00FD4722" w:rsidRPr="00CF7518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  <w:r w:rsidRPr="00CF7518">
        <w:rPr>
          <w:sz w:val="24"/>
          <w:szCs w:val="24"/>
          <w:lang w:eastAsia="da-DK"/>
        </w:rPr>
        <w:t xml:space="preserve">Når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anvendes til præmedicinering før </w:t>
      </w:r>
      <w:proofErr w:type="spellStart"/>
      <w:r w:rsidRPr="00CF7518">
        <w:rPr>
          <w:sz w:val="24"/>
          <w:szCs w:val="24"/>
          <w:lang w:eastAsia="da-DK"/>
        </w:rPr>
        <w:t>ketamin</w:t>
      </w:r>
      <w:proofErr w:type="spellEnd"/>
      <w:r w:rsidRPr="00CF7518">
        <w:rPr>
          <w:sz w:val="24"/>
          <w:szCs w:val="24"/>
          <w:lang w:eastAsia="da-DK"/>
        </w:rPr>
        <w:t xml:space="preserve">-induceret anæstesi, bør der anvendes en dosis på 0,1 mg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> </w:t>
      </w:r>
      <w:proofErr w:type="spellStart"/>
      <w:r w:rsidRPr="00CF7518">
        <w:rPr>
          <w:sz w:val="24"/>
          <w:szCs w:val="24"/>
          <w:lang w:eastAsia="da-DK"/>
        </w:rPr>
        <w:t>HCl</w:t>
      </w:r>
      <w:proofErr w:type="spellEnd"/>
      <w:r w:rsidRPr="00CF7518">
        <w:rPr>
          <w:sz w:val="24"/>
          <w:szCs w:val="24"/>
          <w:lang w:eastAsia="da-DK"/>
        </w:rPr>
        <w:t xml:space="preserve">/kg legemsvægt (1 ml præparat/100 kg legemsvægt), efterfulgt af </w:t>
      </w:r>
      <w:proofErr w:type="spellStart"/>
      <w:r w:rsidRPr="00CF7518">
        <w:rPr>
          <w:sz w:val="24"/>
          <w:szCs w:val="24"/>
          <w:lang w:eastAsia="da-DK"/>
        </w:rPr>
        <w:t>ketamin</w:t>
      </w:r>
      <w:proofErr w:type="spellEnd"/>
      <w:r w:rsidRPr="00CF7518">
        <w:rPr>
          <w:sz w:val="24"/>
          <w:szCs w:val="24"/>
          <w:lang w:eastAsia="da-DK"/>
        </w:rPr>
        <w:t xml:space="preserve"> efter 5</w:t>
      </w:r>
      <w:r w:rsidRPr="00CF7518">
        <w:rPr>
          <w:sz w:val="24"/>
          <w:szCs w:val="24"/>
          <w:lang w:eastAsia="da-DK"/>
        </w:rPr>
        <w:noBreakHyphen/>
        <w:t xml:space="preserve">10 minutter. </w:t>
      </w:r>
    </w:p>
    <w:p w:rsidR="00FD4722" w:rsidRPr="00CF7518" w:rsidRDefault="00FD4722" w:rsidP="00FD4722">
      <w:pPr>
        <w:tabs>
          <w:tab w:val="left" w:pos="567"/>
        </w:tabs>
        <w:ind w:left="851"/>
        <w:rPr>
          <w:sz w:val="24"/>
          <w:szCs w:val="24"/>
          <w:lang w:eastAsia="da-DK"/>
        </w:rPr>
      </w:pPr>
    </w:p>
    <w:p w:rsidR="00FD4722" w:rsidRPr="00CF7518" w:rsidRDefault="00FD4722" w:rsidP="00FD4722">
      <w:pPr>
        <w:tabs>
          <w:tab w:val="left" w:pos="567"/>
        </w:tabs>
        <w:ind w:left="851"/>
        <w:rPr>
          <w:bCs/>
          <w:i/>
          <w:sz w:val="24"/>
          <w:szCs w:val="24"/>
          <w:lang w:eastAsia="da-DK"/>
        </w:rPr>
      </w:pPr>
      <w:bookmarkStart w:id="19" w:name="_Hlk519505945"/>
      <w:r w:rsidRPr="00CF7518">
        <w:rPr>
          <w:i/>
          <w:sz w:val="24"/>
          <w:szCs w:val="24"/>
          <w:lang w:eastAsia="da-DK"/>
        </w:rPr>
        <w:t>Præmedicinering med andre stoffer til induktion</w:t>
      </w:r>
    </w:p>
    <w:bookmarkEnd w:id="19"/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  <w:r w:rsidRPr="00CF7518">
        <w:rPr>
          <w:sz w:val="24"/>
          <w:szCs w:val="24"/>
          <w:lang w:eastAsia="da-DK"/>
        </w:rPr>
        <w:t xml:space="preserve">Når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anvendes som præmedicinering i kombination med andre stoffer, såsom </w:t>
      </w:r>
      <w:proofErr w:type="spellStart"/>
      <w:r w:rsidRPr="00CF7518">
        <w:rPr>
          <w:sz w:val="24"/>
          <w:szCs w:val="24"/>
          <w:lang w:eastAsia="da-DK"/>
        </w:rPr>
        <w:t>anæstetika</w:t>
      </w:r>
      <w:proofErr w:type="spellEnd"/>
      <w:r w:rsidRPr="00CF7518">
        <w:rPr>
          <w:sz w:val="24"/>
          <w:szCs w:val="24"/>
          <w:lang w:eastAsia="da-DK"/>
        </w:rPr>
        <w:t xml:space="preserve"> til injektion eller inhalation, bør der anvendes en dosis på 0,04 mg</w:t>
      </w:r>
      <w:r w:rsidRPr="00CF7518">
        <w:rPr>
          <w:sz w:val="24"/>
          <w:szCs w:val="24"/>
          <w:lang w:eastAsia="da-DK"/>
        </w:rPr>
        <w:noBreakHyphen/>
        <w:t xml:space="preserve">0,08 mg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</w:t>
      </w:r>
      <w:proofErr w:type="spellStart"/>
      <w:r w:rsidRPr="00CF7518">
        <w:rPr>
          <w:sz w:val="24"/>
          <w:szCs w:val="24"/>
          <w:lang w:eastAsia="da-DK"/>
        </w:rPr>
        <w:t>HCl</w:t>
      </w:r>
      <w:proofErr w:type="spellEnd"/>
      <w:r w:rsidRPr="00CF7518">
        <w:rPr>
          <w:sz w:val="24"/>
          <w:szCs w:val="24"/>
          <w:lang w:eastAsia="da-DK"/>
        </w:rPr>
        <w:t>/kg legemsvægt (0,4</w:t>
      </w:r>
      <w:r w:rsidRPr="00CF7518">
        <w:rPr>
          <w:sz w:val="24"/>
          <w:szCs w:val="24"/>
          <w:lang w:eastAsia="da-DK"/>
        </w:rPr>
        <w:noBreakHyphen/>
        <w:t>0,8 ml præparat pr. 100 kg legemsvægt), efterfulgt af induktion af anæstesi efter 5</w:t>
      </w:r>
      <w:r w:rsidRPr="00CF7518">
        <w:rPr>
          <w:sz w:val="24"/>
          <w:szCs w:val="24"/>
          <w:lang w:eastAsia="da-DK"/>
        </w:rPr>
        <w:noBreakHyphen/>
        <w:t>10 minutter.</w:t>
      </w:r>
    </w:p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</w:p>
    <w:p w:rsidR="00FD4722" w:rsidRPr="00CF7518" w:rsidRDefault="00FD4722" w:rsidP="00FD4722">
      <w:pPr>
        <w:tabs>
          <w:tab w:val="left" w:pos="567"/>
        </w:tabs>
        <w:ind w:left="851"/>
        <w:rPr>
          <w:bCs/>
          <w:sz w:val="24"/>
          <w:szCs w:val="24"/>
          <w:u w:val="single"/>
          <w:lang w:eastAsia="da-DK"/>
        </w:rPr>
      </w:pPr>
      <w:bookmarkStart w:id="20" w:name="_Hlk519505974"/>
      <w:r>
        <w:rPr>
          <w:sz w:val="24"/>
          <w:szCs w:val="24"/>
          <w:u w:val="single"/>
          <w:lang w:eastAsia="da-DK"/>
        </w:rPr>
        <w:t>Opretholdelse af anæstesi</w:t>
      </w:r>
    </w:p>
    <w:bookmarkEnd w:id="20"/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  <w:r w:rsidRPr="00CF7518">
        <w:rPr>
          <w:sz w:val="24"/>
          <w:szCs w:val="24"/>
          <w:lang w:eastAsia="da-DK"/>
        </w:rPr>
        <w:t xml:space="preserve">For at opretholde den kirurgiske anæstesi eller gøre den dybere med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>/</w:t>
      </w:r>
      <w:proofErr w:type="spellStart"/>
      <w:r w:rsidRPr="00CF7518">
        <w:rPr>
          <w:sz w:val="24"/>
          <w:szCs w:val="24"/>
          <w:lang w:eastAsia="da-DK"/>
        </w:rPr>
        <w:t>ketamin</w:t>
      </w:r>
      <w:proofErr w:type="spellEnd"/>
      <w:r w:rsidRPr="00CF7518">
        <w:rPr>
          <w:sz w:val="24"/>
          <w:szCs w:val="24"/>
          <w:lang w:eastAsia="da-DK"/>
        </w:rPr>
        <w:t xml:space="preserve">, når faciliteter med anæstesi i gasfasen ikke er tilgængelige, kan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administreres ved en dosis på 0,025 mg/kg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 xml:space="preserve"> </w:t>
      </w:r>
      <w:proofErr w:type="spellStart"/>
      <w:r w:rsidRPr="00CF7518">
        <w:rPr>
          <w:sz w:val="24"/>
          <w:szCs w:val="24"/>
          <w:lang w:eastAsia="da-DK"/>
        </w:rPr>
        <w:t>HCl</w:t>
      </w:r>
      <w:proofErr w:type="spellEnd"/>
      <w:r w:rsidRPr="00CF7518">
        <w:rPr>
          <w:sz w:val="24"/>
          <w:szCs w:val="24"/>
          <w:lang w:eastAsia="da-DK"/>
        </w:rPr>
        <w:t xml:space="preserve"> (0,25 ml præparat/100 kg legemsvægt), straks efterfulgt af </w:t>
      </w:r>
      <w:proofErr w:type="spellStart"/>
      <w:r w:rsidRPr="00CF7518">
        <w:rPr>
          <w:sz w:val="24"/>
          <w:szCs w:val="24"/>
          <w:lang w:eastAsia="da-DK"/>
        </w:rPr>
        <w:t>ketamin</w:t>
      </w:r>
      <w:proofErr w:type="spellEnd"/>
      <w:r w:rsidRPr="00CF7518">
        <w:rPr>
          <w:sz w:val="24"/>
          <w:szCs w:val="24"/>
          <w:lang w:eastAsia="da-DK"/>
        </w:rPr>
        <w:t xml:space="preserve"> intravenøst (50 % af den indledende dosis af </w:t>
      </w:r>
      <w:proofErr w:type="spellStart"/>
      <w:r w:rsidRPr="00CF7518">
        <w:rPr>
          <w:sz w:val="24"/>
          <w:szCs w:val="24"/>
          <w:lang w:eastAsia="da-DK"/>
        </w:rPr>
        <w:t>ketamin</w:t>
      </w:r>
      <w:proofErr w:type="spellEnd"/>
      <w:r w:rsidRPr="00CF7518">
        <w:rPr>
          <w:sz w:val="24"/>
          <w:szCs w:val="24"/>
          <w:lang w:eastAsia="da-DK"/>
        </w:rPr>
        <w:t xml:space="preserve"> præmedicin). Administrer </w:t>
      </w:r>
      <w:proofErr w:type="spellStart"/>
      <w:r w:rsidRPr="00CF7518">
        <w:rPr>
          <w:sz w:val="24"/>
          <w:szCs w:val="24"/>
          <w:lang w:eastAsia="da-DK"/>
        </w:rPr>
        <w:t>romifidin</w:t>
      </w:r>
      <w:proofErr w:type="spellEnd"/>
      <w:r w:rsidRPr="00CF7518">
        <w:rPr>
          <w:sz w:val="24"/>
          <w:szCs w:val="24"/>
          <w:lang w:eastAsia="da-DK"/>
        </w:rPr>
        <w:t>/</w:t>
      </w:r>
      <w:proofErr w:type="spellStart"/>
      <w:r w:rsidRPr="00CF7518">
        <w:rPr>
          <w:sz w:val="24"/>
          <w:szCs w:val="24"/>
          <w:lang w:eastAsia="da-DK"/>
        </w:rPr>
        <w:t>ketamin</w:t>
      </w:r>
      <w:proofErr w:type="spellEnd"/>
      <w:r w:rsidRPr="00CF7518">
        <w:rPr>
          <w:sz w:val="24"/>
          <w:szCs w:val="24"/>
          <w:lang w:eastAsia="da-DK"/>
        </w:rPr>
        <w:t xml:space="preserve"> top-up-dosis umiddelbart før den kirurgiske </w:t>
      </w:r>
      <w:proofErr w:type="spellStart"/>
      <w:r w:rsidRPr="00CF7518">
        <w:rPr>
          <w:sz w:val="24"/>
          <w:szCs w:val="24"/>
          <w:lang w:eastAsia="da-DK"/>
        </w:rPr>
        <w:t>incision</w:t>
      </w:r>
      <w:proofErr w:type="spellEnd"/>
      <w:r w:rsidRPr="00CF7518">
        <w:rPr>
          <w:sz w:val="24"/>
          <w:szCs w:val="24"/>
          <w:lang w:eastAsia="da-DK"/>
        </w:rPr>
        <w:t xml:space="preserve"> udføres, eller når der er tegn på, at bevidstheden vender tilbage.</w:t>
      </w:r>
    </w:p>
    <w:p w:rsidR="00FD4722" w:rsidRPr="00CF7518" w:rsidRDefault="00FD4722" w:rsidP="00FD4722">
      <w:pPr>
        <w:ind w:left="851"/>
        <w:rPr>
          <w:sz w:val="24"/>
          <w:szCs w:val="24"/>
          <w:lang w:eastAsia="da-DK"/>
        </w:rPr>
      </w:pPr>
    </w:p>
    <w:p w:rsidR="00FD4722" w:rsidRPr="00406EE7" w:rsidRDefault="00FD4722" w:rsidP="00FD4722">
      <w:pPr>
        <w:ind w:left="851"/>
        <w:rPr>
          <w:sz w:val="24"/>
          <w:szCs w:val="24"/>
          <w:lang w:eastAsia="da-DK"/>
        </w:rPr>
      </w:pPr>
      <w:r w:rsidRPr="00CF7518">
        <w:rPr>
          <w:sz w:val="24"/>
          <w:szCs w:val="24"/>
          <w:lang w:eastAsia="da-DK"/>
        </w:rPr>
        <w:t>Proppen må ikke punkteres over 40 gange.</w:t>
      </w:r>
      <w:bookmarkEnd w:id="16"/>
      <w:bookmarkEnd w:id="18"/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FD4722" w:rsidRPr="00B84A23" w:rsidRDefault="00FD4722" w:rsidP="00FD4722">
      <w:pPr>
        <w:ind w:left="851"/>
        <w:rPr>
          <w:noProof/>
          <w:sz w:val="24"/>
          <w:szCs w:val="24"/>
          <w:lang w:eastAsia="da-DK"/>
        </w:rPr>
      </w:pPr>
      <w:bookmarkStart w:id="21" w:name="_Hlk479257107"/>
      <w:r w:rsidRPr="00B84A23">
        <w:rPr>
          <w:sz w:val="24"/>
          <w:szCs w:val="24"/>
          <w:lang w:eastAsia="da-DK"/>
        </w:rPr>
        <w:t xml:space="preserve">Doseringer på op til 5 gange den højest anbefalede dosis forårsagede forbigående bivirkninger, såsom svedtendens, bradykardi, </w:t>
      </w:r>
      <w:proofErr w:type="spellStart"/>
      <w:r w:rsidRPr="00B84A23">
        <w:rPr>
          <w:sz w:val="24"/>
          <w:szCs w:val="24"/>
          <w:lang w:eastAsia="da-DK"/>
        </w:rPr>
        <w:t>andengrads</w:t>
      </w:r>
      <w:proofErr w:type="spellEnd"/>
      <w:r w:rsidRPr="00B84A23">
        <w:rPr>
          <w:sz w:val="24"/>
          <w:szCs w:val="24"/>
          <w:lang w:eastAsia="da-DK"/>
        </w:rPr>
        <w:t xml:space="preserve"> </w:t>
      </w:r>
      <w:proofErr w:type="spellStart"/>
      <w:r w:rsidRPr="00B84A23">
        <w:rPr>
          <w:sz w:val="24"/>
          <w:szCs w:val="24"/>
          <w:lang w:eastAsia="da-DK"/>
        </w:rPr>
        <w:t>atrioventrikulært</w:t>
      </w:r>
      <w:proofErr w:type="spellEnd"/>
      <w:r w:rsidRPr="00B84A23">
        <w:rPr>
          <w:sz w:val="24"/>
          <w:szCs w:val="24"/>
          <w:lang w:eastAsia="da-DK"/>
        </w:rPr>
        <w:t xml:space="preserve"> hjerteblok, hypotension, </w:t>
      </w:r>
      <w:proofErr w:type="spellStart"/>
      <w:r w:rsidRPr="00B84A23">
        <w:rPr>
          <w:sz w:val="24"/>
          <w:szCs w:val="24"/>
          <w:lang w:eastAsia="da-DK"/>
        </w:rPr>
        <w:t>ataksi</w:t>
      </w:r>
      <w:proofErr w:type="spellEnd"/>
      <w:r w:rsidRPr="00B84A23">
        <w:rPr>
          <w:sz w:val="24"/>
          <w:szCs w:val="24"/>
          <w:lang w:eastAsia="da-DK"/>
        </w:rPr>
        <w:t xml:space="preserve">, </w:t>
      </w:r>
      <w:proofErr w:type="spellStart"/>
      <w:r w:rsidRPr="00B84A23">
        <w:rPr>
          <w:sz w:val="24"/>
          <w:szCs w:val="24"/>
          <w:lang w:eastAsia="da-DK"/>
        </w:rPr>
        <w:t>hyperglykæmi</w:t>
      </w:r>
      <w:proofErr w:type="spellEnd"/>
      <w:r w:rsidRPr="00B84A23">
        <w:rPr>
          <w:sz w:val="24"/>
          <w:szCs w:val="24"/>
          <w:lang w:eastAsia="da-DK"/>
        </w:rPr>
        <w:t xml:space="preserve"> og diurese.</w:t>
      </w:r>
    </w:p>
    <w:p w:rsidR="00FD4722" w:rsidRPr="00B84A23" w:rsidRDefault="00FD4722" w:rsidP="00FD4722">
      <w:pPr>
        <w:ind w:left="851"/>
        <w:rPr>
          <w:noProof/>
          <w:sz w:val="24"/>
          <w:szCs w:val="24"/>
          <w:lang w:eastAsia="da-DK"/>
        </w:rPr>
      </w:pPr>
      <w:r w:rsidRPr="00B84A23">
        <w:rPr>
          <w:sz w:val="24"/>
          <w:szCs w:val="24"/>
          <w:lang w:eastAsia="da-DK"/>
        </w:rPr>
        <w:lastRenderedPageBreak/>
        <w:t xml:space="preserve">I tilfælde af en overdosering forventes det, at bivirkningerne anført i pkt. 4.6 er af højere sværhedsgrad og hyppigere. </w:t>
      </w:r>
    </w:p>
    <w:p w:rsidR="00FD4722" w:rsidRPr="00406EE7" w:rsidRDefault="00FD4722" w:rsidP="00FD4722">
      <w:pPr>
        <w:ind w:left="851"/>
        <w:rPr>
          <w:noProof/>
          <w:sz w:val="24"/>
          <w:szCs w:val="24"/>
          <w:lang w:eastAsia="da-DK"/>
        </w:rPr>
      </w:pPr>
      <w:r w:rsidRPr="00B84A23">
        <w:rPr>
          <w:sz w:val="24"/>
          <w:szCs w:val="24"/>
          <w:lang w:eastAsia="da-DK"/>
        </w:rPr>
        <w:t xml:space="preserve">I sådanne tilfælde bør symptomatisk behandling påbegyndes. </w:t>
      </w:r>
      <w:proofErr w:type="gramStart"/>
      <w:r w:rsidRPr="00B84A23">
        <w:rPr>
          <w:sz w:val="24"/>
          <w:szCs w:val="24"/>
          <w:lang w:eastAsia="da-DK"/>
        </w:rPr>
        <w:t>En alfa</w:t>
      </w:r>
      <w:proofErr w:type="gramEnd"/>
      <w:r w:rsidRPr="00B84A23">
        <w:rPr>
          <w:sz w:val="24"/>
          <w:szCs w:val="24"/>
          <w:lang w:eastAsia="da-DK"/>
        </w:rPr>
        <w:noBreakHyphen/>
        <w:t>2-adrenerg antagonist kan være nyttig til at reducere sådanne virkninger.</w:t>
      </w:r>
      <w:bookmarkEnd w:id="21"/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FD4722" w:rsidRPr="00621A56" w:rsidRDefault="00FD4722" w:rsidP="00FD4722">
      <w:pPr>
        <w:ind w:left="851"/>
        <w:rPr>
          <w:sz w:val="24"/>
          <w:szCs w:val="24"/>
          <w:lang w:eastAsia="da-DK"/>
        </w:rPr>
      </w:pPr>
      <w:bookmarkStart w:id="22" w:name="_Hlk479256097"/>
      <w:r w:rsidRPr="00621A56">
        <w:rPr>
          <w:sz w:val="24"/>
          <w:szCs w:val="24"/>
          <w:lang w:eastAsia="da-DK"/>
        </w:rPr>
        <w:t xml:space="preserve">Slagtning: 6 dage.   </w:t>
      </w:r>
    </w:p>
    <w:p w:rsidR="00FD4722" w:rsidRPr="00621A56" w:rsidRDefault="00FD4722" w:rsidP="00FD4722">
      <w:pPr>
        <w:ind w:left="851"/>
        <w:rPr>
          <w:sz w:val="24"/>
          <w:szCs w:val="24"/>
          <w:lang w:eastAsia="da-DK"/>
        </w:rPr>
      </w:pPr>
    </w:p>
    <w:p w:rsidR="00FD4722" w:rsidRPr="00406EE7" w:rsidRDefault="00FD4722" w:rsidP="00FD4722">
      <w:pPr>
        <w:ind w:left="851"/>
        <w:rPr>
          <w:sz w:val="24"/>
          <w:szCs w:val="24"/>
          <w:lang w:eastAsia="da-DK"/>
        </w:rPr>
      </w:pPr>
      <w:r w:rsidRPr="00621A56">
        <w:rPr>
          <w:sz w:val="24"/>
          <w:szCs w:val="24"/>
          <w:lang w:eastAsia="da-DK"/>
        </w:rPr>
        <w:t>Må ikke anvendes til dyr, hvis mælk er bestemt til menneskeføde.</w:t>
      </w:r>
      <w:bookmarkEnd w:id="22"/>
    </w:p>
    <w:p w:rsidR="00FD4722" w:rsidRPr="00406EE7" w:rsidRDefault="00FD4722" w:rsidP="00FD4722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035A08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35A08">
        <w:rPr>
          <w:b/>
          <w:sz w:val="24"/>
          <w:szCs w:val="24"/>
        </w:rPr>
        <w:t>5.</w:t>
      </w:r>
      <w:r w:rsidRPr="00035A08">
        <w:rPr>
          <w:b/>
          <w:sz w:val="24"/>
          <w:szCs w:val="24"/>
        </w:rPr>
        <w:tab/>
        <w:t>FARMAKOLOGISKE EGENSKABER</w:t>
      </w:r>
    </w:p>
    <w:p w:rsidR="00FD4722" w:rsidRPr="00035A08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</w:p>
    <w:p w:rsidR="00FD4722" w:rsidRPr="00035A08" w:rsidRDefault="00FD4722" w:rsidP="00FD4722">
      <w:pPr>
        <w:ind w:left="851"/>
        <w:rPr>
          <w:sz w:val="24"/>
          <w:szCs w:val="24"/>
          <w:lang w:eastAsia="da-DK"/>
        </w:rPr>
      </w:pPr>
      <w:proofErr w:type="spellStart"/>
      <w:r w:rsidRPr="00035A08">
        <w:rPr>
          <w:sz w:val="24"/>
          <w:szCs w:val="24"/>
          <w:lang w:eastAsia="da-DK"/>
        </w:rPr>
        <w:t>Farmakoterapeutisk</w:t>
      </w:r>
      <w:proofErr w:type="spellEnd"/>
      <w:r w:rsidRPr="00035A08">
        <w:rPr>
          <w:sz w:val="24"/>
          <w:szCs w:val="24"/>
          <w:lang w:eastAsia="da-DK"/>
        </w:rPr>
        <w:t xml:space="preserve"> gruppe: </w:t>
      </w:r>
      <w:bookmarkStart w:id="23" w:name="_Hlk483919139"/>
      <w:proofErr w:type="spellStart"/>
      <w:r w:rsidRPr="00035A08">
        <w:rPr>
          <w:sz w:val="24"/>
          <w:szCs w:val="24"/>
          <w:lang w:eastAsia="da-DK"/>
        </w:rPr>
        <w:t>Hypnotika</w:t>
      </w:r>
      <w:proofErr w:type="spellEnd"/>
      <w:r w:rsidRPr="00035A08">
        <w:rPr>
          <w:sz w:val="24"/>
          <w:szCs w:val="24"/>
          <w:lang w:eastAsia="da-DK"/>
        </w:rPr>
        <w:t xml:space="preserve"> og </w:t>
      </w:r>
      <w:proofErr w:type="spellStart"/>
      <w:r w:rsidRPr="00035A08">
        <w:rPr>
          <w:sz w:val="24"/>
          <w:szCs w:val="24"/>
          <w:lang w:eastAsia="da-DK"/>
        </w:rPr>
        <w:t>sedativa</w:t>
      </w:r>
      <w:bookmarkEnd w:id="23"/>
      <w:proofErr w:type="spellEnd"/>
      <w:r>
        <w:rPr>
          <w:sz w:val="24"/>
          <w:szCs w:val="24"/>
          <w:lang w:eastAsia="da-DK"/>
        </w:rPr>
        <w:t>.</w:t>
      </w:r>
    </w:p>
    <w:p w:rsidR="00FD4722" w:rsidRPr="00035A08" w:rsidRDefault="00FD4722" w:rsidP="00FD4722">
      <w:pPr>
        <w:ind w:left="851"/>
        <w:rPr>
          <w:sz w:val="24"/>
          <w:szCs w:val="24"/>
          <w:lang w:eastAsia="da-DK"/>
        </w:rPr>
      </w:pPr>
      <w:proofErr w:type="spellStart"/>
      <w:r w:rsidRPr="00035A08">
        <w:rPr>
          <w:sz w:val="24"/>
          <w:szCs w:val="24"/>
          <w:lang w:eastAsia="da-DK"/>
        </w:rPr>
        <w:t>ATCvet</w:t>
      </w:r>
      <w:proofErr w:type="spellEnd"/>
      <w:r w:rsidRPr="00035A08">
        <w:rPr>
          <w:sz w:val="24"/>
          <w:szCs w:val="24"/>
          <w:lang w:eastAsia="da-DK"/>
        </w:rPr>
        <w:t xml:space="preserve">-kode: </w:t>
      </w:r>
      <w:bookmarkStart w:id="24" w:name="_Hlk483919149"/>
      <w:r w:rsidRPr="00035A08">
        <w:rPr>
          <w:sz w:val="24"/>
          <w:szCs w:val="24"/>
          <w:lang w:eastAsia="da-DK"/>
        </w:rPr>
        <w:t>QN</w:t>
      </w:r>
      <w:r>
        <w:rPr>
          <w:sz w:val="24"/>
          <w:szCs w:val="24"/>
          <w:lang w:eastAsia="da-DK"/>
        </w:rPr>
        <w:t xml:space="preserve"> </w:t>
      </w:r>
      <w:r w:rsidRPr="00035A08">
        <w:rPr>
          <w:sz w:val="24"/>
          <w:szCs w:val="24"/>
          <w:lang w:eastAsia="da-DK"/>
        </w:rPr>
        <w:t>05</w:t>
      </w:r>
      <w:r>
        <w:rPr>
          <w:sz w:val="24"/>
          <w:szCs w:val="24"/>
          <w:lang w:eastAsia="da-DK"/>
        </w:rPr>
        <w:t xml:space="preserve"> </w:t>
      </w:r>
      <w:r w:rsidRPr="00035A08">
        <w:rPr>
          <w:sz w:val="24"/>
          <w:szCs w:val="24"/>
          <w:lang w:eastAsia="da-DK"/>
        </w:rPr>
        <w:t>CM</w:t>
      </w:r>
      <w:r>
        <w:rPr>
          <w:sz w:val="24"/>
          <w:szCs w:val="24"/>
          <w:lang w:eastAsia="da-DK"/>
        </w:rPr>
        <w:t xml:space="preserve"> </w:t>
      </w:r>
      <w:r w:rsidRPr="00035A08">
        <w:rPr>
          <w:sz w:val="24"/>
          <w:szCs w:val="24"/>
          <w:lang w:eastAsia="da-DK"/>
        </w:rPr>
        <w:t>93</w:t>
      </w:r>
      <w:r>
        <w:rPr>
          <w:sz w:val="24"/>
          <w:szCs w:val="24"/>
          <w:lang w:eastAsia="da-DK"/>
        </w:rPr>
        <w:t>.</w:t>
      </w:r>
      <w:bookmarkEnd w:id="24"/>
    </w:p>
    <w:p w:rsidR="00FD4722" w:rsidRPr="00035A08" w:rsidRDefault="00FD4722" w:rsidP="00FD4722">
      <w:pPr>
        <w:tabs>
          <w:tab w:val="left" w:pos="8222"/>
        </w:tabs>
        <w:ind w:left="851"/>
        <w:rPr>
          <w:sz w:val="24"/>
          <w:szCs w:val="24"/>
        </w:rPr>
      </w:pPr>
    </w:p>
    <w:p w:rsidR="00FD4722" w:rsidRPr="00035A08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35A08">
        <w:rPr>
          <w:b/>
          <w:sz w:val="24"/>
          <w:szCs w:val="24"/>
        </w:rPr>
        <w:t>5.1</w:t>
      </w:r>
      <w:r w:rsidRPr="00035A08">
        <w:rPr>
          <w:b/>
          <w:sz w:val="24"/>
          <w:szCs w:val="24"/>
        </w:rPr>
        <w:tab/>
      </w:r>
      <w:proofErr w:type="spellStart"/>
      <w:r w:rsidRPr="00035A08">
        <w:rPr>
          <w:b/>
          <w:sz w:val="24"/>
          <w:szCs w:val="24"/>
        </w:rPr>
        <w:t>Farmakodynamiske</w:t>
      </w:r>
      <w:proofErr w:type="spellEnd"/>
      <w:r w:rsidRPr="00035A08">
        <w:rPr>
          <w:b/>
          <w:sz w:val="24"/>
          <w:szCs w:val="24"/>
        </w:rPr>
        <w:t xml:space="preserve"> egenskaber</w:t>
      </w:r>
    </w:p>
    <w:p w:rsidR="00FD4722" w:rsidRPr="0092339B" w:rsidRDefault="00FD4722" w:rsidP="00FD4722">
      <w:pPr>
        <w:ind w:left="851"/>
        <w:rPr>
          <w:color w:val="000000"/>
          <w:sz w:val="24"/>
          <w:szCs w:val="24"/>
          <w:lang w:eastAsia="da-DK"/>
        </w:rPr>
      </w:pPr>
      <w:proofErr w:type="spellStart"/>
      <w:r w:rsidRPr="0092339B">
        <w:rPr>
          <w:sz w:val="24"/>
          <w:szCs w:val="24"/>
          <w:lang w:eastAsia="da-DK"/>
        </w:rPr>
        <w:t>Romifidin</w:t>
      </w:r>
      <w:proofErr w:type="spellEnd"/>
      <w:r w:rsidRPr="0092339B">
        <w:rPr>
          <w:sz w:val="24"/>
          <w:szCs w:val="24"/>
          <w:lang w:eastAsia="da-DK"/>
        </w:rPr>
        <w:t xml:space="preserve"> er </w:t>
      </w:r>
      <w:proofErr w:type="gramStart"/>
      <w:r w:rsidRPr="0092339B">
        <w:rPr>
          <w:sz w:val="24"/>
          <w:szCs w:val="24"/>
          <w:lang w:eastAsia="da-DK"/>
        </w:rPr>
        <w:t xml:space="preserve">en </w:t>
      </w:r>
      <w:bookmarkStart w:id="25" w:name="_Hlk516482293"/>
      <w:r w:rsidRPr="0092339B">
        <w:rPr>
          <w:sz w:val="24"/>
          <w:szCs w:val="24"/>
          <w:lang w:eastAsia="da-DK"/>
        </w:rPr>
        <w:t>alfa</w:t>
      </w:r>
      <w:proofErr w:type="gramEnd"/>
      <w:r w:rsidRPr="0092339B">
        <w:rPr>
          <w:sz w:val="24"/>
          <w:szCs w:val="24"/>
          <w:lang w:eastAsia="da-DK"/>
        </w:rPr>
        <w:noBreakHyphen/>
        <w:t xml:space="preserve">2-agonist </w:t>
      </w:r>
      <w:bookmarkEnd w:id="25"/>
      <w:r w:rsidRPr="0092339B">
        <w:rPr>
          <w:sz w:val="24"/>
          <w:szCs w:val="24"/>
          <w:lang w:eastAsia="da-DK"/>
        </w:rPr>
        <w:t xml:space="preserve">af </w:t>
      </w:r>
      <w:proofErr w:type="spellStart"/>
      <w:r w:rsidRPr="0092339B">
        <w:rPr>
          <w:sz w:val="24"/>
          <w:szCs w:val="24"/>
          <w:lang w:eastAsia="da-DK"/>
        </w:rPr>
        <w:t>imino-imidazolidinklassen</w:t>
      </w:r>
      <w:proofErr w:type="spellEnd"/>
      <w:r w:rsidRPr="0092339B">
        <w:rPr>
          <w:sz w:val="24"/>
          <w:szCs w:val="24"/>
          <w:lang w:eastAsia="da-DK"/>
        </w:rPr>
        <w:t>.</w:t>
      </w:r>
      <w:r w:rsidRPr="0092339B">
        <w:rPr>
          <w:color w:val="000000"/>
          <w:sz w:val="24"/>
          <w:szCs w:val="24"/>
          <w:lang w:eastAsia="da-DK"/>
        </w:rPr>
        <w:t xml:space="preserve"> Det udøver sederende og analgetiske virkninger. Den sederende virkning er induceret af stimulering af alfa</w:t>
      </w:r>
      <w:r w:rsidRPr="0092339B">
        <w:rPr>
          <w:color w:val="000000"/>
          <w:sz w:val="24"/>
          <w:szCs w:val="24"/>
          <w:lang w:eastAsia="da-DK"/>
        </w:rPr>
        <w:noBreakHyphen/>
        <w:t>2-adrenoreceptorer i centralnervesystemet. Stoffet har en kraftig specifik affinitet for disse receptorer.</w:t>
      </w:r>
    </w:p>
    <w:p w:rsidR="00FD4722" w:rsidRPr="00035A08" w:rsidRDefault="00FD4722" w:rsidP="00FD4722">
      <w:pPr>
        <w:ind w:left="851"/>
        <w:rPr>
          <w:sz w:val="24"/>
          <w:szCs w:val="24"/>
          <w:lang w:eastAsia="da-DK"/>
        </w:rPr>
      </w:pPr>
      <w:bookmarkStart w:id="26" w:name="_Hlk504645574"/>
      <w:r w:rsidRPr="0092339B">
        <w:rPr>
          <w:sz w:val="24"/>
          <w:szCs w:val="24"/>
          <w:lang w:eastAsia="da-DK"/>
        </w:rPr>
        <w:t xml:space="preserve">Efter administration af </w:t>
      </w:r>
      <w:proofErr w:type="spellStart"/>
      <w:r w:rsidRPr="0092339B">
        <w:rPr>
          <w:sz w:val="24"/>
          <w:szCs w:val="24"/>
          <w:lang w:eastAsia="da-DK"/>
        </w:rPr>
        <w:t>romifidin</w:t>
      </w:r>
      <w:proofErr w:type="spellEnd"/>
      <w:r w:rsidRPr="0092339B">
        <w:rPr>
          <w:sz w:val="24"/>
          <w:szCs w:val="24"/>
          <w:lang w:eastAsia="da-DK"/>
        </w:rPr>
        <w:t xml:space="preserve"> stiger blodtrykket indledningsvist på grund af virkningen på perifere </w:t>
      </w:r>
      <w:proofErr w:type="spellStart"/>
      <w:r w:rsidRPr="0092339B">
        <w:rPr>
          <w:sz w:val="24"/>
          <w:szCs w:val="24"/>
          <w:lang w:eastAsia="da-DK"/>
        </w:rPr>
        <w:t>postsynaptiske</w:t>
      </w:r>
      <w:proofErr w:type="spellEnd"/>
      <w:r w:rsidRPr="0092339B">
        <w:rPr>
          <w:sz w:val="24"/>
          <w:szCs w:val="24"/>
          <w:lang w:eastAsia="da-DK"/>
        </w:rPr>
        <w:t xml:space="preserve"> α1</w:t>
      </w:r>
      <w:r w:rsidRPr="0092339B">
        <w:rPr>
          <w:sz w:val="24"/>
          <w:szCs w:val="24"/>
          <w:lang w:eastAsia="da-DK"/>
        </w:rPr>
        <w:noBreakHyphen/>
        <w:t xml:space="preserve">receptorer i kombination med aktivering af </w:t>
      </w:r>
      <w:proofErr w:type="spellStart"/>
      <w:r w:rsidRPr="0092339B">
        <w:rPr>
          <w:sz w:val="24"/>
          <w:szCs w:val="24"/>
          <w:lang w:eastAsia="da-DK"/>
        </w:rPr>
        <w:t>ekstrajunktionale</w:t>
      </w:r>
      <w:proofErr w:type="spellEnd"/>
      <w:r w:rsidRPr="0092339B">
        <w:rPr>
          <w:sz w:val="24"/>
          <w:szCs w:val="24"/>
          <w:lang w:eastAsia="da-DK"/>
        </w:rPr>
        <w:t xml:space="preserve"> α2b</w:t>
      </w:r>
      <w:r w:rsidRPr="0092339B">
        <w:rPr>
          <w:sz w:val="24"/>
          <w:szCs w:val="24"/>
          <w:lang w:eastAsia="da-DK"/>
        </w:rPr>
        <w:noBreakHyphen/>
        <w:t xml:space="preserve">adrenoceptorer, som befinder sig i glatte muskelceller i de </w:t>
      </w:r>
      <w:proofErr w:type="spellStart"/>
      <w:r w:rsidRPr="0092339B">
        <w:rPr>
          <w:sz w:val="24"/>
          <w:szCs w:val="24"/>
          <w:lang w:eastAsia="da-DK"/>
        </w:rPr>
        <w:t>arteriolære</w:t>
      </w:r>
      <w:proofErr w:type="spellEnd"/>
      <w:r w:rsidRPr="0092339B">
        <w:rPr>
          <w:sz w:val="24"/>
          <w:szCs w:val="24"/>
          <w:lang w:eastAsia="da-DK"/>
        </w:rPr>
        <w:t xml:space="preserve"> resistenskar. Derefter falder blodtrykket som følge af virkningen på perifere </w:t>
      </w:r>
      <w:proofErr w:type="spellStart"/>
      <w:r w:rsidRPr="0092339B">
        <w:rPr>
          <w:sz w:val="24"/>
          <w:szCs w:val="24"/>
          <w:lang w:eastAsia="da-DK"/>
        </w:rPr>
        <w:t>præsynaptiske</w:t>
      </w:r>
      <w:proofErr w:type="spellEnd"/>
      <w:r w:rsidRPr="0092339B">
        <w:rPr>
          <w:sz w:val="24"/>
          <w:szCs w:val="24"/>
          <w:lang w:eastAsia="da-DK"/>
        </w:rPr>
        <w:t xml:space="preserve"> receptorer (hæmning af noradrenalin-frigørelse fra sympatiske nerveender), og et fald i den sympatiske </w:t>
      </w:r>
      <w:proofErr w:type="spellStart"/>
      <w:r w:rsidRPr="0092339B">
        <w:rPr>
          <w:sz w:val="24"/>
          <w:szCs w:val="24"/>
          <w:lang w:eastAsia="da-DK"/>
        </w:rPr>
        <w:t>tonus</w:t>
      </w:r>
      <w:proofErr w:type="spellEnd"/>
      <w:r w:rsidRPr="0092339B">
        <w:rPr>
          <w:sz w:val="24"/>
          <w:szCs w:val="24"/>
          <w:lang w:eastAsia="da-DK"/>
        </w:rPr>
        <w:t>, hvilket fører til vasodilatation.</w:t>
      </w:r>
      <w:bookmarkEnd w:id="26"/>
    </w:p>
    <w:p w:rsidR="00FD4722" w:rsidRPr="00035A08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035A08">
        <w:rPr>
          <w:b/>
          <w:sz w:val="24"/>
          <w:szCs w:val="24"/>
        </w:rPr>
        <w:t>5.2</w:t>
      </w:r>
      <w:r w:rsidRPr="00035A08">
        <w:rPr>
          <w:b/>
          <w:sz w:val="24"/>
          <w:szCs w:val="24"/>
        </w:rPr>
        <w:tab/>
      </w:r>
      <w:proofErr w:type="spellStart"/>
      <w:r w:rsidRPr="00035A08">
        <w:rPr>
          <w:b/>
          <w:sz w:val="24"/>
          <w:szCs w:val="24"/>
        </w:rPr>
        <w:t>Farmakokinetiske</w:t>
      </w:r>
      <w:proofErr w:type="spellEnd"/>
      <w:r w:rsidRPr="00035A08">
        <w:rPr>
          <w:b/>
          <w:sz w:val="24"/>
          <w:szCs w:val="24"/>
        </w:rPr>
        <w:t xml:space="preserve"> egenskaber</w:t>
      </w:r>
    </w:p>
    <w:p w:rsidR="00FD4722" w:rsidRPr="00EB5F8D" w:rsidRDefault="00FD4722" w:rsidP="00FD4722">
      <w:pPr>
        <w:ind w:left="851"/>
        <w:rPr>
          <w:sz w:val="24"/>
          <w:szCs w:val="24"/>
          <w:lang w:eastAsia="da-DK"/>
        </w:rPr>
      </w:pPr>
      <w:r w:rsidRPr="00EB5F8D">
        <w:rPr>
          <w:sz w:val="24"/>
          <w:szCs w:val="24"/>
          <w:lang w:eastAsia="da-DK"/>
        </w:rPr>
        <w:t xml:space="preserve">Ca. 20 % </w:t>
      </w:r>
      <w:proofErr w:type="spellStart"/>
      <w:r w:rsidRPr="00EB5F8D">
        <w:rPr>
          <w:sz w:val="24"/>
          <w:szCs w:val="24"/>
          <w:lang w:eastAsia="da-DK"/>
        </w:rPr>
        <w:t>romifidin</w:t>
      </w:r>
      <w:proofErr w:type="spellEnd"/>
      <w:r w:rsidRPr="00EB5F8D">
        <w:rPr>
          <w:sz w:val="24"/>
          <w:szCs w:val="24"/>
          <w:lang w:eastAsia="da-DK"/>
        </w:rPr>
        <w:t xml:space="preserve"> er bundet til plasmaproteiner. </w:t>
      </w:r>
      <w:proofErr w:type="spellStart"/>
      <w:r w:rsidRPr="00EB5F8D">
        <w:rPr>
          <w:sz w:val="24"/>
          <w:szCs w:val="24"/>
          <w:lang w:eastAsia="da-DK"/>
        </w:rPr>
        <w:t>Romifidin</w:t>
      </w:r>
      <w:proofErr w:type="spellEnd"/>
      <w:r w:rsidRPr="00EB5F8D">
        <w:rPr>
          <w:sz w:val="24"/>
          <w:szCs w:val="24"/>
          <w:lang w:eastAsia="da-DK"/>
        </w:rPr>
        <w:t xml:space="preserve"> findes hovedsageligt i nyrer og muskel, hvorimod leveren kun indeholder spor af udgangsstoffet. De primære levermetabolitter, SHT 2130, STH 2337 og ESR 1235, har vist sig at være farmakologisk inaktive. </w:t>
      </w:r>
    </w:p>
    <w:p w:rsidR="00FD4722" w:rsidRDefault="00FD4722" w:rsidP="00CD445F">
      <w:pPr>
        <w:ind w:left="851"/>
        <w:rPr>
          <w:sz w:val="24"/>
          <w:szCs w:val="24"/>
          <w:lang w:eastAsia="da-DK"/>
        </w:rPr>
      </w:pPr>
      <w:r w:rsidRPr="00EB5F8D">
        <w:rPr>
          <w:sz w:val="24"/>
          <w:szCs w:val="24"/>
          <w:lang w:eastAsia="da-DK"/>
        </w:rPr>
        <w:t xml:space="preserve">Efter intravenøs injektion elimineres </w:t>
      </w:r>
      <w:proofErr w:type="spellStart"/>
      <w:r w:rsidRPr="00EB5F8D">
        <w:rPr>
          <w:sz w:val="24"/>
          <w:szCs w:val="24"/>
          <w:lang w:eastAsia="da-DK"/>
        </w:rPr>
        <w:t>romifidin</w:t>
      </w:r>
      <w:proofErr w:type="spellEnd"/>
      <w:r w:rsidRPr="00EB5F8D">
        <w:rPr>
          <w:sz w:val="24"/>
          <w:szCs w:val="24"/>
          <w:lang w:eastAsia="da-DK"/>
        </w:rPr>
        <w:t xml:space="preserve"> hurtigt: ca. 80 % af den administrerede dosis elimineres via urinen, og resten via fæces.</w:t>
      </w:r>
    </w:p>
    <w:p w:rsidR="00CD445F" w:rsidRDefault="00CD445F" w:rsidP="00CD445F">
      <w:pPr>
        <w:ind w:left="851"/>
        <w:rPr>
          <w:sz w:val="24"/>
          <w:szCs w:val="24"/>
          <w:lang w:eastAsia="da-DK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FD4722" w:rsidRPr="00CD4CAD" w:rsidRDefault="00FD4722" w:rsidP="00FD4722">
      <w:pPr>
        <w:ind w:left="851"/>
        <w:rPr>
          <w:sz w:val="24"/>
          <w:szCs w:val="24"/>
        </w:rPr>
      </w:pPr>
      <w:proofErr w:type="spellStart"/>
      <w:r w:rsidRPr="00CD4CAD">
        <w:rPr>
          <w:sz w:val="24"/>
          <w:szCs w:val="24"/>
        </w:rPr>
        <w:t>Chlorocresol</w:t>
      </w:r>
      <w:proofErr w:type="spellEnd"/>
    </w:p>
    <w:p w:rsidR="00FD4722" w:rsidRPr="00CD4CAD" w:rsidRDefault="00FD4722" w:rsidP="00FD4722">
      <w:pPr>
        <w:ind w:left="851"/>
        <w:rPr>
          <w:sz w:val="24"/>
          <w:szCs w:val="24"/>
        </w:rPr>
      </w:pPr>
      <w:proofErr w:type="spellStart"/>
      <w:r w:rsidRPr="00CD4CAD">
        <w:rPr>
          <w:sz w:val="24"/>
          <w:szCs w:val="24"/>
        </w:rPr>
        <w:t>Natriumchlorid</w:t>
      </w:r>
      <w:proofErr w:type="spellEnd"/>
    </w:p>
    <w:p w:rsidR="00FD4722" w:rsidRPr="00CD4CAD" w:rsidRDefault="00FD4722" w:rsidP="00FD4722">
      <w:pPr>
        <w:ind w:left="851"/>
        <w:rPr>
          <w:sz w:val="24"/>
          <w:szCs w:val="24"/>
        </w:rPr>
      </w:pPr>
      <w:r w:rsidRPr="00CD4CAD">
        <w:rPr>
          <w:sz w:val="24"/>
          <w:szCs w:val="24"/>
        </w:rPr>
        <w:t>Saltsyre, fortyndet (til pH-justering)</w:t>
      </w:r>
    </w:p>
    <w:p w:rsidR="00FD4722" w:rsidRPr="00CD4CAD" w:rsidRDefault="00FD4722" w:rsidP="00FD4722">
      <w:pPr>
        <w:ind w:left="851"/>
        <w:rPr>
          <w:sz w:val="24"/>
          <w:szCs w:val="24"/>
        </w:rPr>
      </w:pPr>
      <w:r w:rsidRPr="00CD4CAD">
        <w:rPr>
          <w:sz w:val="24"/>
          <w:szCs w:val="24"/>
        </w:rPr>
        <w:t>Natriumhydroxid (til pH-justering)</w:t>
      </w:r>
    </w:p>
    <w:p w:rsidR="00FD4722" w:rsidRPr="00406EE7" w:rsidRDefault="00FD4722" w:rsidP="00FD4722">
      <w:pPr>
        <w:ind w:left="851"/>
        <w:rPr>
          <w:sz w:val="24"/>
          <w:szCs w:val="24"/>
        </w:rPr>
      </w:pPr>
      <w:r w:rsidRPr="00CD4CAD">
        <w:rPr>
          <w:sz w:val="24"/>
          <w:szCs w:val="24"/>
        </w:rPr>
        <w:t>Vand til injektionsvæsker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FD4722" w:rsidRPr="00243EB2" w:rsidRDefault="00FD4722" w:rsidP="00FD4722">
      <w:pPr>
        <w:widowControl w:val="0"/>
        <w:autoSpaceDE w:val="0"/>
        <w:autoSpaceDN w:val="0"/>
        <w:adjustRightInd w:val="0"/>
        <w:ind w:left="851"/>
        <w:rPr>
          <w:color w:val="1E1E1E"/>
          <w:sz w:val="24"/>
          <w:szCs w:val="24"/>
        </w:rPr>
      </w:pPr>
      <w:bookmarkStart w:id="27" w:name="_Hlk479257186"/>
      <w:r w:rsidRPr="00CD4CAD">
        <w:rPr>
          <w:color w:val="2E2E2E"/>
          <w:sz w:val="24"/>
          <w:szCs w:val="24"/>
        </w:rPr>
        <w:t>Må ikke blandes med andre lægemidler til dyr.</w:t>
      </w:r>
      <w:bookmarkEnd w:id="27"/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FD4722" w:rsidRPr="00CD4CAD" w:rsidRDefault="00FD4722" w:rsidP="00FD4722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CD4CAD">
        <w:rPr>
          <w:sz w:val="24"/>
          <w:szCs w:val="24"/>
        </w:rPr>
        <w:t xml:space="preserve"> salgspakning: 30 måneder</w:t>
      </w:r>
      <w:r>
        <w:rPr>
          <w:sz w:val="24"/>
          <w:szCs w:val="24"/>
        </w:rPr>
        <w:t>.</w:t>
      </w:r>
    </w:p>
    <w:p w:rsidR="00FD4722" w:rsidRPr="00406EE7" w:rsidRDefault="00FD4722" w:rsidP="00FD4722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Pr="00CD4CAD">
        <w:rPr>
          <w:sz w:val="24"/>
          <w:szCs w:val="24"/>
        </w:rPr>
        <w:t>fter første åbning af den indre emballage: 56 dage</w:t>
      </w:r>
      <w:r>
        <w:rPr>
          <w:sz w:val="24"/>
          <w:szCs w:val="24"/>
        </w:rPr>
        <w:t>.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FD4722" w:rsidRPr="00406EE7" w:rsidRDefault="00FD4722" w:rsidP="00FD4722">
      <w:pPr>
        <w:ind w:left="851"/>
        <w:rPr>
          <w:sz w:val="24"/>
          <w:szCs w:val="24"/>
        </w:rPr>
      </w:pPr>
      <w:bookmarkStart w:id="28" w:name="_Hlk513448392"/>
      <w:bookmarkStart w:id="29" w:name="_Hlk479256990"/>
      <w:r w:rsidRPr="00CD4CAD">
        <w:rPr>
          <w:sz w:val="24"/>
          <w:szCs w:val="24"/>
        </w:rPr>
        <w:t>Opbevar hætteglasset i den ydre karton for at beskytte mod lys.</w:t>
      </w:r>
      <w:bookmarkEnd w:id="28"/>
      <w:bookmarkEnd w:id="29"/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proofErr w:type="gramStart"/>
      <w:r w:rsidRPr="00CD4CAD">
        <w:rPr>
          <w:color w:val="000000"/>
          <w:sz w:val="24"/>
          <w:szCs w:val="24"/>
        </w:rPr>
        <w:t>Farveløs</w:t>
      </w:r>
      <w:r>
        <w:rPr>
          <w:color w:val="000000"/>
          <w:sz w:val="24"/>
          <w:szCs w:val="24"/>
        </w:rPr>
        <w:t>t</w:t>
      </w:r>
      <w:r w:rsidRPr="00CD4CAD">
        <w:rPr>
          <w:color w:val="000000"/>
          <w:sz w:val="24"/>
          <w:szCs w:val="24"/>
        </w:rPr>
        <w:t xml:space="preserve"> type</w:t>
      </w:r>
      <w:proofErr w:type="gramEnd"/>
      <w:r w:rsidRPr="00CD4CAD">
        <w:rPr>
          <w:color w:val="000000"/>
          <w:sz w:val="24"/>
          <w:szCs w:val="24"/>
        </w:rPr>
        <w:t xml:space="preserve"> I hætteglas lukket med en prop belagt med </w:t>
      </w:r>
      <w:proofErr w:type="spellStart"/>
      <w:r w:rsidRPr="00CD4CAD">
        <w:rPr>
          <w:color w:val="000000"/>
          <w:sz w:val="24"/>
          <w:szCs w:val="24"/>
        </w:rPr>
        <w:t>brombutylgummi</w:t>
      </w:r>
      <w:proofErr w:type="spellEnd"/>
      <w:r w:rsidRPr="00CD4CAD">
        <w:rPr>
          <w:color w:val="000000"/>
          <w:sz w:val="24"/>
          <w:szCs w:val="24"/>
        </w:rPr>
        <w:t xml:space="preserve"> og et aluminiumslåg. Et hætteglas af glas i en kartonæske.</w:t>
      </w:r>
    </w:p>
    <w:p w:rsidR="00FD4722" w:rsidRDefault="00FD4722" w:rsidP="00FD4722">
      <w:pPr>
        <w:ind w:left="851"/>
        <w:rPr>
          <w:color w:val="000000"/>
          <w:sz w:val="24"/>
          <w:szCs w:val="24"/>
          <w:u w:val="single"/>
        </w:rPr>
      </w:pPr>
    </w:p>
    <w:p w:rsidR="00FD4722" w:rsidRPr="00CD4CAD" w:rsidRDefault="00FD4722" w:rsidP="00FD4722">
      <w:pPr>
        <w:ind w:left="851"/>
        <w:rPr>
          <w:color w:val="000000"/>
          <w:sz w:val="24"/>
          <w:szCs w:val="24"/>
          <w:u w:val="single"/>
        </w:rPr>
      </w:pPr>
      <w:r w:rsidRPr="00CD4CAD">
        <w:rPr>
          <w:color w:val="000000"/>
          <w:sz w:val="24"/>
          <w:szCs w:val="24"/>
          <w:u w:val="single"/>
        </w:rPr>
        <w:t>Pakningsstørrelse</w:t>
      </w:r>
      <w:r>
        <w:rPr>
          <w:color w:val="000000"/>
          <w:sz w:val="24"/>
          <w:szCs w:val="24"/>
          <w:u w:val="single"/>
        </w:rPr>
        <w:t>r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Æske med 1 hætteglas med 10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Æske med 1 hætteglas med 20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Æske med 1 hætteglas med 50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bookmarkStart w:id="30" w:name="_Hlk505074051"/>
      <w:r w:rsidRPr="00CD4CAD">
        <w:rPr>
          <w:color w:val="000000"/>
          <w:sz w:val="24"/>
          <w:szCs w:val="24"/>
        </w:rPr>
        <w:t>Multipakning med 6 æsker, der hver indeholder 1 hætteglas med 10 ml</w:t>
      </w:r>
      <w:r>
        <w:rPr>
          <w:color w:val="000000"/>
          <w:sz w:val="24"/>
          <w:szCs w:val="24"/>
        </w:rPr>
        <w:t>.</w:t>
      </w:r>
    </w:p>
    <w:bookmarkEnd w:id="30"/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Multipakning med 6 æsker, der hver indeholder 1 hætteglas med 20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Multipakning med 6 æsker, der hver indeholder 1 hætteglas med 50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Multipakning med 10 æsker, der hver indeholder 1 hætteglas med 10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Multipakning med 10 æsker, der hver indeholder 1 hætteglas med 20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  <w:r w:rsidRPr="00CD4CAD">
        <w:rPr>
          <w:color w:val="000000"/>
          <w:sz w:val="24"/>
          <w:szCs w:val="24"/>
        </w:rPr>
        <w:t>Multipakning med 10 æsker, der hver indeholder 1 hætteglas med 50 ml</w:t>
      </w:r>
      <w:r>
        <w:rPr>
          <w:color w:val="000000"/>
          <w:sz w:val="24"/>
          <w:szCs w:val="24"/>
        </w:rPr>
        <w:t>.</w:t>
      </w:r>
    </w:p>
    <w:p w:rsidR="00FD4722" w:rsidRPr="00CD4CAD" w:rsidRDefault="00FD4722" w:rsidP="00FD4722">
      <w:pPr>
        <w:ind w:left="851"/>
        <w:rPr>
          <w:color w:val="000000"/>
          <w:sz w:val="24"/>
          <w:szCs w:val="24"/>
        </w:rPr>
      </w:pPr>
    </w:p>
    <w:p w:rsidR="00FD4722" w:rsidRPr="00406EE7" w:rsidRDefault="00FD4722" w:rsidP="00FD4722">
      <w:pPr>
        <w:ind w:left="851"/>
        <w:rPr>
          <w:sz w:val="24"/>
          <w:szCs w:val="24"/>
        </w:rPr>
      </w:pPr>
      <w:r w:rsidRPr="00CD4CAD">
        <w:rPr>
          <w:sz w:val="24"/>
          <w:szCs w:val="24"/>
        </w:rPr>
        <w:t>Ikke alle pakningsstørrelser er nødvendigvis markedsført.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FD4722" w:rsidRPr="0069051B" w:rsidRDefault="00FD4722" w:rsidP="00FD4722">
      <w:pPr>
        <w:ind w:left="851"/>
        <w:rPr>
          <w:sz w:val="24"/>
          <w:szCs w:val="24"/>
        </w:rPr>
      </w:pPr>
      <w:r w:rsidRPr="00CD4CAD">
        <w:rPr>
          <w:sz w:val="24"/>
          <w:szCs w:val="24"/>
        </w:rPr>
        <w:t>Ik</w:t>
      </w:r>
      <w:r>
        <w:rPr>
          <w:sz w:val="24"/>
          <w:szCs w:val="24"/>
        </w:rPr>
        <w:t>ke anvendte veterinærlægemidler</w:t>
      </w:r>
      <w:r w:rsidRPr="00CD4CAD">
        <w:rPr>
          <w:sz w:val="24"/>
          <w:szCs w:val="24"/>
        </w:rPr>
        <w:t xml:space="preserve"> samt affald heraf bør destrueres i henhold til lokale retningslinjer.</w:t>
      </w:r>
    </w:p>
    <w:p w:rsidR="00FD4722" w:rsidRPr="00070728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FD4722" w:rsidRPr="00CD4CAD" w:rsidRDefault="00FD4722" w:rsidP="00FD4722">
      <w:pPr>
        <w:tabs>
          <w:tab w:val="left" w:pos="708"/>
        </w:tabs>
        <w:ind w:left="851"/>
        <w:rPr>
          <w:sz w:val="24"/>
          <w:szCs w:val="24"/>
        </w:rPr>
      </w:pPr>
      <w:r w:rsidRPr="00CD4CAD">
        <w:rPr>
          <w:sz w:val="24"/>
          <w:szCs w:val="24"/>
        </w:rPr>
        <w:t xml:space="preserve">Le </w:t>
      </w:r>
      <w:proofErr w:type="spellStart"/>
      <w:r w:rsidRPr="00CD4CAD">
        <w:rPr>
          <w:sz w:val="24"/>
          <w:szCs w:val="24"/>
        </w:rPr>
        <w:t>Vet</w:t>
      </w:r>
      <w:proofErr w:type="spellEnd"/>
      <w:r w:rsidRPr="00CD4CAD">
        <w:rPr>
          <w:sz w:val="24"/>
          <w:szCs w:val="24"/>
        </w:rPr>
        <w:t xml:space="preserve"> </w:t>
      </w:r>
      <w:proofErr w:type="spellStart"/>
      <w:r w:rsidRPr="00CD4CAD">
        <w:rPr>
          <w:sz w:val="24"/>
          <w:szCs w:val="24"/>
        </w:rPr>
        <w:t>Beheer</w:t>
      </w:r>
      <w:proofErr w:type="spellEnd"/>
      <w:r w:rsidRPr="00CD4CAD">
        <w:rPr>
          <w:sz w:val="24"/>
          <w:szCs w:val="24"/>
        </w:rPr>
        <w:t xml:space="preserve"> B.V.</w:t>
      </w:r>
    </w:p>
    <w:p w:rsidR="00FD4722" w:rsidRPr="000454F4" w:rsidRDefault="00FD4722" w:rsidP="00FD4722">
      <w:pPr>
        <w:tabs>
          <w:tab w:val="left" w:pos="708"/>
        </w:tabs>
        <w:ind w:left="851"/>
        <w:rPr>
          <w:sz w:val="24"/>
          <w:szCs w:val="24"/>
          <w:lang w:val="en-US"/>
        </w:rPr>
      </w:pPr>
      <w:r w:rsidRPr="000454F4">
        <w:rPr>
          <w:sz w:val="24"/>
          <w:szCs w:val="24"/>
          <w:lang w:val="en-US"/>
        </w:rPr>
        <w:t>Wilgenweg 7</w:t>
      </w:r>
    </w:p>
    <w:p w:rsidR="00FD4722" w:rsidRPr="000454F4" w:rsidRDefault="00FD4722" w:rsidP="00FD4722">
      <w:pPr>
        <w:tabs>
          <w:tab w:val="left" w:pos="708"/>
        </w:tabs>
        <w:ind w:left="851"/>
        <w:rPr>
          <w:sz w:val="24"/>
          <w:szCs w:val="24"/>
          <w:lang w:val="en-US"/>
        </w:rPr>
      </w:pPr>
      <w:r w:rsidRPr="000454F4">
        <w:rPr>
          <w:sz w:val="24"/>
          <w:szCs w:val="24"/>
          <w:lang w:val="en-US"/>
        </w:rPr>
        <w:t>3421 TV Oudewater</w:t>
      </w:r>
    </w:p>
    <w:p w:rsidR="00FD4722" w:rsidRPr="000454F4" w:rsidRDefault="00FD4722" w:rsidP="00FD4722">
      <w:pPr>
        <w:ind w:left="851"/>
        <w:rPr>
          <w:sz w:val="24"/>
          <w:szCs w:val="24"/>
          <w:lang w:val="en-US"/>
        </w:rPr>
      </w:pPr>
      <w:r w:rsidRPr="000454F4">
        <w:rPr>
          <w:sz w:val="24"/>
          <w:szCs w:val="24"/>
          <w:lang w:val="en-US"/>
        </w:rPr>
        <w:t>Holland</w:t>
      </w:r>
    </w:p>
    <w:p w:rsidR="00CD445F" w:rsidRPr="000454F4" w:rsidRDefault="00CD445F" w:rsidP="00FD4722">
      <w:pPr>
        <w:ind w:left="851"/>
        <w:rPr>
          <w:sz w:val="24"/>
          <w:szCs w:val="24"/>
          <w:lang w:val="en-US"/>
        </w:rPr>
      </w:pPr>
    </w:p>
    <w:p w:rsidR="00CD445F" w:rsidRPr="000454F4" w:rsidRDefault="00CD445F" w:rsidP="00FD4722">
      <w:pPr>
        <w:ind w:left="851"/>
        <w:rPr>
          <w:b/>
          <w:sz w:val="24"/>
          <w:szCs w:val="24"/>
          <w:lang w:val="en-US"/>
        </w:rPr>
      </w:pPr>
      <w:r w:rsidRPr="000454F4">
        <w:rPr>
          <w:b/>
          <w:sz w:val="24"/>
          <w:szCs w:val="24"/>
          <w:lang w:val="en-US"/>
        </w:rPr>
        <w:t>Repræsentant</w:t>
      </w:r>
    </w:p>
    <w:p w:rsidR="00CD445F" w:rsidRPr="00CD445F" w:rsidRDefault="00CD445F" w:rsidP="00CD445F">
      <w:pPr>
        <w:ind w:left="851"/>
        <w:rPr>
          <w:sz w:val="24"/>
          <w:szCs w:val="24"/>
          <w:lang w:val="en-US"/>
        </w:rPr>
      </w:pPr>
      <w:proofErr w:type="spellStart"/>
      <w:r w:rsidRPr="00CD445F">
        <w:rPr>
          <w:sz w:val="24"/>
          <w:szCs w:val="24"/>
          <w:lang w:val="en-US"/>
        </w:rPr>
        <w:t>Dechra</w:t>
      </w:r>
      <w:proofErr w:type="spellEnd"/>
      <w:r w:rsidRPr="00CD445F">
        <w:rPr>
          <w:sz w:val="24"/>
          <w:szCs w:val="24"/>
          <w:lang w:val="en-US"/>
        </w:rPr>
        <w:t xml:space="preserve"> Veterinary Products A/S</w:t>
      </w:r>
    </w:p>
    <w:p w:rsidR="00CD445F" w:rsidRPr="000454F4" w:rsidRDefault="00CD445F" w:rsidP="00CD445F">
      <w:pPr>
        <w:ind w:left="851"/>
        <w:rPr>
          <w:sz w:val="24"/>
          <w:szCs w:val="24"/>
        </w:rPr>
      </w:pPr>
      <w:r w:rsidRPr="000454F4">
        <w:rPr>
          <w:sz w:val="24"/>
          <w:szCs w:val="24"/>
        </w:rPr>
        <w:t>Mekuvej 9</w:t>
      </w:r>
    </w:p>
    <w:p w:rsidR="00CD445F" w:rsidRPr="00CD445F" w:rsidRDefault="00CD445F" w:rsidP="00CD445F">
      <w:pPr>
        <w:ind w:left="851"/>
        <w:rPr>
          <w:sz w:val="24"/>
          <w:szCs w:val="24"/>
        </w:rPr>
      </w:pPr>
      <w:r w:rsidRPr="00CD445F">
        <w:rPr>
          <w:sz w:val="24"/>
          <w:szCs w:val="24"/>
        </w:rPr>
        <w:t>7171 Uldum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60008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10. september 2018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FD4722" w:rsidRPr="00406EE7" w:rsidRDefault="00CD445F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august 2020</w:t>
      </w:r>
    </w:p>
    <w:p w:rsidR="00FD4722" w:rsidRPr="00406EE7" w:rsidRDefault="00FD4722" w:rsidP="00FD4722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D4722" w:rsidRPr="00406EE7" w:rsidRDefault="00FD4722" w:rsidP="00FD4722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FD4722" w:rsidRPr="006D396D" w:rsidRDefault="00FD4722" w:rsidP="00FD4722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p w:rsidR="0003527F" w:rsidRPr="00FD4722" w:rsidRDefault="0003527F" w:rsidP="00FD4722">
      <w:bookmarkStart w:id="31" w:name="_GoBack"/>
      <w:bookmarkEnd w:id="31"/>
    </w:p>
    <w:sectPr w:rsidR="0003527F" w:rsidRPr="00FD4722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722" w:rsidRDefault="00FD4722">
      <w:r>
        <w:separator/>
      </w:r>
    </w:p>
  </w:endnote>
  <w:endnote w:type="continuationSeparator" w:id="0">
    <w:p w:rsidR="00FD4722" w:rsidRDefault="00FD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D4722">
      <w:rPr>
        <w:i/>
        <w:noProof/>
        <w:snapToGrid w:val="0"/>
        <w:sz w:val="18"/>
      </w:rPr>
      <w:t>Dokument673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D4722">
      <w:rPr>
        <w:i/>
        <w:noProof/>
        <w:snapToGrid w:val="0"/>
        <w:sz w:val="18"/>
      </w:rPr>
      <w:t>Dokument673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722" w:rsidRDefault="00FD4722">
      <w:r>
        <w:separator/>
      </w:r>
    </w:p>
  </w:footnote>
  <w:footnote w:type="continuationSeparator" w:id="0">
    <w:p w:rsidR="00FD4722" w:rsidRDefault="00FD4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9607101"/>
    <w:multiLevelType w:val="hybridMultilevel"/>
    <w:tmpl w:val="AB7EB27C"/>
    <w:lvl w:ilvl="0" w:tplc="7042FC6E">
      <w:start w:val="4"/>
      <w:numFmt w:val="bullet"/>
      <w:lvlText w:val="-"/>
      <w:lvlJc w:val="left"/>
      <w:pPr>
        <w:ind w:left="1494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722"/>
    <w:rsid w:val="0003527F"/>
    <w:rsid w:val="000454F4"/>
    <w:rsid w:val="00065C7D"/>
    <w:rsid w:val="000C6CD4"/>
    <w:rsid w:val="001577E4"/>
    <w:rsid w:val="001858CA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42F7D"/>
    <w:rsid w:val="00662012"/>
    <w:rsid w:val="00666B01"/>
    <w:rsid w:val="006B1539"/>
    <w:rsid w:val="006D4B41"/>
    <w:rsid w:val="006F5621"/>
    <w:rsid w:val="007E2A00"/>
    <w:rsid w:val="008010F2"/>
    <w:rsid w:val="009202AE"/>
    <w:rsid w:val="00932676"/>
    <w:rsid w:val="009D66C6"/>
    <w:rsid w:val="00A96525"/>
    <w:rsid w:val="00AE29E5"/>
    <w:rsid w:val="00AE5757"/>
    <w:rsid w:val="00B25EB8"/>
    <w:rsid w:val="00BC634B"/>
    <w:rsid w:val="00BF2AE0"/>
    <w:rsid w:val="00C479BF"/>
    <w:rsid w:val="00CD445F"/>
    <w:rsid w:val="00D567AA"/>
    <w:rsid w:val="00DD6D71"/>
    <w:rsid w:val="00DF32BE"/>
    <w:rsid w:val="00E14F0A"/>
    <w:rsid w:val="00E35859"/>
    <w:rsid w:val="00EB5778"/>
    <w:rsid w:val="00EE5253"/>
    <w:rsid w:val="00FA66E4"/>
    <w:rsid w:val="00FD4722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AA07C-E0E9-4319-A467-0AFCC184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6</Pages>
  <Words>1526</Words>
  <Characters>9675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2020073443_x000d_
Tilføjelse af repræsentant</dc:description>
  <cp:lastModifiedBy>Marianne Ott Jensen</cp:lastModifiedBy>
  <cp:revision>4</cp:revision>
  <dcterms:created xsi:type="dcterms:W3CDTF">2020-08-18T06:05:00Z</dcterms:created>
  <dcterms:modified xsi:type="dcterms:W3CDTF">2020-08-18T11:50:00Z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