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726" w:rsidRPr="008F45A4" w:rsidRDefault="00A92726" w:rsidP="00A92726">
      <w:pPr>
        <w:tabs>
          <w:tab w:val="left" w:pos="6804"/>
        </w:tabs>
        <w:rPr>
          <w:b/>
          <w:sz w:val="24"/>
          <w:szCs w:val="24"/>
        </w:rPr>
      </w:pPr>
      <w:bookmarkStart w:id="0" w:name="_GoBack"/>
      <w:bookmarkEnd w:id="0"/>
      <w:r w:rsidRPr="008F45A4">
        <w:rPr>
          <w:noProof/>
          <w:sz w:val="24"/>
          <w:szCs w:val="24"/>
          <w:lang w:eastAsia="da-DK"/>
        </w:rPr>
        <w:drawing>
          <wp:inline distT="0" distB="0" distL="0" distR="0" wp14:anchorId="0FC75D54" wp14:editId="6E541AEE">
            <wp:extent cx="2447925" cy="695325"/>
            <wp:effectExtent l="0" t="0" r="9525" b="9525"/>
            <wp:docPr id="2" name="Billede 1"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_auto_st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47925" cy="695325"/>
                    </a:xfrm>
                    <a:prstGeom prst="rect">
                      <a:avLst/>
                    </a:prstGeom>
                    <a:noFill/>
                    <a:ln>
                      <a:noFill/>
                    </a:ln>
                  </pic:spPr>
                </pic:pic>
              </a:graphicData>
            </a:graphic>
          </wp:inline>
        </w:drawing>
      </w:r>
    </w:p>
    <w:p w:rsidR="00A92726" w:rsidRPr="008F45A4" w:rsidRDefault="008F45A4" w:rsidP="00A92726">
      <w:pPr>
        <w:tabs>
          <w:tab w:val="left" w:pos="6804"/>
        </w:tabs>
        <w:jc w:val="right"/>
        <w:rPr>
          <w:b/>
          <w:sz w:val="24"/>
          <w:szCs w:val="24"/>
        </w:rPr>
      </w:pPr>
      <w:r w:rsidRPr="008F45A4">
        <w:rPr>
          <w:b/>
          <w:sz w:val="24"/>
          <w:szCs w:val="24"/>
        </w:rPr>
        <w:t>6. marts 2025</w:t>
      </w:r>
    </w:p>
    <w:p w:rsidR="00A92726" w:rsidRPr="008F45A4" w:rsidRDefault="00A92726" w:rsidP="00A92726">
      <w:pPr>
        <w:tabs>
          <w:tab w:val="left" w:pos="8222"/>
        </w:tabs>
        <w:rPr>
          <w:sz w:val="24"/>
          <w:szCs w:val="24"/>
        </w:rPr>
      </w:pPr>
    </w:p>
    <w:p w:rsidR="00A92726" w:rsidRPr="008F45A4" w:rsidRDefault="00A92726" w:rsidP="00A92726">
      <w:pPr>
        <w:tabs>
          <w:tab w:val="left" w:pos="8222"/>
        </w:tabs>
        <w:rPr>
          <w:sz w:val="24"/>
          <w:szCs w:val="24"/>
        </w:rPr>
      </w:pPr>
    </w:p>
    <w:p w:rsidR="00A92726" w:rsidRPr="008F45A4" w:rsidRDefault="00A92726" w:rsidP="00A92726">
      <w:pPr>
        <w:tabs>
          <w:tab w:val="left" w:pos="8222"/>
        </w:tabs>
        <w:jc w:val="center"/>
        <w:rPr>
          <w:b/>
          <w:sz w:val="24"/>
          <w:szCs w:val="24"/>
        </w:rPr>
      </w:pPr>
      <w:r w:rsidRPr="008F45A4">
        <w:rPr>
          <w:b/>
          <w:sz w:val="24"/>
          <w:szCs w:val="24"/>
        </w:rPr>
        <w:t>PRODUKTRESUMÉ</w:t>
      </w:r>
    </w:p>
    <w:p w:rsidR="00A92726" w:rsidRPr="008F45A4" w:rsidRDefault="00A92726" w:rsidP="00A92726">
      <w:pPr>
        <w:tabs>
          <w:tab w:val="left" w:pos="8222"/>
        </w:tabs>
        <w:jc w:val="center"/>
        <w:rPr>
          <w:b/>
          <w:sz w:val="24"/>
          <w:szCs w:val="24"/>
        </w:rPr>
      </w:pPr>
    </w:p>
    <w:p w:rsidR="00A92726" w:rsidRPr="008F45A4" w:rsidRDefault="00A92726" w:rsidP="00A92726">
      <w:pPr>
        <w:tabs>
          <w:tab w:val="left" w:pos="8222"/>
        </w:tabs>
        <w:jc w:val="center"/>
        <w:rPr>
          <w:b/>
          <w:sz w:val="24"/>
          <w:szCs w:val="24"/>
        </w:rPr>
      </w:pPr>
      <w:r w:rsidRPr="008F45A4">
        <w:rPr>
          <w:b/>
          <w:sz w:val="24"/>
          <w:szCs w:val="24"/>
        </w:rPr>
        <w:t>for</w:t>
      </w:r>
    </w:p>
    <w:p w:rsidR="00A92726" w:rsidRPr="008F45A4" w:rsidRDefault="00A92726" w:rsidP="00A92726">
      <w:pPr>
        <w:tabs>
          <w:tab w:val="left" w:pos="8222"/>
        </w:tabs>
        <w:jc w:val="center"/>
        <w:rPr>
          <w:b/>
          <w:sz w:val="24"/>
          <w:szCs w:val="24"/>
        </w:rPr>
      </w:pPr>
    </w:p>
    <w:p w:rsidR="00A92726" w:rsidRPr="008F45A4" w:rsidRDefault="00A92726" w:rsidP="00A92726">
      <w:pPr>
        <w:tabs>
          <w:tab w:val="left" w:pos="8222"/>
        </w:tabs>
        <w:jc w:val="center"/>
        <w:rPr>
          <w:b/>
          <w:sz w:val="24"/>
          <w:szCs w:val="24"/>
        </w:rPr>
      </w:pPr>
      <w:proofErr w:type="spellStart"/>
      <w:r w:rsidRPr="008F45A4">
        <w:rPr>
          <w:b/>
          <w:sz w:val="24"/>
          <w:szCs w:val="24"/>
        </w:rPr>
        <w:t>Rycarfa</w:t>
      </w:r>
      <w:proofErr w:type="spellEnd"/>
      <w:r w:rsidRPr="008F45A4">
        <w:rPr>
          <w:b/>
          <w:sz w:val="24"/>
          <w:szCs w:val="24"/>
        </w:rPr>
        <w:t xml:space="preserve"> </w:t>
      </w:r>
      <w:proofErr w:type="spellStart"/>
      <w:r w:rsidRPr="008F45A4">
        <w:rPr>
          <w:b/>
          <w:sz w:val="24"/>
          <w:szCs w:val="24"/>
        </w:rPr>
        <w:t>Vet</w:t>
      </w:r>
      <w:proofErr w:type="spellEnd"/>
      <w:r w:rsidRPr="008F45A4">
        <w:rPr>
          <w:b/>
          <w:sz w:val="24"/>
          <w:szCs w:val="24"/>
        </w:rPr>
        <w:t>., injektionsvæske, opløsning</w:t>
      </w:r>
    </w:p>
    <w:p w:rsidR="00A92726" w:rsidRPr="008F45A4" w:rsidRDefault="00A92726" w:rsidP="00A92726">
      <w:pPr>
        <w:tabs>
          <w:tab w:val="left" w:pos="8222"/>
        </w:tabs>
        <w:jc w:val="both"/>
        <w:rPr>
          <w:sz w:val="24"/>
          <w:szCs w:val="24"/>
        </w:rPr>
      </w:pPr>
    </w:p>
    <w:p w:rsidR="00A92726" w:rsidRPr="008F45A4" w:rsidRDefault="00A92726" w:rsidP="00A92726">
      <w:pPr>
        <w:ind w:left="851" w:hanging="851"/>
        <w:jc w:val="both"/>
        <w:rPr>
          <w:sz w:val="24"/>
          <w:szCs w:val="24"/>
        </w:rPr>
      </w:pPr>
    </w:p>
    <w:p w:rsidR="00A92726" w:rsidRPr="008F45A4" w:rsidRDefault="00A92726" w:rsidP="00BE7813">
      <w:pPr>
        <w:tabs>
          <w:tab w:val="left" w:pos="567"/>
        </w:tabs>
        <w:ind w:left="851" w:hanging="851"/>
        <w:rPr>
          <w:b/>
          <w:sz w:val="24"/>
          <w:szCs w:val="24"/>
        </w:rPr>
      </w:pPr>
      <w:r w:rsidRPr="008F45A4">
        <w:rPr>
          <w:b/>
          <w:sz w:val="24"/>
          <w:szCs w:val="24"/>
        </w:rPr>
        <w:t>0.</w:t>
      </w:r>
      <w:r w:rsidRPr="008F45A4">
        <w:rPr>
          <w:b/>
          <w:sz w:val="24"/>
          <w:szCs w:val="24"/>
        </w:rPr>
        <w:tab/>
        <w:t>D.SP.NR.</w:t>
      </w:r>
    </w:p>
    <w:p w:rsidR="00A92726" w:rsidRPr="008F45A4" w:rsidRDefault="00A92726" w:rsidP="00BE7813">
      <w:pPr>
        <w:tabs>
          <w:tab w:val="left" w:pos="567"/>
        </w:tabs>
        <w:ind w:left="851" w:hanging="851"/>
        <w:rPr>
          <w:sz w:val="24"/>
          <w:szCs w:val="24"/>
        </w:rPr>
      </w:pPr>
      <w:r w:rsidRPr="008F45A4">
        <w:rPr>
          <w:sz w:val="24"/>
          <w:szCs w:val="24"/>
        </w:rPr>
        <w:tab/>
        <w:t>28608</w:t>
      </w:r>
    </w:p>
    <w:p w:rsidR="00A92726" w:rsidRPr="008F45A4" w:rsidRDefault="00A92726" w:rsidP="00A92726">
      <w:pPr>
        <w:ind w:left="851" w:hanging="851"/>
        <w:rPr>
          <w:sz w:val="24"/>
          <w:szCs w:val="24"/>
        </w:rPr>
      </w:pPr>
    </w:p>
    <w:p w:rsidR="008F45A4" w:rsidRPr="008F45A4" w:rsidRDefault="008F45A4" w:rsidP="008F45A4">
      <w:pPr>
        <w:pStyle w:val="Listeafsnit"/>
        <w:numPr>
          <w:ilvl w:val="0"/>
          <w:numId w:val="4"/>
        </w:numPr>
        <w:tabs>
          <w:tab w:val="left" w:pos="567"/>
        </w:tabs>
        <w:spacing w:before="70"/>
        <w:ind w:left="567" w:hanging="568"/>
        <w:rPr>
          <w:b/>
          <w:sz w:val="24"/>
          <w:szCs w:val="24"/>
        </w:rPr>
      </w:pPr>
      <w:r w:rsidRPr="008F45A4">
        <w:rPr>
          <w:b/>
          <w:sz w:val="24"/>
          <w:szCs w:val="24"/>
        </w:rPr>
        <w:t>VETERINÆRLÆGEMIDLETS</w:t>
      </w:r>
      <w:r w:rsidRPr="008F45A4">
        <w:rPr>
          <w:b/>
          <w:spacing w:val="-1"/>
          <w:sz w:val="24"/>
          <w:szCs w:val="24"/>
        </w:rPr>
        <w:t xml:space="preserve"> </w:t>
      </w:r>
      <w:r w:rsidRPr="008F45A4">
        <w:rPr>
          <w:b/>
          <w:sz w:val="24"/>
          <w:szCs w:val="24"/>
        </w:rPr>
        <w:t>NAVN</w:t>
      </w:r>
    </w:p>
    <w:p w:rsidR="008F45A4" w:rsidRPr="008F45A4" w:rsidRDefault="008F45A4" w:rsidP="008F45A4">
      <w:pPr>
        <w:pStyle w:val="Brdtekst"/>
        <w:spacing w:before="1"/>
        <w:rPr>
          <w:b/>
          <w:sz w:val="24"/>
          <w:szCs w:val="24"/>
        </w:rPr>
      </w:pPr>
    </w:p>
    <w:p w:rsidR="008F45A4" w:rsidRPr="008F45A4" w:rsidRDefault="008F45A4" w:rsidP="00411EC5">
      <w:pPr>
        <w:pStyle w:val="Brdtekst"/>
        <w:ind w:left="567" w:right="418"/>
        <w:rPr>
          <w:sz w:val="24"/>
          <w:szCs w:val="24"/>
          <w:lang w:val="nb-NO"/>
        </w:rPr>
      </w:pPr>
      <w:r w:rsidRPr="008F45A4">
        <w:rPr>
          <w:sz w:val="24"/>
          <w:szCs w:val="24"/>
          <w:lang w:val="nb-NO"/>
        </w:rPr>
        <w:t xml:space="preserve">Rycarfa Vet. </w:t>
      </w:r>
    </w:p>
    <w:p w:rsidR="008F45A4" w:rsidRPr="008F45A4" w:rsidRDefault="008F45A4" w:rsidP="00411EC5">
      <w:pPr>
        <w:pStyle w:val="Brdtekst"/>
        <w:ind w:left="567" w:right="418"/>
        <w:rPr>
          <w:sz w:val="24"/>
          <w:szCs w:val="24"/>
          <w:lang w:val="nb-NO"/>
        </w:rPr>
      </w:pPr>
    </w:p>
    <w:p w:rsidR="008F45A4" w:rsidRPr="008F45A4" w:rsidRDefault="008F45A4" w:rsidP="00411EC5">
      <w:pPr>
        <w:pStyle w:val="Brdtekst"/>
        <w:ind w:left="567" w:right="418"/>
        <w:rPr>
          <w:sz w:val="24"/>
          <w:szCs w:val="24"/>
          <w:lang w:val="nb-NO"/>
        </w:rPr>
      </w:pPr>
      <w:r w:rsidRPr="008F45A4">
        <w:rPr>
          <w:sz w:val="24"/>
          <w:szCs w:val="24"/>
          <w:lang w:val="nb-NO"/>
        </w:rPr>
        <w:t>Lægemiddelform: injektionsvæske, opløsning</w:t>
      </w:r>
    </w:p>
    <w:p w:rsidR="008F45A4" w:rsidRPr="008F45A4" w:rsidRDefault="008F45A4" w:rsidP="00411EC5">
      <w:pPr>
        <w:pStyle w:val="Brdtekst"/>
        <w:ind w:left="567" w:right="418"/>
        <w:rPr>
          <w:sz w:val="24"/>
          <w:szCs w:val="24"/>
          <w:lang w:val="nb-NO"/>
        </w:rPr>
      </w:pPr>
      <w:r w:rsidRPr="008F45A4">
        <w:rPr>
          <w:sz w:val="24"/>
          <w:szCs w:val="24"/>
          <w:lang w:val="nb-NO"/>
        </w:rPr>
        <w:t>Styrke: 50 mg/ml</w:t>
      </w:r>
    </w:p>
    <w:p w:rsidR="008F45A4" w:rsidRPr="008F45A4" w:rsidRDefault="008F45A4" w:rsidP="008F45A4">
      <w:pPr>
        <w:pStyle w:val="Brdtekst"/>
        <w:rPr>
          <w:sz w:val="24"/>
          <w:szCs w:val="24"/>
          <w:lang w:val="nb-NO"/>
        </w:rPr>
      </w:pPr>
    </w:p>
    <w:p w:rsidR="008F45A4" w:rsidRPr="008F45A4" w:rsidRDefault="008F45A4" w:rsidP="008F45A4">
      <w:pPr>
        <w:pStyle w:val="Brdtekst"/>
        <w:spacing w:before="1"/>
        <w:rPr>
          <w:sz w:val="24"/>
          <w:szCs w:val="24"/>
          <w:lang w:val="nb-NO"/>
        </w:rPr>
      </w:pPr>
    </w:p>
    <w:p w:rsidR="008F45A4" w:rsidRPr="008F45A4" w:rsidRDefault="008F45A4" w:rsidP="008F45A4">
      <w:pPr>
        <w:pStyle w:val="Overskrift1"/>
        <w:keepNext w:val="0"/>
        <w:widowControl w:val="0"/>
        <w:numPr>
          <w:ilvl w:val="0"/>
          <w:numId w:val="4"/>
        </w:numPr>
        <w:tabs>
          <w:tab w:val="left" w:pos="567"/>
        </w:tabs>
        <w:autoSpaceDE w:val="0"/>
        <w:autoSpaceDN w:val="0"/>
        <w:spacing w:before="0" w:after="0"/>
        <w:ind w:left="567" w:hanging="568"/>
        <w:rPr>
          <w:rFonts w:ascii="Times New Roman" w:hAnsi="Times New Roman"/>
          <w:b w:val="0"/>
          <w:bCs/>
          <w:sz w:val="24"/>
          <w:szCs w:val="24"/>
        </w:rPr>
      </w:pPr>
      <w:r w:rsidRPr="008F45A4">
        <w:rPr>
          <w:rFonts w:ascii="Times New Roman" w:hAnsi="Times New Roman"/>
          <w:sz w:val="24"/>
          <w:szCs w:val="24"/>
        </w:rPr>
        <w:t>KVALITATIV OG KVANTITATIV</w:t>
      </w:r>
      <w:r w:rsidRPr="008F45A4">
        <w:rPr>
          <w:rFonts w:ascii="Times New Roman" w:hAnsi="Times New Roman"/>
          <w:spacing w:val="-1"/>
          <w:sz w:val="24"/>
          <w:szCs w:val="24"/>
        </w:rPr>
        <w:t xml:space="preserve"> </w:t>
      </w:r>
      <w:r w:rsidRPr="008F45A4">
        <w:rPr>
          <w:rFonts w:ascii="Times New Roman" w:hAnsi="Times New Roman"/>
          <w:sz w:val="24"/>
          <w:szCs w:val="24"/>
        </w:rPr>
        <w:t>SAMMENSÆTNING</w:t>
      </w:r>
    </w:p>
    <w:p w:rsidR="008F45A4" w:rsidRPr="008F45A4" w:rsidRDefault="008F45A4" w:rsidP="008F45A4">
      <w:pPr>
        <w:pStyle w:val="Brdtekst"/>
        <w:rPr>
          <w:b/>
          <w:sz w:val="24"/>
          <w:szCs w:val="24"/>
        </w:rPr>
      </w:pPr>
    </w:p>
    <w:p w:rsidR="008F45A4" w:rsidRPr="004C0F37" w:rsidRDefault="008F45A4" w:rsidP="00411EC5">
      <w:pPr>
        <w:pStyle w:val="Brdtekst"/>
        <w:ind w:left="567"/>
        <w:rPr>
          <w:sz w:val="24"/>
          <w:szCs w:val="24"/>
          <w:lang w:val="da-DK"/>
        </w:rPr>
      </w:pPr>
      <w:r w:rsidRPr="004C0F37">
        <w:rPr>
          <w:sz w:val="24"/>
          <w:szCs w:val="24"/>
          <w:lang w:val="da-DK"/>
        </w:rPr>
        <w:t>Hver ml indeholder:</w:t>
      </w:r>
    </w:p>
    <w:p w:rsidR="008F45A4" w:rsidRPr="004C0F37" w:rsidRDefault="008F45A4" w:rsidP="00411EC5">
      <w:pPr>
        <w:pStyle w:val="Brdtekst"/>
        <w:ind w:left="567"/>
        <w:rPr>
          <w:b/>
          <w:sz w:val="24"/>
          <w:szCs w:val="24"/>
          <w:lang w:val="da-DK"/>
        </w:rPr>
      </w:pPr>
    </w:p>
    <w:p w:rsidR="008F45A4" w:rsidRPr="008F45A4" w:rsidRDefault="008F45A4" w:rsidP="00411EC5">
      <w:pPr>
        <w:ind w:left="567"/>
        <w:rPr>
          <w:b/>
          <w:sz w:val="24"/>
          <w:szCs w:val="24"/>
          <w:lang w:val="nb-NO"/>
        </w:rPr>
      </w:pPr>
      <w:r w:rsidRPr="008F45A4">
        <w:rPr>
          <w:b/>
          <w:sz w:val="24"/>
          <w:szCs w:val="24"/>
          <w:lang w:val="nb-NO"/>
        </w:rPr>
        <w:t>Aktivt stof:</w:t>
      </w:r>
    </w:p>
    <w:p w:rsidR="008F45A4" w:rsidRPr="008F45A4" w:rsidRDefault="008F45A4" w:rsidP="00411EC5">
      <w:pPr>
        <w:ind w:left="567"/>
        <w:rPr>
          <w:sz w:val="24"/>
          <w:szCs w:val="24"/>
          <w:lang w:val="nb-NO"/>
        </w:rPr>
      </w:pPr>
      <w:r w:rsidRPr="008F45A4">
        <w:rPr>
          <w:sz w:val="24"/>
          <w:szCs w:val="24"/>
          <w:lang w:val="nb-NO"/>
        </w:rPr>
        <w:t>Carprofen</w:t>
      </w:r>
      <w:r w:rsidRPr="008F45A4">
        <w:rPr>
          <w:sz w:val="24"/>
          <w:szCs w:val="24"/>
          <w:lang w:val="nb-NO"/>
        </w:rPr>
        <w:tab/>
        <w:t>50</w:t>
      </w:r>
      <w:r w:rsidRPr="008F45A4">
        <w:rPr>
          <w:bCs/>
          <w:sz w:val="24"/>
          <w:szCs w:val="24"/>
          <w:lang w:val="nb-NO"/>
        </w:rPr>
        <w:t xml:space="preserve"> </w:t>
      </w:r>
      <w:r w:rsidRPr="008F45A4">
        <w:rPr>
          <w:sz w:val="24"/>
          <w:szCs w:val="24"/>
          <w:lang w:val="nb-NO"/>
        </w:rPr>
        <w:t>mg</w:t>
      </w:r>
    </w:p>
    <w:p w:rsidR="008F45A4" w:rsidRPr="008F45A4" w:rsidRDefault="008F45A4" w:rsidP="00411EC5">
      <w:pPr>
        <w:pStyle w:val="Brdtekst"/>
        <w:spacing w:before="9"/>
        <w:ind w:left="567"/>
        <w:rPr>
          <w:b/>
          <w:sz w:val="24"/>
          <w:szCs w:val="24"/>
          <w:lang w:val="nb-NO"/>
        </w:rPr>
      </w:pPr>
    </w:p>
    <w:p w:rsidR="008F45A4" w:rsidRPr="008F45A4" w:rsidRDefault="008F45A4" w:rsidP="00411EC5">
      <w:pPr>
        <w:ind w:left="567"/>
        <w:rPr>
          <w:b/>
          <w:sz w:val="24"/>
          <w:szCs w:val="24"/>
          <w:lang w:val="nb-NO"/>
        </w:rPr>
      </w:pPr>
      <w:r w:rsidRPr="008F45A4">
        <w:rPr>
          <w:b/>
          <w:sz w:val="24"/>
          <w:szCs w:val="24"/>
          <w:lang w:val="nb-NO"/>
        </w:rPr>
        <w:t>Hjælpestoffer:</w:t>
      </w:r>
    </w:p>
    <w:p w:rsidR="008F45A4" w:rsidRPr="008F45A4" w:rsidRDefault="008F45A4" w:rsidP="008F45A4">
      <w:pPr>
        <w:pStyle w:val="Brdtekst"/>
        <w:spacing w:before="2"/>
        <w:rPr>
          <w:b/>
          <w:sz w:val="24"/>
          <w:szCs w:val="24"/>
          <w:lang w:val="nb-NO"/>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0"/>
        <w:gridCol w:w="4544"/>
      </w:tblGrid>
      <w:tr w:rsidR="008F45A4" w:rsidRPr="008F45A4" w:rsidTr="00411EC5">
        <w:trPr>
          <w:trHeight w:val="900"/>
        </w:trPr>
        <w:tc>
          <w:tcPr>
            <w:tcW w:w="4520" w:type="dxa"/>
          </w:tcPr>
          <w:p w:rsidR="008F45A4" w:rsidRPr="008F45A4" w:rsidRDefault="008F45A4" w:rsidP="002F5155">
            <w:pPr>
              <w:pStyle w:val="TableParagraph"/>
              <w:spacing w:before="193" w:line="247" w:lineRule="auto"/>
              <w:ind w:left="107" w:right="206"/>
              <w:rPr>
                <w:rFonts w:ascii="Times New Roman" w:hAnsi="Times New Roman" w:cs="Times New Roman"/>
                <w:b/>
                <w:sz w:val="24"/>
                <w:szCs w:val="24"/>
                <w:lang w:val="nb-NO"/>
              </w:rPr>
            </w:pPr>
            <w:r w:rsidRPr="008F45A4">
              <w:rPr>
                <w:rFonts w:ascii="Times New Roman" w:hAnsi="Times New Roman" w:cs="Times New Roman"/>
                <w:b/>
                <w:sz w:val="24"/>
                <w:szCs w:val="24"/>
                <w:lang w:val="nb-NO"/>
              </w:rPr>
              <w:t>Kvalitativ sammensætning af hjælpestoffer og andre bestanddele</w:t>
            </w:r>
          </w:p>
        </w:tc>
        <w:tc>
          <w:tcPr>
            <w:tcW w:w="4544" w:type="dxa"/>
          </w:tcPr>
          <w:p w:rsidR="008F45A4" w:rsidRPr="008F45A4" w:rsidRDefault="008F45A4" w:rsidP="002F5155">
            <w:pPr>
              <w:pStyle w:val="TableParagraph"/>
              <w:spacing w:before="61" w:line="247" w:lineRule="auto"/>
              <w:ind w:left="105" w:right="654"/>
              <w:rPr>
                <w:rFonts w:ascii="Times New Roman" w:hAnsi="Times New Roman" w:cs="Times New Roman"/>
                <w:b/>
                <w:sz w:val="24"/>
                <w:szCs w:val="24"/>
                <w:lang w:val="nb-NO"/>
              </w:rPr>
            </w:pPr>
            <w:r w:rsidRPr="008F45A4">
              <w:rPr>
                <w:rFonts w:ascii="Times New Roman" w:hAnsi="Times New Roman" w:cs="Times New Roman"/>
                <w:b/>
                <w:sz w:val="24"/>
                <w:szCs w:val="24"/>
                <w:lang w:val="nb-NO"/>
              </w:rPr>
              <w:t>Kvantitativ sammensætning, hvis oplysningen er vigtig for korrekt administration af veterinærlægemidlet</w:t>
            </w:r>
          </w:p>
        </w:tc>
      </w:tr>
      <w:tr w:rsidR="008F45A4" w:rsidRPr="008F45A4" w:rsidTr="00411EC5">
        <w:trPr>
          <w:trHeight w:val="381"/>
        </w:trPr>
        <w:tc>
          <w:tcPr>
            <w:tcW w:w="4520" w:type="dxa"/>
          </w:tcPr>
          <w:p w:rsidR="008F45A4" w:rsidRPr="008F45A4" w:rsidRDefault="008F45A4" w:rsidP="002F5155">
            <w:pPr>
              <w:pStyle w:val="TableParagraph"/>
              <w:spacing w:before="0"/>
              <w:ind w:left="0"/>
              <w:rPr>
                <w:rFonts w:ascii="Times New Roman" w:hAnsi="Times New Roman" w:cs="Times New Roman"/>
                <w:sz w:val="24"/>
                <w:szCs w:val="24"/>
                <w:lang w:val="nb-NO"/>
              </w:rPr>
            </w:pPr>
            <w:r w:rsidRPr="008F45A4">
              <w:rPr>
                <w:rFonts w:ascii="Times New Roman" w:hAnsi="Times New Roman" w:cs="Times New Roman"/>
                <w:sz w:val="24"/>
                <w:szCs w:val="24"/>
                <w:lang w:val="nb-NO"/>
              </w:rPr>
              <w:t>Arginin</w:t>
            </w:r>
          </w:p>
        </w:tc>
        <w:tc>
          <w:tcPr>
            <w:tcW w:w="4544" w:type="dxa"/>
          </w:tcPr>
          <w:p w:rsidR="008F45A4" w:rsidRPr="008F45A4" w:rsidRDefault="008F45A4" w:rsidP="002F5155">
            <w:pPr>
              <w:pStyle w:val="TableParagraph"/>
              <w:spacing w:before="0"/>
              <w:ind w:left="0"/>
              <w:rPr>
                <w:rFonts w:ascii="Times New Roman" w:hAnsi="Times New Roman" w:cs="Times New Roman"/>
                <w:sz w:val="24"/>
                <w:szCs w:val="24"/>
                <w:lang w:val="nb-NO"/>
              </w:rPr>
            </w:pPr>
          </w:p>
        </w:tc>
      </w:tr>
      <w:tr w:rsidR="008F45A4" w:rsidRPr="008F45A4" w:rsidTr="00411EC5">
        <w:trPr>
          <w:trHeight w:val="378"/>
        </w:trPr>
        <w:tc>
          <w:tcPr>
            <w:tcW w:w="4520" w:type="dxa"/>
          </w:tcPr>
          <w:p w:rsidR="008F45A4" w:rsidRPr="008F45A4" w:rsidRDefault="008F45A4" w:rsidP="002F5155">
            <w:pPr>
              <w:pStyle w:val="TableParagraph"/>
              <w:spacing w:before="0"/>
              <w:ind w:left="0"/>
              <w:rPr>
                <w:rFonts w:ascii="Times New Roman" w:hAnsi="Times New Roman" w:cs="Times New Roman"/>
                <w:sz w:val="24"/>
                <w:szCs w:val="24"/>
                <w:lang w:val="nb-NO"/>
              </w:rPr>
            </w:pPr>
            <w:r w:rsidRPr="008F45A4">
              <w:rPr>
                <w:rFonts w:ascii="Times New Roman" w:hAnsi="Times New Roman" w:cs="Times New Roman"/>
                <w:sz w:val="24"/>
                <w:szCs w:val="24"/>
                <w:lang w:val="nb-NO"/>
              </w:rPr>
              <w:t>Benzylalkohol (E1519)</w:t>
            </w:r>
          </w:p>
        </w:tc>
        <w:tc>
          <w:tcPr>
            <w:tcW w:w="4544" w:type="dxa"/>
          </w:tcPr>
          <w:p w:rsidR="008F45A4" w:rsidRPr="008F45A4" w:rsidRDefault="008F45A4" w:rsidP="002F5155">
            <w:pPr>
              <w:pStyle w:val="TableParagraph"/>
              <w:spacing w:before="0"/>
              <w:ind w:left="0"/>
              <w:rPr>
                <w:rFonts w:ascii="Times New Roman" w:hAnsi="Times New Roman" w:cs="Times New Roman"/>
                <w:sz w:val="24"/>
                <w:szCs w:val="24"/>
                <w:lang w:val="nb-NO"/>
              </w:rPr>
            </w:pPr>
            <w:r w:rsidRPr="008F45A4">
              <w:rPr>
                <w:rFonts w:ascii="Times New Roman" w:hAnsi="Times New Roman" w:cs="Times New Roman"/>
                <w:sz w:val="24"/>
                <w:szCs w:val="24"/>
                <w:lang w:val="nb-NO"/>
              </w:rPr>
              <w:t>10 mg</w:t>
            </w:r>
          </w:p>
        </w:tc>
      </w:tr>
      <w:tr w:rsidR="008F45A4" w:rsidRPr="008F45A4" w:rsidTr="00411EC5">
        <w:trPr>
          <w:trHeight w:val="381"/>
        </w:trPr>
        <w:tc>
          <w:tcPr>
            <w:tcW w:w="4520" w:type="dxa"/>
          </w:tcPr>
          <w:p w:rsidR="008F45A4" w:rsidRPr="008F45A4" w:rsidRDefault="008F45A4" w:rsidP="002F5155">
            <w:pPr>
              <w:pStyle w:val="TableParagraph"/>
              <w:spacing w:before="0"/>
              <w:ind w:left="0"/>
              <w:rPr>
                <w:rFonts w:ascii="Times New Roman" w:hAnsi="Times New Roman" w:cs="Times New Roman"/>
                <w:sz w:val="24"/>
                <w:szCs w:val="24"/>
                <w:lang w:val="nb-NO"/>
              </w:rPr>
            </w:pPr>
            <w:r w:rsidRPr="008F45A4">
              <w:rPr>
                <w:rFonts w:ascii="Times New Roman" w:hAnsi="Times New Roman" w:cs="Times New Roman"/>
                <w:sz w:val="24"/>
                <w:szCs w:val="24"/>
                <w:lang w:val="nb-NO"/>
              </w:rPr>
              <w:t>Glycocholsyre</w:t>
            </w:r>
          </w:p>
        </w:tc>
        <w:tc>
          <w:tcPr>
            <w:tcW w:w="4544" w:type="dxa"/>
          </w:tcPr>
          <w:p w:rsidR="008F45A4" w:rsidRPr="008F45A4" w:rsidRDefault="008F45A4" w:rsidP="002F5155">
            <w:pPr>
              <w:pStyle w:val="TableParagraph"/>
              <w:spacing w:before="0"/>
              <w:ind w:left="0"/>
              <w:rPr>
                <w:rFonts w:ascii="Times New Roman" w:hAnsi="Times New Roman" w:cs="Times New Roman"/>
                <w:sz w:val="24"/>
                <w:szCs w:val="24"/>
                <w:lang w:val="nb-NO"/>
              </w:rPr>
            </w:pPr>
          </w:p>
        </w:tc>
      </w:tr>
      <w:tr w:rsidR="008F45A4" w:rsidRPr="008F45A4" w:rsidTr="00411EC5">
        <w:trPr>
          <w:trHeight w:val="378"/>
        </w:trPr>
        <w:tc>
          <w:tcPr>
            <w:tcW w:w="4520" w:type="dxa"/>
          </w:tcPr>
          <w:p w:rsidR="008F45A4" w:rsidRPr="008F45A4" w:rsidRDefault="008F45A4" w:rsidP="002F5155">
            <w:pPr>
              <w:pStyle w:val="TableParagraph"/>
              <w:spacing w:before="0"/>
              <w:ind w:left="0"/>
              <w:rPr>
                <w:rFonts w:ascii="Times New Roman" w:hAnsi="Times New Roman" w:cs="Times New Roman"/>
                <w:sz w:val="24"/>
                <w:szCs w:val="24"/>
                <w:lang w:val="nb-NO"/>
              </w:rPr>
            </w:pPr>
            <w:r w:rsidRPr="008F45A4">
              <w:rPr>
                <w:rFonts w:ascii="Times New Roman" w:hAnsi="Times New Roman" w:cs="Times New Roman"/>
                <w:sz w:val="24"/>
                <w:szCs w:val="24"/>
                <w:lang w:val="nb-NO"/>
              </w:rPr>
              <w:t>Saltsyre, fortyndet (for pH-justering)</w:t>
            </w:r>
          </w:p>
        </w:tc>
        <w:tc>
          <w:tcPr>
            <w:tcW w:w="4544" w:type="dxa"/>
          </w:tcPr>
          <w:p w:rsidR="008F45A4" w:rsidRPr="008F45A4" w:rsidRDefault="008F45A4" w:rsidP="002F5155">
            <w:pPr>
              <w:pStyle w:val="TableParagraph"/>
              <w:spacing w:before="0"/>
              <w:ind w:left="0"/>
              <w:rPr>
                <w:rFonts w:ascii="Times New Roman" w:hAnsi="Times New Roman" w:cs="Times New Roman"/>
                <w:sz w:val="24"/>
                <w:szCs w:val="24"/>
                <w:lang w:val="nb-NO"/>
              </w:rPr>
            </w:pPr>
          </w:p>
        </w:tc>
      </w:tr>
      <w:tr w:rsidR="008F45A4" w:rsidRPr="008F45A4" w:rsidTr="00411EC5">
        <w:trPr>
          <w:trHeight w:val="381"/>
        </w:trPr>
        <w:tc>
          <w:tcPr>
            <w:tcW w:w="4520" w:type="dxa"/>
          </w:tcPr>
          <w:p w:rsidR="008F45A4" w:rsidRPr="008F45A4" w:rsidRDefault="008F45A4" w:rsidP="002F5155">
            <w:pPr>
              <w:pStyle w:val="TableParagraph"/>
              <w:spacing w:before="0"/>
              <w:ind w:left="0"/>
              <w:rPr>
                <w:rFonts w:ascii="Times New Roman" w:hAnsi="Times New Roman" w:cs="Times New Roman"/>
                <w:sz w:val="24"/>
                <w:szCs w:val="24"/>
                <w:lang w:val="nb-NO"/>
              </w:rPr>
            </w:pPr>
            <w:r w:rsidRPr="008F45A4">
              <w:rPr>
                <w:rFonts w:ascii="Times New Roman" w:hAnsi="Times New Roman" w:cs="Times New Roman"/>
                <w:sz w:val="24"/>
                <w:szCs w:val="24"/>
                <w:lang w:val="nb-NO"/>
              </w:rPr>
              <w:t>Lecitin</w:t>
            </w:r>
          </w:p>
        </w:tc>
        <w:tc>
          <w:tcPr>
            <w:tcW w:w="4544" w:type="dxa"/>
          </w:tcPr>
          <w:p w:rsidR="008F45A4" w:rsidRPr="008F45A4" w:rsidRDefault="008F45A4" w:rsidP="002F5155">
            <w:pPr>
              <w:pStyle w:val="TableParagraph"/>
              <w:spacing w:before="0"/>
              <w:ind w:left="0"/>
              <w:rPr>
                <w:rFonts w:ascii="Times New Roman" w:hAnsi="Times New Roman" w:cs="Times New Roman"/>
                <w:sz w:val="24"/>
                <w:szCs w:val="24"/>
                <w:lang w:val="nb-NO"/>
              </w:rPr>
            </w:pPr>
          </w:p>
        </w:tc>
      </w:tr>
      <w:tr w:rsidR="008F45A4" w:rsidRPr="008F45A4" w:rsidTr="00411EC5">
        <w:trPr>
          <w:trHeight w:val="381"/>
        </w:trPr>
        <w:tc>
          <w:tcPr>
            <w:tcW w:w="4520" w:type="dxa"/>
          </w:tcPr>
          <w:p w:rsidR="008F45A4" w:rsidRPr="008F45A4" w:rsidRDefault="008F45A4" w:rsidP="002F5155">
            <w:pPr>
              <w:pStyle w:val="TableParagraph"/>
              <w:spacing w:before="0"/>
              <w:ind w:left="0"/>
              <w:rPr>
                <w:rFonts w:ascii="Times New Roman" w:hAnsi="Times New Roman" w:cs="Times New Roman"/>
                <w:sz w:val="24"/>
                <w:szCs w:val="24"/>
                <w:lang w:val="nb-NO"/>
              </w:rPr>
            </w:pPr>
            <w:proofErr w:type="spellStart"/>
            <w:r w:rsidRPr="008F45A4">
              <w:rPr>
                <w:rFonts w:ascii="Times New Roman" w:hAnsi="Times New Roman" w:cs="Times New Roman"/>
                <w:sz w:val="24"/>
                <w:szCs w:val="24"/>
              </w:rPr>
              <w:t>Natriumhydroxid</w:t>
            </w:r>
            <w:proofErr w:type="spellEnd"/>
          </w:p>
        </w:tc>
        <w:tc>
          <w:tcPr>
            <w:tcW w:w="4544" w:type="dxa"/>
          </w:tcPr>
          <w:p w:rsidR="008F45A4" w:rsidRPr="008F45A4" w:rsidRDefault="008F45A4" w:rsidP="002F5155">
            <w:pPr>
              <w:pStyle w:val="TableParagraph"/>
              <w:spacing w:before="0"/>
              <w:ind w:left="0"/>
              <w:rPr>
                <w:rFonts w:ascii="Times New Roman" w:hAnsi="Times New Roman" w:cs="Times New Roman"/>
                <w:sz w:val="24"/>
                <w:szCs w:val="24"/>
                <w:lang w:val="nb-NO"/>
              </w:rPr>
            </w:pPr>
          </w:p>
        </w:tc>
      </w:tr>
      <w:tr w:rsidR="008F45A4" w:rsidRPr="008F45A4" w:rsidTr="00411EC5">
        <w:trPr>
          <w:trHeight w:val="381"/>
        </w:trPr>
        <w:tc>
          <w:tcPr>
            <w:tcW w:w="4520" w:type="dxa"/>
          </w:tcPr>
          <w:p w:rsidR="008F45A4" w:rsidRPr="008F45A4" w:rsidRDefault="008F45A4" w:rsidP="002F5155">
            <w:pPr>
              <w:pStyle w:val="TableParagraph"/>
              <w:spacing w:before="0"/>
              <w:ind w:left="0"/>
              <w:rPr>
                <w:rFonts w:ascii="Times New Roman" w:hAnsi="Times New Roman" w:cs="Times New Roman"/>
                <w:sz w:val="24"/>
                <w:szCs w:val="24"/>
                <w:lang w:val="nb-NO"/>
              </w:rPr>
            </w:pPr>
            <w:r w:rsidRPr="008F45A4">
              <w:rPr>
                <w:rFonts w:ascii="Times New Roman" w:hAnsi="Times New Roman" w:cs="Times New Roman"/>
                <w:sz w:val="24"/>
                <w:szCs w:val="24"/>
                <w:lang w:val="nb-NO"/>
              </w:rPr>
              <w:t>Vand til injektionsvæsker</w:t>
            </w:r>
          </w:p>
        </w:tc>
        <w:tc>
          <w:tcPr>
            <w:tcW w:w="4544" w:type="dxa"/>
          </w:tcPr>
          <w:p w:rsidR="008F45A4" w:rsidRPr="008F45A4" w:rsidRDefault="008F45A4" w:rsidP="002F5155">
            <w:pPr>
              <w:pStyle w:val="TableParagraph"/>
              <w:spacing w:before="0"/>
              <w:ind w:left="0"/>
              <w:rPr>
                <w:rFonts w:ascii="Times New Roman" w:hAnsi="Times New Roman" w:cs="Times New Roman"/>
                <w:sz w:val="24"/>
                <w:szCs w:val="24"/>
                <w:lang w:val="nb-NO"/>
              </w:rPr>
            </w:pPr>
          </w:p>
        </w:tc>
      </w:tr>
    </w:tbl>
    <w:p w:rsidR="008F45A4" w:rsidRPr="008F45A4" w:rsidRDefault="008F45A4" w:rsidP="008F45A4">
      <w:pPr>
        <w:pStyle w:val="Brdtekst"/>
        <w:rPr>
          <w:bCs/>
          <w:sz w:val="24"/>
          <w:szCs w:val="24"/>
          <w:lang w:val="nb-NO"/>
        </w:rPr>
      </w:pPr>
    </w:p>
    <w:p w:rsidR="008F45A4" w:rsidRPr="008F45A4" w:rsidRDefault="008F45A4" w:rsidP="00411EC5">
      <w:pPr>
        <w:pStyle w:val="Brdtekst"/>
        <w:ind w:firstLine="567"/>
        <w:rPr>
          <w:sz w:val="24"/>
          <w:szCs w:val="24"/>
          <w:lang w:val="nb-NO"/>
        </w:rPr>
      </w:pPr>
      <w:r w:rsidRPr="008F45A4">
        <w:rPr>
          <w:sz w:val="24"/>
          <w:szCs w:val="24"/>
          <w:lang w:val="nb-NO"/>
        </w:rPr>
        <w:t>Klar, bleggul opløsning.</w:t>
      </w:r>
    </w:p>
    <w:p w:rsidR="008F45A4" w:rsidRPr="008F45A4" w:rsidRDefault="008F45A4" w:rsidP="008F45A4">
      <w:pPr>
        <w:pStyle w:val="Brdtekst"/>
        <w:spacing w:before="10"/>
        <w:rPr>
          <w:sz w:val="24"/>
          <w:szCs w:val="24"/>
          <w:lang w:val="nb-NO"/>
        </w:rPr>
      </w:pPr>
    </w:p>
    <w:p w:rsidR="008F45A4" w:rsidRPr="008F45A4" w:rsidRDefault="008F45A4" w:rsidP="008F45A4">
      <w:pPr>
        <w:pStyle w:val="Brdtekst"/>
        <w:spacing w:before="10"/>
        <w:rPr>
          <w:sz w:val="24"/>
          <w:szCs w:val="24"/>
          <w:lang w:val="nb-NO"/>
        </w:rPr>
      </w:pPr>
    </w:p>
    <w:p w:rsidR="008F45A4" w:rsidRPr="008F45A4" w:rsidRDefault="008F45A4" w:rsidP="008F45A4">
      <w:pPr>
        <w:pStyle w:val="Listeafsnit"/>
        <w:numPr>
          <w:ilvl w:val="0"/>
          <w:numId w:val="4"/>
        </w:numPr>
        <w:tabs>
          <w:tab w:val="left" w:pos="567"/>
        </w:tabs>
        <w:ind w:left="567" w:hanging="568"/>
        <w:rPr>
          <w:b/>
          <w:sz w:val="24"/>
          <w:szCs w:val="24"/>
        </w:rPr>
      </w:pPr>
      <w:r w:rsidRPr="008F45A4">
        <w:rPr>
          <w:b/>
          <w:sz w:val="24"/>
          <w:szCs w:val="24"/>
        </w:rPr>
        <w:t>KLINISKE</w:t>
      </w:r>
      <w:r w:rsidRPr="008F45A4">
        <w:rPr>
          <w:b/>
          <w:spacing w:val="-2"/>
          <w:sz w:val="24"/>
          <w:szCs w:val="24"/>
        </w:rPr>
        <w:t xml:space="preserve"> </w:t>
      </w:r>
      <w:r w:rsidRPr="008F45A4">
        <w:rPr>
          <w:b/>
          <w:sz w:val="24"/>
          <w:szCs w:val="24"/>
        </w:rPr>
        <w:t>OPLYSNINGER</w:t>
      </w:r>
    </w:p>
    <w:p w:rsidR="008F45A4" w:rsidRPr="008F45A4" w:rsidRDefault="008F45A4" w:rsidP="008F45A4">
      <w:pPr>
        <w:pStyle w:val="Brdtekst"/>
        <w:spacing w:before="1"/>
        <w:rPr>
          <w:sz w:val="24"/>
          <w:szCs w:val="24"/>
        </w:rPr>
      </w:pPr>
    </w:p>
    <w:p w:rsidR="008F45A4" w:rsidRPr="008F45A4" w:rsidRDefault="008F45A4" w:rsidP="008F45A4">
      <w:pPr>
        <w:pStyle w:val="Listeafsnit"/>
        <w:numPr>
          <w:ilvl w:val="1"/>
          <w:numId w:val="4"/>
        </w:numPr>
        <w:tabs>
          <w:tab w:val="left" w:pos="567"/>
        </w:tabs>
        <w:ind w:left="567" w:hanging="568"/>
        <w:rPr>
          <w:b/>
          <w:sz w:val="24"/>
          <w:szCs w:val="24"/>
          <w:lang w:val="nb-NO"/>
        </w:rPr>
      </w:pPr>
      <w:r w:rsidRPr="008F45A4">
        <w:rPr>
          <w:b/>
          <w:sz w:val="24"/>
          <w:szCs w:val="24"/>
          <w:lang w:val="nb-NO"/>
        </w:rPr>
        <w:t>Dyrearter, som lægemidlet er beregnet</w:t>
      </w:r>
      <w:r w:rsidRPr="008F45A4">
        <w:rPr>
          <w:b/>
          <w:spacing w:val="-7"/>
          <w:sz w:val="24"/>
          <w:szCs w:val="24"/>
          <w:lang w:val="nb-NO"/>
        </w:rPr>
        <w:t xml:space="preserve"> </w:t>
      </w:r>
      <w:r w:rsidRPr="008F45A4">
        <w:rPr>
          <w:b/>
          <w:sz w:val="24"/>
          <w:szCs w:val="24"/>
          <w:lang w:val="nb-NO"/>
        </w:rPr>
        <w:t>til</w:t>
      </w:r>
    </w:p>
    <w:p w:rsidR="008F45A4" w:rsidRPr="008F45A4" w:rsidRDefault="008F45A4" w:rsidP="008F45A4">
      <w:pPr>
        <w:tabs>
          <w:tab w:val="left" w:pos="905"/>
          <w:tab w:val="left" w:pos="906"/>
        </w:tabs>
        <w:rPr>
          <w:bCs/>
          <w:sz w:val="24"/>
          <w:szCs w:val="24"/>
          <w:lang w:val="nb-NO"/>
        </w:rPr>
      </w:pPr>
    </w:p>
    <w:p w:rsidR="008F45A4" w:rsidRPr="008F45A4" w:rsidRDefault="00411EC5" w:rsidP="00411EC5">
      <w:pPr>
        <w:tabs>
          <w:tab w:val="left" w:pos="567"/>
        </w:tabs>
        <w:rPr>
          <w:sz w:val="24"/>
          <w:szCs w:val="24"/>
          <w:lang w:val="nb-NO"/>
        </w:rPr>
      </w:pPr>
      <w:r>
        <w:rPr>
          <w:bCs/>
          <w:sz w:val="24"/>
          <w:szCs w:val="24"/>
          <w:lang w:val="nb-NO"/>
        </w:rPr>
        <w:tab/>
      </w:r>
      <w:r w:rsidR="008F45A4" w:rsidRPr="008F45A4">
        <w:rPr>
          <w:bCs/>
          <w:sz w:val="24"/>
          <w:szCs w:val="24"/>
          <w:lang w:val="nb-NO"/>
        </w:rPr>
        <w:t>Hund</w:t>
      </w:r>
      <w:r w:rsidR="008F45A4" w:rsidRPr="008F45A4">
        <w:rPr>
          <w:sz w:val="24"/>
          <w:szCs w:val="24"/>
          <w:lang w:val="nb-NO"/>
        </w:rPr>
        <w:t xml:space="preserve"> og </w:t>
      </w:r>
      <w:r w:rsidR="008F45A4" w:rsidRPr="008F45A4">
        <w:rPr>
          <w:bCs/>
          <w:sz w:val="24"/>
          <w:szCs w:val="24"/>
          <w:lang w:val="nb-NO"/>
        </w:rPr>
        <w:t>kat</w:t>
      </w:r>
      <w:r w:rsidR="008F45A4" w:rsidRPr="008F45A4">
        <w:rPr>
          <w:sz w:val="24"/>
          <w:szCs w:val="24"/>
          <w:lang w:val="nb-NO"/>
        </w:rPr>
        <w:t>.</w:t>
      </w:r>
    </w:p>
    <w:p w:rsidR="008F45A4" w:rsidRPr="008F45A4" w:rsidRDefault="008F45A4" w:rsidP="008F45A4">
      <w:pPr>
        <w:pStyle w:val="Brdtekst"/>
        <w:spacing w:before="9"/>
        <w:rPr>
          <w:sz w:val="24"/>
          <w:szCs w:val="24"/>
          <w:lang w:val="nb-NO"/>
        </w:rPr>
      </w:pPr>
    </w:p>
    <w:p w:rsidR="008F45A4" w:rsidRPr="008F45A4" w:rsidRDefault="008F45A4" w:rsidP="008F45A4">
      <w:pPr>
        <w:pStyle w:val="Listeafsnit"/>
        <w:numPr>
          <w:ilvl w:val="1"/>
          <w:numId w:val="4"/>
        </w:numPr>
        <w:tabs>
          <w:tab w:val="left" w:pos="567"/>
        </w:tabs>
        <w:spacing w:before="1"/>
        <w:ind w:left="567" w:hanging="568"/>
        <w:rPr>
          <w:b/>
          <w:sz w:val="24"/>
          <w:szCs w:val="24"/>
          <w:lang w:val="nb-NO"/>
        </w:rPr>
      </w:pPr>
      <w:r w:rsidRPr="008F45A4">
        <w:rPr>
          <w:b/>
          <w:sz w:val="24"/>
          <w:szCs w:val="24"/>
          <w:lang w:val="nb-NO"/>
        </w:rPr>
        <w:t>Terapeutiske indikationer for hver dyreart, som lægemidlet er beregnet</w:t>
      </w:r>
      <w:r w:rsidRPr="008F45A4">
        <w:rPr>
          <w:b/>
          <w:spacing w:val="-9"/>
          <w:sz w:val="24"/>
          <w:szCs w:val="24"/>
          <w:lang w:val="nb-NO"/>
        </w:rPr>
        <w:t xml:space="preserve"> </w:t>
      </w:r>
      <w:r w:rsidRPr="008F45A4">
        <w:rPr>
          <w:b/>
          <w:sz w:val="24"/>
          <w:szCs w:val="24"/>
          <w:lang w:val="nb-NO"/>
        </w:rPr>
        <w:t>til</w:t>
      </w:r>
    </w:p>
    <w:p w:rsidR="008F45A4" w:rsidRPr="008F45A4" w:rsidRDefault="008F45A4" w:rsidP="008F45A4">
      <w:pPr>
        <w:pStyle w:val="Brdtekst"/>
        <w:rPr>
          <w:sz w:val="24"/>
          <w:szCs w:val="24"/>
          <w:lang w:val="nb-NO"/>
        </w:rPr>
      </w:pPr>
    </w:p>
    <w:p w:rsidR="008F45A4" w:rsidRPr="008F45A4" w:rsidRDefault="008F45A4" w:rsidP="00411EC5">
      <w:pPr>
        <w:pStyle w:val="Brdtekst"/>
        <w:ind w:left="567"/>
        <w:rPr>
          <w:sz w:val="24"/>
          <w:szCs w:val="24"/>
          <w:lang w:val="nb-NO"/>
        </w:rPr>
      </w:pPr>
      <w:r w:rsidRPr="008F45A4">
        <w:rPr>
          <w:sz w:val="24"/>
          <w:szCs w:val="24"/>
          <w:lang w:val="nb-NO" w:eastAsia="da-DK" w:bidi="ar-SA"/>
        </w:rPr>
        <w:t xml:space="preserve">Hunde: </w:t>
      </w:r>
      <w:r w:rsidRPr="008F45A4">
        <w:rPr>
          <w:sz w:val="24"/>
          <w:szCs w:val="24"/>
          <w:lang w:val="nb-NO"/>
        </w:rPr>
        <w:t>Til kontrol af postoperative smerter og betændelse som følge af kirurgi i ortopædisk og blødt væv (inklusive intraokulært).</w:t>
      </w:r>
    </w:p>
    <w:p w:rsidR="008F45A4" w:rsidRPr="008F45A4" w:rsidRDefault="008F45A4" w:rsidP="00411EC5">
      <w:pPr>
        <w:pStyle w:val="Brdtekst"/>
        <w:ind w:left="567"/>
        <w:rPr>
          <w:sz w:val="24"/>
          <w:szCs w:val="24"/>
          <w:lang w:val="nb-NO"/>
        </w:rPr>
      </w:pPr>
    </w:p>
    <w:p w:rsidR="008F45A4" w:rsidRPr="008F45A4" w:rsidRDefault="008F45A4" w:rsidP="00411EC5">
      <w:pPr>
        <w:pStyle w:val="Brdtekst"/>
        <w:ind w:left="567"/>
        <w:rPr>
          <w:sz w:val="24"/>
          <w:szCs w:val="24"/>
          <w:lang w:val="nb-NO"/>
        </w:rPr>
      </w:pPr>
      <w:r w:rsidRPr="008F45A4">
        <w:rPr>
          <w:sz w:val="24"/>
          <w:szCs w:val="24"/>
          <w:lang w:val="nb-NO" w:eastAsia="da-DK" w:bidi="ar-SA"/>
        </w:rPr>
        <w:t xml:space="preserve">Katte: </w:t>
      </w:r>
      <w:r w:rsidRPr="008F45A4">
        <w:rPr>
          <w:sz w:val="24"/>
          <w:szCs w:val="24"/>
          <w:lang w:val="nb-NO"/>
        </w:rPr>
        <w:t>Til kontrol af postoperative smerter efter kirurgi.</w:t>
      </w:r>
    </w:p>
    <w:p w:rsidR="008F45A4" w:rsidRPr="008F45A4" w:rsidRDefault="008F45A4" w:rsidP="008F45A4">
      <w:pPr>
        <w:pStyle w:val="Brdtekst"/>
        <w:rPr>
          <w:sz w:val="24"/>
          <w:szCs w:val="24"/>
          <w:lang w:val="nb-NO"/>
        </w:rPr>
      </w:pPr>
    </w:p>
    <w:p w:rsidR="008F45A4" w:rsidRPr="008F45A4" w:rsidRDefault="008F45A4" w:rsidP="008F45A4">
      <w:pPr>
        <w:pStyle w:val="Overskrift1"/>
        <w:keepNext w:val="0"/>
        <w:widowControl w:val="0"/>
        <w:numPr>
          <w:ilvl w:val="1"/>
          <w:numId w:val="4"/>
        </w:numPr>
        <w:tabs>
          <w:tab w:val="left" w:pos="567"/>
        </w:tabs>
        <w:autoSpaceDE w:val="0"/>
        <w:autoSpaceDN w:val="0"/>
        <w:spacing w:before="0" w:after="0"/>
        <w:ind w:left="567" w:hanging="568"/>
        <w:rPr>
          <w:rFonts w:ascii="Times New Roman" w:hAnsi="Times New Roman"/>
          <w:b w:val="0"/>
          <w:bCs/>
          <w:sz w:val="24"/>
          <w:szCs w:val="24"/>
          <w:lang w:val="en-GB" w:eastAsia="en-GB" w:bidi="en-GB"/>
        </w:rPr>
      </w:pPr>
      <w:r w:rsidRPr="008F45A4">
        <w:rPr>
          <w:rFonts w:ascii="Times New Roman" w:hAnsi="Times New Roman"/>
          <w:sz w:val="24"/>
          <w:szCs w:val="24"/>
        </w:rPr>
        <w:t>Kontraindikationer</w:t>
      </w:r>
    </w:p>
    <w:p w:rsidR="008F45A4" w:rsidRPr="008F45A4" w:rsidRDefault="008F45A4" w:rsidP="008F45A4">
      <w:pPr>
        <w:pStyle w:val="Brdtekst"/>
        <w:rPr>
          <w:bCs/>
          <w:sz w:val="24"/>
          <w:szCs w:val="24"/>
        </w:rPr>
      </w:pPr>
    </w:p>
    <w:p w:rsidR="008F45A4" w:rsidRPr="008F45A4" w:rsidRDefault="008F45A4" w:rsidP="00411EC5">
      <w:pPr>
        <w:pStyle w:val="Brdtekst"/>
        <w:ind w:left="567"/>
        <w:rPr>
          <w:sz w:val="24"/>
          <w:szCs w:val="24"/>
          <w:lang w:val="nb-NO"/>
        </w:rPr>
      </w:pPr>
      <w:r w:rsidRPr="008F45A4">
        <w:rPr>
          <w:sz w:val="24"/>
          <w:szCs w:val="24"/>
          <w:lang w:val="nb-NO"/>
        </w:rPr>
        <w:t>Bør ikke anvendes til dyr, som lider af hjerte-, lever- eller nyresygdomme eller med gastrointestinale forstyrrelser, hvor der er mulighed for gastrointestinal ulceration eller blødning, eller i tilfælde af overfølsomhed over for carprofen eller enhver anden NSAID’er eller over for et eller flere af hjælpestofferne.</w:t>
      </w:r>
    </w:p>
    <w:p w:rsidR="008F45A4" w:rsidRPr="008F45A4" w:rsidRDefault="008F45A4" w:rsidP="00411EC5">
      <w:pPr>
        <w:pStyle w:val="Brdtekst"/>
        <w:ind w:left="567"/>
        <w:rPr>
          <w:sz w:val="24"/>
          <w:szCs w:val="24"/>
          <w:lang w:val="nb-NO"/>
        </w:rPr>
      </w:pPr>
      <w:r w:rsidRPr="008F45A4">
        <w:rPr>
          <w:sz w:val="24"/>
          <w:szCs w:val="24"/>
          <w:lang w:val="nb-NO"/>
        </w:rPr>
        <w:t>Bør ikke indgives via intramuskulær injektion.</w:t>
      </w:r>
    </w:p>
    <w:p w:rsidR="008F45A4" w:rsidRPr="008F45A4" w:rsidRDefault="008F45A4" w:rsidP="00411EC5">
      <w:pPr>
        <w:pStyle w:val="Brdtekst"/>
        <w:ind w:left="567"/>
        <w:rPr>
          <w:sz w:val="24"/>
          <w:szCs w:val="24"/>
          <w:lang w:val="nb-NO"/>
        </w:rPr>
      </w:pPr>
      <w:r w:rsidRPr="008F45A4">
        <w:rPr>
          <w:sz w:val="24"/>
          <w:szCs w:val="24"/>
          <w:lang w:val="nb-NO"/>
        </w:rPr>
        <w:t>Bør ikke anvendes efter kirurgi, som har været associeret med betydeligt blodtab.</w:t>
      </w:r>
    </w:p>
    <w:p w:rsidR="008F45A4" w:rsidRPr="008F45A4" w:rsidRDefault="008F45A4" w:rsidP="00411EC5">
      <w:pPr>
        <w:pStyle w:val="Brdtekst"/>
        <w:ind w:left="567"/>
        <w:rPr>
          <w:sz w:val="24"/>
          <w:szCs w:val="24"/>
          <w:lang w:val="nb-NO"/>
        </w:rPr>
      </w:pPr>
      <w:r w:rsidRPr="008F45A4">
        <w:rPr>
          <w:sz w:val="24"/>
          <w:szCs w:val="24"/>
          <w:lang w:val="nb-NO"/>
        </w:rPr>
        <w:t>Bør ikke anvendes gentagne gange til katte.</w:t>
      </w:r>
    </w:p>
    <w:p w:rsidR="008F45A4" w:rsidRPr="008F45A4" w:rsidRDefault="008F45A4" w:rsidP="00411EC5">
      <w:pPr>
        <w:pStyle w:val="Brdtekst"/>
        <w:ind w:left="567"/>
        <w:rPr>
          <w:sz w:val="24"/>
          <w:szCs w:val="24"/>
          <w:lang w:val="nb-NO"/>
        </w:rPr>
      </w:pPr>
      <w:r w:rsidRPr="008F45A4">
        <w:rPr>
          <w:sz w:val="24"/>
          <w:szCs w:val="24"/>
          <w:lang w:val="nb-NO"/>
        </w:rPr>
        <w:t>Bør ikke anvendes til katte under 5 måneder gamle.</w:t>
      </w:r>
    </w:p>
    <w:p w:rsidR="008F45A4" w:rsidRPr="008F45A4" w:rsidRDefault="008F45A4" w:rsidP="00411EC5">
      <w:pPr>
        <w:pStyle w:val="Brdtekst"/>
        <w:ind w:left="567"/>
        <w:rPr>
          <w:sz w:val="24"/>
          <w:szCs w:val="24"/>
          <w:lang w:val="nb-NO"/>
        </w:rPr>
      </w:pPr>
      <w:r w:rsidRPr="008F45A4">
        <w:rPr>
          <w:sz w:val="24"/>
          <w:szCs w:val="24"/>
          <w:lang w:val="nb-NO"/>
        </w:rPr>
        <w:t>Bør ikke anvendes til hunde under 10 uger gamle.</w:t>
      </w:r>
    </w:p>
    <w:p w:rsidR="008F45A4" w:rsidRPr="008F45A4" w:rsidRDefault="008F45A4" w:rsidP="00411EC5">
      <w:pPr>
        <w:pStyle w:val="Brdtekst"/>
        <w:ind w:left="567"/>
        <w:rPr>
          <w:sz w:val="24"/>
          <w:szCs w:val="24"/>
          <w:lang w:val="nb-NO"/>
        </w:rPr>
      </w:pPr>
    </w:p>
    <w:p w:rsidR="008F45A4" w:rsidRDefault="008F45A4" w:rsidP="00411EC5">
      <w:pPr>
        <w:pStyle w:val="Brdtekst"/>
        <w:ind w:left="567"/>
        <w:rPr>
          <w:sz w:val="24"/>
          <w:szCs w:val="24"/>
        </w:rPr>
      </w:pPr>
      <w:r w:rsidRPr="008F45A4">
        <w:rPr>
          <w:sz w:val="24"/>
          <w:szCs w:val="24"/>
        </w:rPr>
        <w:t xml:space="preserve">Se </w:t>
      </w:r>
      <w:proofErr w:type="spellStart"/>
      <w:r w:rsidRPr="008F45A4">
        <w:rPr>
          <w:sz w:val="24"/>
          <w:szCs w:val="24"/>
        </w:rPr>
        <w:t>også</w:t>
      </w:r>
      <w:proofErr w:type="spellEnd"/>
      <w:r w:rsidRPr="008F45A4">
        <w:rPr>
          <w:sz w:val="24"/>
          <w:szCs w:val="24"/>
        </w:rPr>
        <w:t xml:space="preserve"> pkt. 3.7.</w:t>
      </w:r>
    </w:p>
    <w:p w:rsidR="00411EC5" w:rsidRPr="008F45A4" w:rsidRDefault="00411EC5" w:rsidP="00411EC5">
      <w:pPr>
        <w:pStyle w:val="Brdtekst"/>
        <w:ind w:left="567"/>
        <w:rPr>
          <w:sz w:val="24"/>
          <w:szCs w:val="24"/>
        </w:rPr>
      </w:pPr>
    </w:p>
    <w:p w:rsidR="008F45A4" w:rsidRPr="008F45A4" w:rsidRDefault="008F45A4" w:rsidP="008F45A4">
      <w:pPr>
        <w:pStyle w:val="Overskrift1"/>
        <w:keepNext w:val="0"/>
        <w:widowControl w:val="0"/>
        <w:numPr>
          <w:ilvl w:val="1"/>
          <w:numId w:val="4"/>
        </w:numPr>
        <w:tabs>
          <w:tab w:val="left" w:pos="567"/>
        </w:tabs>
        <w:autoSpaceDE w:val="0"/>
        <w:autoSpaceDN w:val="0"/>
        <w:spacing w:before="0" w:after="0"/>
        <w:ind w:left="567" w:hanging="568"/>
        <w:rPr>
          <w:rFonts w:ascii="Times New Roman" w:hAnsi="Times New Roman"/>
          <w:b w:val="0"/>
          <w:bCs/>
          <w:sz w:val="24"/>
          <w:szCs w:val="24"/>
        </w:rPr>
      </w:pPr>
      <w:r w:rsidRPr="008F45A4">
        <w:rPr>
          <w:rFonts w:ascii="Times New Roman" w:hAnsi="Times New Roman"/>
          <w:sz w:val="24"/>
          <w:szCs w:val="24"/>
        </w:rPr>
        <w:t>Særlige</w:t>
      </w:r>
      <w:r w:rsidRPr="008F45A4">
        <w:rPr>
          <w:rFonts w:ascii="Times New Roman" w:hAnsi="Times New Roman"/>
          <w:spacing w:val="-1"/>
          <w:sz w:val="24"/>
          <w:szCs w:val="24"/>
        </w:rPr>
        <w:t xml:space="preserve"> </w:t>
      </w:r>
      <w:r w:rsidRPr="008F45A4">
        <w:rPr>
          <w:rFonts w:ascii="Times New Roman" w:hAnsi="Times New Roman"/>
          <w:sz w:val="24"/>
          <w:szCs w:val="24"/>
        </w:rPr>
        <w:t>advarsler</w:t>
      </w:r>
    </w:p>
    <w:p w:rsidR="008F45A4" w:rsidRPr="008F45A4" w:rsidRDefault="008F45A4" w:rsidP="008F45A4">
      <w:pPr>
        <w:pStyle w:val="Brdtekst"/>
        <w:rPr>
          <w:b/>
          <w:sz w:val="24"/>
          <w:szCs w:val="24"/>
        </w:rPr>
      </w:pPr>
    </w:p>
    <w:p w:rsidR="008F45A4" w:rsidRPr="008F45A4" w:rsidRDefault="008F45A4" w:rsidP="00411EC5">
      <w:pPr>
        <w:pStyle w:val="Brdtekst"/>
        <w:ind w:firstLine="567"/>
        <w:rPr>
          <w:sz w:val="24"/>
          <w:szCs w:val="24"/>
        </w:rPr>
      </w:pPr>
      <w:r w:rsidRPr="008F45A4">
        <w:rPr>
          <w:sz w:val="24"/>
          <w:szCs w:val="24"/>
        </w:rPr>
        <w:t>Ingen.</w:t>
      </w:r>
    </w:p>
    <w:p w:rsidR="008F45A4" w:rsidRPr="008F45A4" w:rsidRDefault="008F45A4" w:rsidP="008F45A4">
      <w:pPr>
        <w:pStyle w:val="Brdtekst"/>
        <w:rPr>
          <w:sz w:val="24"/>
          <w:szCs w:val="24"/>
          <w:lang w:val="nb-NO"/>
        </w:rPr>
      </w:pPr>
    </w:p>
    <w:p w:rsidR="008F45A4" w:rsidRPr="008F45A4" w:rsidRDefault="008F45A4" w:rsidP="008F45A4">
      <w:pPr>
        <w:pStyle w:val="Overskrift1"/>
        <w:keepNext w:val="0"/>
        <w:widowControl w:val="0"/>
        <w:numPr>
          <w:ilvl w:val="1"/>
          <w:numId w:val="4"/>
        </w:numPr>
        <w:tabs>
          <w:tab w:val="left" w:pos="567"/>
        </w:tabs>
        <w:autoSpaceDE w:val="0"/>
        <w:autoSpaceDN w:val="0"/>
        <w:spacing w:before="0" w:after="0"/>
        <w:ind w:left="567" w:hanging="568"/>
        <w:rPr>
          <w:rFonts w:ascii="Times New Roman" w:hAnsi="Times New Roman"/>
          <w:b w:val="0"/>
          <w:bCs/>
          <w:sz w:val="24"/>
          <w:szCs w:val="24"/>
        </w:rPr>
      </w:pPr>
      <w:r w:rsidRPr="008F45A4">
        <w:rPr>
          <w:rFonts w:ascii="Times New Roman" w:hAnsi="Times New Roman"/>
          <w:sz w:val="24"/>
          <w:szCs w:val="24"/>
        </w:rPr>
        <w:t>Særlige forholdsregler vedrørende</w:t>
      </w:r>
      <w:r w:rsidRPr="008F45A4">
        <w:rPr>
          <w:rFonts w:ascii="Times New Roman" w:hAnsi="Times New Roman"/>
          <w:spacing w:val="-3"/>
          <w:sz w:val="24"/>
          <w:szCs w:val="24"/>
        </w:rPr>
        <w:t xml:space="preserve"> </w:t>
      </w:r>
      <w:r w:rsidRPr="008F45A4">
        <w:rPr>
          <w:rFonts w:ascii="Times New Roman" w:hAnsi="Times New Roman"/>
          <w:sz w:val="24"/>
          <w:szCs w:val="24"/>
        </w:rPr>
        <w:t>brugen</w:t>
      </w:r>
    </w:p>
    <w:p w:rsidR="008F45A4" w:rsidRPr="008F45A4" w:rsidRDefault="008F45A4" w:rsidP="008F45A4">
      <w:pPr>
        <w:pStyle w:val="Brdtekst"/>
        <w:rPr>
          <w:b/>
          <w:sz w:val="24"/>
          <w:szCs w:val="24"/>
        </w:rPr>
      </w:pPr>
    </w:p>
    <w:p w:rsidR="008F45A4" w:rsidRPr="008F45A4" w:rsidRDefault="008F45A4" w:rsidP="00411EC5">
      <w:pPr>
        <w:pStyle w:val="Brdtekst"/>
        <w:ind w:left="567"/>
        <w:rPr>
          <w:sz w:val="24"/>
          <w:szCs w:val="24"/>
          <w:u w:val="single"/>
          <w:lang w:val="nb-NO"/>
        </w:rPr>
      </w:pPr>
      <w:r w:rsidRPr="008F45A4">
        <w:rPr>
          <w:sz w:val="24"/>
          <w:szCs w:val="24"/>
          <w:u w:val="single"/>
          <w:lang w:val="nb-NO"/>
        </w:rPr>
        <w:t>Særlige forholdsregler vedrørende sikker brug hos de dyrearter, som lægemidlet er beregnet til:</w:t>
      </w:r>
    </w:p>
    <w:p w:rsidR="008F45A4" w:rsidRPr="008F45A4" w:rsidRDefault="008F45A4" w:rsidP="00411EC5">
      <w:pPr>
        <w:pStyle w:val="Brdtekst"/>
        <w:ind w:left="567"/>
        <w:rPr>
          <w:sz w:val="24"/>
          <w:szCs w:val="24"/>
          <w:lang w:val="nb-NO"/>
        </w:rPr>
      </w:pPr>
      <w:r w:rsidRPr="008F45A4">
        <w:rPr>
          <w:sz w:val="24"/>
          <w:szCs w:val="24"/>
          <w:lang w:val="nb-NO"/>
        </w:rPr>
        <w:t>Overskrid ikke den anbefalede dosis eller varighed af behandlingen.</w:t>
      </w:r>
    </w:p>
    <w:p w:rsidR="008F45A4" w:rsidRPr="008F45A4" w:rsidRDefault="008F45A4" w:rsidP="00411EC5">
      <w:pPr>
        <w:pStyle w:val="Brdtekst"/>
        <w:ind w:left="567"/>
        <w:rPr>
          <w:sz w:val="24"/>
          <w:szCs w:val="24"/>
          <w:lang w:val="nb-NO"/>
        </w:rPr>
      </w:pPr>
      <w:r w:rsidRPr="008F45A4">
        <w:rPr>
          <w:sz w:val="24"/>
          <w:szCs w:val="24"/>
          <w:lang w:val="nb-NO"/>
        </w:rPr>
        <w:t>På grund af den længere halveringstid hos katte og det smallere terapeutiske indeks, skal man være meget omhyggelig med ikke at overskride den anbefalede dosis, og indgivelsen må ikke gentages.</w:t>
      </w:r>
    </w:p>
    <w:p w:rsidR="008F45A4" w:rsidRPr="008F45A4" w:rsidRDefault="008F45A4" w:rsidP="00411EC5">
      <w:pPr>
        <w:pStyle w:val="Brdtekst"/>
        <w:ind w:left="567"/>
        <w:rPr>
          <w:sz w:val="24"/>
          <w:szCs w:val="24"/>
          <w:lang w:val="nb-NO"/>
        </w:rPr>
      </w:pPr>
      <w:r w:rsidRPr="008F45A4">
        <w:rPr>
          <w:sz w:val="24"/>
          <w:szCs w:val="24"/>
          <w:lang w:val="nb-NO"/>
        </w:rPr>
        <w:t>Anvendelse til ældre hunde og katte kan være forbundet med en forøget risiko. Hvis sådan anvendelse ikke kan undgås, skal disse dyr have en nedsat dosis og kan have behov for grundig klinisk omsorg.</w:t>
      </w:r>
    </w:p>
    <w:p w:rsidR="008F45A4" w:rsidRPr="008F45A4" w:rsidRDefault="008F45A4" w:rsidP="00411EC5">
      <w:pPr>
        <w:pStyle w:val="Brdtekst"/>
        <w:ind w:left="567"/>
        <w:rPr>
          <w:sz w:val="24"/>
          <w:szCs w:val="24"/>
          <w:lang w:val="nb-NO"/>
        </w:rPr>
      </w:pPr>
      <w:r w:rsidRPr="008F45A4">
        <w:rPr>
          <w:sz w:val="24"/>
          <w:szCs w:val="24"/>
          <w:lang w:val="nb-NO"/>
        </w:rPr>
        <w:t>Undgå anvendelse til dehydrerede, hypovolæmiske eller hypotensive dyr, eftersom der er en potentiel risiko for øget renal toksicitet.</w:t>
      </w:r>
    </w:p>
    <w:p w:rsidR="008F45A4" w:rsidRPr="008F45A4" w:rsidRDefault="008F45A4" w:rsidP="00411EC5">
      <w:pPr>
        <w:pStyle w:val="Brdtekst"/>
        <w:ind w:left="567"/>
        <w:rPr>
          <w:sz w:val="24"/>
          <w:szCs w:val="24"/>
          <w:lang w:val="nb-NO"/>
        </w:rPr>
      </w:pPr>
      <w:r w:rsidRPr="008F45A4">
        <w:rPr>
          <w:sz w:val="24"/>
          <w:szCs w:val="24"/>
          <w:lang w:val="nb-NO"/>
        </w:rPr>
        <w:t>NSAIDs kan forårsage hæmning af fagocytosen og ved behandling af inflammatoriske tilstande forbundet med bakteriel infektion, skal en passende antimikrobiel behandling påbegyndes samtidigt.</w:t>
      </w:r>
    </w:p>
    <w:p w:rsidR="008F45A4" w:rsidRPr="008F45A4" w:rsidRDefault="008F45A4" w:rsidP="00411EC5">
      <w:pPr>
        <w:pStyle w:val="Brdtekst"/>
        <w:ind w:left="567"/>
        <w:rPr>
          <w:sz w:val="24"/>
          <w:szCs w:val="24"/>
          <w:lang w:val="nb-NO"/>
        </w:rPr>
      </w:pPr>
    </w:p>
    <w:p w:rsidR="008F45A4" w:rsidRPr="008F45A4" w:rsidRDefault="008F45A4" w:rsidP="00411EC5">
      <w:pPr>
        <w:pStyle w:val="Brdtekst"/>
        <w:ind w:left="567"/>
        <w:rPr>
          <w:sz w:val="24"/>
          <w:szCs w:val="24"/>
          <w:lang w:val="nb-NO"/>
        </w:rPr>
      </w:pPr>
      <w:r w:rsidRPr="008F45A4">
        <w:rPr>
          <w:sz w:val="24"/>
          <w:szCs w:val="24"/>
          <w:u w:val="single"/>
          <w:lang w:val="nb-NO"/>
        </w:rPr>
        <w:t>Særlige forholdsregler for personer, der administrerer veterinærlægemidlet til dyr:</w:t>
      </w:r>
    </w:p>
    <w:p w:rsidR="008F45A4" w:rsidRPr="008F45A4" w:rsidRDefault="008F45A4" w:rsidP="00411EC5">
      <w:pPr>
        <w:pStyle w:val="Brdtekst"/>
        <w:spacing w:before="1"/>
        <w:ind w:left="567"/>
        <w:rPr>
          <w:sz w:val="24"/>
          <w:szCs w:val="24"/>
          <w:lang w:val="nb-NO"/>
        </w:rPr>
      </w:pPr>
      <w:r w:rsidRPr="008F45A4">
        <w:rPr>
          <w:sz w:val="24"/>
          <w:szCs w:val="24"/>
          <w:lang w:val="nb-NO"/>
        </w:rPr>
        <w:lastRenderedPageBreak/>
        <w:t>Pas nøje på utilsigtet selvinjektion.</w:t>
      </w:r>
    </w:p>
    <w:p w:rsidR="008F45A4" w:rsidRPr="008F45A4" w:rsidRDefault="008F45A4" w:rsidP="00411EC5">
      <w:pPr>
        <w:pStyle w:val="Brdtekst"/>
        <w:spacing w:before="1"/>
        <w:ind w:left="567"/>
        <w:rPr>
          <w:sz w:val="24"/>
          <w:szCs w:val="24"/>
          <w:lang w:val="nb-NO"/>
        </w:rPr>
      </w:pPr>
      <w:r w:rsidRPr="008F45A4">
        <w:rPr>
          <w:sz w:val="24"/>
          <w:szCs w:val="24"/>
          <w:lang w:val="nb-NO"/>
        </w:rPr>
        <w:t>Hos forsøgsdyr har carprofen, ligesom andre NSAID’er, vist at have potentiale for fotosensibilisering. Undgå, at produktet kommer i kontakt med huden. Skulle det ske, afvaskes det påvirkede område straks.</w:t>
      </w:r>
    </w:p>
    <w:p w:rsidR="008F45A4" w:rsidRPr="008F45A4" w:rsidRDefault="008F45A4" w:rsidP="00411EC5">
      <w:pPr>
        <w:pStyle w:val="Brdtekst"/>
        <w:spacing w:before="1"/>
        <w:ind w:left="567"/>
        <w:rPr>
          <w:sz w:val="24"/>
          <w:szCs w:val="24"/>
          <w:lang w:val="nb-NO"/>
        </w:rPr>
      </w:pPr>
      <w:r w:rsidRPr="008F45A4">
        <w:rPr>
          <w:sz w:val="24"/>
          <w:szCs w:val="24"/>
          <w:lang w:val="nb-NO"/>
        </w:rPr>
        <w:t>Ved overfølsomhed over for carprofen eller over for et eller flere af hjælpestofferne, bør kontakt med veterinærlægemidlet undgås.</w:t>
      </w:r>
    </w:p>
    <w:p w:rsidR="008F45A4" w:rsidRPr="008F45A4" w:rsidRDefault="008F45A4" w:rsidP="00411EC5">
      <w:pPr>
        <w:pStyle w:val="Brdtekst"/>
        <w:spacing w:before="92"/>
        <w:ind w:left="567"/>
        <w:rPr>
          <w:b/>
          <w:sz w:val="24"/>
          <w:szCs w:val="24"/>
          <w:lang w:val="da-DK"/>
        </w:rPr>
      </w:pPr>
    </w:p>
    <w:p w:rsidR="008F45A4" w:rsidRPr="008F45A4" w:rsidRDefault="008F45A4" w:rsidP="00411EC5">
      <w:pPr>
        <w:pStyle w:val="Brdtekst"/>
        <w:spacing w:before="92"/>
        <w:ind w:left="567"/>
        <w:rPr>
          <w:sz w:val="24"/>
          <w:szCs w:val="24"/>
          <w:u w:val="single"/>
          <w:lang w:val="nb-NO"/>
        </w:rPr>
      </w:pPr>
      <w:r w:rsidRPr="008F45A4">
        <w:rPr>
          <w:sz w:val="24"/>
          <w:szCs w:val="24"/>
          <w:u w:val="single"/>
          <w:lang w:val="nb-NO"/>
        </w:rPr>
        <w:t>Særlige forholdsregler vedrørende beskyttelse af miljøet:</w:t>
      </w:r>
    </w:p>
    <w:p w:rsidR="008F45A4" w:rsidRPr="008F45A4" w:rsidRDefault="008F45A4" w:rsidP="00411EC5">
      <w:pPr>
        <w:pStyle w:val="Brdtekst"/>
        <w:spacing w:before="92"/>
        <w:ind w:left="567"/>
        <w:rPr>
          <w:sz w:val="24"/>
          <w:szCs w:val="24"/>
        </w:rPr>
      </w:pPr>
      <w:proofErr w:type="spellStart"/>
      <w:r w:rsidRPr="008F45A4">
        <w:rPr>
          <w:sz w:val="24"/>
          <w:szCs w:val="24"/>
        </w:rPr>
        <w:t>Ikke</w:t>
      </w:r>
      <w:proofErr w:type="spellEnd"/>
      <w:r w:rsidRPr="008F45A4">
        <w:rPr>
          <w:sz w:val="24"/>
          <w:szCs w:val="24"/>
        </w:rPr>
        <w:t xml:space="preserve"> relevant.</w:t>
      </w:r>
    </w:p>
    <w:p w:rsidR="008F45A4" w:rsidRPr="008F45A4" w:rsidRDefault="008F45A4" w:rsidP="008F45A4">
      <w:pPr>
        <w:pStyle w:val="Brdtekst"/>
        <w:spacing w:before="10"/>
        <w:rPr>
          <w:sz w:val="24"/>
          <w:szCs w:val="24"/>
        </w:rPr>
      </w:pPr>
    </w:p>
    <w:p w:rsidR="008F45A4" w:rsidRPr="008F45A4" w:rsidRDefault="008F45A4" w:rsidP="00411EC5">
      <w:pPr>
        <w:pStyle w:val="Overskrift1"/>
        <w:keepNext w:val="0"/>
        <w:widowControl w:val="0"/>
        <w:numPr>
          <w:ilvl w:val="1"/>
          <w:numId w:val="4"/>
        </w:numPr>
        <w:tabs>
          <w:tab w:val="left" w:pos="567"/>
        </w:tabs>
        <w:autoSpaceDE w:val="0"/>
        <w:autoSpaceDN w:val="0"/>
        <w:spacing w:before="92" w:after="0"/>
        <w:ind w:left="567" w:hanging="568"/>
        <w:rPr>
          <w:rFonts w:ascii="Times New Roman" w:hAnsi="Times New Roman"/>
          <w:b w:val="0"/>
          <w:bCs/>
          <w:sz w:val="24"/>
          <w:szCs w:val="24"/>
        </w:rPr>
      </w:pPr>
      <w:r w:rsidRPr="008F45A4">
        <w:rPr>
          <w:rFonts w:ascii="Times New Roman" w:hAnsi="Times New Roman"/>
          <w:sz w:val="24"/>
          <w:szCs w:val="24"/>
        </w:rPr>
        <w:t>Bivirkninger</w:t>
      </w:r>
    </w:p>
    <w:p w:rsidR="008F45A4" w:rsidRPr="008F45A4" w:rsidRDefault="008F45A4" w:rsidP="008F45A4">
      <w:pPr>
        <w:pStyle w:val="Brdtekst"/>
        <w:spacing w:before="9"/>
        <w:rPr>
          <w:b/>
          <w:sz w:val="24"/>
          <w:szCs w:val="24"/>
        </w:rPr>
      </w:pPr>
    </w:p>
    <w:p w:rsidR="008F45A4" w:rsidRPr="008F45A4" w:rsidRDefault="008F45A4" w:rsidP="00411EC5">
      <w:pPr>
        <w:pStyle w:val="Brdtekst"/>
        <w:spacing w:before="9"/>
        <w:ind w:firstLine="567"/>
        <w:rPr>
          <w:sz w:val="24"/>
          <w:szCs w:val="24"/>
        </w:rPr>
      </w:pPr>
      <w:proofErr w:type="spellStart"/>
      <w:r w:rsidRPr="008F45A4">
        <w:rPr>
          <w:sz w:val="24"/>
          <w:szCs w:val="24"/>
        </w:rPr>
        <w:t>Hunde</w:t>
      </w:r>
      <w:proofErr w:type="spellEnd"/>
      <w:r w:rsidRPr="008F45A4">
        <w:rPr>
          <w:sz w:val="24"/>
          <w:szCs w:val="24"/>
        </w:rPr>
        <w:t xml:space="preserve"> </w:t>
      </w:r>
      <w:proofErr w:type="spellStart"/>
      <w:r w:rsidRPr="008F45A4">
        <w:rPr>
          <w:sz w:val="24"/>
          <w:szCs w:val="24"/>
        </w:rPr>
        <w:t>og</w:t>
      </w:r>
      <w:proofErr w:type="spellEnd"/>
      <w:r w:rsidRPr="008F45A4">
        <w:rPr>
          <w:sz w:val="24"/>
          <w:szCs w:val="24"/>
        </w:rPr>
        <w:t xml:space="preserve"> </w:t>
      </w:r>
      <w:proofErr w:type="spellStart"/>
      <w:r w:rsidRPr="008F45A4">
        <w:rPr>
          <w:sz w:val="24"/>
          <w:szCs w:val="24"/>
        </w:rPr>
        <w:t>katte</w:t>
      </w:r>
      <w:proofErr w:type="spellEnd"/>
      <w:r w:rsidRPr="008F45A4">
        <w:rPr>
          <w:sz w:val="24"/>
          <w:szCs w:val="24"/>
        </w:rPr>
        <w:t>:</w:t>
      </w:r>
    </w:p>
    <w:p w:rsidR="008F45A4" w:rsidRPr="008F45A4" w:rsidRDefault="008F45A4" w:rsidP="008F45A4">
      <w:pPr>
        <w:pStyle w:val="Brdtekst"/>
        <w:spacing w:before="9"/>
        <w:rPr>
          <w:sz w:val="24"/>
          <w:szCs w:val="24"/>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0"/>
        <w:gridCol w:w="5154"/>
      </w:tblGrid>
      <w:tr w:rsidR="008F45A4" w:rsidRPr="008F45A4" w:rsidTr="00411EC5">
        <w:trPr>
          <w:trHeight w:val="899"/>
        </w:trPr>
        <w:tc>
          <w:tcPr>
            <w:tcW w:w="3910" w:type="dxa"/>
          </w:tcPr>
          <w:p w:rsidR="008F45A4" w:rsidRPr="008F45A4" w:rsidRDefault="008F45A4" w:rsidP="002F5155">
            <w:pPr>
              <w:spacing w:before="60" w:after="60"/>
              <w:rPr>
                <w:rFonts w:ascii="Times New Roman" w:hAnsi="Times New Roman" w:cs="Times New Roman"/>
                <w:sz w:val="24"/>
                <w:szCs w:val="24"/>
                <w:lang w:val="da-DK"/>
              </w:rPr>
            </w:pPr>
            <w:r w:rsidRPr="008F45A4">
              <w:rPr>
                <w:rFonts w:ascii="Times New Roman" w:hAnsi="Times New Roman" w:cs="Times New Roman"/>
                <w:sz w:val="24"/>
                <w:szCs w:val="24"/>
                <w:lang w:val="da-DK"/>
              </w:rPr>
              <w:t>Sjælden</w:t>
            </w:r>
          </w:p>
          <w:p w:rsidR="008F45A4" w:rsidRPr="008F45A4" w:rsidRDefault="008F45A4" w:rsidP="002F5155">
            <w:pPr>
              <w:pStyle w:val="TableParagraph"/>
              <w:spacing w:before="126"/>
              <w:ind w:left="107"/>
              <w:rPr>
                <w:rFonts w:ascii="Times New Roman" w:hAnsi="Times New Roman" w:cs="Times New Roman"/>
                <w:sz w:val="24"/>
                <w:szCs w:val="24"/>
                <w:lang w:val="nb-NO"/>
              </w:rPr>
            </w:pPr>
            <w:r w:rsidRPr="008F45A4">
              <w:rPr>
                <w:rFonts w:ascii="Times New Roman" w:hAnsi="Times New Roman" w:cs="Times New Roman"/>
                <w:sz w:val="24"/>
                <w:szCs w:val="24"/>
                <w:lang w:val="nb-NO"/>
              </w:rPr>
              <w:t>(1 til 10 dyr ud af 10.000 behandlede dyr):</w:t>
            </w:r>
          </w:p>
        </w:tc>
        <w:tc>
          <w:tcPr>
            <w:tcW w:w="5154" w:type="dxa"/>
          </w:tcPr>
          <w:p w:rsidR="008F45A4" w:rsidRPr="008F45A4" w:rsidRDefault="008F45A4" w:rsidP="002F5155">
            <w:pPr>
              <w:pStyle w:val="TableParagraph"/>
              <w:spacing w:before="61" w:line="247" w:lineRule="auto"/>
              <w:ind w:left="107" w:right="335"/>
              <w:rPr>
                <w:rFonts w:ascii="Times New Roman" w:hAnsi="Times New Roman" w:cs="Times New Roman"/>
                <w:sz w:val="24"/>
                <w:szCs w:val="24"/>
                <w:lang w:val="nb-NO"/>
              </w:rPr>
            </w:pPr>
            <w:r w:rsidRPr="008F45A4">
              <w:rPr>
                <w:rFonts w:ascii="Times New Roman" w:hAnsi="Times New Roman" w:cs="Times New Roman"/>
                <w:sz w:val="24"/>
                <w:szCs w:val="24"/>
                <w:lang w:val="nb-NO"/>
              </w:rPr>
              <w:t>Nyrelidelse</w:t>
            </w:r>
          </w:p>
          <w:p w:rsidR="008F45A4" w:rsidRPr="008F45A4" w:rsidRDefault="008F45A4" w:rsidP="002F5155">
            <w:pPr>
              <w:pStyle w:val="TableParagraph"/>
              <w:spacing w:before="61" w:line="247" w:lineRule="auto"/>
              <w:ind w:left="107" w:right="335"/>
              <w:rPr>
                <w:rFonts w:ascii="Times New Roman" w:hAnsi="Times New Roman" w:cs="Times New Roman"/>
                <w:sz w:val="24"/>
                <w:szCs w:val="24"/>
                <w:lang w:val="nb-NO"/>
              </w:rPr>
            </w:pPr>
            <w:r w:rsidRPr="008F45A4">
              <w:rPr>
                <w:rFonts w:ascii="Times New Roman" w:hAnsi="Times New Roman" w:cs="Times New Roman"/>
                <w:sz w:val="24"/>
                <w:szCs w:val="24"/>
                <w:lang w:val="nb-NO"/>
              </w:rPr>
              <w:t>Leverlidelse</w:t>
            </w:r>
            <w:r w:rsidRPr="008F45A4">
              <w:rPr>
                <w:rFonts w:ascii="Times New Roman" w:hAnsi="Times New Roman" w:cs="Times New Roman"/>
                <w:sz w:val="24"/>
                <w:szCs w:val="24"/>
                <w:vertAlign w:val="superscript"/>
                <w:lang w:val="nb-NO"/>
              </w:rPr>
              <w:t>1</w:t>
            </w:r>
          </w:p>
        </w:tc>
      </w:tr>
      <w:tr w:rsidR="008F45A4" w:rsidRPr="008F45A4" w:rsidTr="00411EC5">
        <w:trPr>
          <w:trHeight w:val="900"/>
        </w:trPr>
        <w:tc>
          <w:tcPr>
            <w:tcW w:w="3910" w:type="dxa"/>
          </w:tcPr>
          <w:p w:rsidR="008F45A4" w:rsidRPr="008F45A4" w:rsidRDefault="008F45A4" w:rsidP="002F5155">
            <w:pPr>
              <w:pStyle w:val="TableParagraph"/>
              <w:spacing w:before="63"/>
              <w:ind w:left="107"/>
              <w:rPr>
                <w:rFonts w:ascii="Times New Roman" w:hAnsi="Times New Roman" w:cs="Times New Roman"/>
                <w:sz w:val="24"/>
                <w:szCs w:val="24"/>
                <w:lang w:val="nb-NO"/>
              </w:rPr>
            </w:pPr>
            <w:r w:rsidRPr="008F45A4">
              <w:rPr>
                <w:rFonts w:ascii="Times New Roman" w:hAnsi="Times New Roman" w:cs="Times New Roman"/>
                <w:sz w:val="24"/>
                <w:szCs w:val="24"/>
                <w:lang w:val="nb-NO"/>
              </w:rPr>
              <w:t xml:space="preserve">Ikke kendt </w:t>
            </w:r>
          </w:p>
          <w:p w:rsidR="008F45A4" w:rsidRPr="008F45A4" w:rsidRDefault="008F45A4" w:rsidP="002F5155">
            <w:pPr>
              <w:pStyle w:val="TableParagraph"/>
              <w:spacing w:before="128"/>
              <w:ind w:left="107"/>
              <w:rPr>
                <w:rFonts w:ascii="Times New Roman" w:hAnsi="Times New Roman" w:cs="Times New Roman"/>
                <w:sz w:val="24"/>
                <w:szCs w:val="24"/>
                <w:lang w:val="nb-NO"/>
              </w:rPr>
            </w:pPr>
            <w:r w:rsidRPr="008F45A4">
              <w:rPr>
                <w:rFonts w:ascii="Times New Roman" w:hAnsi="Times New Roman" w:cs="Times New Roman"/>
                <w:sz w:val="24"/>
                <w:szCs w:val="24"/>
                <w:lang w:val="nb-NO"/>
              </w:rPr>
              <w:t>(hyppigheden kan ikke estimeres ud fra forhåndenværende data)</w:t>
            </w:r>
          </w:p>
        </w:tc>
        <w:tc>
          <w:tcPr>
            <w:tcW w:w="5154" w:type="dxa"/>
          </w:tcPr>
          <w:p w:rsidR="008F45A4" w:rsidRPr="008F45A4" w:rsidRDefault="008F45A4" w:rsidP="002F5155">
            <w:pPr>
              <w:pStyle w:val="TableParagraph"/>
              <w:spacing w:before="61" w:line="247" w:lineRule="auto"/>
              <w:ind w:left="107" w:right="262"/>
              <w:rPr>
                <w:rFonts w:ascii="Times New Roman" w:hAnsi="Times New Roman" w:cs="Times New Roman"/>
                <w:sz w:val="24"/>
                <w:szCs w:val="24"/>
                <w:lang w:val="nb-NO"/>
              </w:rPr>
            </w:pPr>
            <w:r w:rsidRPr="008F45A4">
              <w:rPr>
                <w:rFonts w:ascii="Times New Roman" w:hAnsi="Times New Roman" w:cs="Times New Roman"/>
                <w:sz w:val="24"/>
                <w:szCs w:val="24"/>
                <w:lang w:val="nb-NO"/>
              </w:rPr>
              <w:t>Opkastning</w:t>
            </w:r>
            <w:r w:rsidRPr="008F45A4">
              <w:rPr>
                <w:rFonts w:ascii="Times New Roman" w:hAnsi="Times New Roman" w:cs="Times New Roman"/>
                <w:sz w:val="24"/>
                <w:szCs w:val="24"/>
                <w:vertAlign w:val="superscript"/>
                <w:lang w:val="nb-NO"/>
              </w:rPr>
              <w:t>2</w:t>
            </w:r>
            <w:r w:rsidRPr="008F45A4">
              <w:rPr>
                <w:rFonts w:ascii="Times New Roman" w:hAnsi="Times New Roman" w:cs="Times New Roman"/>
                <w:sz w:val="24"/>
                <w:szCs w:val="24"/>
                <w:lang w:val="nb-NO"/>
              </w:rPr>
              <w:t>, tynd afføring</w:t>
            </w:r>
            <w:r w:rsidRPr="008F45A4">
              <w:rPr>
                <w:rFonts w:ascii="Times New Roman" w:hAnsi="Times New Roman" w:cs="Times New Roman"/>
                <w:sz w:val="24"/>
                <w:szCs w:val="24"/>
                <w:vertAlign w:val="superscript"/>
                <w:lang w:val="nb-NO"/>
              </w:rPr>
              <w:t>2</w:t>
            </w:r>
            <w:r w:rsidRPr="008F45A4">
              <w:rPr>
                <w:rFonts w:ascii="Times New Roman" w:hAnsi="Times New Roman" w:cs="Times New Roman"/>
                <w:sz w:val="24"/>
                <w:szCs w:val="24"/>
                <w:lang w:val="nb-NO"/>
              </w:rPr>
              <w:t>, diarré</w:t>
            </w:r>
            <w:r w:rsidRPr="008F45A4">
              <w:rPr>
                <w:rFonts w:ascii="Times New Roman" w:hAnsi="Times New Roman" w:cs="Times New Roman"/>
                <w:sz w:val="24"/>
                <w:szCs w:val="24"/>
                <w:vertAlign w:val="superscript"/>
                <w:lang w:val="nb-NO"/>
              </w:rPr>
              <w:t>2</w:t>
            </w:r>
            <w:r w:rsidRPr="008F45A4">
              <w:rPr>
                <w:rFonts w:ascii="Times New Roman" w:hAnsi="Times New Roman" w:cs="Times New Roman"/>
                <w:sz w:val="24"/>
                <w:szCs w:val="24"/>
                <w:lang w:val="nb-NO"/>
              </w:rPr>
              <w:t>, blod i afføringen</w:t>
            </w:r>
            <w:r w:rsidRPr="008F45A4">
              <w:rPr>
                <w:rFonts w:ascii="Times New Roman" w:hAnsi="Times New Roman" w:cs="Times New Roman"/>
                <w:sz w:val="24"/>
                <w:szCs w:val="24"/>
                <w:vertAlign w:val="superscript"/>
                <w:lang w:val="nb-NO"/>
              </w:rPr>
              <w:t>2,3</w:t>
            </w:r>
            <w:r w:rsidRPr="008F45A4">
              <w:rPr>
                <w:rFonts w:ascii="Times New Roman" w:hAnsi="Times New Roman" w:cs="Times New Roman"/>
                <w:sz w:val="24"/>
                <w:szCs w:val="24"/>
                <w:lang w:val="nb-NO"/>
              </w:rPr>
              <w:t>, nedsat appetit</w:t>
            </w:r>
            <w:r w:rsidRPr="008F45A4">
              <w:rPr>
                <w:rFonts w:ascii="Times New Roman" w:hAnsi="Times New Roman" w:cs="Times New Roman"/>
                <w:sz w:val="24"/>
                <w:szCs w:val="24"/>
                <w:vertAlign w:val="superscript"/>
                <w:lang w:val="nb-NO"/>
              </w:rPr>
              <w:t>2</w:t>
            </w:r>
          </w:p>
          <w:p w:rsidR="008F45A4" w:rsidRPr="008F45A4" w:rsidRDefault="008F45A4" w:rsidP="002F5155">
            <w:pPr>
              <w:pStyle w:val="TableParagraph"/>
              <w:spacing w:before="61" w:line="247" w:lineRule="auto"/>
              <w:ind w:left="107" w:right="262"/>
              <w:rPr>
                <w:rFonts w:ascii="Times New Roman" w:hAnsi="Times New Roman" w:cs="Times New Roman"/>
                <w:sz w:val="24"/>
                <w:szCs w:val="24"/>
                <w:lang w:val="nb-NO"/>
              </w:rPr>
            </w:pPr>
            <w:r w:rsidRPr="008F45A4">
              <w:rPr>
                <w:rFonts w:ascii="Times New Roman" w:hAnsi="Times New Roman" w:cs="Times New Roman"/>
                <w:sz w:val="24"/>
                <w:szCs w:val="24"/>
                <w:lang w:val="nb-NO"/>
              </w:rPr>
              <w:t>Sløvhed</w:t>
            </w:r>
            <w:r w:rsidRPr="008F45A4">
              <w:rPr>
                <w:rFonts w:ascii="Times New Roman" w:hAnsi="Times New Roman" w:cs="Times New Roman"/>
                <w:sz w:val="24"/>
                <w:szCs w:val="24"/>
                <w:vertAlign w:val="superscript"/>
                <w:lang w:val="nb-NO"/>
              </w:rPr>
              <w:t>2</w:t>
            </w:r>
          </w:p>
          <w:p w:rsidR="008F45A4" w:rsidRPr="008F45A4" w:rsidRDefault="008F45A4" w:rsidP="002F5155">
            <w:pPr>
              <w:pStyle w:val="TableParagraph"/>
              <w:spacing w:before="61" w:line="247" w:lineRule="auto"/>
              <w:ind w:left="107" w:right="262"/>
              <w:rPr>
                <w:rFonts w:ascii="Times New Roman" w:hAnsi="Times New Roman" w:cs="Times New Roman"/>
                <w:sz w:val="24"/>
                <w:szCs w:val="24"/>
                <w:lang w:val="nb-NO"/>
              </w:rPr>
            </w:pPr>
            <w:r w:rsidRPr="008F45A4">
              <w:rPr>
                <w:rFonts w:ascii="Times New Roman" w:hAnsi="Times New Roman" w:cs="Times New Roman"/>
                <w:sz w:val="24"/>
                <w:szCs w:val="24"/>
                <w:lang w:val="nb-NO"/>
              </w:rPr>
              <w:t>Reaktioner på injektionsstedet</w:t>
            </w:r>
            <w:r w:rsidRPr="008F45A4">
              <w:rPr>
                <w:rFonts w:ascii="Times New Roman" w:hAnsi="Times New Roman" w:cs="Times New Roman"/>
                <w:sz w:val="24"/>
                <w:szCs w:val="24"/>
                <w:vertAlign w:val="superscript"/>
                <w:lang w:val="nb-NO"/>
              </w:rPr>
              <w:t>4</w:t>
            </w:r>
          </w:p>
        </w:tc>
      </w:tr>
    </w:tbl>
    <w:p w:rsidR="008F45A4" w:rsidRPr="008F45A4" w:rsidRDefault="008F45A4" w:rsidP="00411EC5">
      <w:pPr>
        <w:pStyle w:val="Brdtekst"/>
        <w:spacing w:before="2"/>
        <w:ind w:left="567"/>
        <w:rPr>
          <w:sz w:val="24"/>
          <w:szCs w:val="24"/>
          <w:lang w:val="nb-NO"/>
        </w:rPr>
      </w:pPr>
      <w:r w:rsidRPr="008F45A4">
        <w:rPr>
          <w:sz w:val="24"/>
          <w:szCs w:val="24"/>
          <w:vertAlign w:val="superscript"/>
          <w:lang w:val="nb-NO"/>
        </w:rPr>
        <w:t>1</w:t>
      </w:r>
      <w:r w:rsidRPr="008F45A4">
        <w:rPr>
          <w:sz w:val="24"/>
          <w:szCs w:val="24"/>
          <w:lang w:val="nb-NO"/>
        </w:rPr>
        <w:t xml:space="preserve"> Idiosynkratiske reaktioner</w:t>
      </w:r>
    </w:p>
    <w:p w:rsidR="008F45A4" w:rsidRPr="008F45A4" w:rsidRDefault="008F45A4" w:rsidP="00411EC5">
      <w:pPr>
        <w:pStyle w:val="Brdtekst"/>
        <w:spacing w:before="2"/>
        <w:ind w:left="567"/>
        <w:rPr>
          <w:sz w:val="24"/>
          <w:szCs w:val="24"/>
          <w:lang w:val="nb-NO"/>
        </w:rPr>
      </w:pPr>
      <w:r w:rsidRPr="008F45A4">
        <w:rPr>
          <w:sz w:val="24"/>
          <w:szCs w:val="24"/>
          <w:vertAlign w:val="superscript"/>
          <w:lang w:val="nb-NO"/>
        </w:rPr>
        <w:t>2</w:t>
      </w:r>
      <w:r w:rsidRPr="008F45A4">
        <w:rPr>
          <w:sz w:val="24"/>
          <w:szCs w:val="24"/>
          <w:lang w:val="nb-NO"/>
        </w:rPr>
        <w:t xml:space="preserve"> Disse bivirkninger forekommer almindeligvis inden for den første behandlingsuge, er i de fleste tilfælde forbigående og forsvinder efter behandlingsophør, men kan i meget sjældne tilfælde være alvorlige eller dødelige.</w:t>
      </w:r>
    </w:p>
    <w:p w:rsidR="008F45A4" w:rsidRPr="008F45A4" w:rsidRDefault="008F45A4" w:rsidP="00411EC5">
      <w:pPr>
        <w:pStyle w:val="Brdtekst"/>
        <w:spacing w:before="2"/>
        <w:ind w:left="567"/>
        <w:rPr>
          <w:sz w:val="24"/>
          <w:szCs w:val="24"/>
          <w:lang w:val="nb-NO"/>
        </w:rPr>
      </w:pPr>
      <w:r w:rsidRPr="008F45A4">
        <w:rPr>
          <w:sz w:val="24"/>
          <w:szCs w:val="24"/>
          <w:vertAlign w:val="superscript"/>
          <w:lang w:val="nb-NO"/>
        </w:rPr>
        <w:t>3</w:t>
      </w:r>
      <w:r w:rsidRPr="008F45A4">
        <w:rPr>
          <w:sz w:val="24"/>
          <w:szCs w:val="24"/>
          <w:lang w:val="nb-NO"/>
        </w:rPr>
        <w:t xml:space="preserve"> Okkulte</w:t>
      </w:r>
    </w:p>
    <w:p w:rsidR="008F45A4" w:rsidRPr="008F45A4" w:rsidRDefault="008F45A4" w:rsidP="00411EC5">
      <w:pPr>
        <w:pStyle w:val="Brdtekst"/>
        <w:spacing w:before="2"/>
        <w:ind w:left="567"/>
        <w:rPr>
          <w:sz w:val="24"/>
          <w:szCs w:val="24"/>
          <w:lang w:val="nb-NO"/>
        </w:rPr>
      </w:pPr>
      <w:r w:rsidRPr="008F45A4">
        <w:rPr>
          <w:sz w:val="24"/>
          <w:szCs w:val="24"/>
          <w:vertAlign w:val="superscript"/>
          <w:lang w:val="nb-NO"/>
        </w:rPr>
        <w:t>4</w:t>
      </w:r>
      <w:r w:rsidRPr="008F45A4">
        <w:rPr>
          <w:sz w:val="24"/>
          <w:szCs w:val="24"/>
          <w:lang w:val="nb-NO"/>
        </w:rPr>
        <w:t xml:space="preserve"> Efter en subkutan injektion</w:t>
      </w:r>
    </w:p>
    <w:p w:rsidR="008F45A4" w:rsidRPr="008F45A4" w:rsidRDefault="008F45A4" w:rsidP="00411EC5">
      <w:pPr>
        <w:pStyle w:val="Brdtekst"/>
        <w:spacing w:before="2"/>
        <w:ind w:left="567"/>
        <w:rPr>
          <w:sz w:val="24"/>
          <w:szCs w:val="24"/>
          <w:lang w:val="nb-NO"/>
        </w:rPr>
      </w:pPr>
    </w:p>
    <w:p w:rsidR="008F45A4" w:rsidRPr="008F45A4" w:rsidRDefault="008F45A4" w:rsidP="00411EC5">
      <w:pPr>
        <w:pStyle w:val="Brdtekst"/>
        <w:spacing w:before="2"/>
        <w:ind w:left="567"/>
        <w:rPr>
          <w:sz w:val="24"/>
          <w:szCs w:val="24"/>
          <w:lang w:val="nb-NO"/>
        </w:rPr>
      </w:pPr>
      <w:r w:rsidRPr="008F45A4">
        <w:rPr>
          <w:sz w:val="24"/>
          <w:szCs w:val="24"/>
          <w:lang w:val="nb-NO"/>
        </w:rPr>
        <w:t>Hvis der opstår bivirkninger, skal brugen af produktet ophøre og dyrlæge skal kontaktes.</w:t>
      </w:r>
    </w:p>
    <w:p w:rsidR="008F45A4" w:rsidRPr="008F45A4" w:rsidRDefault="008F45A4" w:rsidP="00411EC5">
      <w:pPr>
        <w:pStyle w:val="Brdtekst"/>
        <w:spacing w:before="2"/>
        <w:ind w:left="567"/>
        <w:rPr>
          <w:sz w:val="24"/>
          <w:szCs w:val="24"/>
          <w:lang w:val="nb-NO"/>
        </w:rPr>
      </w:pPr>
    </w:p>
    <w:p w:rsidR="008F45A4" w:rsidRPr="008F45A4" w:rsidRDefault="008F45A4" w:rsidP="00411EC5">
      <w:pPr>
        <w:pStyle w:val="Brdtekst"/>
        <w:ind w:left="567"/>
        <w:rPr>
          <w:sz w:val="24"/>
          <w:szCs w:val="24"/>
        </w:rPr>
      </w:pPr>
      <w:r w:rsidRPr="008F45A4">
        <w:rPr>
          <w:sz w:val="24"/>
          <w:szCs w:val="24"/>
          <w:lang w:val="nb-NO"/>
        </w:rPr>
        <w:t xml:space="preserve">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w:t>
      </w:r>
      <w:r w:rsidRPr="008F45A4">
        <w:rPr>
          <w:sz w:val="24"/>
          <w:szCs w:val="24"/>
        </w:rPr>
        <w:t xml:space="preserve">Se </w:t>
      </w:r>
      <w:proofErr w:type="spellStart"/>
      <w:r w:rsidRPr="008F45A4">
        <w:rPr>
          <w:sz w:val="24"/>
          <w:szCs w:val="24"/>
        </w:rPr>
        <w:t>indlægssedlen</w:t>
      </w:r>
      <w:proofErr w:type="spellEnd"/>
      <w:r w:rsidRPr="008F45A4">
        <w:rPr>
          <w:sz w:val="24"/>
          <w:szCs w:val="24"/>
        </w:rPr>
        <w:t xml:space="preserve"> for de </w:t>
      </w:r>
      <w:proofErr w:type="spellStart"/>
      <w:r w:rsidRPr="008F45A4">
        <w:rPr>
          <w:sz w:val="24"/>
          <w:szCs w:val="24"/>
        </w:rPr>
        <w:t>relevante</w:t>
      </w:r>
      <w:proofErr w:type="spellEnd"/>
      <w:r w:rsidRPr="008F45A4">
        <w:rPr>
          <w:sz w:val="24"/>
          <w:szCs w:val="24"/>
        </w:rPr>
        <w:t xml:space="preserve"> </w:t>
      </w:r>
      <w:proofErr w:type="spellStart"/>
      <w:r w:rsidRPr="008F45A4">
        <w:rPr>
          <w:sz w:val="24"/>
          <w:szCs w:val="24"/>
        </w:rPr>
        <w:t>kontaktoplysninger</w:t>
      </w:r>
      <w:proofErr w:type="spellEnd"/>
      <w:r w:rsidRPr="008F45A4">
        <w:rPr>
          <w:sz w:val="24"/>
          <w:szCs w:val="24"/>
        </w:rPr>
        <w:t>.</w:t>
      </w:r>
    </w:p>
    <w:p w:rsidR="008F45A4" w:rsidRPr="008F45A4" w:rsidRDefault="008F45A4" w:rsidP="008F45A4">
      <w:pPr>
        <w:pStyle w:val="Brdtekst"/>
        <w:spacing w:before="8"/>
        <w:rPr>
          <w:sz w:val="24"/>
          <w:szCs w:val="24"/>
          <w:lang w:val="nb-NO"/>
        </w:rPr>
      </w:pPr>
    </w:p>
    <w:p w:rsidR="008F45A4" w:rsidRPr="008F45A4" w:rsidRDefault="008F45A4" w:rsidP="00411EC5">
      <w:pPr>
        <w:pStyle w:val="Overskrift1"/>
        <w:keepNext w:val="0"/>
        <w:widowControl w:val="0"/>
        <w:numPr>
          <w:ilvl w:val="1"/>
          <w:numId w:val="4"/>
        </w:numPr>
        <w:tabs>
          <w:tab w:val="left" w:pos="567"/>
        </w:tabs>
        <w:autoSpaceDE w:val="0"/>
        <w:autoSpaceDN w:val="0"/>
        <w:spacing w:before="91" w:after="0"/>
        <w:ind w:left="567" w:hanging="568"/>
        <w:rPr>
          <w:rFonts w:ascii="Times New Roman" w:hAnsi="Times New Roman"/>
          <w:b w:val="0"/>
          <w:bCs/>
          <w:sz w:val="24"/>
          <w:szCs w:val="24"/>
        </w:rPr>
      </w:pPr>
      <w:r w:rsidRPr="008F45A4">
        <w:rPr>
          <w:rFonts w:ascii="Times New Roman" w:hAnsi="Times New Roman"/>
          <w:sz w:val="24"/>
          <w:szCs w:val="24"/>
        </w:rPr>
        <w:t>Anvendelse under drægtighed, laktation eller</w:t>
      </w:r>
      <w:r w:rsidRPr="008F45A4">
        <w:rPr>
          <w:rFonts w:ascii="Times New Roman" w:hAnsi="Times New Roman"/>
          <w:spacing w:val="-4"/>
          <w:sz w:val="24"/>
          <w:szCs w:val="24"/>
        </w:rPr>
        <w:t xml:space="preserve"> </w:t>
      </w:r>
      <w:r w:rsidRPr="008F45A4">
        <w:rPr>
          <w:rFonts w:ascii="Times New Roman" w:hAnsi="Times New Roman"/>
          <w:sz w:val="24"/>
          <w:szCs w:val="24"/>
        </w:rPr>
        <w:t>æglægning</w:t>
      </w:r>
    </w:p>
    <w:p w:rsidR="008F45A4" w:rsidRPr="008F45A4" w:rsidRDefault="008F45A4" w:rsidP="008F45A4">
      <w:pPr>
        <w:pStyle w:val="Brdtekst"/>
        <w:rPr>
          <w:sz w:val="24"/>
          <w:szCs w:val="24"/>
          <w:lang w:val="nb-NO"/>
        </w:rPr>
      </w:pPr>
    </w:p>
    <w:p w:rsidR="008F45A4" w:rsidRPr="008F45A4" w:rsidRDefault="008F45A4" w:rsidP="00411EC5">
      <w:pPr>
        <w:pStyle w:val="Brdtekst"/>
        <w:ind w:left="567"/>
        <w:rPr>
          <w:sz w:val="24"/>
          <w:szCs w:val="24"/>
          <w:lang w:val="nb-NO"/>
        </w:rPr>
      </w:pPr>
      <w:r w:rsidRPr="008F45A4">
        <w:rPr>
          <w:sz w:val="24"/>
          <w:szCs w:val="24"/>
          <w:u w:val="single"/>
          <w:lang w:val="nb-NO"/>
        </w:rPr>
        <w:t>Drægtighed</w:t>
      </w:r>
      <w:r w:rsidRPr="008F45A4">
        <w:rPr>
          <w:sz w:val="24"/>
          <w:szCs w:val="24"/>
          <w:lang w:val="nb-NO"/>
        </w:rPr>
        <w:t xml:space="preserve"> </w:t>
      </w:r>
      <w:r w:rsidRPr="008F45A4">
        <w:rPr>
          <w:sz w:val="24"/>
          <w:szCs w:val="24"/>
          <w:u w:val="single"/>
          <w:lang w:val="nb-NO"/>
        </w:rPr>
        <w:t>og laktation</w:t>
      </w:r>
      <w:r w:rsidRPr="008F45A4">
        <w:rPr>
          <w:sz w:val="24"/>
          <w:szCs w:val="24"/>
          <w:lang w:val="nb-NO"/>
        </w:rPr>
        <w:t>:</w:t>
      </w:r>
    </w:p>
    <w:p w:rsidR="008F45A4" w:rsidRPr="008F45A4" w:rsidRDefault="008F45A4" w:rsidP="00411EC5">
      <w:pPr>
        <w:pStyle w:val="Brdtekst"/>
        <w:spacing w:before="1"/>
        <w:ind w:left="567"/>
        <w:rPr>
          <w:sz w:val="24"/>
          <w:szCs w:val="24"/>
          <w:lang w:val="nb-NO"/>
        </w:rPr>
      </w:pPr>
      <w:r w:rsidRPr="008F45A4">
        <w:rPr>
          <w:sz w:val="24"/>
          <w:szCs w:val="24"/>
          <w:lang w:val="nb-NO"/>
        </w:rPr>
        <w:t>Laboratorieundersøgelser af rotter og kaniner har vist evidens for føtotoksiske virkninger af carprofen ved doser, som ligger tæt på den terapeutiske dosis.</w:t>
      </w:r>
    </w:p>
    <w:p w:rsidR="008F45A4" w:rsidRPr="008F45A4" w:rsidRDefault="008F45A4" w:rsidP="00411EC5">
      <w:pPr>
        <w:pStyle w:val="Brdtekst"/>
        <w:spacing w:before="1"/>
        <w:ind w:left="567"/>
        <w:rPr>
          <w:sz w:val="24"/>
          <w:szCs w:val="24"/>
          <w:lang w:val="nb-NO"/>
        </w:rPr>
      </w:pPr>
      <w:proofErr w:type="spellStart"/>
      <w:r w:rsidRPr="008F45A4">
        <w:rPr>
          <w:sz w:val="24"/>
          <w:szCs w:val="24"/>
          <w:lang w:val="da-DK"/>
        </w:rPr>
        <w:t>Veterinærl</w:t>
      </w:r>
      <w:proofErr w:type="spellEnd"/>
      <w:r w:rsidRPr="008F45A4">
        <w:rPr>
          <w:sz w:val="24"/>
          <w:szCs w:val="24"/>
          <w:lang w:val="nb-NO"/>
        </w:rPr>
        <w:t>ægemidlets sikkerhed under drægtighed eller diegivning er ikke fastlagt. Må ikke anvendes ikke til hunde og katte under drægtighed eller diegivning.</w:t>
      </w:r>
    </w:p>
    <w:p w:rsidR="008F45A4" w:rsidRPr="008F45A4" w:rsidRDefault="008F45A4" w:rsidP="008F45A4">
      <w:pPr>
        <w:pStyle w:val="Brdtekst"/>
        <w:spacing w:before="9"/>
        <w:rPr>
          <w:sz w:val="24"/>
          <w:szCs w:val="24"/>
          <w:lang w:val="nb-NO"/>
        </w:rPr>
      </w:pPr>
    </w:p>
    <w:p w:rsidR="008F45A4" w:rsidRPr="008F45A4" w:rsidRDefault="008F45A4" w:rsidP="00411EC5">
      <w:pPr>
        <w:pStyle w:val="Overskrift1"/>
        <w:keepNext w:val="0"/>
        <w:widowControl w:val="0"/>
        <w:numPr>
          <w:ilvl w:val="1"/>
          <w:numId w:val="4"/>
        </w:numPr>
        <w:tabs>
          <w:tab w:val="left" w:pos="567"/>
        </w:tabs>
        <w:autoSpaceDE w:val="0"/>
        <w:autoSpaceDN w:val="0"/>
        <w:spacing w:before="0" w:after="0"/>
        <w:ind w:left="567" w:hanging="568"/>
        <w:rPr>
          <w:rFonts w:ascii="Times New Roman" w:hAnsi="Times New Roman"/>
          <w:b w:val="0"/>
          <w:bCs/>
          <w:sz w:val="24"/>
          <w:szCs w:val="24"/>
          <w:lang w:val="nb-NO"/>
        </w:rPr>
      </w:pPr>
      <w:r w:rsidRPr="008F45A4">
        <w:rPr>
          <w:rFonts w:ascii="Times New Roman" w:hAnsi="Times New Roman"/>
          <w:sz w:val="24"/>
          <w:szCs w:val="24"/>
          <w:lang w:val="nb-NO"/>
        </w:rPr>
        <w:t>Interaktion med andre lægemidler og andre former for</w:t>
      </w:r>
      <w:r w:rsidRPr="008F45A4">
        <w:rPr>
          <w:rFonts w:ascii="Times New Roman" w:hAnsi="Times New Roman"/>
          <w:spacing w:val="-10"/>
          <w:sz w:val="24"/>
          <w:szCs w:val="24"/>
          <w:lang w:val="nb-NO"/>
        </w:rPr>
        <w:t xml:space="preserve"> </w:t>
      </w:r>
      <w:r w:rsidRPr="008F45A4">
        <w:rPr>
          <w:rFonts w:ascii="Times New Roman" w:hAnsi="Times New Roman"/>
          <w:sz w:val="24"/>
          <w:szCs w:val="24"/>
          <w:lang w:val="nb-NO"/>
        </w:rPr>
        <w:t>interaktion</w:t>
      </w:r>
    </w:p>
    <w:p w:rsidR="008F45A4" w:rsidRPr="008F45A4" w:rsidRDefault="008F45A4" w:rsidP="008F45A4">
      <w:pPr>
        <w:pStyle w:val="Brdtekst"/>
        <w:spacing w:before="1"/>
        <w:rPr>
          <w:b/>
          <w:sz w:val="24"/>
          <w:szCs w:val="24"/>
          <w:lang w:val="nb-NO"/>
        </w:rPr>
      </w:pPr>
    </w:p>
    <w:p w:rsidR="008F45A4" w:rsidRPr="008F45A4" w:rsidRDefault="008F45A4" w:rsidP="002E5174">
      <w:pPr>
        <w:pStyle w:val="Brdtekst"/>
        <w:spacing w:before="1"/>
        <w:ind w:left="567"/>
        <w:rPr>
          <w:sz w:val="24"/>
          <w:szCs w:val="24"/>
          <w:lang w:val="nb-NO"/>
        </w:rPr>
      </w:pPr>
      <w:r w:rsidRPr="008F45A4">
        <w:rPr>
          <w:sz w:val="24"/>
          <w:szCs w:val="24"/>
          <w:lang w:val="nb-NO"/>
        </w:rPr>
        <w:t xml:space="preserve">Må ikke administreres sammen med andre NSAID’er og glukokortikoider eller inden for 24 </w:t>
      </w:r>
      <w:r w:rsidRPr="008F45A4">
        <w:rPr>
          <w:sz w:val="24"/>
          <w:szCs w:val="24"/>
          <w:lang w:val="nb-NO"/>
        </w:rPr>
        <w:lastRenderedPageBreak/>
        <w:t>timer efter administration af produktet. Carprofen er i høj grad bundet til plasmaproteiner og kan konkurrere med andre proteinbundne lægemidler, hvilket kan føre til toksiske effekter.</w:t>
      </w:r>
    </w:p>
    <w:p w:rsidR="008F45A4" w:rsidRPr="008F45A4" w:rsidRDefault="008F45A4" w:rsidP="00D24B6D">
      <w:pPr>
        <w:pStyle w:val="Brdtekst"/>
        <w:spacing w:before="1"/>
        <w:ind w:left="567"/>
        <w:rPr>
          <w:sz w:val="24"/>
          <w:szCs w:val="24"/>
          <w:lang w:val="nb-NO"/>
        </w:rPr>
      </w:pPr>
      <w:r w:rsidRPr="008F45A4">
        <w:rPr>
          <w:sz w:val="24"/>
          <w:szCs w:val="24"/>
          <w:lang w:val="nb-NO"/>
        </w:rPr>
        <w:t>Samtidig administration af potentielt nyretoksiske lægemidler skal undgås.</w:t>
      </w:r>
    </w:p>
    <w:p w:rsidR="008F45A4" w:rsidRPr="008F45A4" w:rsidRDefault="008F45A4" w:rsidP="008F45A4">
      <w:pPr>
        <w:pStyle w:val="Brdtekst"/>
        <w:spacing w:before="2"/>
        <w:rPr>
          <w:sz w:val="24"/>
          <w:szCs w:val="24"/>
          <w:lang w:val="nb-NO"/>
        </w:rPr>
      </w:pPr>
    </w:p>
    <w:p w:rsidR="008F45A4" w:rsidRPr="008F45A4" w:rsidRDefault="008F45A4" w:rsidP="00D24B6D">
      <w:pPr>
        <w:pStyle w:val="Overskrift1"/>
        <w:keepNext w:val="0"/>
        <w:widowControl w:val="0"/>
        <w:numPr>
          <w:ilvl w:val="1"/>
          <w:numId w:val="4"/>
        </w:numPr>
        <w:tabs>
          <w:tab w:val="left" w:pos="567"/>
        </w:tabs>
        <w:autoSpaceDE w:val="0"/>
        <w:autoSpaceDN w:val="0"/>
        <w:spacing w:before="0" w:after="0"/>
        <w:ind w:left="567" w:hanging="568"/>
        <w:rPr>
          <w:rFonts w:ascii="Times New Roman" w:hAnsi="Times New Roman"/>
          <w:b w:val="0"/>
          <w:bCs/>
          <w:sz w:val="24"/>
          <w:szCs w:val="24"/>
        </w:rPr>
      </w:pPr>
      <w:r w:rsidRPr="008F45A4">
        <w:rPr>
          <w:rFonts w:ascii="Times New Roman" w:hAnsi="Times New Roman"/>
          <w:sz w:val="24"/>
          <w:szCs w:val="24"/>
        </w:rPr>
        <w:t>Administrationsveje og</w:t>
      </w:r>
      <w:r w:rsidRPr="008F45A4">
        <w:rPr>
          <w:rFonts w:ascii="Times New Roman" w:hAnsi="Times New Roman"/>
          <w:spacing w:val="-1"/>
          <w:sz w:val="24"/>
          <w:szCs w:val="24"/>
        </w:rPr>
        <w:t xml:space="preserve"> </w:t>
      </w:r>
      <w:r w:rsidRPr="008F45A4">
        <w:rPr>
          <w:rFonts w:ascii="Times New Roman" w:hAnsi="Times New Roman"/>
          <w:sz w:val="24"/>
          <w:szCs w:val="24"/>
        </w:rPr>
        <w:t>dosering</w:t>
      </w:r>
    </w:p>
    <w:p w:rsidR="008F45A4" w:rsidRPr="008F45A4" w:rsidRDefault="008F45A4" w:rsidP="008F45A4">
      <w:pPr>
        <w:pStyle w:val="Brdtekst"/>
        <w:rPr>
          <w:bCs/>
          <w:sz w:val="24"/>
          <w:szCs w:val="24"/>
        </w:rPr>
      </w:pPr>
    </w:p>
    <w:p w:rsidR="008F45A4" w:rsidRPr="008F45A4" w:rsidRDefault="008F45A4" w:rsidP="00D24B6D">
      <w:pPr>
        <w:pStyle w:val="Brdtekst"/>
        <w:ind w:left="567"/>
        <w:rPr>
          <w:sz w:val="24"/>
          <w:szCs w:val="24"/>
        </w:rPr>
      </w:pPr>
      <w:proofErr w:type="spellStart"/>
      <w:r w:rsidRPr="008F45A4">
        <w:rPr>
          <w:sz w:val="24"/>
          <w:szCs w:val="24"/>
        </w:rPr>
        <w:t>Intravenøs</w:t>
      </w:r>
      <w:proofErr w:type="spellEnd"/>
      <w:r w:rsidRPr="008F45A4">
        <w:rPr>
          <w:sz w:val="24"/>
          <w:szCs w:val="24"/>
        </w:rPr>
        <w:t xml:space="preserve"> </w:t>
      </w:r>
      <w:proofErr w:type="spellStart"/>
      <w:r w:rsidRPr="008F45A4">
        <w:rPr>
          <w:sz w:val="24"/>
          <w:szCs w:val="24"/>
        </w:rPr>
        <w:t>eller</w:t>
      </w:r>
      <w:proofErr w:type="spellEnd"/>
      <w:r w:rsidRPr="008F45A4">
        <w:rPr>
          <w:sz w:val="24"/>
          <w:szCs w:val="24"/>
        </w:rPr>
        <w:t xml:space="preserve"> </w:t>
      </w:r>
      <w:proofErr w:type="spellStart"/>
      <w:r w:rsidRPr="008F45A4">
        <w:rPr>
          <w:sz w:val="24"/>
          <w:szCs w:val="24"/>
        </w:rPr>
        <w:t>subkutan</w:t>
      </w:r>
      <w:proofErr w:type="spellEnd"/>
      <w:r w:rsidRPr="008F45A4">
        <w:rPr>
          <w:sz w:val="24"/>
          <w:szCs w:val="24"/>
        </w:rPr>
        <w:t xml:space="preserve"> administration.</w:t>
      </w:r>
    </w:p>
    <w:p w:rsidR="008F45A4" w:rsidRPr="008F45A4" w:rsidRDefault="008F45A4" w:rsidP="00D24B6D">
      <w:pPr>
        <w:pStyle w:val="Brdtekst"/>
        <w:ind w:left="567"/>
        <w:rPr>
          <w:sz w:val="24"/>
          <w:szCs w:val="24"/>
        </w:rPr>
      </w:pPr>
    </w:p>
    <w:p w:rsidR="008F45A4" w:rsidRPr="008F45A4" w:rsidRDefault="008F45A4" w:rsidP="00D24B6D">
      <w:pPr>
        <w:pStyle w:val="Brdtekst"/>
        <w:ind w:left="567"/>
        <w:rPr>
          <w:b/>
          <w:sz w:val="24"/>
          <w:szCs w:val="24"/>
          <w:lang w:val="nb-NO"/>
        </w:rPr>
      </w:pPr>
      <w:r w:rsidRPr="008F45A4">
        <w:rPr>
          <w:b/>
          <w:sz w:val="24"/>
          <w:szCs w:val="24"/>
          <w:lang w:val="nb-NO"/>
        </w:rPr>
        <w:t>Hunde:</w:t>
      </w:r>
      <w:r w:rsidRPr="008F45A4">
        <w:rPr>
          <w:sz w:val="24"/>
          <w:szCs w:val="24"/>
          <w:lang w:val="nb-NO"/>
        </w:rPr>
        <w:t xml:space="preserve"> Den anbefalede dosis er 4,0 mg carprofen/kg legemsvægt (1 ml/12,5 kg legemsvægt). Produktet indgives bedst præoperativt, enten på tidspunktet for præmedicinering eller ved induktion af anæstesi.</w:t>
      </w:r>
    </w:p>
    <w:p w:rsidR="008F45A4" w:rsidRPr="008F45A4" w:rsidRDefault="008F45A4" w:rsidP="00D24B6D">
      <w:pPr>
        <w:pStyle w:val="Brdtekst"/>
        <w:ind w:left="567"/>
        <w:rPr>
          <w:sz w:val="24"/>
          <w:szCs w:val="24"/>
          <w:lang w:val="nb-NO"/>
        </w:rPr>
      </w:pPr>
    </w:p>
    <w:p w:rsidR="008F45A4" w:rsidRPr="008F45A4" w:rsidRDefault="008F45A4" w:rsidP="00D24B6D">
      <w:pPr>
        <w:pStyle w:val="Brdtekst"/>
        <w:ind w:left="567"/>
        <w:rPr>
          <w:sz w:val="24"/>
          <w:szCs w:val="24"/>
          <w:lang w:val="nb-NO"/>
        </w:rPr>
      </w:pPr>
      <w:r w:rsidRPr="008F45A4">
        <w:rPr>
          <w:b/>
          <w:sz w:val="24"/>
          <w:szCs w:val="24"/>
          <w:lang w:val="nb-NO"/>
        </w:rPr>
        <w:t>Katte:</w:t>
      </w:r>
      <w:r w:rsidRPr="008F45A4">
        <w:rPr>
          <w:sz w:val="24"/>
          <w:szCs w:val="24"/>
          <w:lang w:val="nb-NO"/>
        </w:rPr>
        <w:t xml:space="preserve"> Den anbefalede dosis er 4,0 mg/kg (0,24 ml/3,0 kg legemsvægt), der bedst gives præ-operativt på tidspunktet for induktion af anæstesi. Brugen af en sprøjte inddelt i 1 ml gradueringer anbefales for at udmåle dosen nøjagtigt.</w:t>
      </w:r>
    </w:p>
    <w:p w:rsidR="008F45A4" w:rsidRPr="008F45A4" w:rsidRDefault="008F45A4" w:rsidP="00D24B6D">
      <w:pPr>
        <w:pStyle w:val="Brdtekst"/>
        <w:ind w:left="567"/>
        <w:rPr>
          <w:sz w:val="24"/>
          <w:szCs w:val="24"/>
          <w:lang w:val="nb-NO"/>
        </w:rPr>
      </w:pPr>
      <w:r w:rsidRPr="008F45A4">
        <w:rPr>
          <w:sz w:val="24"/>
          <w:szCs w:val="24"/>
          <w:lang w:val="nb-NO"/>
        </w:rPr>
        <w:t>Kliniske undersøgelser har vist, at hunde og katte kun har brug for en dosis carprofen de første 24 timer perioperativt. Hvis der kræves yderligere analgesi i denne periode, kan der indgives en halv dosis (2 mg/kg) carprofen til hunde (men ikke til katte), om nødvendigt.</w:t>
      </w:r>
    </w:p>
    <w:p w:rsidR="008F45A4" w:rsidRPr="008F45A4" w:rsidRDefault="008F45A4" w:rsidP="00D24B6D">
      <w:pPr>
        <w:pStyle w:val="Brdtekst"/>
        <w:ind w:left="567"/>
        <w:rPr>
          <w:sz w:val="24"/>
          <w:szCs w:val="24"/>
          <w:lang w:val="nb-NO"/>
        </w:rPr>
      </w:pPr>
    </w:p>
    <w:p w:rsidR="008F45A4" w:rsidRPr="008F45A4" w:rsidRDefault="008F45A4" w:rsidP="00D24B6D">
      <w:pPr>
        <w:pStyle w:val="Brdtekst"/>
        <w:ind w:left="567"/>
        <w:rPr>
          <w:sz w:val="24"/>
          <w:szCs w:val="24"/>
          <w:lang w:val="nb-NO"/>
        </w:rPr>
      </w:pPr>
      <w:r w:rsidRPr="008F45A4">
        <w:rPr>
          <w:sz w:val="24"/>
          <w:szCs w:val="24"/>
          <w:lang w:val="nb-NO"/>
        </w:rPr>
        <w:t>For at sikre korrekt dosering vør legemsvægten beregnes så nøjagtigt som muligt.</w:t>
      </w:r>
    </w:p>
    <w:p w:rsidR="008F45A4" w:rsidRPr="008F45A4" w:rsidRDefault="008F45A4" w:rsidP="00D24B6D">
      <w:pPr>
        <w:pStyle w:val="Brdtekst"/>
        <w:ind w:left="567"/>
        <w:rPr>
          <w:sz w:val="24"/>
          <w:szCs w:val="24"/>
          <w:lang w:val="nb-NO"/>
        </w:rPr>
      </w:pPr>
    </w:p>
    <w:p w:rsidR="008F45A4" w:rsidRPr="008F45A4" w:rsidRDefault="008F45A4" w:rsidP="00D24B6D">
      <w:pPr>
        <w:pStyle w:val="Brdtekst"/>
        <w:ind w:left="567"/>
        <w:rPr>
          <w:sz w:val="24"/>
          <w:szCs w:val="24"/>
          <w:lang w:val="nb-NO"/>
        </w:rPr>
      </w:pPr>
      <w:r w:rsidRPr="008F45A4">
        <w:rPr>
          <w:sz w:val="24"/>
          <w:szCs w:val="24"/>
          <w:lang w:val="nb-NO"/>
        </w:rPr>
        <w:t>Hos hunde kan hovedbehandlingen følges af carprofentabletter på 4 mg/kg/dag i op til 5 dage for at forlænge analgesi og antiinflammatorisk dækning post-operativt.</w:t>
      </w:r>
    </w:p>
    <w:p w:rsidR="008F45A4" w:rsidRPr="008F45A4" w:rsidRDefault="008F45A4" w:rsidP="00D24B6D">
      <w:pPr>
        <w:pStyle w:val="Brdtekst"/>
        <w:ind w:left="567"/>
        <w:rPr>
          <w:sz w:val="24"/>
          <w:szCs w:val="24"/>
          <w:lang w:val="nb-NO"/>
        </w:rPr>
      </w:pPr>
    </w:p>
    <w:p w:rsidR="008F45A4" w:rsidRPr="008F45A4" w:rsidRDefault="008F45A4" w:rsidP="00D24B6D">
      <w:pPr>
        <w:pStyle w:val="Brdtekst"/>
        <w:ind w:left="567"/>
        <w:rPr>
          <w:sz w:val="24"/>
          <w:szCs w:val="24"/>
          <w:lang w:val="nb-NO"/>
        </w:rPr>
      </w:pPr>
      <w:r w:rsidRPr="008F45A4">
        <w:rPr>
          <w:sz w:val="24"/>
          <w:szCs w:val="24"/>
          <w:lang w:val="nb-NO"/>
        </w:rPr>
        <w:t>Der skal anvendes en 21 gauge nål til indgivelse af veterinærlægemidlet.</w:t>
      </w:r>
    </w:p>
    <w:p w:rsidR="008F45A4" w:rsidRPr="008F45A4" w:rsidRDefault="008F45A4" w:rsidP="00D24B6D">
      <w:pPr>
        <w:pStyle w:val="Brdtekst"/>
        <w:ind w:left="567"/>
        <w:rPr>
          <w:sz w:val="24"/>
          <w:szCs w:val="24"/>
          <w:lang w:val="nb-NO"/>
        </w:rPr>
      </w:pPr>
      <w:r w:rsidRPr="008F45A4">
        <w:rPr>
          <w:sz w:val="24"/>
          <w:szCs w:val="24"/>
          <w:lang w:val="nb-NO"/>
        </w:rPr>
        <w:t>Hætten kan stikkes med nålen op til 20 gange. Hvis der stikkes mere end 20 gange, skal der anvendes en aftapningsnål.</w:t>
      </w:r>
    </w:p>
    <w:p w:rsidR="008F45A4" w:rsidRPr="008F45A4" w:rsidRDefault="008F45A4" w:rsidP="008F45A4">
      <w:pPr>
        <w:pStyle w:val="Brdtekst"/>
        <w:spacing w:before="3"/>
        <w:rPr>
          <w:sz w:val="24"/>
          <w:szCs w:val="24"/>
          <w:lang w:val="nb-NO"/>
        </w:rPr>
      </w:pPr>
    </w:p>
    <w:p w:rsidR="008F45A4" w:rsidRPr="008F45A4" w:rsidRDefault="008F45A4" w:rsidP="00D24B6D">
      <w:pPr>
        <w:pStyle w:val="Overskrift1"/>
        <w:keepNext w:val="0"/>
        <w:widowControl w:val="0"/>
        <w:numPr>
          <w:ilvl w:val="1"/>
          <w:numId w:val="4"/>
        </w:numPr>
        <w:tabs>
          <w:tab w:val="left" w:pos="567"/>
        </w:tabs>
        <w:autoSpaceDE w:val="0"/>
        <w:autoSpaceDN w:val="0"/>
        <w:spacing w:before="0" w:after="0"/>
        <w:ind w:left="567" w:hanging="568"/>
        <w:rPr>
          <w:rFonts w:ascii="Times New Roman" w:hAnsi="Times New Roman"/>
          <w:sz w:val="24"/>
          <w:szCs w:val="24"/>
          <w:lang w:val="nb-NO"/>
        </w:rPr>
      </w:pPr>
      <w:r w:rsidRPr="008F45A4">
        <w:rPr>
          <w:rFonts w:ascii="Times New Roman" w:hAnsi="Times New Roman"/>
          <w:sz w:val="24"/>
          <w:szCs w:val="24"/>
          <w:lang w:val="nb-NO"/>
        </w:rPr>
        <w:t>Symptomer på overdosering (og, hvis relevant, nødforanstaltninger og</w:t>
      </w:r>
      <w:r w:rsidRPr="008F45A4">
        <w:rPr>
          <w:rFonts w:ascii="Times New Roman" w:hAnsi="Times New Roman"/>
          <w:spacing w:val="-9"/>
          <w:sz w:val="24"/>
          <w:szCs w:val="24"/>
          <w:lang w:val="nb-NO"/>
        </w:rPr>
        <w:t xml:space="preserve"> </w:t>
      </w:r>
      <w:r w:rsidRPr="008F45A4">
        <w:rPr>
          <w:rFonts w:ascii="Times New Roman" w:hAnsi="Times New Roman"/>
          <w:sz w:val="24"/>
          <w:szCs w:val="24"/>
          <w:lang w:val="nb-NO"/>
        </w:rPr>
        <w:t>modgift)</w:t>
      </w:r>
    </w:p>
    <w:p w:rsidR="008F45A4" w:rsidRPr="008F45A4" w:rsidRDefault="008F45A4" w:rsidP="008F45A4">
      <w:pPr>
        <w:pStyle w:val="Brdtekst"/>
        <w:spacing w:before="10"/>
        <w:rPr>
          <w:bCs/>
          <w:sz w:val="24"/>
          <w:szCs w:val="24"/>
          <w:lang w:val="nb-NO"/>
        </w:rPr>
      </w:pPr>
    </w:p>
    <w:p w:rsidR="008F45A4" w:rsidRPr="008F45A4" w:rsidRDefault="008F45A4" w:rsidP="00D24B6D">
      <w:pPr>
        <w:pStyle w:val="Brdtekst"/>
        <w:spacing w:before="10"/>
        <w:ind w:left="567"/>
        <w:rPr>
          <w:sz w:val="24"/>
          <w:szCs w:val="24"/>
          <w:lang w:val="nb-NO"/>
        </w:rPr>
      </w:pPr>
      <w:r w:rsidRPr="008F45A4">
        <w:rPr>
          <w:sz w:val="24"/>
          <w:szCs w:val="24"/>
          <w:lang w:val="nb-NO"/>
        </w:rPr>
        <w:t>Der findes ingen specifik antidot ved overdosering af carprofen, men der bør igangsættes generel understøttende behandling som ved klinisk overdosering med NSAID’er.</w:t>
      </w:r>
    </w:p>
    <w:p w:rsidR="008F45A4" w:rsidRPr="008F45A4" w:rsidRDefault="008F45A4" w:rsidP="008F45A4">
      <w:pPr>
        <w:pStyle w:val="Brdtekst"/>
        <w:spacing w:before="10"/>
        <w:rPr>
          <w:sz w:val="24"/>
          <w:szCs w:val="24"/>
          <w:lang w:val="nb-NO"/>
        </w:rPr>
      </w:pPr>
    </w:p>
    <w:p w:rsidR="008F45A4" w:rsidRPr="008F45A4" w:rsidRDefault="008F45A4" w:rsidP="00D24B6D">
      <w:pPr>
        <w:pStyle w:val="Listeafsnit"/>
        <w:numPr>
          <w:ilvl w:val="1"/>
          <w:numId w:val="4"/>
        </w:numPr>
        <w:tabs>
          <w:tab w:val="left" w:pos="567"/>
        </w:tabs>
        <w:ind w:left="567" w:right="583"/>
        <w:rPr>
          <w:b/>
          <w:sz w:val="24"/>
          <w:szCs w:val="24"/>
          <w:lang w:val="nb-NO"/>
        </w:rPr>
      </w:pPr>
      <w:r w:rsidRPr="008F45A4">
        <w:rPr>
          <w:b/>
          <w:sz w:val="24"/>
          <w:szCs w:val="24"/>
          <w:lang w:val="nb-NO"/>
        </w:rPr>
        <w:t>Særlige begrænsninger og betingelser for anvendelse, herunder begrænsninger for anvendelsen af antimikrobielle og antiparasitære veterinærlægemidler for at begrænse risikoen for udvikling af</w:t>
      </w:r>
      <w:r w:rsidRPr="008F45A4">
        <w:rPr>
          <w:b/>
          <w:spacing w:val="-7"/>
          <w:sz w:val="24"/>
          <w:szCs w:val="24"/>
          <w:lang w:val="nb-NO"/>
        </w:rPr>
        <w:t xml:space="preserve"> </w:t>
      </w:r>
      <w:r w:rsidRPr="008F45A4">
        <w:rPr>
          <w:b/>
          <w:sz w:val="24"/>
          <w:szCs w:val="24"/>
          <w:lang w:val="nb-NO"/>
        </w:rPr>
        <w:t>resistens</w:t>
      </w:r>
    </w:p>
    <w:p w:rsidR="008F45A4" w:rsidRPr="008F45A4" w:rsidRDefault="008F45A4" w:rsidP="008F45A4">
      <w:pPr>
        <w:pStyle w:val="Brdtekst"/>
        <w:spacing w:before="5"/>
        <w:rPr>
          <w:bCs/>
          <w:sz w:val="24"/>
          <w:szCs w:val="24"/>
          <w:lang w:val="nb-NO"/>
        </w:rPr>
      </w:pPr>
    </w:p>
    <w:p w:rsidR="008F45A4" w:rsidRPr="008F45A4" w:rsidRDefault="008F45A4" w:rsidP="00D24B6D">
      <w:pPr>
        <w:pStyle w:val="Brdtekst"/>
        <w:ind w:firstLine="567"/>
        <w:rPr>
          <w:sz w:val="24"/>
          <w:szCs w:val="24"/>
        </w:rPr>
      </w:pPr>
      <w:proofErr w:type="spellStart"/>
      <w:r w:rsidRPr="008F45A4">
        <w:rPr>
          <w:sz w:val="24"/>
          <w:szCs w:val="24"/>
        </w:rPr>
        <w:t>Ikke</w:t>
      </w:r>
      <w:proofErr w:type="spellEnd"/>
      <w:r w:rsidRPr="008F45A4">
        <w:rPr>
          <w:sz w:val="24"/>
          <w:szCs w:val="24"/>
        </w:rPr>
        <w:t xml:space="preserve"> relevant.</w:t>
      </w:r>
    </w:p>
    <w:p w:rsidR="008F45A4" w:rsidRPr="008F45A4" w:rsidRDefault="008F45A4" w:rsidP="008F45A4">
      <w:pPr>
        <w:pStyle w:val="Brdtekst"/>
        <w:rPr>
          <w:sz w:val="24"/>
          <w:szCs w:val="24"/>
        </w:rPr>
      </w:pPr>
    </w:p>
    <w:p w:rsidR="008F45A4" w:rsidRPr="008F45A4" w:rsidRDefault="008F45A4" w:rsidP="00D24B6D">
      <w:pPr>
        <w:pStyle w:val="Overskrift1"/>
        <w:keepNext w:val="0"/>
        <w:widowControl w:val="0"/>
        <w:numPr>
          <w:ilvl w:val="1"/>
          <w:numId w:val="4"/>
        </w:numPr>
        <w:tabs>
          <w:tab w:val="left" w:pos="567"/>
        </w:tabs>
        <w:autoSpaceDE w:val="0"/>
        <w:autoSpaceDN w:val="0"/>
        <w:spacing w:before="0" w:after="0"/>
        <w:ind w:left="567" w:hanging="568"/>
        <w:rPr>
          <w:rFonts w:ascii="Times New Roman" w:hAnsi="Times New Roman"/>
          <w:b w:val="0"/>
          <w:bCs/>
          <w:sz w:val="24"/>
          <w:szCs w:val="24"/>
        </w:rPr>
      </w:pPr>
      <w:r w:rsidRPr="008F45A4">
        <w:rPr>
          <w:rFonts w:ascii="Times New Roman" w:hAnsi="Times New Roman"/>
          <w:sz w:val="24"/>
          <w:szCs w:val="24"/>
        </w:rPr>
        <w:t>Tilbageholdelsestid(er)</w:t>
      </w:r>
    </w:p>
    <w:p w:rsidR="008F45A4" w:rsidRPr="008F45A4" w:rsidRDefault="008F45A4" w:rsidP="008F45A4">
      <w:pPr>
        <w:pStyle w:val="Brdtekst"/>
        <w:spacing w:before="1"/>
        <w:rPr>
          <w:bCs/>
          <w:sz w:val="24"/>
          <w:szCs w:val="24"/>
        </w:rPr>
      </w:pPr>
    </w:p>
    <w:p w:rsidR="008F45A4" w:rsidRPr="008F45A4" w:rsidRDefault="008F45A4" w:rsidP="00D24B6D">
      <w:pPr>
        <w:pStyle w:val="Brdtekst"/>
        <w:spacing w:line="252" w:lineRule="exact"/>
        <w:ind w:firstLine="567"/>
        <w:rPr>
          <w:sz w:val="24"/>
          <w:szCs w:val="24"/>
        </w:rPr>
      </w:pPr>
      <w:proofErr w:type="spellStart"/>
      <w:r w:rsidRPr="008F45A4">
        <w:rPr>
          <w:sz w:val="24"/>
          <w:szCs w:val="24"/>
        </w:rPr>
        <w:t>Ikke</w:t>
      </w:r>
      <w:proofErr w:type="spellEnd"/>
      <w:r w:rsidRPr="008F45A4">
        <w:rPr>
          <w:sz w:val="24"/>
          <w:szCs w:val="24"/>
        </w:rPr>
        <w:t xml:space="preserve"> relevant.</w:t>
      </w:r>
    </w:p>
    <w:p w:rsidR="008F45A4" w:rsidRPr="008F45A4" w:rsidRDefault="008F45A4" w:rsidP="008F45A4">
      <w:pPr>
        <w:pStyle w:val="Brdtekst"/>
        <w:spacing w:before="11"/>
        <w:rPr>
          <w:sz w:val="24"/>
          <w:szCs w:val="24"/>
          <w:lang w:val="nb-NO"/>
        </w:rPr>
      </w:pPr>
    </w:p>
    <w:p w:rsidR="008F45A4" w:rsidRPr="008F45A4" w:rsidRDefault="008F45A4" w:rsidP="008F45A4">
      <w:pPr>
        <w:pStyle w:val="Brdtekst"/>
        <w:spacing w:before="11"/>
        <w:rPr>
          <w:sz w:val="24"/>
          <w:szCs w:val="24"/>
          <w:lang w:val="nb-NO"/>
        </w:rPr>
      </w:pPr>
    </w:p>
    <w:p w:rsidR="008F45A4" w:rsidRPr="008F45A4" w:rsidRDefault="008F45A4" w:rsidP="00D24B6D">
      <w:pPr>
        <w:pStyle w:val="Overskrift1"/>
        <w:keepNext w:val="0"/>
        <w:widowControl w:val="0"/>
        <w:numPr>
          <w:ilvl w:val="0"/>
          <w:numId w:val="4"/>
        </w:numPr>
        <w:tabs>
          <w:tab w:val="left" w:pos="567"/>
        </w:tabs>
        <w:autoSpaceDE w:val="0"/>
        <w:autoSpaceDN w:val="0"/>
        <w:spacing w:before="0" w:after="0"/>
        <w:ind w:left="567" w:hanging="568"/>
        <w:rPr>
          <w:rFonts w:ascii="Times New Roman" w:hAnsi="Times New Roman"/>
          <w:b w:val="0"/>
          <w:bCs/>
          <w:sz w:val="24"/>
          <w:szCs w:val="24"/>
        </w:rPr>
      </w:pPr>
      <w:r w:rsidRPr="008F45A4">
        <w:rPr>
          <w:rFonts w:ascii="Times New Roman" w:hAnsi="Times New Roman"/>
          <w:sz w:val="24"/>
          <w:szCs w:val="24"/>
        </w:rPr>
        <w:t>FARMAKOLOGISKE</w:t>
      </w:r>
      <w:r w:rsidRPr="008F45A4">
        <w:rPr>
          <w:rFonts w:ascii="Times New Roman" w:hAnsi="Times New Roman"/>
          <w:spacing w:val="-6"/>
          <w:sz w:val="24"/>
          <w:szCs w:val="24"/>
        </w:rPr>
        <w:t xml:space="preserve"> </w:t>
      </w:r>
      <w:r w:rsidRPr="008F45A4">
        <w:rPr>
          <w:rFonts w:ascii="Times New Roman" w:hAnsi="Times New Roman"/>
          <w:sz w:val="24"/>
          <w:szCs w:val="24"/>
        </w:rPr>
        <w:t>OPLYSNINGER</w:t>
      </w:r>
    </w:p>
    <w:p w:rsidR="008F45A4" w:rsidRPr="008F45A4" w:rsidRDefault="008F45A4" w:rsidP="00D24B6D">
      <w:pPr>
        <w:pStyle w:val="Brdtekst"/>
        <w:tabs>
          <w:tab w:val="left" w:pos="567"/>
        </w:tabs>
        <w:ind w:left="567"/>
        <w:rPr>
          <w:b/>
          <w:sz w:val="24"/>
          <w:szCs w:val="24"/>
        </w:rPr>
      </w:pPr>
    </w:p>
    <w:p w:rsidR="008F45A4" w:rsidRPr="008F45A4" w:rsidRDefault="008F45A4" w:rsidP="00D24B6D">
      <w:pPr>
        <w:pStyle w:val="Listeafsnit"/>
        <w:numPr>
          <w:ilvl w:val="1"/>
          <w:numId w:val="4"/>
        </w:numPr>
        <w:tabs>
          <w:tab w:val="left" w:pos="567"/>
        </w:tabs>
        <w:spacing w:line="252" w:lineRule="exact"/>
        <w:ind w:left="567" w:hanging="568"/>
        <w:rPr>
          <w:b/>
          <w:sz w:val="24"/>
          <w:szCs w:val="24"/>
        </w:rPr>
      </w:pPr>
      <w:proofErr w:type="spellStart"/>
      <w:r w:rsidRPr="008F45A4">
        <w:rPr>
          <w:b/>
          <w:sz w:val="24"/>
          <w:szCs w:val="24"/>
        </w:rPr>
        <w:t>ATCvet-kode</w:t>
      </w:r>
      <w:proofErr w:type="spellEnd"/>
      <w:r w:rsidRPr="008F45A4">
        <w:rPr>
          <w:b/>
          <w:sz w:val="24"/>
          <w:szCs w:val="24"/>
        </w:rPr>
        <w:t>:</w:t>
      </w:r>
      <w:r w:rsidRPr="008F45A4">
        <w:rPr>
          <w:sz w:val="24"/>
          <w:szCs w:val="24"/>
        </w:rPr>
        <w:t xml:space="preserve"> QM01AE91</w:t>
      </w:r>
    </w:p>
    <w:p w:rsidR="008F45A4" w:rsidRPr="008F45A4" w:rsidRDefault="008F45A4" w:rsidP="00D24B6D">
      <w:pPr>
        <w:pStyle w:val="Brdtekst"/>
        <w:tabs>
          <w:tab w:val="left" w:pos="567"/>
        </w:tabs>
        <w:spacing w:before="1"/>
        <w:ind w:left="567"/>
        <w:rPr>
          <w:sz w:val="24"/>
          <w:szCs w:val="24"/>
          <w:lang w:val="nb-NO"/>
        </w:rPr>
      </w:pPr>
    </w:p>
    <w:p w:rsidR="008F45A4" w:rsidRPr="008F45A4" w:rsidRDefault="008F45A4" w:rsidP="00D24B6D">
      <w:pPr>
        <w:pStyle w:val="Overskrift1"/>
        <w:keepNext w:val="0"/>
        <w:widowControl w:val="0"/>
        <w:numPr>
          <w:ilvl w:val="1"/>
          <w:numId w:val="4"/>
        </w:numPr>
        <w:tabs>
          <w:tab w:val="left" w:pos="567"/>
        </w:tabs>
        <w:autoSpaceDE w:val="0"/>
        <w:autoSpaceDN w:val="0"/>
        <w:spacing w:before="0" w:after="0"/>
        <w:ind w:left="567"/>
        <w:rPr>
          <w:rFonts w:ascii="Times New Roman" w:hAnsi="Times New Roman"/>
          <w:b w:val="0"/>
          <w:bCs/>
          <w:sz w:val="24"/>
          <w:szCs w:val="24"/>
          <w:lang w:val="nb-NO"/>
        </w:rPr>
      </w:pPr>
      <w:r w:rsidRPr="008F45A4">
        <w:rPr>
          <w:rFonts w:ascii="Times New Roman" w:hAnsi="Times New Roman"/>
          <w:sz w:val="24"/>
          <w:szCs w:val="24"/>
          <w:lang w:val="nb-NO"/>
        </w:rPr>
        <w:t>Farmakodynamiske oplysninger</w:t>
      </w:r>
    </w:p>
    <w:p w:rsidR="008F45A4" w:rsidRPr="008F45A4" w:rsidRDefault="008F45A4" w:rsidP="008F45A4">
      <w:pPr>
        <w:rPr>
          <w:sz w:val="24"/>
          <w:szCs w:val="24"/>
          <w:lang w:val="nb-NO"/>
        </w:rPr>
      </w:pPr>
    </w:p>
    <w:p w:rsidR="002E5174" w:rsidRDefault="008F45A4" w:rsidP="002E5174">
      <w:pPr>
        <w:pStyle w:val="Overskrift1"/>
        <w:ind w:left="567"/>
        <w:rPr>
          <w:rFonts w:ascii="Times New Roman" w:hAnsi="Times New Roman"/>
          <w:bCs/>
          <w:sz w:val="24"/>
          <w:szCs w:val="24"/>
          <w:lang w:val="nb-NO"/>
        </w:rPr>
      </w:pPr>
      <w:r w:rsidRPr="008F45A4">
        <w:rPr>
          <w:rFonts w:ascii="Times New Roman" w:hAnsi="Times New Roman"/>
          <w:b w:val="0"/>
          <w:sz w:val="24"/>
          <w:szCs w:val="24"/>
          <w:lang w:val="nb-NO"/>
        </w:rPr>
        <w:lastRenderedPageBreak/>
        <w:t>Carprofen har antiflammatorisk, analgisisk og antipyretisk virkning. Som de fleste andre NSAID’er er carprofen en hæmmer af enzymet cyclooxygenase i arachidonsyrekaskaden. Carprofens hæmning af prostaglandinsystesen er imidlertid svag i forhold til dets antiflammatoriske og analgesiske virkning. Carprofens præcise virkningsmekanisme er ikke klarlagt.</w:t>
      </w:r>
    </w:p>
    <w:p w:rsidR="008F45A4" w:rsidRPr="008F45A4" w:rsidRDefault="008F45A4" w:rsidP="002E5174">
      <w:pPr>
        <w:pStyle w:val="Overskrift1"/>
        <w:ind w:left="567"/>
        <w:rPr>
          <w:rFonts w:ascii="Times New Roman" w:hAnsi="Times New Roman"/>
          <w:bCs/>
          <w:sz w:val="24"/>
          <w:szCs w:val="24"/>
          <w:lang w:val="nb-NO"/>
        </w:rPr>
      </w:pPr>
      <w:r w:rsidRPr="008F45A4">
        <w:rPr>
          <w:rFonts w:ascii="Times New Roman" w:hAnsi="Times New Roman"/>
          <w:b w:val="0"/>
          <w:sz w:val="24"/>
          <w:szCs w:val="24"/>
          <w:lang w:val="nb-NO"/>
        </w:rPr>
        <w:t xml:space="preserve">Carprofen er et chiralt lægemiddelstof med S(+) enantiomeren er mere aktiv end R(-) enantiomeren. Der findes ingen chiral inversion mellem enantiomererne </w:t>
      </w:r>
      <w:r w:rsidRPr="008F45A4">
        <w:rPr>
          <w:rFonts w:ascii="Times New Roman" w:hAnsi="Times New Roman"/>
          <w:b w:val="0"/>
          <w:i/>
          <w:sz w:val="24"/>
          <w:szCs w:val="24"/>
          <w:lang w:val="nb-NO"/>
        </w:rPr>
        <w:t>in-vivo</w:t>
      </w:r>
      <w:r w:rsidRPr="008F45A4">
        <w:rPr>
          <w:rFonts w:ascii="Times New Roman" w:hAnsi="Times New Roman"/>
          <w:b w:val="0"/>
          <w:sz w:val="24"/>
          <w:szCs w:val="24"/>
          <w:lang w:val="nb-NO"/>
        </w:rPr>
        <w:t>.</w:t>
      </w:r>
    </w:p>
    <w:p w:rsidR="008F45A4" w:rsidRPr="008F45A4" w:rsidRDefault="008F45A4" w:rsidP="008F45A4">
      <w:pPr>
        <w:pStyle w:val="Brdtekst"/>
        <w:spacing w:before="1"/>
        <w:rPr>
          <w:sz w:val="24"/>
          <w:szCs w:val="24"/>
          <w:lang w:val="nb-NO"/>
        </w:rPr>
      </w:pPr>
    </w:p>
    <w:p w:rsidR="008F45A4" w:rsidRPr="008F45A4" w:rsidRDefault="008F45A4" w:rsidP="002E5174">
      <w:pPr>
        <w:tabs>
          <w:tab w:val="left" w:pos="567"/>
        </w:tabs>
        <w:rPr>
          <w:b/>
          <w:sz w:val="24"/>
          <w:szCs w:val="24"/>
          <w:lang w:val="nb-NO"/>
        </w:rPr>
      </w:pPr>
      <w:r w:rsidRPr="008F45A4">
        <w:rPr>
          <w:b/>
          <w:sz w:val="24"/>
          <w:szCs w:val="24"/>
          <w:lang w:val="nb-NO"/>
        </w:rPr>
        <w:t>4.3</w:t>
      </w:r>
      <w:r w:rsidR="002E5174">
        <w:rPr>
          <w:b/>
          <w:sz w:val="24"/>
          <w:szCs w:val="24"/>
          <w:lang w:val="nb-NO"/>
        </w:rPr>
        <w:tab/>
      </w:r>
      <w:r w:rsidRPr="008F45A4">
        <w:rPr>
          <w:b/>
          <w:sz w:val="24"/>
          <w:szCs w:val="24"/>
          <w:lang w:val="nb-NO"/>
        </w:rPr>
        <w:t>Farmakokinetiske oplysninger</w:t>
      </w:r>
    </w:p>
    <w:p w:rsidR="008F45A4" w:rsidRPr="008F45A4" w:rsidRDefault="008F45A4" w:rsidP="008F45A4">
      <w:pPr>
        <w:pStyle w:val="Brdtekst"/>
        <w:rPr>
          <w:bCs/>
          <w:sz w:val="24"/>
          <w:szCs w:val="24"/>
          <w:lang w:val="nb-NO"/>
        </w:rPr>
      </w:pPr>
    </w:p>
    <w:p w:rsidR="008F45A4" w:rsidRPr="008F45A4" w:rsidRDefault="008F45A4" w:rsidP="002E5174">
      <w:pPr>
        <w:pStyle w:val="Brdtekst"/>
        <w:ind w:left="567"/>
        <w:rPr>
          <w:sz w:val="24"/>
          <w:szCs w:val="24"/>
          <w:lang w:val="nb-NO"/>
        </w:rPr>
      </w:pPr>
      <w:r w:rsidRPr="008F45A4">
        <w:rPr>
          <w:sz w:val="24"/>
          <w:szCs w:val="24"/>
          <w:lang w:val="nb-NO"/>
        </w:rPr>
        <w:t>Carprofen bliver godt absorberet efter subkutan indgivelse med maksimale plasmakoncentrationer opnået inden for 3 timer efter indgivelsen.</w:t>
      </w:r>
    </w:p>
    <w:p w:rsidR="008F45A4" w:rsidRPr="008F45A4" w:rsidRDefault="008F45A4" w:rsidP="002E5174">
      <w:pPr>
        <w:pStyle w:val="Brdtekst"/>
        <w:ind w:left="567"/>
        <w:rPr>
          <w:sz w:val="24"/>
          <w:szCs w:val="24"/>
          <w:lang w:val="nb-NO"/>
        </w:rPr>
      </w:pPr>
      <w:r w:rsidRPr="008F45A4">
        <w:rPr>
          <w:sz w:val="24"/>
          <w:szCs w:val="24"/>
          <w:lang w:val="nb-NO"/>
        </w:rPr>
        <w:t>Distributionsvolumenen er lille. Carprofen er i høj grad proteinbundet.</w:t>
      </w:r>
    </w:p>
    <w:p w:rsidR="008F45A4" w:rsidRPr="008F45A4" w:rsidRDefault="008F45A4" w:rsidP="002E5174">
      <w:pPr>
        <w:pStyle w:val="Brdtekst"/>
        <w:ind w:left="567"/>
        <w:rPr>
          <w:sz w:val="24"/>
          <w:szCs w:val="24"/>
          <w:lang w:val="nb-NO"/>
        </w:rPr>
      </w:pPr>
      <w:r w:rsidRPr="008F45A4">
        <w:rPr>
          <w:sz w:val="24"/>
          <w:szCs w:val="24"/>
          <w:lang w:val="nb-NO"/>
        </w:rPr>
        <w:t>Hos hunde er carprofen karakteriseret ved en halveringstid på ca. 10 timer. Hos katte er eliminationshalveringstiden længererækkende fra 9 til 49 timer efter intravenøs indgivelse (gennemsnit på ~ 20 timer).</w:t>
      </w:r>
    </w:p>
    <w:p w:rsidR="008F45A4" w:rsidRPr="008F45A4" w:rsidRDefault="008F45A4" w:rsidP="008F45A4">
      <w:pPr>
        <w:pStyle w:val="Brdtekst"/>
        <w:rPr>
          <w:sz w:val="24"/>
          <w:szCs w:val="24"/>
          <w:lang w:val="nb-NO"/>
        </w:rPr>
      </w:pPr>
    </w:p>
    <w:p w:rsidR="008F45A4" w:rsidRPr="008F45A4" w:rsidRDefault="008F45A4" w:rsidP="008F45A4">
      <w:pPr>
        <w:pStyle w:val="Brdtekst"/>
        <w:rPr>
          <w:sz w:val="24"/>
          <w:szCs w:val="24"/>
          <w:lang w:val="nb-NO"/>
        </w:rPr>
      </w:pPr>
    </w:p>
    <w:p w:rsidR="008F45A4" w:rsidRPr="008F45A4" w:rsidRDefault="008F45A4" w:rsidP="002E5174">
      <w:pPr>
        <w:pStyle w:val="Listeafsnit"/>
        <w:numPr>
          <w:ilvl w:val="0"/>
          <w:numId w:val="4"/>
        </w:numPr>
        <w:tabs>
          <w:tab w:val="left" w:pos="567"/>
        </w:tabs>
        <w:ind w:left="567" w:hanging="568"/>
        <w:rPr>
          <w:b/>
          <w:sz w:val="24"/>
          <w:szCs w:val="24"/>
        </w:rPr>
      </w:pPr>
      <w:r w:rsidRPr="008F45A4">
        <w:rPr>
          <w:b/>
          <w:sz w:val="24"/>
          <w:szCs w:val="24"/>
        </w:rPr>
        <w:t>FARMACEUTISKE</w:t>
      </w:r>
      <w:r w:rsidRPr="008F45A4">
        <w:rPr>
          <w:b/>
          <w:spacing w:val="-2"/>
          <w:sz w:val="24"/>
          <w:szCs w:val="24"/>
        </w:rPr>
        <w:t xml:space="preserve"> </w:t>
      </w:r>
      <w:r w:rsidRPr="008F45A4">
        <w:rPr>
          <w:b/>
          <w:sz w:val="24"/>
          <w:szCs w:val="24"/>
        </w:rPr>
        <w:t>OPLYSNINGER</w:t>
      </w:r>
    </w:p>
    <w:p w:rsidR="008F45A4" w:rsidRPr="008F45A4" w:rsidRDefault="008F45A4" w:rsidP="008F45A4">
      <w:pPr>
        <w:pStyle w:val="Brdtekst"/>
        <w:rPr>
          <w:sz w:val="24"/>
          <w:szCs w:val="24"/>
        </w:rPr>
      </w:pPr>
    </w:p>
    <w:p w:rsidR="008F45A4" w:rsidRPr="008F45A4" w:rsidRDefault="008F45A4" w:rsidP="002E5174">
      <w:pPr>
        <w:pStyle w:val="Listeafsnit"/>
        <w:numPr>
          <w:ilvl w:val="1"/>
          <w:numId w:val="4"/>
        </w:numPr>
        <w:tabs>
          <w:tab w:val="left" w:pos="567"/>
        </w:tabs>
        <w:ind w:left="567" w:hanging="568"/>
        <w:rPr>
          <w:b/>
          <w:sz w:val="24"/>
          <w:szCs w:val="24"/>
        </w:rPr>
      </w:pPr>
      <w:proofErr w:type="spellStart"/>
      <w:r w:rsidRPr="008F45A4">
        <w:rPr>
          <w:b/>
          <w:sz w:val="24"/>
          <w:szCs w:val="24"/>
        </w:rPr>
        <w:t>Væsentlige</w:t>
      </w:r>
      <w:proofErr w:type="spellEnd"/>
      <w:r w:rsidRPr="008F45A4">
        <w:rPr>
          <w:b/>
          <w:spacing w:val="-1"/>
          <w:sz w:val="24"/>
          <w:szCs w:val="24"/>
        </w:rPr>
        <w:t xml:space="preserve"> </w:t>
      </w:r>
      <w:proofErr w:type="spellStart"/>
      <w:r w:rsidRPr="008F45A4">
        <w:rPr>
          <w:b/>
          <w:sz w:val="24"/>
          <w:szCs w:val="24"/>
        </w:rPr>
        <w:t>uforligeligheder</w:t>
      </w:r>
      <w:proofErr w:type="spellEnd"/>
    </w:p>
    <w:p w:rsidR="008F45A4" w:rsidRPr="008F45A4" w:rsidRDefault="008F45A4" w:rsidP="008F45A4">
      <w:pPr>
        <w:pStyle w:val="Brdtekst"/>
        <w:rPr>
          <w:bCs/>
          <w:sz w:val="24"/>
          <w:szCs w:val="24"/>
        </w:rPr>
      </w:pPr>
    </w:p>
    <w:p w:rsidR="008F45A4" w:rsidRPr="008F45A4" w:rsidRDefault="008F45A4" w:rsidP="002E5174">
      <w:pPr>
        <w:pStyle w:val="Brdtekst"/>
        <w:spacing w:before="1" w:line="253" w:lineRule="exact"/>
        <w:ind w:left="567"/>
        <w:rPr>
          <w:sz w:val="24"/>
          <w:szCs w:val="24"/>
          <w:lang w:val="nb-NO"/>
        </w:rPr>
      </w:pPr>
      <w:r w:rsidRPr="008F45A4">
        <w:rPr>
          <w:sz w:val="24"/>
          <w:szCs w:val="24"/>
          <w:lang w:val="nb-NO"/>
        </w:rPr>
        <w:t>Da der ikke foreligger undersøgelser vedrørende eventuelle uforligeligheder, bør dette veterinærlægemiddel ikke blandes med andre veterinærlægemidler</w:t>
      </w:r>
    </w:p>
    <w:p w:rsidR="008F45A4" w:rsidRPr="008F45A4" w:rsidRDefault="008F45A4" w:rsidP="008F45A4">
      <w:pPr>
        <w:pStyle w:val="Brdtekst"/>
        <w:rPr>
          <w:sz w:val="24"/>
          <w:szCs w:val="24"/>
          <w:lang w:val="nb-NO"/>
        </w:rPr>
      </w:pPr>
    </w:p>
    <w:p w:rsidR="008F45A4" w:rsidRPr="008F45A4" w:rsidRDefault="008F45A4" w:rsidP="002E5174">
      <w:pPr>
        <w:pStyle w:val="Overskrift1"/>
        <w:keepNext w:val="0"/>
        <w:widowControl w:val="0"/>
        <w:numPr>
          <w:ilvl w:val="1"/>
          <w:numId w:val="4"/>
        </w:numPr>
        <w:tabs>
          <w:tab w:val="left" w:pos="567"/>
        </w:tabs>
        <w:autoSpaceDE w:val="0"/>
        <w:autoSpaceDN w:val="0"/>
        <w:spacing w:before="0" w:after="0"/>
        <w:ind w:left="567" w:hanging="568"/>
        <w:rPr>
          <w:rFonts w:ascii="Times New Roman" w:hAnsi="Times New Roman"/>
          <w:b w:val="0"/>
          <w:bCs/>
          <w:sz w:val="24"/>
          <w:szCs w:val="24"/>
        </w:rPr>
      </w:pPr>
      <w:r w:rsidRPr="008F45A4">
        <w:rPr>
          <w:rFonts w:ascii="Times New Roman" w:hAnsi="Times New Roman"/>
          <w:sz w:val="24"/>
          <w:szCs w:val="24"/>
        </w:rPr>
        <w:t>Opbevaringstid</w:t>
      </w:r>
    </w:p>
    <w:p w:rsidR="008F45A4" w:rsidRPr="008F45A4" w:rsidRDefault="008F45A4" w:rsidP="008F45A4">
      <w:pPr>
        <w:pStyle w:val="Brdtekst"/>
        <w:rPr>
          <w:b/>
          <w:sz w:val="24"/>
          <w:szCs w:val="24"/>
        </w:rPr>
      </w:pPr>
    </w:p>
    <w:p w:rsidR="008F45A4" w:rsidRPr="008F45A4" w:rsidRDefault="008F45A4" w:rsidP="002E5174">
      <w:pPr>
        <w:pStyle w:val="Brdtekst"/>
        <w:spacing w:line="252" w:lineRule="exact"/>
        <w:ind w:left="567"/>
        <w:rPr>
          <w:sz w:val="24"/>
          <w:szCs w:val="24"/>
          <w:lang w:val="nb-NO"/>
        </w:rPr>
      </w:pPr>
      <w:r w:rsidRPr="008F45A4">
        <w:rPr>
          <w:sz w:val="24"/>
          <w:szCs w:val="24"/>
          <w:lang w:val="nb-NO"/>
        </w:rPr>
        <w:t>Opbevaringstid for veterinærlægemidlet i salgspakning: 3 år.</w:t>
      </w:r>
    </w:p>
    <w:p w:rsidR="008F45A4" w:rsidRPr="008F45A4" w:rsidRDefault="008F45A4" w:rsidP="002E5174">
      <w:pPr>
        <w:pStyle w:val="Brdtekst"/>
        <w:spacing w:line="252" w:lineRule="exact"/>
        <w:ind w:left="567"/>
        <w:rPr>
          <w:sz w:val="24"/>
          <w:szCs w:val="24"/>
          <w:lang w:val="nb-NO"/>
        </w:rPr>
      </w:pPr>
      <w:r w:rsidRPr="008F45A4">
        <w:rPr>
          <w:sz w:val="24"/>
          <w:szCs w:val="24"/>
          <w:lang w:val="nb-NO"/>
        </w:rPr>
        <w:t xml:space="preserve">Opbevaringstid efter første åbning af den indre emballage: 28 dage. </w:t>
      </w:r>
    </w:p>
    <w:p w:rsidR="008F45A4" w:rsidRPr="008F45A4" w:rsidRDefault="008F45A4" w:rsidP="008F45A4">
      <w:pPr>
        <w:pStyle w:val="Brdtekst"/>
        <w:spacing w:before="1"/>
        <w:rPr>
          <w:sz w:val="24"/>
          <w:szCs w:val="24"/>
          <w:lang w:val="da-DK"/>
        </w:rPr>
      </w:pPr>
    </w:p>
    <w:p w:rsidR="008F45A4" w:rsidRPr="008F45A4" w:rsidRDefault="008F45A4" w:rsidP="002E5174">
      <w:pPr>
        <w:pStyle w:val="Overskrift1"/>
        <w:keepNext w:val="0"/>
        <w:widowControl w:val="0"/>
        <w:numPr>
          <w:ilvl w:val="1"/>
          <w:numId w:val="4"/>
        </w:numPr>
        <w:tabs>
          <w:tab w:val="left" w:pos="567"/>
        </w:tabs>
        <w:autoSpaceDE w:val="0"/>
        <w:autoSpaceDN w:val="0"/>
        <w:spacing w:before="0" w:after="0"/>
        <w:ind w:left="567" w:hanging="568"/>
        <w:rPr>
          <w:rFonts w:ascii="Times New Roman" w:hAnsi="Times New Roman"/>
          <w:b w:val="0"/>
          <w:bCs/>
          <w:sz w:val="24"/>
          <w:szCs w:val="24"/>
        </w:rPr>
      </w:pPr>
      <w:r w:rsidRPr="008F45A4">
        <w:rPr>
          <w:rFonts w:ascii="Times New Roman" w:hAnsi="Times New Roman"/>
          <w:sz w:val="24"/>
          <w:szCs w:val="24"/>
        </w:rPr>
        <w:t>Særlige forholdsregler vedrørende</w:t>
      </w:r>
      <w:r w:rsidRPr="008F45A4">
        <w:rPr>
          <w:rFonts w:ascii="Times New Roman" w:hAnsi="Times New Roman"/>
          <w:spacing w:val="-3"/>
          <w:sz w:val="24"/>
          <w:szCs w:val="24"/>
        </w:rPr>
        <w:t xml:space="preserve"> </w:t>
      </w:r>
      <w:r w:rsidRPr="008F45A4">
        <w:rPr>
          <w:rFonts w:ascii="Times New Roman" w:hAnsi="Times New Roman"/>
          <w:sz w:val="24"/>
          <w:szCs w:val="24"/>
        </w:rPr>
        <w:t>opbevaring</w:t>
      </w:r>
    </w:p>
    <w:p w:rsidR="008F45A4" w:rsidRPr="008F45A4" w:rsidRDefault="008F45A4" w:rsidP="008F45A4">
      <w:pPr>
        <w:pStyle w:val="Brdtekst"/>
        <w:spacing w:before="10"/>
        <w:rPr>
          <w:b/>
          <w:sz w:val="24"/>
          <w:szCs w:val="24"/>
        </w:rPr>
      </w:pPr>
    </w:p>
    <w:p w:rsidR="008F45A4" w:rsidRPr="008F45A4" w:rsidRDefault="008F45A4" w:rsidP="002E5174">
      <w:pPr>
        <w:pStyle w:val="Brdtekst"/>
        <w:ind w:left="567"/>
        <w:rPr>
          <w:sz w:val="24"/>
          <w:szCs w:val="24"/>
          <w:lang w:val="nb-NO"/>
        </w:rPr>
      </w:pPr>
      <w:r w:rsidRPr="008F45A4">
        <w:rPr>
          <w:sz w:val="24"/>
          <w:szCs w:val="24"/>
          <w:lang w:val="nb-NO"/>
        </w:rPr>
        <w:t>Opbevares i køleskab (2 °C – 8 °C).</w:t>
      </w:r>
    </w:p>
    <w:p w:rsidR="008F45A4" w:rsidRPr="008F45A4" w:rsidRDefault="008F45A4" w:rsidP="002E5174">
      <w:pPr>
        <w:pStyle w:val="Brdtekst"/>
        <w:ind w:left="567"/>
        <w:rPr>
          <w:sz w:val="24"/>
          <w:szCs w:val="24"/>
          <w:lang w:val="nb-NO"/>
        </w:rPr>
      </w:pPr>
      <w:r w:rsidRPr="008F45A4">
        <w:rPr>
          <w:sz w:val="24"/>
          <w:szCs w:val="24"/>
          <w:lang w:val="nb-NO"/>
        </w:rPr>
        <w:t>Må ikke nedfryses.</w:t>
      </w:r>
    </w:p>
    <w:p w:rsidR="008F45A4" w:rsidRPr="008F45A4" w:rsidRDefault="008F45A4" w:rsidP="002E5174">
      <w:pPr>
        <w:pStyle w:val="Brdtekst"/>
        <w:ind w:left="567"/>
        <w:rPr>
          <w:sz w:val="24"/>
          <w:szCs w:val="24"/>
          <w:lang w:val="nb-NO"/>
        </w:rPr>
      </w:pPr>
      <w:r w:rsidRPr="008F45A4">
        <w:rPr>
          <w:sz w:val="24"/>
          <w:szCs w:val="24"/>
          <w:lang w:val="nb-NO"/>
        </w:rPr>
        <w:t>Må ikke opbevares over 25℃ efter anbrud.</w:t>
      </w:r>
    </w:p>
    <w:p w:rsidR="008F45A4" w:rsidRPr="008F45A4" w:rsidRDefault="008F45A4" w:rsidP="008F45A4">
      <w:pPr>
        <w:pStyle w:val="Brdtekst"/>
        <w:rPr>
          <w:i/>
          <w:sz w:val="24"/>
          <w:szCs w:val="24"/>
          <w:lang w:val="nb-NO"/>
        </w:rPr>
      </w:pPr>
    </w:p>
    <w:p w:rsidR="008F45A4" w:rsidRPr="008F45A4" w:rsidRDefault="008F45A4" w:rsidP="002E5174">
      <w:pPr>
        <w:pStyle w:val="Overskrift1"/>
        <w:keepNext w:val="0"/>
        <w:widowControl w:val="0"/>
        <w:numPr>
          <w:ilvl w:val="1"/>
          <w:numId w:val="4"/>
        </w:numPr>
        <w:tabs>
          <w:tab w:val="left" w:pos="567"/>
        </w:tabs>
        <w:autoSpaceDE w:val="0"/>
        <w:autoSpaceDN w:val="0"/>
        <w:spacing w:before="0" w:after="0"/>
        <w:ind w:left="567" w:hanging="568"/>
        <w:rPr>
          <w:rFonts w:ascii="Times New Roman" w:hAnsi="Times New Roman"/>
          <w:sz w:val="24"/>
          <w:szCs w:val="24"/>
          <w:lang w:val="nb-NO"/>
        </w:rPr>
      </w:pPr>
      <w:r w:rsidRPr="008F45A4">
        <w:rPr>
          <w:rFonts w:ascii="Times New Roman" w:hAnsi="Times New Roman"/>
          <w:sz w:val="24"/>
          <w:szCs w:val="24"/>
          <w:lang w:val="nb-NO"/>
        </w:rPr>
        <w:t>Den indre emballages art og</w:t>
      </w:r>
      <w:r w:rsidRPr="008F45A4">
        <w:rPr>
          <w:rFonts w:ascii="Times New Roman" w:hAnsi="Times New Roman"/>
          <w:spacing w:val="-5"/>
          <w:sz w:val="24"/>
          <w:szCs w:val="24"/>
          <w:lang w:val="nb-NO"/>
        </w:rPr>
        <w:t xml:space="preserve"> </w:t>
      </w:r>
      <w:r w:rsidRPr="008F45A4">
        <w:rPr>
          <w:rFonts w:ascii="Times New Roman" w:hAnsi="Times New Roman"/>
          <w:sz w:val="24"/>
          <w:szCs w:val="24"/>
          <w:lang w:val="nb-NO"/>
        </w:rPr>
        <w:t>indhold</w:t>
      </w:r>
    </w:p>
    <w:p w:rsidR="008F45A4" w:rsidRPr="008F45A4" w:rsidRDefault="008F45A4" w:rsidP="008F45A4">
      <w:pPr>
        <w:pStyle w:val="Brdtekst"/>
        <w:spacing w:before="9"/>
        <w:rPr>
          <w:b/>
          <w:sz w:val="24"/>
          <w:szCs w:val="24"/>
          <w:lang w:val="nb-NO"/>
        </w:rPr>
      </w:pPr>
    </w:p>
    <w:p w:rsidR="008F45A4" w:rsidRPr="008F45A4" w:rsidRDefault="008F45A4" w:rsidP="002E5174">
      <w:pPr>
        <w:pStyle w:val="Brdtekst"/>
        <w:ind w:left="567"/>
        <w:rPr>
          <w:sz w:val="24"/>
          <w:szCs w:val="24"/>
          <w:lang w:val="nb-NO"/>
        </w:rPr>
      </w:pPr>
      <w:r w:rsidRPr="008F45A4">
        <w:rPr>
          <w:sz w:val="24"/>
          <w:szCs w:val="24"/>
          <w:lang w:val="nb-NO"/>
        </w:rPr>
        <w:t>Type I gult hætteglas med 20 ml opløsning til injektion med bromobutyl gummiprop og aluminiumsforsegling i en æske.</w:t>
      </w:r>
    </w:p>
    <w:p w:rsidR="008F45A4" w:rsidRPr="008F45A4" w:rsidRDefault="008F45A4" w:rsidP="008F45A4">
      <w:pPr>
        <w:pStyle w:val="Brdtekst"/>
        <w:rPr>
          <w:sz w:val="24"/>
          <w:szCs w:val="24"/>
          <w:lang w:val="nb-NO"/>
        </w:rPr>
      </w:pPr>
    </w:p>
    <w:p w:rsidR="008F45A4" w:rsidRPr="008F45A4" w:rsidRDefault="008F45A4" w:rsidP="002E5174">
      <w:pPr>
        <w:pStyle w:val="Overskrift1"/>
        <w:keepNext w:val="0"/>
        <w:widowControl w:val="0"/>
        <w:numPr>
          <w:ilvl w:val="1"/>
          <w:numId w:val="4"/>
        </w:numPr>
        <w:tabs>
          <w:tab w:val="left" w:pos="567"/>
        </w:tabs>
        <w:autoSpaceDE w:val="0"/>
        <w:autoSpaceDN w:val="0"/>
        <w:spacing w:before="70" w:after="0"/>
        <w:ind w:left="567" w:right="684"/>
        <w:rPr>
          <w:rFonts w:ascii="Times New Roman" w:hAnsi="Times New Roman"/>
          <w:sz w:val="24"/>
          <w:szCs w:val="24"/>
          <w:lang w:val="nb-NO"/>
        </w:rPr>
      </w:pPr>
      <w:r w:rsidRPr="008F45A4">
        <w:rPr>
          <w:rFonts w:ascii="Times New Roman" w:hAnsi="Times New Roman"/>
          <w:sz w:val="24"/>
          <w:szCs w:val="24"/>
          <w:lang w:val="nb-NO"/>
        </w:rPr>
        <w:t>Særlige forholdsregler vedrørende bortskaffelse af ubrugte veterinærlægemidler eller affaldsmaterialer fra brugen</w:t>
      </w:r>
      <w:r w:rsidRPr="008F45A4">
        <w:rPr>
          <w:rFonts w:ascii="Times New Roman" w:hAnsi="Times New Roman"/>
          <w:spacing w:val="-1"/>
          <w:sz w:val="24"/>
          <w:szCs w:val="24"/>
          <w:lang w:val="nb-NO"/>
        </w:rPr>
        <w:t xml:space="preserve"> </w:t>
      </w:r>
      <w:r w:rsidRPr="008F45A4">
        <w:rPr>
          <w:rFonts w:ascii="Times New Roman" w:hAnsi="Times New Roman"/>
          <w:sz w:val="24"/>
          <w:szCs w:val="24"/>
          <w:lang w:val="nb-NO"/>
        </w:rPr>
        <w:t>heraf</w:t>
      </w:r>
    </w:p>
    <w:p w:rsidR="008F45A4" w:rsidRPr="008F45A4" w:rsidRDefault="008F45A4" w:rsidP="008F45A4">
      <w:pPr>
        <w:pStyle w:val="Brdtekst"/>
        <w:spacing w:before="7"/>
        <w:rPr>
          <w:b/>
          <w:sz w:val="24"/>
          <w:szCs w:val="24"/>
          <w:lang w:val="nb-NO"/>
        </w:rPr>
      </w:pPr>
    </w:p>
    <w:p w:rsidR="008F45A4" w:rsidRPr="008F45A4" w:rsidRDefault="008F45A4" w:rsidP="002E5174">
      <w:pPr>
        <w:pStyle w:val="Brdtekst"/>
        <w:ind w:left="567"/>
        <w:rPr>
          <w:sz w:val="24"/>
          <w:szCs w:val="24"/>
          <w:lang w:val="nb-NO"/>
        </w:rPr>
      </w:pPr>
      <w:r w:rsidRPr="008F45A4">
        <w:rPr>
          <w:sz w:val="24"/>
          <w:szCs w:val="24"/>
          <w:lang w:val="nb-NO"/>
        </w:rPr>
        <w:t>Lægemidler må ikke bortskaffes sammen med spildevand eller husholdningsaffald.</w:t>
      </w:r>
    </w:p>
    <w:p w:rsidR="008F45A4" w:rsidRPr="008F45A4" w:rsidRDefault="008F45A4" w:rsidP="002E5174">
      <w:pPr>
        <w:pStyle w:val="Brdtekst"/>
        <w:spacing w:before="1"/>
        <w:ind w:left="567"/>
        <w:rPr>
          <w:sz w:val="24"/>
          <w:szCs w:val="24"/>
          <w:lang w:val="nb-NO"/>
        </w:rPr>
      </w:pPr>
    </w:p>
    <w:p w:rsidR="008F45A4" w:rsidRPr="008F45A4" w:rsidRDefault="008F45A4" w:rsidP="002E5174">
      <w:pPr>
        <w:pStyle w:val="Brdtekst"/>
        <w:spacing w:before="1"/>
        <w:ind w:left="567" w:right="187"/>
        <w:jc w:val="both"/>
        <w:rPr>
          <w:sz w:val="24"/>
          <w:szCs w:val="24"/>
          <w:lang w:val="nb-NO"/>
        </w:rPr>
      </w:pPr>
      <w:r w:rsidRPr="008F45A4">
        <w:rPr>
          <w:sz w:val="24"/>
          <w:szCs w:val="24"/>
          <w:lang w:val="nb-NO"/>
        </w:rPr>
        <w:t>Benyt returordninger ved bortskaffelse af ubrugte veterinærlægemidler eller affaldsmaterialer herfra i henhold til lokale retningslinjer og nationale indsamlingsordninger, der er relevante for det pågældende veterinærlægemiddel.</w:t>
      </w:r>
    </w:p>
    <w:p w:rsidR="008F45A4" w:rsidRPr="008F45A4" w:rsidRDefault="008F45A4" w:rsidP="008F45A4">
      <w:pPr>
        <w:pStyle w:val="Brdtekst"/>
        <w:spacing w:before="1"/>
        <w:ind w:right="187"/>
        <w:jc w:val="both"/>
        <w:rPr>
          <w:sz w:val="24"/>
          <w:szCs w:val="24"/>
          <w:lang w:val="nb-NO"/>
        </w:rPr>
      </w:pPr>
    </w:p>
    <w:p w:rsidR="008F45A4" w:rsidRPr="008F45A4" w:rsidRDefault="008F45A4" w:rsidP="008F45A4">
      <w:pPr>
        <w:pStyle w:val="Brdtekst"/>
        <w:spacing w:before="2"/>
        <w:rPr>
          <w:sz w:val="24"/>
          <w:szCs w:val="24"/>
          <w:lang w:val="nb-NO"/>
        </w:rPr>
      </w:pPr>
    </w:p>
    <w:p w:rsidR="008F45A4" w:rsidRPr="008F45A4" w:rsidRDefault="008F45A4" w:rsidP="004C0F37">
      <w:pPr>
        <w:pStyle w:val="Overskrift1"/>
        <w:keepNext w:val="0"/>
        <w:widowControl w:val="0"/>
        <w:numPr>
          <w:ilvl w:val="0"/>
          <w:numId w:val="4"/>
        </w:numPr>
        <w:tabs>
          <w:tab w:val="left" w:pos="567"/>
        </w:tabs>
        <w:autoSpaceDE w:val="0"/>
        <w:autoSpaceDN w:val="0"/>
        <w:spacing w:before="0" w:after="0"/>
        <w:ind w:left="567" w:hanging="568"/>
        <w:rPr>
          <w:rFonts w:ascii="Times New Roman" w:hAnsi="Times New Roman"/>
          <w:b w:val="0"/>
          <w:bCs/>
          <w:sz w:val="24"/>
          <w:szCs w:val="24"/>
        </w:rPr>
      </w:pPr>
      <w:r w:rsidRPr="008F45A4">
        <w:rPr>
          <w:rFonts w:ascii="Times New Roman" w:hAnsi="Times New Roman"/>
          <w:sz w:val="24"/>
          <w:szCs w:val="24"/>
        </w:rPr>
        <w:t>NAVN PÅ INDEHAVEREN AF</w:t>
      </w:r>
      <w:r w:rsidRPr="008F45A4">
        <w:rPr>
          <w:rFonts w:ascii="Times New Roman" w:hAnsi="Times New Roman"/>
          <w:spacing w:val="-6"/>
          <w:sz w:val="24"/>
          <w:szCs w:val="24"/>
        </w:rPr>
        <w:t xml:space="preserve"> </w:t>
      </w:r>
      <w:r w:rsidRPr="008F45A4">
        <w:rPr>
          <w:rFonts w:ascii="Times New Roman" w:hAnsi="Times New Roman"/>
          <w:sz w:val="24"/>
          <w:szCs w:val="24"/>
        </w:rPr>
        <w:t>MARKEDSFØRINGSTILLADELSEN</w:t>
      </w:r>
    </w:p>
    <w:p w:rsidR="008F45A4" w:rsidRPr="008F45A4" w:rsidRDefault="008F45A4" w:rsidP="008F45A4">
      <w:pPr>
        <w:pStyle w:val="Brdtekst"/>
        <w:spacing w:before="9"/>
        <w:rPr>
          <w:b/>
          <w:sz w:val="24"/>
          <w:szCs w:val="24"/>
        </w:rPr>
      </w:pPr>
    </w:p>
    <w:p w:rsidR="008F45A4" w:rsidRPr="008F45A4" w:rsidRDefault="008F45A4" w:rsidP="004C0F37">
      <w:pPr>
        <w:pStyle w:val="Brdtekst"/>
        <w:ind w:left="567"/>
        <w:rPr>
          <w:sz w:val="24"/>
          <w:szCs w:val="24"/>
          <w:lang w:val="sv-SE"/>
        </w:rPr>
      </w:pPr>
      <w:r w:rsidRPr="008F45A4">
        <w:rPr>
          <w:sz w:val="24"/>
          <w:szCs w:val="24"/>
          <w:lang w:val="sv-SE"/>
        </w:rPr>
        <w:t xml:space="preserve">KRKA, </w:t>
      </w:r>
      <w:proofErr w:type="spellStart"/>
      <w:r w:rsidRPr="008F45A4">
        <w:rPr>
          <w:sz w:val="24"/>
          <w:szCs w:val="24"/>
          <w:lang w:val="sv-SE"/>
        </w:rPr>
        <w:t>d.d</w:t>
      </w:r>
      <w:proofErr w:type="spellEnd"/>
      <w:r w:rsidRPr="008F45A4">
        <w:rPr>
          <w:sz w:val="24"/>
          <w:szCs w:val="24"/>
          <w:lang w:val="sv-SE"/>
        </w:rPr>
        <w:t xml:space="preserve">., Novo </w:t>
      </w:r>
      <w:proofErr w:type="spellStart"/>
      <w:r w:rsidRPr="008F45A4">
        <w:rPr>
          <w:sz w:val="24"/>
          <w:szCs w:val="24"/>
          <w:lang w:val="sv-SE"/>
        </w:rPr>
        <w:t>mesto</w:t>
      </w:r>
      <w:proofErr w:type="spellEnd"/>
    </w:p>
    <w:p w:rsidR="008F45A4" w:rsidRPr="008F45A4" w:rsidRDefault="008F45A4" w:rsidP="004C0F37">
      <w:pPr>
        <w:ind w:left="1418" w:hanging="851"/>
        <w:rPr>
          <w:sz w:val="24"/>
          <w:szCs w:val="24"/>
        </w:rPr>
      </w:pPr>
      <w:proofErr w:type="spellStart"/>
      <w:r w:rsidRPr="008F45A4">
        <w:rPr>
          <w:sz w:val="24"/>
          <w:szCs w:val="24"/>
        </w:rPr>
        <w:t>Šmarješka</w:t>
      </w:r>
      <w:proofErr w:type="spellEnd"/>
      <w:r w:rsidRPr="008F45A4">
        <w:rPr>
          <w:sz w:val="24"/>
          <w:szCs w:val="24"/>
        </w:rPr>
        <w:t xml:space="preserve"> </w:t>
      </w:r>
      <w:proofErr w:type="spellStart"/>
      <w:r w:rsidRPr="008F45A4">
        <w:rPr>
          <w:sz w:val="24"/>
          <w:szCs w:val="24"/>
        </w:rPr>
        <w:t>cesta</w:t>
      </w:r>
      <w:proofErr w:type="spellEnd"/>
      <w:r w:rsidRPr="008F45A4">
        <w:rPr>
          <w:sz w:val="24"/>
          <w:szCs w:val="24"/>
        </w:rPr>
        <w:t xml:space="preserve"> 6</w:t>
      </w:r>
    </w:p>
    <w:p w:rsidR="008F45A4" w:rsidRPr="008F45A4" w:rsidRDefault="008F45A4" w:rsidP="004C0F37">
      <w:pPr>
        <w:ind w:left="1418" w:hanging="851"/>
        <w:rPr>
          <w:sz w:val="24"/>
          <w:szCs w:val="24"/>
        </w:rPr>
      </w:pPr>
      <w:r w:rsidRPr="008F45A4">
        <w:rPr>
          <w:sz w:val="24"/>
          <w:szCs w:val="24"/>
        </w:rPr>
        <w:t xml:space="preserve">8501 Novo </w:t>
      </w:r>
      <w:proofErr w:type="spellStart"/>
      <w:r w:rsidRPr="008F45A4">
        <w:rPr>
          <w:sz w:val="24"/>
          <w:szCs w:val="24"/>
        </w:rPr>
        <w:t>mesto</w:t>
      </w:r>
      <w:proofErr w:type="spellEnd"/>
    </w:p>
    <w:p w:rsidR="008F45A4" w:rsidRPr="008F45A4" w:rsidRDefault="008F45A4" w:rsidP="004C0F37">
      <w:pPr>
        <w:ind w:left="1418" w:hanging="851"/>
        <w:rPr>
          <w:sz w:val="24"/>
          <w:szCs w:val="24"/>
        </w:rPr>
      </w:pPr>
      <w:r w:rsidRPr="008F45A4">
        <w:rPr>
          <w:sz w:val="24"/>
          <w:szCs w:val="24"/>
        </w:rPr>
        <w:t>Slovenien</w:t>
      </w:r>
    </w:p>
    <w:p w:rsidR="008F45A4" w:rsidRPr="008F45A4" w:rsidRDefault="008F45A4" w:rsidP="004C0F37">
      <w:pPr>
        <w:ind w:left="1418" w:hanging="851"/>
        <w:rPr>
          <w:sz w:val="24"/>
          <w:szCs w:val="24"/>
        </w:rPr>
      </w:pPr>
    </w:p>
    <w:p w:rsidR="008F45A4" w:rsidRPr="008F45A4" w:rsidRDefault="008F45A4" w:rsidP="004C0F37">
      <w:pPr>
        <w:ind w:left="1418" w:hanging="851"/>
        <w:rPr>
          <w:b/>
          <w:sz w:val="24"/>
          <w:szCs w:val="24"/>
        </w:rPr>
      </w:pPr>
      <w:r w:rsidRPr="008F45A4">
        <w:rPr>
          <w:b/>
          <w:sz w:val="24"/>
          <w:szCs w:val="24"/>
        </w:rPr>
        <w:t>Repræsentant</w:t>
      </w:r>
    </w:p>
    <w:p w:rsidR="008F45A4" w:rsidRPr="008F45A4" w:rsidRDefault="008F45A4" w:rsidP="004C0F37">
      <w:pPr>
        <w:ind w:left="567"/>
        <w:rPr>
          <w:sz w:val="24"/>
          <w:szCs w:val="24"/>
        </w:rPr>
      </w:pPr>
      <w:r w:rsidRPr="008F45A4">
        <w:rPr>
          <w:sz w:val="24"/>
          <w:szCs w:val="24"/>
        </w:rPr>
        <w:t>KRKA Sverige AB</w:t>
      </w:r>
    </w:p>
    <w:p w:rsidR="008F45A4" w:rsidRPr="008F45A4" w:rsidRDefault="008F45A4" w:rsidP="004C0F37">
      <w:pPr>
        <w:ind w:left="567"/>
        <w:rPr>
          <w:sz w:val="24"/>
          <w:szCs w:val="24"/>
        </w:rPr>
      </w:pPr>
      <w:r w:rsidRPr="008F45A4">
        <w:rPr>
          <w:sz w:val="24"/>
          <w:szCs w:val="24"/>
        </w:rPr>
        <w:t xml:space="preserve">Göta Ark 175, </w:t>
      </w:r>
      <w:proofErr w:type="spellStart"/>
      <w:r w:rsidRPr="008F45A4">
        <w:rPr>
          <w:sz w:val="24"/>
          <w:szCs w:val="24"/>
        </w:rPr>
        <w:t>Medborgarplatsen</w:t>
      </w:r>
      <w:proofErr w:type="spellEnd"/>
      <w:r w:rsidRPr="008F45A4">
        <w:rPr>
          <w:sz w:val="24"/>
          <w:szCs w:val="24"/>
        </w:rPr>
        <w:t xml:space="preserve"> 25</w:t>
      </w:r>
    </w:p>
    <w:p w:rsidR="008F45A4" w:rsidRPr="008F45A4" w:rsidRDefault="008F45A4" w:rsidP="004C0F37">
      <w:pPr>
        <w:ind w:left="567"/>
        <w:rPr>
          <w:sz w:val="24"/>
          <w:szCs w:val="24"/>
        </w:rPr>
      </w:pPr>
      <w:r w:rsidRPr="008F45A4">
        <w:rPr>
          <w:sz w:val="24"/>
          <w:szCs w:val="24"/>
        </w:rPr>
        <w:t xml:space="preserve">118 72 Stockholm </w:t>
      </w:r>
    </w:p>
    <w:p w:rsidR="008F45A4" w:rsidRPr="008F45A4" w:rsidRDefault="008F45A4" w:rsidP="004C0F37">
      <w:pPr>
        <w:ind w:left="567"/>
        <w:rPr>
          <w:sz w:val="24"/>
          <w:szCs w:val="24"/>
        </w:rPr>
      </w:pPr>
      <w:r w:rsidRPr="008F45A4">
        <w:rPr>
          <w:sz w:val="24"/>
          <w:szCs w:val="24"/>
        </w:rPr>
        <w:t>Sverige</w:t>
      </w:r>
    </w:p>
    <w:p w:rsidR="008F45A4" w:rsidRPr="008F45A4" w:rsidRDefault="008F45A4" w:rsidP="008F45A4">
      <w:pPr>
        <w:pStyle w:val="Brdtekst"/>
        <w:rPr>
          <w:sz w:val="24"/>
          <w:szCs w:val="24"/>
          <w:lang w:val="sv-SE"/>
        </w:rPr>
      </w:pPr>
    </w:p>
    <w:p w:rsidR="008F45A4" w:rsidRPr="008F45A4" w:rsidRDefault="008F45A4" w:rsidP="008F45A4">
      <w:pPr>
        <w:pStyle w:val="Brdtekst"/>
        <w:rPr>
          <w:sz w:val="24"/>
          <w:szCs w:val="24"/>
        </w:rPr>
      </w:pPr>
    </w:p>
    <w:p w:rsidR="008F45A4" w:rsidRPr="008F45A4" w:rsidRDefault="008F45A4" w:rsidP="004C0F37">
      <w:pPr>
        <w:pStyle w:val="Overskrift1"/>
        <w:keepNext w:val="0"/>
        <w:widowControl w:val="0"/>
        <w:numPr>
          <w:ilvl w:val="0"/>
          <w:numId w:val="4"/>
        </w:numPr>
        <w:tabs>
          <w:tab w:val="left" w:pos="567"/>
        </w:tabs>
        <w:autoSpaceDE w:val="0"/>
        <w:autoSpaceDN w:val="0"/>
        <w:spacing w:before="1" w:after="0"/>
        <w:ind w:left="567" w:hanging="568"/>
        <w:rPr>
          <w:rFonts w:ascii="Times New Roman" w:hAnsi="Times New Roman"/>
          <w:b w:val="0"/>
          <w:bCs/>
          <w:sz w:val="24"/>
          <w:szCs w:val="24"/>
        </w:rPr>
      </w:pPr>
      <w:r w:rsidRPr="008F45A4">
        <w:rPr>
          <w:rFonts w:ascii="Times New Roman" w:hAnsi="Times New Roman"/>
          <w:sz w:val="24"/>
          <w:szCs w:val="24"/>
        </w:rPr>
        <w:t>MARKEDSFØRINGSTILLADELSESNUMMER</w:t>
      </w:r>
      <w:r w:rsidRPr="008F45A4">
        <w:rPr>
          <w:rFonts w:ascii="Times New Roman" w:hAnsi="Times New Roman"/>
          <w:spacing w:val="-2"/>
          <w:sz w:val="24"/>
          <w:szCs w:val="24"/>
        </w:rPr>
        <w:t xml:space="preserve"> </w:t>
      </w:r>
      <w:r w:rsidRPr="008F45A4">
        <w:rPr>
          <w:rFonts w:ascii="Times New Roman" w:hAnsi="Times New Roman"/>
          <w:sz w:val="24"/>
          <w:szCs w:val="24"/>
        </w:rPr>
        <w:t>(-NUMRE)</w:t>
      </w:r>
    </w:p>
    <w:p w:rsidR="008F45A4" w:rsidRPr="008F45A4" w:rsidRDefault="008F45A4" w:rsidP="008F45A4">
      <w:pPr>
        <w:pStyle w:val="Brdtekst"/>
        <w:rPr>
          <w:bCs/>
          <w:sz w:val="24"/>
          <w:szCs w:val="24"/>
        </w:rPr>
      </w:pPr>
    </w:p>
    <w:p w:rsidR="008F45A4" w:rsidRPr="008F45A4" w:rsidRDefault="008F45A4" w:rsidP="004C0F37">
      <w:pPr>
        <w:pStyle w:val="Brdtekst"/>
        <w:ind w:firstLine="567"/>
        <w:rPr>
          <w:sz w:val="24"/>
          <w:szCs w:val="24"/>
        </w:rPr>
      </w:pPr>
      <w:r w:rsidRPr="008F45A4">
        <w:rPr>
          <w:sz w:val="24"/>
          <w:szCs w:val="24"/>
        </w:rPr>
        <w:t>51773</w:t>
      </w:r>
    </w:p>
    <w:p w:rsidR="008F45A4" w:rsidRPr="008F45A4" w:rsidRDefault="008F45A4" w:rsidP="008F45A4">
      <w:pPr>
        <w:pStyle w:val="Brdtekst"/>
        <w:spacing w:before="10"/>
        <w:rPr>
          <w:b/>
          <w:sz w:val="24"/>
          <w:szCs w:val="24"/>
        </w:rPr>
      </w:pPr>
    </w:p>
    <w:p w:rsidR="008F45A4" w:rsidRPr="008F45A4" w:rsidRDefault="008F45A4" w:rsidP="004C0F37">
      <w:pPr>
        <w:pStyle w:val="Listeafsnit"/>
        <w:numPr>
          <w:ilvl w:val="0"/>
          <w:numId w:val="4"/>
        </w:numPr>
        <w:tabs>
          <w:tab w:val="left" w:pos="567"/>
        </w:tabs>
        <w:spacing w:before="1"/>
        <w:ind w:left="567" w:hanging="568"/>
        <w:rPr>
          <w:b/>
          <w:sz w:val="24"/>
          <w:szCs w:val="24"/>
        </w:rPr>
      </w:pPr>
      <w:r w:rsidRPr="008F45A4">
        <w:rPr>
          <w:b/>
          <w:sz w:val="24"/>
          <w:szCs w:val="24"/>
        </w:rPr>
        <w:t>DATO FOR FØRSTE</w:t>
      </w:r>
      <w:r w:rsidRPr="008F45A4">
        <w:rPr>
          <w:b/>
          <w:spacing w:val="-1"/>
          <w:sz w:val="24"/>
          <w:szCs w:val="24"/>
        </w:rPr>
        <w:t xml:space="preserve"> </w:t>
      </w:r>
      <w:r w:rsidRPr="008F45A4">
        <w:rPr>
          <w:b/>
          <w:sz w:val="24"/>
          <w:szCs w:val="24"/>
        </w:rPr>
        <w:t>TILLADELSE</w:t>
      </w:r>
    </w:p>
    <w:p w:rsidR="008F45A4" w:rsidRPr="008F45A4" w:rsidRDefault="008F45A4" w:rsidP="008F45A4">
      <w:pPr>
        <w:pStyle w:val="Brdtekst"/>
        <w:rPr>
          <w:b/>
          <w:sz w:val="24"/>
          <w:szCs w:val="24"/>
        </w:rPr>
      </w:pPr>
    </w:p>
    <w:p w:rsidR="008F45A4" w:rsidRPr="008F45A4" w:rsidRDefault="008F45A4" w:rsidP="004C0F37">
      <w:pPr>
        <w:pStyle w:val="Brdtekst"/>
        <w:ind w:firstLine="567"/>
        <w:jc w:val="both"/>
        <w:rPr>
          <w:sz w:val="24"/>
          <w:szCs w:val="24"/>
          <w:lang w:val="nb-NO"/>
        </w:rPr>
      </w:pPr>
      <w:r w:rsidRPr="008F45A4">
        <w:rPr>
          <w:sz w:val="24"/>
          <w:szCs w:val="24"/>
          <w:lang w:val="nb-NO"/>
        </w:rPr>
        <w:t>Dato for første markedsføringstilladelse: 14/05/2014.</w:t>
      </w:r>
    </w:p>
    <w:p w:rsidR="008F45A4" w:rsidRPr="008F45A4" w:rsidRDefault="008F45A4" w:rsidP="008F45A4">
      <w:pPr>
        <w:pStyle w:val="Brdtekst"/>
        <w:rPr>
          <w:sz w:val="24"/>
          <w:szCs w:val="24"/>
          <w:lang w:val="nb-NO"/>
        </w:rPr>
      </w:pPr>
    </w:p>
    <w:p w:rsidR="008F45A4" w:rsidRPr="008F45A4" w:rsidRDefault="008F45A4" w:rsidP="008F45A4">
      <w:pPr>
        <w:pStyle w:val="Brdtekst"/>
        <w:rPr>
          <w:sz w:val="24"/>
          <w:szCs w:val="24"/>
          <w:lang w:val="nb-NO"/>
        </w:rPr>
      </w:pPr>
    </w:p>
    <w:p w:rsidR="008F45A4" w:rsidRPr="008F45A4" w:rsidRDefault="008F45A4" w:rsidP="004C0F37">
      <w:pPr>
        <w:pStyle w:val="Overskrift1"/>
        <w:keepNext w:val="0"/>
        <w:widowControl w:val="0"/>
        <w:numPr>
          <w:ilvl w:val="0"/>
          <w:numId w:val="4"/>
        </w:numPr>
        <w:autoSpaceDE w:val="0"/>
        <w:autoSpaceDN w:val="0"/>
        <w:spacing w:before="0" w:after="0"/>
        <w:ind w:left="567" w:hanging="568"/>
        <w:rPr>
          <w:rFonts w:ascii="Times New Roman" w:hAnsi="Times New Roman"/>
          <w:b w:val="0"/>
          <w:bCs/>
          <w:sz w:val="24"/>
          <w:szCs w:val="24"/>
          <w:lang w:val="nb-NO"/>
        </w:rPr>
      </w:pPr>
      <w:r w:rsidRPr="008F45A4">
        <w:rPr>
          <w:rFonts w:ascii="Times New Roman" w:hAnsi="Times New Roman"/>
          <w:sz w:val="24"/>
          <w:szCs w:val="24"/>
          <w:lang w:val="nb-NO"/>
        </w:rPr>
        <w:t>DATO FOR SENESTE ÆNDRING AF</w:t>
      </w:r>
      <w:r w:rsidRPr="008F45A4">
        <w:rPr>
          <w:rFonts w:ascii="Times New Roman" w:hAnsi="Times New Roman"/>
          <w:spacing w:val="-3"/>
          <w:sz w:val="24"/>
          <w:szCs w:val="24"/>
          <w:lang w:val="nb-NO"/>
        </w:rPr>
        <w:t xml:space="preserve"> </w:t>
      </w:r>
      <w:r w:rsidRPr="008F45A4">
        <w:rPr>
          <w:rFonts w:ascii="Times New Roman" w:hAnsi="Times New Roman"/>
          <w:sz w:val="24"/>
          <w:szCs w:val="24"/>
          <w:lang w:val="nb-NO"/>
        </w:rPr>
        <w:t>PRODUKTRESUMÉET</w:t>
      </w:r>
    </w:p>
    <w:p w:rsidR="008F45A4" w:rsidRPr="008F45A4" w:rsidRDefault="008F45A4" w:rsidP="008F45A4">
      <w:pPr>
        <w:pStyle w:val="Brdtekst"/>
        <w:spacing w:line="252" w:lineRule="exact"/>
        <w:rPr>
          <w:sz w:val="24"/>
          <w:szCs w:val="24"/>
          <w:lang w:val="nb-NO"/>
        </w:rPr>
      </w:pPr>
    </w:p>
    <w:p w:rsidR="008F45A4" w:rsidRPr="008F45A4" w:rsidRDefault="004C0F37" w:rsidP="004C0F37">
      <w:pPr>
        <w:pStyle w:val="Brdtekst"/>
        <w:ind w:left="567"/>
        <w:rPr>
          <w:sz w:val="24"/>
          <w:szCs w:val="24"/>
          <w:lang w:val="nb-NO"/>
        </w:rPr>
      </w:pPr>
      <w:r>
        <w:rPr>
          <w:sz w:val="24"/>
          <w:szCs w:val="24"/>
          <w:lang w:val="nb-NO"/>
        </w:rPr>
        <w:t>6. marts 2025</w:t>
      </w:r>
    </w:p>
    <w:p w:rsidR="008F45A4" w:rsidRPr="008F45A4" w:rsidRDefault="008F45A4" w:rsidP="008F45A4">
      <w:pPr>
        <w:pStyle w:val="Brdtekst"/>
        <w:spacing w:before="2"/>
        <w:rPr>
          <w:sz w:val="24"/>
          <w:szCs w:val="24"/>
          <w:lang w:val="nb-NO"/>
        </w:rPr>
      </w:pPr>
    </w:p>
    <w:p w:rsidR="008F45A4" w:rsidRPr="008F45A4" w:rsidRDefault="008F45A4" w:rsidP="004C0F37">
      <w:pPr>
        <w:pStyle w:val="Overskrift1"/>
        <w:keepNext w:val="0"/>
        <w:widowControl w:val="0"/>
        <w:numPr>
          <w:ilvl w:val="0"/>
          <w:numId w:val="4"/>
        </w:numPr>
        <w:tabs>
          <w:tab w:val="left" w:pos="567"/>
        </w:tabs>
        <w:autoSpaceDE w:val="0"/>
        <w:autoSpaceDN w:val="0"/>
        <w:spacing w:before="0" w:after="0"/>
        <w:ind w:left="567" w:hanging="568"/>
        <w:rPr>
          <w:rFonts w:ascii="Times New Roman" w:hAnsi="Times New Roman"/>
          <w:sz w:val="24"/>
          <w:szCs w:val="24"/>
        </w:rPr>
      </w:pPr>
      <w:r w:rsidRPr="008F45A4">
        <w:rPr>
          <w:rFonts w:ascii="Times New Roman" w:hAnsi="Times New Roman"/>
          <w:sz w:val="24"/>
          <w:szCs w:val="24"/>
        </w:rPr>
        <w:t>KLASSIFICERING AF</w:t>
      </w:r>
      <w:r w:rsidRPr="008F45A4">
        <w:rPr>
          <w:rFonts w:ascii="Times New Roman" w:hAnsi="Times New Roman"/>
          <w:spacing w:val="-5"/>
          <w:sz w:val="24"/>
          <w:szCs w:val="24"/>
        </w:rPr>
        <w:t xml:space="preserve"> </w:t>
      </w:r>
      <w:r w:rsidRPr="008F45A4">
        <w:rPr>
          <w:rFonts w:ascii="Times New Roman" w:hAnsi="Times New Roman"/>
          <w:sz w:val="24"/>
          <w:szCs w:val="24"/>
        </w:rPr>
        <w:t>VETERINÆRLÆGEMIDLER</w:t>
      </w:r>
    </w:p>
    <w:p w:rsidR="008F45A4" w:rsidRPr="008F45A4" w:rsidRDefault="008F45A4" w:rsidP="008F45A4">
      <w:pPr>
        <w:pStyle w:val="Brdtekst"/>
        <w:spacing w:before="5"/>
        <w:rPr>
          <w:b/>
          <w:sz w:val="24"/>
          <w:szCs w:val="24"/>
        </w:rPr>
      </w:pPr>
    </w:p>
    <w:p w:rsidR="008F45A4" w:rsidRPr="008F45A4" w:rsidRDefault="008F45A4" w:rsidP="004C0F37">
      <w:pPr>
        <w:pStyle w:val="Brdtekst"/>
        <w:spacing w:before="1"/>
        <w:ind w:left="567"/>
        <w:rPr>
          <w:sz w:val="24"/>
          <w:szCs w:val="24"/>
          <w:lang w:val="nb-NO"/>
        </w:rPr>
      </w:pPr>
      <w:bookmarkStart w:id="1" w:name="_Hlk176791814"/>
      <w:r w:rsidRPr="008F45A4">
        <w:rPr>
          <w:sz w:val="24"/>
          <w:szCs w:val="24"/>
          <w:lang w:val="nb-NO"/>
        </w:rPr>
        <w:t>B</w:t>
      </w:r>
    </w:p>
    <w:bookmarkEnd w:id="1"/>
    <w:p w:rsidR="008F45A4" w:rsidRPr="008F45A4" w:rsidRDefault="008F45A4" w:rsidP="004C0F37">
      <w:pPr>
        <w:pStyle w:val="Brdtekst"/>
        <w:ind w:left="567"/>
        <w:jc w:val="both"/>
        <w:rPr>
          <w:sz w:val="24"/>
          <w:szCs w:val="24"/>
          <w:lang w:val="nb-NO"/>
        </w:rPr>
      </w:pPr>
    </w:p>
    <w:p w:rsidR="008F45A4" w:rsidRPr="008F45A4" w:rsidRDefault="008F45A4" w:rsidP="004C0F37">
      <w:pPr>
        <w:pStyle w:val="Brdtekst"/>
        <w:ind w:left="567"/>
        <w:rPr>
          <w:sz w:val="24"/>
          <w:szCs w:val="24"/>
          <w:lang w:val="nb-NO"/>
        </w:rPr>
      </w:pPr>
      <w:r w:rsidRPr="008F45A4">
        <w:rPr>
          <w:sz w:val="24"/>
          <w:szCs w:val="24"/>
          <w:lang w:val="nb-NO"/>
        </w:rPr>
        <w:t>Der findes detaljerede oplysninger om dette veterinærlægemiddel i EU-lægemiddeldatabasen.</w:t>
      </w:r>
    </w:p>
    <w:p w:rsidR="008F45A4" w:rsidRPr="008F45A4" w:rsidRDefault="008F45A4" w:rsidP="008F45A4">
      <w:pPr>
        <w:pStyle w:val="Brdtekst"/>
        <w:jc w:val="both"/>
        <w:rPr>
          <w:sz w:val="24"/>
          <w:szCs w:val="24"/>
          <w:lang w:val="nb-NO"/>
        </w:rPr>
      </w:pPr>
    </w:p>
    <w:p w:rsidR="008F45A4" w:rsidRPr="008F45A4" w:rsidRDefault="008F45A4" w:rsidP="008F45A4">
      <w:pPr>
        <w:pStyle w:val="Brdtekst"/>
        <w:spacing w:before="5"/>
        <w:rPr>
          <w:sz w:val="24"/>
          <w:szCs w:val="24"/>
          <w:lang w:val="nb-NO"/>
        </w:rPr>
      </w:pPr>
    </w:p>
    <w:p w:rsidR="0003527F" w:rsidRPr="008F45A4" w:rsidRDefault="0003527F" w:rsidP="008F45A4">
      <w:pPr>
        <w:ind w:left="851" w:hanging="851"/>
        <w:rPr>
          <w:sz w:val="24"/>
          <w:szCs w:val="24"/>
          <w:lang w:val="nb-NO"/>
        </w:rPr>
      </w:pPr>
    </w:p>
    <w:sectPr w:rsidR="0003527F" w:rsidRPr="008F45A4"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726" w:rsidRDefault="00A92726">
      <w:r>
        <w:separator/>
      </w:r>
    </w:p>
  </w:endnote>
  <w:endnote w:type="continuationSeparator" w:id="0">
    <w:p w:rsidR="00A92726" w:rsidRDefault="00A92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A92726">
      <w:rPr>
        <w:i/>
        <w:noProof/>
        <w:snapToGrid w:val="0"/>
        <w:sz w:val="18"/>
      </w:rPr>
      <w:t>Dokument679</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A92726">
      <w:rPr>
        <w:i/>
        <w:noProof/>
        <w:snapToGrid w:val="0"/>
        <w:sz w:val="18"/>
      </w:rPr>
      <w:t>Dokument679</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726" w:rsidRDefault="00A92726">
      <w:r>
        <w:separator/>
      </w:r>
    </w:p>
  </w:footnote>
  <w:footnote w:type="continuationSeparator" w:id="0">
    <w:p w:rsidR="00A92726" w:rsidRDefault="00A92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A1D4E"/>
    <w:multiLevelType w:val="multilevel"/>
    <w:tmpl w:val="62B408BA"/>
    <w:lvl w:ilvl="0">
      <w:start w:val="1"/>
      <w:numFmt w:val="decimal"/>
      <w:lvlText w:val="%1."/>
      <w:lvlJc w:val="left"/>
      <w:pPr>
        <w:ind w:left="905" w:hanging="567"/>
        <w:jc w:val="left"/>
      </w:pPr>
      <w:rPr>
        <w:rFonts w:ascii="Times New Roman" w:eastAsia="Times New Roman" w:hAnsi="Times New Roman" w:cs="Times New Roman" w:hint="default"/>
        <w:b/>
        <w:bCs/>
        <w:w w:val="100"/>
        <w:sz w:val="22"/>
        <w:szCs w:val="22"/>
        <w:lang w:val="en-GB" w:eastAsia="en-GB" w:bidi="en-GB"/>
      </w:rPr>
    </w:lvl>
    <w:lvl w:ilvl="1">
      <w:start w:val="1"/>
      <w:numFmt w:val="decimal"/>
      <w:lvlText w:val="%1.%2"/>
      <w:lvlJc w:val="left"/>
      <w:pPr>
        <w:ind w:left="905" w:hanging="567"/>
        <w:jc w:val="left"/>
      </w:pPr>
      <w:rPr>
        <w:rFonts w:ascii="Times New Roman" w:eastAsia="Times New Roman" w:hAnsi="Times New Roman" w:cs="Times New Roman" w:hint="default"/>
        <w:b/>
        <w:bCs/>
        <w:w w:val="100"/>
        <w:sz w:val="22"/>
        <w:szCs w:val="22"/>
        <w:lang w:val="en-GB" w:eastAsia="en-GB" w:bidi="en-GB"/>
      </w:rPr>
    </w:lvl>
    <w:lvl w:ilvl="2">
      <w:numFmt w:val="bullet"/>
      <w:lvlText w:val="•"/>
      <w:lvlJc w:val="left"/>
      <w:pPr>
        <w:ind w:left="2645" w:hanging="567"/>
      </w:pPr>
      <w:rPr>
        <w:rFonts w:hint="default"/>
        <w:lang w:val="en-GB" w:eastAsia="en-GB" w:bidi="en-GB"/>
      </w:rPr>
    </w:lvl>
    <w:lvl w:ilvl="3">
      <w:numFmt w:val="bullet"/>
      <w:lvlText w:val="•"/>
      <w:lvlJc w:val="left"/>
      <w:pPr>
        <w:ind w:left="3517" w:hanging="567"/>
      </w:pPr>
      <w:rPr>
        <w:rFonts w:hint="default"/>
        <w:lang w:val="en-GB" w:eastAsia="en-GB" w:bidi="en-GB"/>
      </w:rPr>
    </w:lvl>
    <w:lvl w:ilvl="4">
      <w:numFmt w:val="bullet"/>
      <w:lvlText w:val="•"/>
      <w:lvlJc w:val="left"/>
      <w:pPr>
        <w:ind w:left="4390" w:hanging="567"/>
      </w:pPr>
      <w:rPr>
        <w:rFonts w:hint="default"/>
        <w:lang w:val="en-GB" w:eastAsia="en-GB" w:bidi="en-GB"/>
      </w:rPr>
    </w:lvl>
    <w:lvl w:ilvl="5">
      <w:numFmt w:val="bullet"/>
      <w:lvlText w:val="•"/>
      <w:lvlJc w:val="left"/>
      <w:pPr>
        <w:ind w:left="5263" w:hanging="567"/>
      </w:pPr>
      <w:rPr>
        <w:rFonts w:hint="default"/>
        <w:lang w:val="en-GB" w:eastAsia="en-GB" w:bidi="en-GB"/>
      </w:rPr>
    </w:lvl>
    <w:lvl w:ilvl="6">
      <w:numFmt w:val="bullet"/>
      <w:lvlText w:val="•"/>
      <w:lvlJc w:val="left"/>
      <w:pPr>
        <w:ind w:left="6135" w:hanging="567"/>
      </w:pPr>
      <w:rPr>
        <w:rFonts w:hint="default"/>
        <w:lang w:val="en-GB" w:eastAsia="en-GB" w:bidi="en-GB"/>
      </w:rPr>
    </w:lvl>
    <w:lvl w:ilvl="7">
      <w:numFmt w:val="bullet"/>
      <w:lvlText w:val="•"/>
      <w:lvlJc w:val="left"/>
      <w:pPr>
        <w:ind w:left="7008" w:hanging="567"/>
      </w:pPr>
      <w:rPr>
        <w:rFonts w:hint="default"/>
        <w:lang w:val="en-GB" w:eastAsia="en-GB" w:bidi="en-GB"/>
      </w:rPr>
    </w:lvl>
    <w:lvl w:ilvl="8">
      <w:numFmt w:val="bullet"/>
      <w:lvlText w:val="•"/>
      <w:lvlJc w:val="left"/>
      <w:pPr>
        <w:ind w:left="7881" w:hanging="567"/>
      </w:pPr>
      <w:rPr>
        <w:rFonts w:hint="default"/>
        <w:lang w:val="en-GB" w:eastAsia="en-GB" w:bidi="en-GB"/>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726"/>
    <w:rsid w:val="0003527F"/>
    <w:rsid w:val="00065C7D"/>
    <w:rsid w:val="000C216B"/>
    <w:rsid w:val="000C6CD4"/>
    <w:rsid w:val="0011357C"/>
    <w:rsid w:val="001577E4"/>
    <w:rsid w:val="001858CA"/>
    <w:rsid w:val="00187572"/>
    <w:rsid w:val="001C4AEF"/>
    <w:rsid w:val="001D3CC5"/>
    <w:rsid w:val="002738BB"/>
    <w:rsid w:val="002E5174"/>
    <w:rsid w:val="00322BDE"/>
    <w:rsid w:val="00406EE7"/>
    <w:rsid w:val="00407013"/>
    <w:rsid w:val="00411EC5"/>
    <w:rsid w:val="004A62CC"/>
    <w:rsid w:val="004B0E78"/>
    <w:rsid w:val="004C0F37"/>
    <w:rsid w:val="00565A74"/>
    <w:rsid w:val="005B0036"/>
    <w:rsid w:val="005F5831"/>
    <w:rsid w:val="00662012"/>
    <w:rsid w:val="00666B01"/>
    <w:rsid w:val="006B1539"/>
    <w:rsid w:val="006D4B41"/>
    <w:rsid w:val="006F5621"/>
    <w:rsid w:val="007E2A00"/>
    <w:rsid w:val="008010F2"/>
    <w:rsid w:val="008F45A4"/>
    <w:rsid w:val="009202AE"/>
    <w:rsid w:val="00932676"/>
    <w:rsid w:val="009D66C6"/>
    <w:rsid w:val="00A92726"/>
    <w:rsid w:val="00A96525"/>
    <w:rsid w:val="00AE29E5"/>
    <w:rsid w:val="00AE5757"/>
    <w:rsid w:val="00B25EB8"/>
    <w:rsid w:val="00BC634B"/>
    <w:rsid w:val="00BE7813"/>
    <w:rsid w:val="00BF2AE0"/>
    <w:rsid w:val="00C479BF"/>
    <w:rsid w:val="00D24B6D"/>
    <w:rsid w:val="00D567AA"/>
    <w:rsid w:val="00DD6D71"/>
    <w:rsid w:val="00DF32BE"/>
    <w:rsid w:val="00E14F0A"/>
    <w:rsid w:val="00E71088"/>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B9E920-122D-492C-95E6-27F659C63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table" w:customStyle="1" w:styleId="TableNormal">
    <w:name w:val="Table Normal"/>
    <w:uiPriority w:val="2"/>
    <w:semiHidden/>
    <w:unhideWhenUsed/>
    <w:qFormat/>
    <w:rsid w:val="008F45A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Brdtekst">
    <w:name w:val="Body Text"/>
    <w:basedOn w:val="Normal"/>
    <w:link w:val="BrdtekstTegn"/>
    <w:uiPriority w:val="1"/>
    <w:qFormat/>
    <w:rsid w:val="008F45A4"/>
    <w:pPr>
      <w:widowControl w:val="0"/>
      <w:autoSpaceDE w:val="0"/>
      <w:autoSpaceDN w:val="0"/>
    </w:pPr>
    <w:rPr>
      <w:sz w:val="22"/>
      <w:szCs w:val="22"/>
      <w:lang w:val="en-GB" w:eastAsia="en-GB" w:bidi="en-GB"/>
    </w:rPr>
  </w:style>
  <w:style w:type="character" w:customStyle="1" w:styleId="BrdtekstTegn">
    <w:name w:val="Brødtekst Tegn"/>
    <w:basedOn w:val="Standardskrifttypeiafsnit"/>
    <w:link w:val="Brdtekst"/>
    <w:uiPriority w:val="1"/>
    <w:rsid w:val="008F45A4"/>
    <w:rPr>
      <w:sz w:val="22"/>
      <w:szCs w:val="22"/>
      <w:lang w:val="en-GB" w:eastAsia="en-GB" w:bidi="en-GB"/>
    </w:rPr>
  </w:style>
  <w:style w:type="paragraph" w:styleId="Listeafsnit">
    <w:name w:val="List Paragraph"/>
    <w:basedOn w:val="Normal"/>
    <w:uiPriority w:val="1"/>
    <w:qFormat/>
    <w:rsid w:val="008F45A4"/>
    <w:pPr>
      <w:widowControl w:val="0"/>
      <w:autoSpaceDE w:val="0"/>
      <w:autoSpaceDN w:val="0"/>
      <w:ind w:left="905" w:hanging="568"/>
    </w:pPr>
    <w:rPr>
      <w:sz w:val="22"/>
      <w:szCs w:val="22"/>
      <w:lang w:val="en-GB" w:eastAsia="en-GB" w:bidi="en-GB"/>
    </w:rPr>
  </w:style>
  <w:style w:type="paragraph" w:customStyle="1" w:styleId="TableParagraph">
    <w:name w:val="Table Paragraph"/>
    <w:basedOn w:val="Normal"/>
    <w:uiPriority w:val="1"/>
    <w:qFormat/>
    <w:rsid w:val="008F45A4"/>
    <w:pPr>
      <w:widowControl w:val="0"/>
      <w:autoSpaceDE w:val="0"/>
      <w:autoSpaceDN w:val="0"/>
      <w:spacing w:before="6"/>
      <w:ind w:left="200"/>
    </w:pPr>
    <w:rPr>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1250</Words>
  <Characters>8155</Characters>
  <Application>Microsoft Office Word</Application>
  <DocSecurity>4</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2024041381 QRD9</dc:description>
  <cp:lastModifiedBy>Alexandra Wæver</cp:lastModifiedBy>
  <cp:revision>2</cp:revision>
  <dcterms:created xsi:type="dcterms:W3CDTF">2025-03-06T09:02:00Z</dcterms:created>
  <dcterms:modified xsi:type="dcterms:W3CDTF">2025-03-06T09:02:00Z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