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F32BE" w:rsidRDefault="00354320" w:rsidP="00DF32BE">
      <w:pPr>
        <w:tabs>
          <w:tab w:val="left" w:pos="6804"/>
        </w:tabs>
        <w:rPr>
          <w:b/>
        </w:rPr>
      </w:pP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 w:rsidR="000F0EBD">
        <w:fldChar w:fldCharType="begin"/>
      </w:r>
      <w:r w:rsidR="000F0EBD">
        <w:instrText xml:space="preserve"> INCLUDEPICTURE  "cid:image004.jpg@01D117E9.E5553340" \* MERGEFORMATINET </w:instrText>
      </w:r>
      <w:r w:rsidR="000F0EBD">
        <w:fldChar w:fldCharType="separate"/>
      </w:r>
      <w:r w:rsidR="000F0EBD">
        <w:fldChar w:fldCharType="begin"/>
      </w:r>
      <w:r w:rsidR="000F0EBD">
        <w:instrText xml:space="preserve"> </w:instrText>
      </w:r>
      <w:r w:rsidR="000F0EBD">
        <w:instrText>INCLUDEPICTURE  "cid:image004.jpg@01D117E9.E5553340" \* MERGEFORMATINET</w:instrText>
      </w:r>
      <w:r w:rsidR="000F0EBD">
        <w:instrText xml:space="preserve"> </w:instrText>
      </w:r>
      <w:r w:rsidR="000F0EBD">
        <w:fldChar w:fldCharType="separate"/>
      </w:r>
      <w:r w:rsidR="000F0EB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" o:spid="_x0000_i1025" type="#_x0000_t75" alt="LMST_auto_stor" style="width:192.75pt;height:54.75pt">
            <v:imagedata r:id="rId7" r:href="rId8"/>
          </v:shape>
        </w:pict>
      </w:r>
      <w:r w:rsidR="000F0EBD">
        <w:fldChar w:fldCharType="end"/>
      </w:r>
      <w:r w:rsidR="000F0EBD">
        <w:fldChar w:fldCharType="end"/>
      </w:r>
      <w:r>
        <w:fldChar w:fldCharType="end"/>
      </w:r>
    </w:p>
    <w:p w:rsidR="00DF32BE" w:rsidRDefault="00DF32BE" w:rsidP="00DF32BE">
      <w:pPr>
        <w:tabs>
          <w:tab w:val="left" w:pos="6804"/>
        </w:tabs>
        <w:jc w:val="right"/>
        <w:rPr>
          <w:b/>
        </w:rPr>
      </w:pPr>
    </w:p>
    <w:p w:rsidR="00DF32BE" w:rsidRPr="00DF32BE" w:rsidRDefault="000F0EBD" w:rsidP="00DF32BE">
      <w:pPr>
        <w:tabs>
          <w:tab w:val="left" w:pos="680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924D2A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januar</w:t>
      </w:r>
      <w:r w:rsidR="00924D2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</w:p>
    <w:p w:rsidR="00DF32BE" w:rsidRPr="00DF32BE" w:rsidRDefault="00DF32BE" w:rsidP="00DF32BE">
      <w:pPr>
        <w:tabs>
          <w:tab w:val="left" w:pos="8222"/>
        </w:tabs>
        <w:rPr>
          <w:sz w:val="24"/>
          <w:szCs w:val="24"/>
        </w:rPr>
      </w:pPr>
    </w:p>
    <w:p w:rsidR="00DF32BE" w:rsidRPr="00DF32BE" w:rsidRDefault="00DF32BE" w:rsidP="00DF32BE">
      <w:pPr>
        <w:tabs>
          <w:tab w:val="left" w:pos="8222"/>
        </w:tabs>
        <w:rPr>
          <w:sz w:val="24"/>
          <w:szCs w:val="24"/>
        </w:rPr>
      </w:pPr>
    </w:p>
    <w:p w:rsidR="00DF32BE" w:rsidRPr="00DF32BE" w:rsidRDefault="00DF32BE" w:rsidP="00DF32BE">
      <w:pPr>
        <w:tabs>
          <w:tab w:val="left" w:pos="8222"/>
        </w:tabs>
        <w:rPr>
          <w:sz w:val="24"/>
          <w:szCs w:val="24"/>
        </w:rPr>
      </w:pPr>
    </w:p>
    <w:p w:rsidR="00DF32BE" w:rsidRPr="00DF32BE" w:rsidRDefault="00DF32BE" w:rsidP="00DF32BE">
      <w:pPr>
        <w:tabs>
          <w:tab w:val="left" w:pos="8222"/>
        </w:tabs>
        <w:jc w:val="center"/>
        <w:rPr>
          <w:b/>
          <w:sz w:val="24"/>
          <w:szCs w:val="24"/>
        </w:rPr>
      </w:pPr>
      <w:r w:rsidRPr="00DF32BE">
        <w:rPr>
          <w:b/>
          <w:sz w:val="24"/>
          <w:szCs w:val="24"/>
        </w:rPr>
        <w:t>PRODUKTRESUMÉ</w:t>
      </w:r>
    </w:p>
    <w:p w:rsidR="00DF32BE" w:rsidRPr="00DF32BE" w:rsidRDefault="00DF32BE" w:rsidP="00DF32BE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DF32BE" w:rsidRPr="00DF32BE" w:rsidRDefault="00DF32BE" w:rsidP="00DF32BE">
      <w:pPr>
        <w:tabs>
          <w:tab w:val="left" w:pos="8222"/>
        </w:tabs>
        <w:jc w:val="center"/>
        <w:rPr>
          <w:b/>
          <w:sz w:val="24"/>
          <w:szCs w:val="24"/>
        </w:rPr>
      </w:pPr>
      <w:r w:rsidRPr="00DF32BE">
        <w:rPr>
          <w:b/>
          <w:sz w:val="24"/>
          <w:szCs w:val="24"/>
        </w:rPr>
        <w:t>for</w:t>
      </w:r>
    </w:p>
    <w:p w:rsidR="00DF32BE" w:rsidRPr="00DF32BE" w:rsidRDefault="00DF32BE" w:rsidP="00DF32BE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DF32BE" w:rsidRPr="00DF32BE" w:rsidRDefault="009301B2" w:rsidP="00DF32BE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SOlong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Vet</w:t>
      </w:r>
      <w:proofErr w:type="spellEnd"/>
      <w:r>
        <w:rPr>
          <w:b/>
          <w:sz w:val="24"/>
          <w:szCs w:val="24"/>
        </w:rPr>
        <w:t>., injektionsvæske, suspension</w:t>
      </w:r>
    </w:p>
    <w:p w:rsidR="00DF32BE" w:rsidRPr="00DF32BE" w:rsidRDefault="00DF32BE" w:rsidP="00DF32BE">
      <w:pPr>
        <w:tabs>
          <w:tab w:val="left" w:pos="8222"/>
        </w:tabs>
        <w:jc w:val="both"/>
        <w:rPr>
          <w:sz w:val="24"/>
          <w:szCs w:val="24"/>
        </w:rPr>
      </w:pPr>
    </w:p>
    <w:p w:rsidR="00DF32BE" w:rsidRPr="000131EF" w:rsidRDefault="00DF32BE" w:rsidP="000131EF">
      <w:pPr>
        <w:tabs>
          <w:tab w:val="left" w:pos="8222"/>
        </w:tabs>
        <w:ind w:left="851" w:hanging="851"/>
        <w:jc w:val="both"/>
        <w:rPr>
          <w:sz w:val="24"/>
          <w:szCs w:val="24"/>
        </w:rPr>
      </w:pPr>
    </w:p>
    <w:p w:rsidR="00DF32BE" w:rsidRPr="000131EF" w:rsidRDefault="00DF32BE" w:rsidP="000131EF">
      <w:pPr>
        <w:numPr>
          <w:ilvl w:val="0"/>
          <w:numId w:val="1"/>
        </w:num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131EF">
        <w:rPr>
          <w:b/>
          <w:sz w:val="24"/>
          <w:szCs w:val="24"/>
        </w:rPr>
        <w:t>D.SP.NR</w:t>
      </w:r>
    </w:p>
    <w:p w:rsidR="00DF32BE" w:rsidRPr="000131EF" w:rsidRDefault="000131EF" w:rsidP="000131EF">
      <w:pPr>
        <w:tabs>
          <w:tab w:val="left" w:pos="8222"/>
        </w:tabs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301B2" w:rsidRPr="000131EF">
        <w:rPr>
          <w:sz w:val="24"/>
          <w:szCs w:val="24"/>
        </w:rPr>
        <w:t>27486</w:t>
      </w:r>
    </w:p>
    <w:p w:rsidR="00DF32BE" w:rsidRPr="000131EF" w:rsidRDefault="00DF32BE" w:rsidP="000131EF">
      <w:pPr>
        <w:tabs>
          <w:tab w:val="left" w:pos="8222"/>
        </w:tabs>
        <w:ind w:left="851" w:hanging="851"/>
        <w:jc w:val="both"/>
        <w:rPr>
          <w:sz w:val="24"/>
          <w:szCs w:val="24"/>
        </w:rPr>
      </w:pPr>
    </w:p>
    <w:p w:rsidR="00DF32BE" w:rsidRPr="000131EF" w:rsidRDefault="00DF32BE" w:rsidP="000131EF">
      <w:pPr>
        <w:numPr>
          <w:ilvl w:val="0"/>
          <w:numId w:val="1"/>
        </w:num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131EF">
        <w:rPr>
          <w:b/>
          <w:sz w:val="24"/>
          <w:szCs w:val="24"/>
        </w:rPr>
        <w:t>VETERINÆRLÆGEMIDLETS NAVN</w:t>
      </w:r>
    </w:p>
    <w:p w:rsidR="00DF32BE" w:rsidRPr="000131EF" w:rsidRDefault="000131EF" w:rsidP="000131EF">
      <w:pPr>
        <w:tabs>
          <w:tab w:val="left" w:pos="8222"/>
        </w:tabs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9301B2" w:rsidRPr="000131EF">
        <w:rPr>
          <w:sz w:val="24"/>
          <w:szCs w:val="24"/>
        </w:rPr>
        <w:t>SOlong</w:t>
      </w:r>
      <w:proofErr w:type="spellEnd"/>
    </w:p>
    <w:p w:rsidR="00DF32BE" w:rsidRPr="000131EF" w:rsidRDefault="00DF32BE" w:rsidP="000131EF">
      <w:pPr>
        <w:tabs>
          <w:tab w:val="left" w:pos="8222"/>
        </w:tabs>
        <w:ind w:left="851" w:hanging="851"/>
        <w:jc w:val="both"/>
        <w:rPr>
          <w:sz w:val="24"/>
          <w:szCs w:val="24"/>
        </w:rPr>
      </w:pPr>
    </w:p>
    <w:p w:rsidR="00DF32BE" w:rsidRPr="000131EF" w:rsidRDefault="00DF32BE" w:rsidP="000131EF">
      <w:pPr>
        <w:numPr>
          <w:ilvl w:val="0"/>
          <w:numId w:val="1"/>
        </w:num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131EF">
        <w:rPr>
          <w:b/>
          <w:sz w:val="24"/>
          <w:szCs w:val="24"/>
        </w:rPr>
        <w:t>KVALITATIV OG KVANTITATIV SAMMENSÆTNING</w:t>
      </w:r>
    </w:p>
    <w:p w:rsidR="00961E95" w:rsidRPr="000131EF" w:rsidRDefault="000131EF" w:rsidP="000131EF">
      <w:pPr>
        <w:tabs>
          <w:tab w:val="left" w:pos="8222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61E95" w:rsidRPr="000131EF">
        <w:rPr>
          <w:b/>
          <w:sz w:val="24"/>
          <w:szCs w:val="24"/>
        </w:rPr>
        <w:t>Aktivt stof:</w:t>
      </w:r>
    </w:p>
    <w:p w:rsidR="000131EF" w:rsidRPr="000131EF" w:rsidRDefault="000131EF" w:rsidP="000131EF">
      <w:pPr>
        <w:tabs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961E95" w:rsidRPr="000131EF">
        <w:rPr>
          <w:sz w:val="24"/>
          <w:szCs w:val="24"/>
        </w:rPr>
        <w:t xml:space="preserve">1 ml indeholder: </w:t>
      </w:r>
      <w:r w:rsidR="00961E95" w:rsidRPr="000131EF">
        <w:rPr>
          <w:spacing w:val="-3"/>
          <w:sz w:val="24"/>
          <w:szCs w:val="24"/>
        </w:rPr>
        <w:t xml:space="preserve">300 mg </w:t>
      </w:r>
      <w:r w:rsidR="00961E95" w:rsidRPr="000131EF">
        <w:rPr>
          <w:sz w:val="24"/>
          <w:szCs w:val="24"/>
        </w:rPr>
        <w:t>(300.000 IE)</w:t>
      </w:r>
      <w:r w:rsidR="00961E95" w:rsidRPr="000131EF">
        <w:rPr>
          <w:spacing w:val="-3"/>
          <w:sz w:val="24"/>
          <w:szCs w:val="24"/>
        </w:rPr>
        <w:t xml:space="preserve"> </w:t>
      </w:r>
      <w:proofErr w:type="spellStart"/>
      <w:r w:rsidR="00961E95" w:rsidRPr="000131EF">
        <w:rPr>
          <w:spacing w:val="-3"/>
          <w:sz w:val="24"/>
          <w:szCs w:val="24"/>
        </w:rPr>
        <w:t>benzylpenicillin</w:t>
      </w:r>
      <w:proofErr w:type="spellEnd"/>
      <w:r w:rsidR="00961E95" w:rsidRPr="000131EF">
        <w:rPr>
          <w:spacing w:val="-3"/>
          <w:sz w:val="24"/>
          <w:szCs w:val="24"/>
        </w:rPr>
        <w:t xml:space="preserve">, </w:t>
      </w:r>
      <w:proofErr w:type="spellStart"/>
      <w:r w:rsidR="00961E95" w:rsidRPr="000131EF">
        <w:rPr>
          <w:spacing w:val="-3"/>
          <w:sz w:val="24"/>
          <w:szCs w:val="24"/>
        </w:rPr>
        <w:t>procain</w:t>
      </w:r>
      <w:proofErr w:type="spellEnd"/>
      <w:r w:rsidR="00961E95" w:rsidRPr="000131EF">
        <w:rPr>
          <w:sz w:val="24"/>
          <w:szCs w:val="24"/>
        </w:rPr>
        <w:t>.</w:t>
      </w:r>
    </w:p>
    <w:p w:rsidR="000131EF" w:rsidRDefault="000131EF" w:rsidP="000131EF">
      <w:pPr>
        <w:tabs>
          <w:tab w:val="left" w:pos="8222"/>
        </w:tabs>
        <w:ind w:left="851" w:hanging="851"/>
        <w:rPr>
          <w:b/>
          <w:sz w:val="24"/>
          <w:szCs w:val="24"/>
        </w:rPr>
      </w:pPr>
    </w:p>
    <w:p w:rsidR="00DF32BE" w:rsidRPr="000131EF" w:rsidRDefault="000131EF" w:rsidP="000131EF">
      <w:pPr>
        <w:tabs>
          <w:tab w:val="left" w:pos="8222"/>
        </w:tabs>
        <w:ind w:left="851" w:hanging="851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961E95" w:rsidRPr="000131EF">
        <w:rPr>
          <w:b/>
          <w:sz w:val="24"/>
          <w:szCs w:val="24"/>
        </w:rPr>
        <w:t xml:space="preserve">Hjælpestoffer: </w:t>
      </w:r>
      <w:r w:rsidR="00961E95" w:rsidRPr="000131EF">
        <w:rPr>
          <w:sz w:val="24"/>
          <w:szCs w:val="24"/>
        </w:rPr>
        <w:t>Alle hjælpestoffer er anført under pkt. 6.1.</w:t>
      </w:r>
    </w:p>
    <w:p w:rsidR="00DF32BE" w:rsidRPr="000131EF" w:rsidRDefault="00DF32BE" w:rsidP="000131EF">
      <w:pPr>
        <w:tabs>
          <w:tab w:val="left" w:pos="8222"/>
        </w:tabs>
        <w:ind w:left="851" w:hanging="851"/>
        <w:jc w:val="both"/>
        <w:rPr>
          <w:sz w:val="24"/>
          <w:szCs w:val="24"/>
        </w:rPr>
      </w:pPr>
    </w:p>
    <w:p w:rsidR="00DF32BE" w:rsidRPr="000131EF" w:rsidRDefault="00DF32BE" w:rsidP="000131EF">
      <w:pPr>
        <w:numPr>
          <w:ilvl w:val="0"/>
          <w:numId w:val="1"/>
        </w:num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131EF">
        <w:rPr>
          <w:b/>
          <w:sz w:val="24"/>
          <w:szCs w:val="24"/>
        </w:rPr>
        <w:t>LÆGEMIDDELFORM</w:t>
      </w:r>
    </w:p>
    <w:p w:rsidR="00961E95" w:rsidRPr="000131EF" w:rsidRDefault="000131EF" w:rsidP="000131E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961E95" w:rsidRPr="000131EF">
        <w:rPr>
          <w:sz w:val="24"/>
          <w:szCs w:val="24"/>
        </w:rPr>
        <w:t>Injektionsvæske, suspension</w:t>
      </w:r>
    </w:p>
    <w:p w:rsidR="00961E95" w:rsidRPr="000131EF" w:rsidRDefault="000131EF" w:rsidP="000131E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961E95" w:rsidRPr="000131EF">
        <w:rPr>
          <w:sz w:val="24"/>
          <w:szCs w:val="24"/>
        </w:rPr>
        <w:t>Hvid til råhvid olieagtig suspension.</w:t>
      </w:r>
    </w:p>
    <w:p w:rsidR="00DF32BE" w:rsidRPr="000131EF" w:rsidRDefault="00DF32BE" w:rsidP="000131EF">
      <w:pPr>
        <w:tabs>
          <w:tab w:val="left" w:pos="851"/>
          <w:tab w:val="left" w:pos="8222"/>
        </w:tabs>
        <w:ind w:left="851" w:hanging="851"/>
        <w:jc w:val="both"/>
        <w:rPr>
          <w:sz w:val="24"/>
          <w:szCs w:val="24"/>
        </w:rPr>
      </w:pPr>
    </w:p>
    <w:p w:rsidR="000131EF" w:rsidRPr="000131EF" w:rsidRDefault="000131EF" w:rsidP="000131EF">
      <w:pPr>
        <w:tabs>
          <w:tab w:val="left" w:pos="851"/>
          <w:tab w:val="left" w:pos="8222"/>
        </w:tabs>
        <w:ind w:left="851" w:hanging="851"/>
        <w:jc w:val="both"/>
        <w:rPr>
          <w:sz w:val="24"/>
          <w:szCs w:val="24"/>
        </w:rPr>
      </w:pPr>
    </w:p>
    <w:p w:rsidR="00DF32BE" w:rsidRPr="000131EF" w:rsidRDefault="00DF32BE" w:rsidP="000131EF">
      <w:pPr>
        <w:numPr>
          <w:ilvl w:val="0"/>
          <w:numId w:val="1"/>
        </w:num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131EF">
        <w:rPr>
          <w:b/>
          <w:sz w:val="24"/>
          <w:szCs w:val="24"/>
        </w:rPr>
        <w:t>KLINISKE OPLYSNINGER</w:t>
      </w:r>
    </w:p>
    <w:p w:rsidR="00DF32BE" w:rsidRPr="000131EF" w:rsidRDefault="00DF32BE" w:rsidP="000131EF">
      <w:pPr>
        <w:tabs>
          <w:tab w:val="left" w:pos="851"/>
          <w:tab w:val="left" w:pos="8222"/>
        </w:tabs>
        <w:ind w:left="851" w:hanging="851"/>
        <w:jc w:val="both"/>
        <w:rPr>
          <w:sz w:val="24"/>
          <w:szCs w:val="24"/>
        </w:rPr>
      </w:pPr>
    </w:p>
    <w:p w:rsidR="00DF32BE" w:rsidRPr="000131EF" w:rsidRDefault="00DF32BE" w:rsidP="000131E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0131EF">
        <w:rPr>
          <w:b/>
          <w:sz w:val="24"/>
          <w:szCs w:val="24"/>
        </w:rPr>
        <w:t>4.1</w:t>
      </w:r>
      <w:r w:rsidRPr="000131EF">
        <w:rPr>
          <w:b/>
          <w:sz w:val="24"/>
          <w:szCs w:val="24"/>
        </w:rPr>
        <w:tab/>
        <w:t>Dyrearter</w:t>
      </w:r>
    </w:p>
    <w:p w:rsidR="00961E95" w:rsidRPr="000131EF" w:rsidRDefault="000131EF" w:rsidP="000131EF">
      <w:pPr>
        <w:tabs>
          <w:tab w:val="left" w:pos="8222"/>
        </w:tabs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61E95" w:rsidRPr="000131EF">
        <w:rPr>
          <w:sz w:val="24"/>
          <w:szCs w:val="24"/>
        </w:rPr>
        <w:t>Svin</w:t>
      </w:r>
    </w:p>
    <w:p w:rsidR="00DF32BE" w:rsidRPr="000131EF" w:rsidRDefault="00DF32BE" w:rsidP="000131EF">
      <w:pPr>
        <w:tabs>
          <w:tab w:val="left" w:pos="8222"/>
        </w:tabs>
        <w:ind w:left="851" w:hanging="851"/>
        <w:jc w:val="both"/>
        <w:rPr>
          <w:sz w:val="24"/>
          <w:szCs w:val="24"/>
        </w:rPr>
      </w:pPr>
    </w:p>
    <w:p w:rsidR="00DF32BE" w:rsidRPr="000131EF" w:rsidRDefault="00DF32BE" w:rsidP="000131EF">
      <w:pPr>
        <w:pStyle w:val="Sidehoved"/>
        <w:numPr>
          <w:ilvl w:val="1"/>
          <w:numId w:val="2"/>
        </w:numPr>
        <w:tabs>
          <w:tab w:val="clear" w:pos="4819"/>
          <w:tab w:val="clear" w:pos="9638"/>
          <w:tab w:val="left" w:pos="8222"/>
        </w:tabs>
        <w:ind w:left="851" w:hanging="851"/>
        <w:rPr>
          <w:b/>
          <w:szCs w:val="24"/>
        </w:rPr>
      </w:pPr>
      <w:r w:rsidRPr="000131EF">
        <w:rPr>
          <w:b/>
          <w:szCs w:val="24"/>
        </w:rPr>
        <w:t>Terapeutiske indikationer</w:t>
      </w:r>
    </w:p>
    <w:p w:rsidR="00961E95" w:rsidRPr="000131EF" w:rsidRDefault="000131EF" w:rsidP="000131EF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  <w:r>
        <w:rPr>
          <w:szCs w:val="24"/>
        </w:rPr>
        <w:tab/>
      </w:r>
      <w:r w:rsidR="00961E95" w:rsidRPr="000131EF">
        <w:rPr>
          <w:szCs w:val="24"/>
        </w:rPr>
        <w:t xml:space="preserve">Til behandling af bakterielle infektionssygdomme forårsaget af </w:t>
      </w:r>
      <w:proofErr w:type="spellStart"/>
      <w:r w:rsidR="00961E95" w:rsidRPr="000131EF">
        <w:rPr>
          <w:szCs w:val="24"/>
        </w:rPr>
        <w:t>benzylpenicillinfølsomme</w:t>
      </w:r>
      <w:proofErr w:type="spellEnd"/>
      <w:r w:rsidR="00961E95" w:rsidRPr="000131EF">
        <w:rPr>
          <w:szCs w:val="24"/>
        </w:rPr>
        <w:t xml:space="preserve"> stammer hos svin. Her inkluderet primære og sekundære infektioner med </w:t>
      </w:r>
      <w:proofErr w:type="spellStart"/>
      <w:r w:rsidR="00961E95" w:rsidRPr="000131EF">
        <w:rPr>
          <w:i/>
          <w:szCs w:val="24"/>
        </w:rPr>
        <w:t>Erysipelothrix</w:t>
      </w:r>
      <w:proofErr w:type="spellEnd"/>
      <w:r w:rsidR="00961E95" w:rsidRPr="000131EF">
        <w:rPr>
          <w:i/>
          <w:szCs w:val="24"/>
        </w:rPr>
        <w:t xml:space="preserve"> </w:t>
      </w:r>
      <w:proofErr w:type="spellStart"/>
      <w:r w:rsidR="00961E95" w:rsidRPr="000131EF">
        <w:rPr>
          <w:i/>
          <w:szCs w:val="24"/>
        </w:rPr>
        <w:t>rhusiopathiae</w:t>
      </w:r>
      <w:proofErr w:type="spellEnd"/>
      <w:r w:rsidR="00961E95" w:rsidRPr="000131EF">
        <w:rPr>
          <w:szCs w:val="24"/>
        </w:rPr>
        <w:t xml:space="preserve">., </w:t>
      </w:r>
      <w:proofErr w:type="spellStart"/>
      <w:r w:rsidR="00961E95" w:rsidRPr="000131EF">
        <w:rPr>
          <w:szCs w:val="24"/>
        </w:rPr>
        <w:t>Clostridia</w:t>
      </w:r>
      <w:proofErr w:type="spellEnd"/>
      <w:r w:rsidR="00961E95" w:rsidRPr="000131EF">
        <w:rPr>
          <w:szCs w:val="24"/>
        </w:rPr>
        <w:t xml:space="preserve">, </w:t>
      </w:r>
      <w:proofErr w:type="spellStart"/>
      <w:r w:rsidR="00961E95" w:rsidRPr="000131EF">
        <w:rPr>
          <w:i/>
          <w:szCs w:val="24"/>
        </w:rPr>
        <w:t>Staphylococcus</w:t>
      </w:r>
      <w:proofErr w:type="spellEnd"/>
      <w:r w:rsidR="00961E95" w:rsidRPr="000131EF">
        <w:rPr>
          <w:i/>
          <w:szCs w:val="24"/>
        </w:rPr>
        <w:t xml:space="preserve"> </w:t>
      </w:r>
      <w:proofErr w:type="spellStart"/>
      <w:r w:rsidR="00961E95" w:rsidRPr="000131EF">
        <w:rPr>
          <w:i/>
          <w:szCs w:val="24"/>
        </w:rPr>
        <w:t>aurerus</w:t>
      </w:r>
      <w:proofErr w:type="spellEnd"/>
      <w:r w:rsidR="00961E95" w:rsidRPr="000131EF">
        <w:rPr>
          <w:i/>
          <w:szCs w:val="24"/>
        </w:rPr>
        <w:t xml:space="preserve">, </w:t>
      </w:r>
      <w:r w:rsidR="00961E95" w:rsidRPr="000131EF">
        <w:rPr>
          <w:szCs w:val="24"/>
        </w:rPr>
        <w:t>β-</w:t>
      </w:r>
      <w:proofErr w:type="spellStart"/>
      <w:r w:rsidR="00961E95" w:rsidRPr="000131EF">
        <w:rPr>
          <w:szCs w:val="24"/>
        </w:rPr>
        <w:t>hæmolytiske</w:t>
      </w:r>
      <w:proofErr w:type="spellEnd"/>
      <w:r w:rsidR="00961E95" w:rsidRPr="000131EF">
        <w:rPr>
          <w:szCs w:val="24"/>
        </w:rPr>
        <w:t xml:space="preserve"> </w:t>
      </w:r>
      <w:proofErr w:type="spellStart"/>
      <w:r w:rsidR="00961E95" w:rsidRPr="000131EF">
        <w:rPr>
          <w:szCs w:val="24"/>
        </w:rPr>
        <w:t>streptococcus</w:t>
      </w:r>
      <w:proofErr w:type="spellEnd"/>
      <w:r w:rsidR="00961E95" w:rsidRPr="000131EF">
        <w:rPr>
          <w:szCs w:val="24"/>
        </w:rPr>
        <w:t xml:space="preserve"> </w:t>
      </w:r>
      <w:proofErr w:type="spellStart"/>
      <w:r w:rsidR="00961E95" w:rsidRPr="000131EF">
        <w:rPr>
          <w:szCs w:val="24"/>
        </w:rPr>
        <w:t>spp</w:t>
      </w:r>
      <w:proofErr w:type="spellEnd"/>
      <w:r w:rsidR="00961E95" w:rsidRPr="000131EF">
        <w:rPr>
          <w:szCs w:val="24"/>
        </w:rPr>
        <w:t xml:space="preserve">., </w:t>
      </w:r>
      <w:proofErr w:type="spellStart"/>
      <w:r w:rsidR="00961E95" w:rsidRPr="000131EF">
        <w:rPr>
          <w:i/>
          <w:szCs w:val="24"/>
        </w:rPr>
        <w:t>Streptococcus</w:t>
      </w:r>
      <w:proofErr w:type="spellEnd"/>
      <w:r w:rsidR="00961E95" w:rsidRPr="000131EF">
        <w:rPr>
          <w:i/>
          <w:szCs w:val="24"/>
        </w:rPr>
        <w:t xml:space="preserve"> </w:t>
      </w:r>
      <w:proofErr w:type="spellStart"/>
      <w:r w:rsidR="00961E95" w:rsidRPr="000131EF">
        <w:rPr>
          <w:i/>
          <w:szCs w:val="24"/>
        </w:rPr>
        <w:t>suis</w:t>
      </w:r>
      <w:proofErr w:type="spellEnd"/>
      <w:r w:rsidR="00961E95" w:rsidRPr="000131EF">
        <w:rPr>
          <w:i/>
          <w:szCs w:val="24"/>
        </w:rPr>
        <w:t>,</w:t>
      </w:r>
      <w:r w:rsidR="00961E95" w:rsidRPr="000131EF">
        <w:rPr>
          <w:szCs w:val="24"/>
        </w:rPr>
        <w:t xml:space="preserve"> </w:t>
      </w:r>
      <w:proofErr w:type="spellStart"/>
      <w:r w:rsidR="00961E95" w:rsidRPr="000131EF">
        <w:rPr>
          <w:i/>
          <w:szCs w:val="24"/>
        </w:rPr>
        <w:t>Haemophilus</w:t>
      </w:r>
      <w:proofErr w:type="spellEnd"/>
      <w:r w:rsidR="00961E95" w:rsidRPr="000131EF">
        <w:rPr>
          <w:i/>
          <w:szCs w:val="24"/>
        </w:rPr>
        <w:t xml:space="preserve"> </w:t>
      </w:r>
      <w:proofErr w:type="spellStart"/>
      <w:r w:rsidR="00961E95" w:rsidRPr="000131EF">
        <w:rPr>
          <w:i/>
          <w:szCs w:val="24"/>
        </w:rPr>
        <w:t>parasuis</w:t>
      </w:r>
      <w:proofErr w:type="spellEnd"/>
      <w:r w:rsidR="00961E95" w:rsidRPr="000131EF">
        <w:rPr>
          <w:i/>
          <w:szCs w:val="24"/>
        </w:rPr>
        <w:t xml:space="preserve">, </w:t>
      </w:r>
      <w:proofErr w:type="spellStart"/>
      <w:r w:rsidR="00961E95" w:rsidRPr="000131EF">
        <w:rPr>
          <w:szCs w:val="24"/>
        </w:rPr>
        <w:t>Pasteurella</w:t>
      </w:r>
      <w:proofErr w:type="spellEnd"/>
      <w:r w:rsidR="00961E95" w:rsidRPr="000131EF">
        <w:rPr>
          <w:szCs w:val="24"/>
        </w:rPr>
        <w:t xml:space="preserve"> </w:t>
      </w:r>
      <w:proofErr w:type="spellStart"/>
      <w:r w:rsidR="00961E95" w:rsidRPr="000131EF">
        <w:rPr>
          <w:szCs w:val="24"/>
        </w:rPr>
        <w:t>spp</w:t>
      </w:r>
      <w:proofErr w:type="spellEnd"/>
      <w:r w:rsidR="00961E95" w:rsidRPr="000131EF">
        <w:rPr>
          <w:szCs w:val="24"/>
        </w:rPr>
        <w:t xml:space="preserve">., </w:t>
      </w:r>
      <w:proofErr w:type="spellStart"/>
      <w:r w:rsidR="00961E95" w:rsidRPr="000131EF">
        <w:rPr>
          <w:i/>
          <w:szCs w:val="24"/>
        </w:rPr>
        <w:t>Actinobaculum</w:t>
      </w:r>
      <w:proofErr w:type="spellEnd"/>
      <w:r w:rsidR="00961E95" w:rsidRPr="000131EF">
        <w:rPr>
          <w:i/>
          <w:szCs w:val="24"/>
        </w:rPr>
        <w:t xml:space="preserve"> </w:t>
      </w:r>
      <w:proofErr w:type="spellStart"/>
      <w:r w:rsidR="00961E95" w:rsidRPr="000131EF">
        <w:rPr>
          <w:i/>
          <w:szCs w:val="24"/>
        </w:rPr>
        <w:t>suis</w:t>
      </w:r>
      <w:proofErr w:type="spellEnd"/>
      <w:r w:rsidR="00961E95" w:rsidRPr="000131EF">
        <w:rPr>
          <w:i/>
          <w:szCs w:val="24"/>
        </w:rPr>
        <w:t xml:space="preserve"> </w:t>
      </w:r>
      <w:r w:rsidR="00961E95" w:rsidRPr="000131EF">
        <w:rPr>
          <w:szCs w:val="24"/>
        </w:rPr>
        <w:t xml:space="preserve">og </w:t>
      </w:r>
      <w:proofErr w:type="spellStart"/>
      <w:r w:rsidR="00961E95" w:rsidRPr="000131EF">
        <w:rPr>
          <w:i/>
          <w:szCs w:val="24"/>
        </w:rPr>
        <w:t>Arcanobacterium</w:t>
      </w:r>
      <w:proofErr w:type="spellEnd"/>
      <w:r w:rsidR="00961E95" w:rsidRPr="000131EF">
        <w:rPr>
          <w:i/>
          <w:szCs w:val="24"/>
        </w:rPr>
        <w:t xml:space="preserve"> </w:t>
      </w:r>
      <w:proofErr w:type="spellStart"/>
      <w:r w:rsidR="00961E95" w:rsidRPr="000131EF">
        <w:rPr>
          <w:i/>
          <w:szCs w:val="24"/>
        </w:rPr>
        <w:t>pyogenes</w:t>
      </w:r>
      <w:proofErr w:type="spellEnd"/>
      <w:r w:rsidR="00961E95" w:rsidRPr="000131EF">
        <w:rPr>
          <w:szCs w:val="24"/>
        </w:rPr>
        <w:t xml:space="preserve">. </w:t>
      </w:r>
    </w:p>
    <w:p w:rsidR="00DF32BE" w:rsidRPr="000131EF" w:rsidRDefault="00DF32BE" w:rsidP="000131EF">
      <w:pPr>
        <w:pStyle w:val="Sidehoved"/>
        <w:tabs>
          <w:tab w:val="clear" w:pos="4819"/>
          <w:tab w:val="clear" w:pos="9638"/>
          <w:tab w:val="left" w:pos="8222"/>
        </w:tabs>
        <w:ind w:left="851" w:hanging="851"/>
        <w:jc w:val="both"/>
        <w:rPr>
          <w:szCs w:val="24"/>
        </w:rPr>
      </w:pPr>
    </w:p>
    <w:p w:rsidR="00DF32BE" w:rsidRPr="000131EF" w:rsidRDefault="00DF32BE" w:rsidP="000131EF">
      <w:pPr>
        <w:pStyle w:val="Sidehoved"/>
        <w:tabs>
          <w:tab w:val="clear" w:pos="4819"/>
          <w:tab w:val="clear" w:pos="9638"/>
          <w:tab w:val="left" w:pos="851"/>
          <w:tab w:val="left" w:pos="8222"/>
        </w:tabs>
        <w:ind w:left="851" w:hanging="851"/>
        <w:rPr>
          <w:b/>
          <w:szCs w:val="24"/>
        </w:rPr>
      </w:pPr>
      <w:r w:rsidRPr="000131EF">
        <w:rPr>
          <w:b/>
          <w:szCs w:val="24"/>
        </w:rPr>
        <w:t>4.3</w:t>
      </w:r>
      <w:r w:rsidRPr="000131EF">
        <w:rPr>
          <w:b/>
          <w:szCs w:val="24"/>
        </w:rPr>
        <w:tab/>
        <w:t>Kontraindikationer</w:t>
      </w:r>
    </w:p>
    <w:p w:rsidR="00961E95" w:rsidRPr="000131EF" w:rsidRDefault="000131EF" w:rsidP="000131EF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  <w:bookmarkStart w:id="1" w:name="OLE_LINK1"/>
      <w:r>
        <w:rPr>
          <w:szCs w:val="24"/>
        </w:rPr>
        <w:tab/>
      </w:r>
      <w:r w:rsidR="00961E95" w:rsidRPr="000131EF">
        <w:rPr>
          <w:szCs w:val="24"/>
        </w:rPr>
        <w:t>Må ikke injiceres intravenøst.</w:t>
      </w:r>
      <w:r w:rsidR="00961E95" w:rsidRPr="000131EF">
        <w:rPr>
          <w:szCs w:val="24"/>
          <w:vertAlign w:val="superscript"/>
        </w:rPr>
        <w:t xml:space="preserve"> </w:t>
      </w:r>
    </w:p>
    <w:p w:rsidR="00961E95" w:rsidRPr="000131EF" w:rsidRDefault="00961E95" w:rsidP="000131EF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</w:p>
    <w:p w:rsidR="00961E95" w:rsidRPr="000131EF" w:rsidRDefault="000131EF" w:rsidP="000131EF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  <w:r>
        <w:rPr>
          <w:szCs w:val="24"/>
        </w:rPr>
        <w:tab/>
      </w:r>
      <w:r w:rsidR="00961E95" w:rsidRPr="000131EF">
        <w:rPr>
          <w:szCs w:val="24"/>
        </w:rPr>
        <w:t>Må ikke anvendes til meget små gnavere som marsvin, mus, rotter eller hamstere.</w:t>
      </w:r>
      <w:r w:rsidR="00961E95" w:rsidRPr="000131EF">
        <w:rPr>
          <w:szCs w:val="24"/>
          <w:vertAlign w:val="superscript"/>
        </w:rPr>
        <w:t xml:space="preserve"> </w:t>
      </w:r>
    </w:p>
    <w:bookmarkEnd w:id="1"/>
    <w:p w:rsidR="00961E95" w:rsidRPr="000131EF" w:rsidRDefault="00961E95" w:rsidP="000131EF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</w:p>
    <w:p w:rsidR="00961E95" w:rsidRPr="000131EF" w:rsidRDefault="000131EF" w:rsidP="000131EF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  <w:r>
        <w:rPr>
          <w:szCs w:val="24"/>
        </w:rPr>
        <w:lastRenderedPageBreak/>
        <w:tab/>
      </w:r>
      <w:r w:rsidR="00961E95" w:rsidRPr="000131EF">
        <w:rPr>
          <w:szCs w:val="24"/>
        </w:rPr>
        <w:t>Bør ikke anvendes i tilfælde af overfølsomhed over for det aktive stof eller et eller flere af hjælpestofferne.</w:t>
      </w:r>
    </w:p>
    <w:p w:rsidR="00DF32BE" w:rsidRPr="000131EF" w:rsidRDefault="00DF32BE" w:rsidP="000131EF">
      <w:pPr>
        <w:pStyle w:val="Sidehoved"/>
        <w:tabs>
          <w:tab w:val="clear" w:pos="4819"/>
          <w:tab w:val="clear" w:pos="9638"/>
          <w:tab w:val="left" w:pos="8222"/>
        </w:tabs>
        <w:ind w:left="851" w:hanging="851"/>
        <w:jc w:val="both"/>
        <w:rPr>
          <w:szCs w:val="24"/>
        </w:rPr>
      </w:pPr>
    </w:p>
    <w:p w:rsidR="00DF32BE" w:rsidRPr="000131EF" w:rsidRDefault="00DF32BE" w:rsidP="000131E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0131EF">
        <w:rPr>
          <w:b/>
          <w:sz w:val="24"/>
          <w:szCs w:val="24"/>
        </w:rPr>
        <w:t>4.4</w:t>
      </w:r>
      <w:r w:rsidRPr="000131EF">
        <w:rPr>
          <w:b/>
          <w:sz w:val="24"/>
          <w:szCs w:val="24"/>
        </w:rPr>
        <w:tab/>
        <w:t>Sæ</w:t>
      </w:r>
      <w:r w:rsidR="001577E4" w:rsidRPr="000131EF">
        <w:rPr>
          <w:b/>
          <w:sz w:val="24"/>
          <w:szCs w:val="24"/>
        </w:rPr>
        <w:t>rlige advarsler</w:t>
      </w:r>
    </w:p>
    <w:p w:rsidR="00961E95" w:rsidRPr="000131EF" w:rsidRDefault="00961E95" w:rsidP="000131E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0131EF">
        <w:rPr>
          <w:sz w:val="24"/>
          <w:szCs w:val="24"/>
        </w:rPr>
        <w:tab/>
        <w:t>Ingen.</w:t>
      </w:r>
      <w:r w:rsidRPr="000131EF">
        <w:rPr>
          <w:sz w:val="24"/>
          <w:szCs w:val="24"/>
          <w:vertAlign w:val="superscript"/>
        </w:rPr>
        <w:t xml:space="preserve"> </w:t>
      </w:r>
    </w:p>
    <w:p w:rsidR="00DF32BE" w:rsidRPr="000131EF" w:rsidRDefault="00DF32BE" w:rsidP="000131EF">
      <w:pPr>
        <w:pStyle w:val="Sidehoved"/>
        <w:tabs>
          <w:tab w:val="clear" w:pos="4819"/>
          <w:tab w:val="clear" w:pos="9638"/>
          <w:tab w:val="left" w:pos="8222"/>
        </w:tabs>
        <w:ind w:left="851" w:hanging="851"/>
        <w:jc w:val="both"/>
        <w:rPr>
          <w:szCs w:val="24"/>
        </w:rPr>
      </w:pPr>
    </w:p>
    <w:p w:rsidR="00DF32BE" w:rsidRPr="000131EF" w:rsidRDefault="00DF32BE" w:rsidP="000131E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0131EF">
        <w:rPr>
          <w:b/>
          <w:sz w:val="24"/>
          <w:szCs w:val="24"/>
        </w:rPr>
        <w:t>4.5</w:t>
      </w:r>
      <w:r w:rsidRPr="000131EF">
        <w:rPr>
          <w:b/>
          <w:sz w:val="24"/>
          <w:szCs w:val="24"/>
        </w:rPr>
        <w:tab/>
        <w:t>Særlige forsigtighedsregler vedrørende brugen</w:t>
      </w:r>
    </w:p>
    <w:p w:rsidR="00DF32BE" w:rsidRPr="000131EF" w:rsidRDefault="00DF32BE" w:rsidP="000131E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0131EF">
        <w:rPr>
          <w:b/>
          <w:sz w:val="24"/>
          <w:szCs w:val="24"/>
        </w:rPr>
        <w:tab/>
      </w:r>
    </w:p>
    <w:p w:rsidR="00DF32BE" w:rsidRPr="000131EF" w:rsidRDefault="00DF32BE" w:rsidP="000131E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0131EF">
        <w:rPr>
          <w:b/>
          <w:sz w:val="24"/>
          <w:szCs w:val="24"/>
        </w:rPr>
        <w:tab/>
        <w:t>Særlige forsigtighedsregler for dyret</w:t>
      </w:r>
    </w:p>
    <w:p w:rsidR="00961E95" w:rsidRPr="000131EF" w:rsidRDefault="00DF32BE" w:rsidP="000131EF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 w:rsidRPr="000131EF">
        <w:rPr>
          <w:sz w:val="24"/>
          <w:szCs w:val="24"/>
        </w:rPr>
        <w:tab/>
      </w:r>
      <w:r w:rsidR="00961E95" w:rsidRPr="000131EF">
        <w:rPr>
          <w:sz w:val="24"/>
          <w:szCs w:val="24"/>
        </w:rPr>
        <w:t>Brug af præparatet bør baseres på følsomhedstest og tage hensyn til officiel og lokal antibiotikapolitik.</w:t>
      </w:r>
    </w:p>
    <w:p w:rsidR="00DF32BE" w:rsidRPr="000131EF" w:rsidRDefault="00DF32BE" w:rsidP="000131E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F32BE" w:rsidRPr="000131EF" w:rsidRDefault="00DF32BE" w:rsidP="000131E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0131EF">
        <w:rPr>
          <w:sz w:val="24"/>
          <w:szCs w:val="24"/>
        </w:rPr>
        <w:tab/>
      </w:r>
      <w:r w:rsidRPr="000131EF">
        <w:rPr>
          <w:b/>
          <w:sz w:val="24"/>
          <w:szCs w:val="24"/>
        </w:rPr>
        <w:t>Særlige forsigtighedsregler for personer, der administrerer lægemidlet</w:t>
      </w:r>
    </w:p>
    <w:p w:rsidR="00961E95" w:rsidRPr="000131EF" w:rsidRDefault="00961E95" w:rsidP="000131EF">
      <w:pPr>
        <w:numPr>
          <w:ilvl w:val="0"/>
          <w:numId w:val="7"/>
        </w:numPr>
        <w:ind w:left="1276" w:hanging="425"/>
        <w:rPr>
          <w:sz w:val="24"/>
          <w:szCs w:val="24"/>
        </w:rPr>
      </w:pPr>
      <w:r w:rsidRPr="000131EF">
        <w:rPr>
          <w:sz w:val="24"/>
          <w:szCs w:val="24"/>
        </w:rPr>
        <w:t xml:space="preserve">Penicilliner og </w:t>
      </w:r>
      <w:proofErr w:type="spellStart"/>
      <w:r w:rsidRPr="000131EF">
        <w:rPr>
          <w:sz w:val="24"/>
          <w:szCs w:val="24"/>
        </w:rPr>
        <w:t>cefalosporiner</w:t>
      </w:r>
      <w:proofErr w:type="spellEnd"/>
      <w:r w:rsidRPr="000131EF">
        <w:rPr>
          <w:sz w:val="24"/>
          <w:szCs w:val="24"/>
        </w:rPr>
        <w:t xml:space="preserve"> kan forårsage overfølsomhed (allergi) efter injektion, inhalering, indtagelse eller kontakt med huden. Overfølsomhed over for penicilliner kan føre til kryds-følsomhed over for </w:t>
      </w:r>
      <w:proofErr w:type="spellStart"/>
      <w:r w:rsidRPr="000131EF">
        <w:rPr>
          <w:sz w:val="24"/>
          <w:szCs w:val="24"/>
        </w:rPr>
        <w:t>cefalosporiner</w:t>
      </w:r>
      <w:proofErr w:type="spellEnd"/>
      <w:r w:rsidRPr="000131EF">
        <w:rPr>
          <w:sz w:val="24"/>
          <w:szCs w:val="24"/>
        </w:rPr>
        <w:t xml:space="preserve"> og omvendt. Allergiske reaktioner forårsaget af disse stoffer kan lejlighedsvis være alvorlige.</w:t>
      </w:r>
    </w:p>
    <w:p w:rsidR="00961E95" w:rsidRPr="000131EF" w:rsidRDefault="00961E95" w:rsidP="000131EF">
      <w:pPr>
        <w:numPr>
          <w:ilvl w:val="0"/>
          <w:numId w:val="7"/>
        </w:numPr>
        <w:ind w:left="1276" w:hanging="425"/>
        <w:rPr>
          <w:sz w:val="24"/>
          <w:szCs w:val="24"/>
        </w:rPr>
      </w:pPr>
      <w:r w:rsidRPr="000131EF">
        <w:rPr>
          <w:sz w:val="24"/>
          <w:szCs w:val="24"/>
        </w:rPr>
        <w:t>Håndter ikke dette lægemiddel, hvis du ved, at du er overfølsom, eller hvis du er blevet frarådet at arbejde med sådanne præparater.</w:t>
      </w:r>
    </w:p>
    <w:p w:rsidR="00961E95" w:rsidRPr="000131EF" w:rsidRDefault="00961E95" w:rsidP="000131EF">
      <w:pPr>
        <w:pStyle w:val="Brdtekstindrykning2"/>
        <w:numPr>
          <w:ilvl w:val="0"/>
          <w:numId w:val="7"/>
        </w:numPr>
        <w:spacing w:after="0" w:line="240" w:lineRule="auto"/>
        <w:ind w:left="1276" w:hanging="425"/>
        <w:rPr>
          <w:szCs w:val="24"/>
        </w:rPr>
      </w:pPr>
      <w:r w:rsidRPr="000131EF">
        <w:rPr>
          <w:szCs w:val="24"/>
        </w:rPr>
        <w:t>Håndter dette lægemiddel med stor forsigtighed og under iagttagelse af alle fornødne forholdsregler for at undgå eksponering.</w:t>
      </w:r>
    </w:p>
    <w:p w:rsidR="00961E95" w:rsidRPr="000131EF" w:rsidRDefault="00961E95" w:rsidP="000131EF">
      <w:pPr>
        <w:pStyle w:val="Brdtekstindrykning2"/>
        <w:numPr>
          <w:ilvl w:val="0"/>
          <w:numId w:val="7"/>
        </w:numPr>
        <w:spacing w:after="0" w:line="240" w:lineRule="auto"/>
        <w:ind w:left="1276" w:hanging="425"/>
        <w:rPr>
          <w:szCs w:val="24"/>
        </w:rPr>
      </w:pPr>
      <w:r w:rsidRPr="000131EF">
        <w:rPr>
          <w:szCs w:val="24"/>
        </w:rPr>
        <w:t>Hvis du udvikler symptomer efter kontakt med dette lægemiddel, så som hududslæt, bør du søge læge og vise lægen denne advarsel. Hævelse af ansigt, læber eller øjne, og</w:t>
      </w:r>
      <w:r w:rsidR="000131EF">
        <w:rPr>
          <w:szCs w:val="24"/>
        </w:rPr>
        <w:t xml:space="preserve"> </w:t>
      </w:r>
      <w:r w:rsidRPr="000131EF">
        <w:rPr>
          <w:szCs w:val="24"/>
        </w:rPr>
        <w:t>åndedrætsbesvær er alvorlige symptomer, der kræver øjeblikkelig lægehjælp.</w:t>
      </w:r>
      <w:r w:rsidRPr="000131EF">
        <w:rPr>
          <w:szCs w:val="24"/>
          <w:vertAlign w:val="superscript"/>
        </w:rPr>
        <w:t xml:space="preserve"> </w:t>
      </w:r>
    </w:p>
    <w:p w:rsidR="00961E95" w:rsidRPr="000131EF" w:rsidRDefault="00961E95" w:rsidP="000131EF">
      <w:pPr>
        <w:pStyle w:val="Brdtekstindrykning2"/>
        <w:numPr>
          <w:ilvl w:val="0"/>
          <w:numId w:val="7"/>
        </w:numPr>
        <w:spacing w:after="0" w:line="240" w:lineRule="auto"/>
        <w:ind w:left="1276" w:hanging="425"/>
        <w:rPr>
          <w:szCs w:val="24"/>
        </w:rPr>
      </w:pPr>
      <w:r w:rsidRPr="000131EF">
        <w:rPr>
          <w:szCs w:val="24"/>
        </w:rPr>
        <w:t>Hvis produktet ved et uheld kommer i kontakt med øjnene, skylles øjeblikkeligt med rigelige mængder vand. Utilsigtet spild på huden bør øjeblikkeligt vaskes af med sæbe og vand. I tilfælde af selvinjektion ved hændeligt uheld skal der straks søges lægehjælp, og indlægssedlen eller etiketten bør vises til lægen.</w:t>
      </w:r>
      <w:r w:rsidRPr="000131EF">
        <w:rPr>
          <w:szCs w:val="24"/>
          <w:vertAlign w:val="superscript"/>
        </w:rPr>
        <w:t xml:space="preserve"> </w:t>
      </w:r>
    </w:p>
    <w:p w:rsidR="00DF32BE" w:rsidRPr="000131EF" w:rsidRDefault="00DF32BE" w:rsidP="000131E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F32BE" w:rsidRPr="000131EF" w:rsidRDefault="00DF32BE" w:rsidP="000131E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0131EF">
        <w:rPr>
          <w:sz w:val="24"/>
          <w:szCs w:val="24"/>
        </w:rPr>
        <w:tab/>
      </w:r>
      <w:r w:rsidRPr="000131EF">
        <w:rPr>
          <w:b/>
          <w:sz w:val="24"/>
          <w:szCs w:val="24"/>
        </w:rPr>
        <w:t>Andre forsigtighedsregler</w:t>
      </w:r>
    </w:p>
    <w:p w:rsidR="00961E95" w:rsidRPr="000131EF" w:rsidRDefault="00961E95" w:rsidP="000131EF">
      <w:pPr>
        <w:ind w:left="851"/>
        <w:jc w:val="both"/>
        <w:rPr>
          <w:iCs/>
          <w:sz w:val="24"/>
          <w:szCs w:val="24"/>
        </w:rPr>
      </w:pPr>
      <w:r w:rsidRPr="000131EF">
        <w:rPr>
          <w:sz w:val="24"/>
          <w:szCs w:val="24"/>
        </w:rPr>
        <w:t>-</w:t>
      </w:r>
    </w:p>
    <w:p w:rsidR="00DF32BE" w:rsidRPr="000131EF" w:rsidRDefault="00DF32BE" w:rsidP="000131E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F32BE" w:rsidRPr="000131EF" w:rsidRDefault="00DF32BE" w:rsidP="000131E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0131EF">
        <w:rPr>
          <w:b/>
          <w:sz w:val="24"/>
          <w:szCs w:val="24"/>
        </w:rPr>
        <w:t>4.6</w:t>
      </w:r>
      <w:r w:rsidRPr="000131EF">
        <w:rPr>
          <w:b/>
          <w:sz w:val="24"/>
          <w:szCs w:val="24"/>
        </w:rPr>
        <w:tab/>
        <w:t>Bivirkninger</w:t>
      </w:r>
    </w:p>
    <w:p w:rsidR="00961E95" w:rsidRPr="000131EF" w:rsidRDefault="00DF32BE" w:rsidP="000131EF">
      <w:pPr>
        <w:ind w:left="851" w:hanging="851"/>
        <w:rPr>
          <w:sz w:val="24"/>
          <w:szCs w:val="24"/>
        </w:rPr>
      </w:pPr>
      <w:r w:rsidRPr="000131EF">
        <w:rPr>
          <w:sz w:val="24"/>
          <w:szCs w:val="24"/>
        </w:rPr>
        <w:tab/>
      </w:r>
      <w:r w:rsidR="00961E95" w:rsidRPr="000131EF">
        <w:rPr>
          <w:sz w:val="24"/>
          <w:szCs w:val="24"/>
        </w:rPr>
        <w:t xml:space="preserve">Hos pattegrise og slagtesvin kan der optræde forbigående feber, opkastning, kulderystninger, sløvhed og manglende koordination. Allergiske reaktioner kan udvikles. Derudover er der hos drægtige søer og </w:t>
      </w:r>
      <w:proofErr w:type="spellStart"/>
      <w:r w:rsidR="00961E95" w:rsidRPr="000131EF">
        <w:rPr>
          <w:sz w:val="24"/>
          <w:szCs w:val="24"/>
        </w:rPr>
        <w:t>gylte</w:t>
      </w:r>
      <w:proofErr w:type="spellEnd"/>
      <w:r w:rsidR="00961E95" w:rsidRPr="000131EF">
        <w:rPr>
          <w:sz w:val="24"/>
          <w:szCs w:val="24"/>
        </w:rPr>
        <w:t xml:space="preserve"> rapporteret om udflåd fra </w:t>
      </w:r>
      <w:proofErr w:type="spellStart"/>
      <w:r w:rsidR="00961E95" w:rsidRPr="000131EF">
        <w:rPr>
          <w:sz w:val="24"/>
          <w:szCs w:val="24"/>
        </w:rPr>
        <w:t>vulva</w:t>
      </w:r>
      <w:proofErr w:type="spellEnd"/>
      <w:r w:rsidR="00961E95" w:rsidRPr="000131EF">
        <w:rPr>
          <w:sz w:val="24"/>
          <w:szCs w:val="24"/>
        </w:rPr>
        <w:t>, som kan associeres med abort.</w:t>
      </w:r>
    </w:p>
    <w:p w:rsidR="00961E95" w:rsidRPr="000131EF" w:rsidRDefault="00961E95" w:rsidP="000131EF">
      <w:pPr>
        <w:ind w:left="851" w:hanging="851"/>
        <w:rPr>
          <w:sz w:val="24"/>
          <w:szCs w:val="24"/>
        </w:rPr>
      </w:pPr>
    </w:p>
    <w:p w:rsidR="00961E95" w:rsidRPr="000131EF" w:rsidRDefault="00961E95" w:rsidP="000131EF">
      <w:pPr>
        <w:tabs>
          <w:tab w:val="left" w:pos="851"/>
        </w:tabs>
        <w:spacing w:after="120" w:line="280" w:lineRule="exact"/>
        <w:ind w:left="851" w:hanging="851"/>
        <w:rPr>
          <w:sz w:val="24"/>
          <w:szCs w:val="24"/>
        </w:rPr>
      </w:pPr>
      <w:r w:rsidRPr="000131EF">
        <w:rPr>
          <w:sz w:val="24"/>
          <w:szCs w:val="24"/>
        </w:rPr>
        <w:tab/>
        <w:t>Forbigående lokale irritationer ved injektionsstedet kan forekomme i sjældne tilfælde.</w:t>
      </w:r>
      <w:r w:rsidRPr="000131EF">
        <w:rPr>
          <w:sz w:val="24"/>
          <w:szCs w:val="24"/>
          <w:vertAlign w:val="superscript"/>
        </w:rPr>
        <w:t xml:space="preserve"> </w:t>
      </w:r>
    </w:p>
    <w:p w:rsidR="00961E95" w:rsidRPr="000131EF" w:rsidRDefault="00961E95" w:rsidP="000131EF">
      <w:pPr>
        <w:ind w:left="851"/>
        <w:rPr>
          <w:iCs/>
          <w:sz w:val="24"/>
          <w:szCs w:val="24"/>
        </w:rPr>
      </w:pPr>
      <w:r w:rsidRPr="000131EF">
        <w:rPr>
          <w:iCs/>
          <w:sz w:val="24"/>
          <w:szCs w:val="24"/>
        </w:rPr>
        <w:t>I tilfælde af bivirkninger skal dyret behandles symptomatisk.</w:t>
      </w:r>
    </w:p>
    <w:p w:rsidR="00DF32BE" w:rsidRPr="000131EF" w:rsidRDefault="00DF32BE" w:rsidP="000131E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F32BE" w:rsidRPr="000131EF" w:rsidRDefault="00DF32BE" w:rsidP="000131E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0131EF">
        <w:rPr>
          <w:b/>
          <w:sz w:val="24"/>
          <w:szCs w:val="24"/>
        </w:rPr>
        <w:t>4.7</w:t>
      </w:r>
      <w:r w:rsidRPr="000131EF">
        <w:rPr>
          <w:b/>
          <w:sz w:val="24"/>
          <w:szCs w:val="24"/>
        </w:rPr>
        <w:tab/>
        <w:t>Drægtighed, diegivning eller æglægning</w:t>
      </w:r>
    </w:p>
    <w:p w:rsidR="00961E95" w:rsidRPr="000131EF" w:rsidRDefault="00DF32BE" w:rsidP="000131E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0131EF">
        <w:rPr>
          <w:sz w:val="24"/>
          <w:szCs w:val="24"/>
        </w:rPr>
        <w:tab/>
      </w:r>
      <w:r w:rsidR="00961E95" w:rsidRPr="000131EF">
        <w:rPr>
          <w:sz w:val="24"/>
          <w:szCs w:val="24"/>
        </w:rPr>
        <w:t xml:space="preserve">Kan anvendes under drægtighed og diegivning. </w:t>
      </w:r>
    </w:p>
    <w:p w:rsidR="00961E95" w:rsidRPr="000131EF" w:rsidRDefault="000131EF" w:rsidP="000131E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961E95" w:rsidRPr="000131EF">
        <w:rPr>
          <w:sz w:val="24"/>
          <w:szCs w:val="24"/>
        </w:rPr>
        <w:t xml:space="preserve">Hos drægtige søer og </w:t>
      </w:r>
      <w:proofErr w:type="spellStart"/>
      <w:r w:rsidR="00961E95" w:rsidRPr="000131EF">
        <w:rPr>
          <w:sz w:val="24"/>
          <w:szCs w:val="24"/>
        </w:rPr>
        <w:t>gylte</w:t>
      </w:r>
      <w:proofErr w:type="spellEnd"/>
      <w:r w:rsidR="00961E95" w:rsidRPr="000131EF">
        <w:rPr>
          <w:sz w:val="24"/>
          <w:szCs w:val="24"/>
        </w:rPr>
        <w:t xml:space="preserve"> er der rapporteret om udflåd fra </w:t>
      </w:r>
      <w:proofErr w:type="spellStart"/>
      <w:r w:rsidR="00961E95" w:rsidRPr="000131EF">
        <w:rPr>
          <w:sz w:val="24"/>
          <w:szCs w:val="24"/>
        </w:rPr>
        <w:t>vulva</w:t>
      </w:r>
      <w:proofErr w:type="spellEnd"/>
      <w:r w:rsidR="00961E95" w:rsidRPr="000131EF">
        <w:rPr>
          <w:sz w:val="24"/>
          <w:szCs w:val="24"/>
        </w:rPr>
        <w:t>, som kan associeres med abort.</w:t>
      </w:r>
    </w:p>
    <w:p w:rsidR="00DF32BE" w:rsidRPr="000131EF" w:rsidRDefault="00DF32BE" w:rsidP="000131E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F32BE" w:rsidRPr="000131EF" w:rsidRDefault="00DF32BE" w:rsidP="000131E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0131EF">
        <w:rPr>
          <w:b/>
          <w:sz w:val="24"/>
          <w:szCs w:val="24"/>
        </w:rPr>
        <w:t>4.8</w:t>
      </w:r>
      <w:r w:rsidRPr="000131EF">
        <w:rPr>
          <w:b/>
          <w:sz w:val="24"/>
          <w:szCs w:val="24"/>
        </w:rPr>
        <w:tab/>
        <w:t>Interaktion med andre lægemidler og andre former for interaktion</w:t>
      </w:r>
    </w:p>
    <w:p w:rsidR="00961E95" w:rsidRPr="000131EF" w:rsidRDefault="00961E95" w:rsidP="000131EF">
      <w:pPr>
        <w:ind w:left="851"/>
        <w:rPr>
          <w:sz w:val="24"/>
          <w:szCs w:val="24"/>
        </w:rPr>
      </w:pPr>
      <w:r w:rsidRPr="000131EF">
        <w:rPr>
          <w:sz w:val="24"/>
          <w:szCs w:val="24"/>
        </w:rPr>
        <w:t xml:space="preserve">Den </w:t>
      </w:r>
      <w:proofErr w:type="spellStart"/>
      <w:r w:rsidRPr="000131EF">
        <w:rPr>
          <w:sz w:val="24"/>
          <w:szCs w:val="24"/>
        </w:rPr>
        <w:t>bakteriocide</w:t>
      </w:r>
      <w:proofErr w:type="spellEnd"/>
      <w:r w:rsidRPr="000131EF">
        <w:rPr>
          <w:sz w:val="24"/>
          <w:szCs w:val="24"/>
        </w:rPr>
        <w:t xml:space="preserve"> virkning hæmmes ved samtidig indgift med </w:t>
      </w:r>
      <w:proofErr w:type="spellStart"/>
      <w:r w:rsidRPr="000131EF">
        <w:rPr>
          <w:sz w:val="24"/>
          <w:szCs w:val="24"/>
        </w:rPr>
        <w:t>bakteriostatisk</w:t>
      </w:r>
      <w:proofErr w:type="spellEnd"/>
      <w:r w:rsidRPr="000131EF">
        <w:rPr>
          <w:sz w:val="24"/>
          <w:szCs w:val="24"/>
        </w:rPr>
        <w:t xml:space="preserve"> virkende lægemidler, f.eks. </w:t>
      </w:r>
      <w:proofErr w:type="spellStart"/>
      <w:r w:rsidRPr="000131EF">
        <w:rPr>
          <w:sz w:val="24"/>
          <w:szCs w:val="24"/>
        </w:rPr>
        <w:t>tetracyclin</w:t>
      </w:r>
      <w:proofErr w:type="spellEnd"/>
      <w:r w:rsidRPr="000131EF">
        <w:rPr>
          <w:sz w:val="24"/>
          <w:szCs w:val="24"/>
        </w:rPr>
        <w:t xml:space="preserve">, </w:t>
      </w:r>
      <w:proofErr w:type="spellStart"/>
      <w:r w:rsidRPr="000131EF">
        <w:rPr>
          <w:sz w:val="24"/>
          <w:szCs w:val="24"/>
        </w:rPr>
        <w:t>chloramphe</w:t>
      </w:r>
      <w:r w:rsidRPr="000131EF">
        <w:rPr>
          <w:sz w:val="24"/>
          <w:szCs w:val="24"/>
        </w:rPr>
        <w:softHyphen/>
        <w:t>nicol</w:t>
      </w:r>
      <w:proofErr w:type="spellEnd"/>
      <w:r w:rsidRPr="000131EF">
        <w:rPr>
          <w:sz w:val="24"/>
          <w:szCs w:val="24"/>
        </w:rPr>
        <w:t xml:space="preserve">, </w:t>
      </w:r>
      <w:proofErr w:type="spellStart"/>
      <w:r w:rsidRPr="000131EF">
        <w:rPr>
          <w:sz w:val="24"/>
          <w:szCs w:val="24"/>
        </w:rPr>
        <w:t>erythromycin</w:t>
      </w:r>
      <w:proofErr w:type="spellEnd"/>
      <w:r w:rsidRPr="000131EF">
        <w:rPr>
          <w:sz w:val="24"/>
          <w:szCs w:val="24"/>
        </w:rPr>
        <w:t xml:space="preserve"> og </w:t>
      </w:r>
      <w:proofErr w:type="spellStart"/>
      <w:r w:rsidRPr="000131EF">
        <w:rPr>
          <w:sz w:val="24"/>
          <w:szCs w:val="24"/>
        </w:rPr>
        <w:t>lincomycin</w:t>
      </w:r>
      <w:proofErr w:type="spellEnd"/>
      <w:r w:rsidRPr="000131EF">
        <w:rPr>
          <w:sz w:val="24"/>
          <w:szCs w:val="24"/>
        </w:rPr>
        <w:t>.</w:t>
      </w:r>
      <w:r w:rsidRPr="000131EF">
        <w:rPr>
          <w:sz w:val="24"/>
          <w:szCs w:val="24"/>
          <w:vertAlign w:val="superscript"/>
        </w:rPr>
        <w:t xml:space="preserve"> </w:t>
      </w:r>
    </w:p>
    <w:p w:rsidR="00961E95" w:rsidRPr="000131EF" w:rsidRDefault="00961E95" w:rsidP="000131EF">
      <w:pPr>
        <w:ind w:left="851"/>
        <w:rPr>
          <w:iCs/>
          <w:sz w:val="24"/>
          <w:szCs w:val="24"/>
        </w:rPr>
      </w:pPr>
      <w:r w:rsidRPr="000131EF">
        <w:rPr>
          <w:iCs/>
          <w:sz w:val="24"/>
          <w:szCs w:val="24"/>
        </w:rPr>
        <w:lastRenderedPageBreak/>
        <w:t xml:space="preserve">Vandopløselige penicilliner er uforligelige med </w:t>
      </w:r>
      <w:proofErr w:type="spellStart"/>
      <w:r w:rsidRPr="000131EF">
        <w:rPr>
          <w:iCs/>
          <w:sz w:val="24"/>
          <w:szCs w:val="24"/>
        </w:rPr>
        <w:t>metalioner</w:t>
      </w:r>
      <w:proofErr w:type="spellEnd"/>
      <w:r w:rsidRPr="000131EF">
        <w:rPr>
          <w:iCs/>
          <w:sz w:val="24"/>
          <w:szCs w:val="24"/>
        </w:rPr>
        <w:t xml:space="preserve">, aminosyrer, </w:t>
      </w:r>
      <w:proofErr w:type="spellStart"/>
      <w:r w:rsidRPr="000131EF">
        <w:rPr>
          <w:iCs/>
          <w:sz w:val="24"/>
          <w:szCs w:val="24"/>
        </w:rPr>
        <w:t>ascorbinsyre</w:t>
      </w:r>
      <w:proofErr w:type="spellEnd"/>
      <w:r w:rsidRPr="000131EF">
        <w:rPr>
          <w:iCs/>
          <w:sz w:val="24"/>
          <w:szCs w:val="24"/>
        </w:rPr>
        <w:t xml:space="preserve">, </w:t>
      </w:r>
      <w:proofErr w:type="spellStart"/>
      <w:r w:rsidRPr="000131EF">
        <w:rPr>
          <w:iCs/>
          <w:sz w:val="24"/>
          <w:szCs w:val="24"/>
        </w:rPr>
        <w:t>heparin</w:t>
      </w:r>
      <w:proofErr w:type="spellEnd"/>
      <w:r w:rsidRPr="000131EF">
        <w:rPr>
          <w:iCs/>
          <w:sz w:val="24"/>
          <w:szCs w:val="24"/>
        </w:rPr>
        <w:t xml:space="preserve"> og vitaminer fra B-vitamingruppen.</w:t>
      </w:r>
    </w:p>
    <w:p w:rsidR="00961E95" w:rsidRPr="000131EF" w:rsidRDefault="00961E95" w:rsidP="000131EF">
      <w:pPr>
        <w:ind w:firstLine="851"/>
        <w:rPr>
          <w:iCs/>
          <w:sz w:val="24"/>
          <w:szCs w:val="24"/>
        </w:rPr>
      </w:pPr>
      <w:r w:rsidRPr="000131EF">
        <w:rPr>
          <w:iCs/>
          <w:sz w:val="24"/>
          <w:szCs w:val="24"/>
        </w:rPr>
        <w:t xml:space="preserve">Penicilliner kan forøge virkningen af </w:t>
      </w:r>
      <w:proofErr w:type="spellStart"/>
      <w:r w:rsidRPr="000131EF">
        <w:rPr>
          <w:iCs/>
          <w:sz w:val="24"/>
          <w:szCs w:val="24"/>
        </w:rPr>
        <w:t>aminoglycosider</w:t>
      </w:r>
      <w:proofErr w:type="spellEnd"/>
      <w:r w:rsidRPr="000131EF">
        <w:rPr>
          <w:iCs/>
          <w:sz w:val="24"/>
          <w:szCs w:val="24"/>
        </w:rPr>
        <w:t>.</w:t>
      </w:r>
    </w:p>
    <w:p w:rsidR="00961E95" w:rsidRPr="000131EF" w:rsidRDefault="00961E95" w:rsidP="000131EF">
      <w:pPr>
        <w:ind w:firstLine="851"/>
        <w:rPr>
          <w:iCs/>
          <w:sz w:val="24"/>
          <w:szCs w:val="24"/>
        </w:rPr>
      </w:pPr>
      <w:r w:rsidRPr="000131EF">
        <w:rPr>
          <w:iCs/>
          <w:sz w:val="24"/>
          <w:szCs w:val="24"/>
        </w:rPr>
        <w:t xml:space="preserve">Udskillelsen af </w:t>
      </w:r>
      <w:proofErr w:type="spellStart"/>
      <w:r w:rsidRPr="000131EF">
        <w:rPr>
          <w:iCs/>
          <w:sz w:val="24"/>
          <w:szCs w:val="24"/>
        </w:rPr>
        <w:t>benzylpenicillin</w:t>
      </w:r>
      <w:proofErr w:type="spellEnd"/>
      <w:r w:rsidRPr="000131EF">
        <w:rPr>
          <w:iCs/>
          <w:sz w:val="24"/>
          <w:szCs w:val="24"/>
        </w:rPr>
        <w:t xml:space="preserve"> forlænges af </w:t>
      </w:r>
      <w:proofErr w:type="spellStart"/>
      <w:r w:rsidRPr="000131EF">
        <w:rPr>
          <w:iCs/>
          <w:sz w:val="24"/>
          <w:szCs w:val="24"/>
        </w:rPr>
        <w:t>fenylbutazon</w:t>
      </w:r>
      <w:proofErr w:type="spellEnd"/>
      <w:r w:rsidRPr="000131EF">
        <w:rPr>
          <w:iCs/>
          <w:sz w:val="24"/>
          <w:szCs w:val="24"/>
        </w:rPr>
        <w:t xml:space="preserve"> og acetylsalicylsyre.</w:t>
      </w:r>
    </w:p>
    <w:p w:rsidR="00961E95" w:rsidRPr="000131EF" w:rsidRDefault="00961E95" w:rsidP="000131EF">
      <w:pPr>
        <w:ind w:firstLine="851"/>
        <w:rPr>
          <w:sz w:val="24"/>
          <w:szCs w:val="24"/>
        </w:rPr>
      </w:pPr>
      <w:proofErr w:type="spellStart"/>
      <w:r w:rsidRPr="000131EF">
        <w:rPr>
          <w:iCs/>
          <w:sz w:val="24"/>
          <w:szCs w:val="24"/>
        </w:rPr>
        <w:t>Cholinesterasehæmmere</w:t>
      </w:r>
      <w:proofErr w:type="spellEnd"/>
      <w:r w:rsidRPr="000131EF">
        <w:rPr>
          <w:iCs/>
          <w:sz w:val="24"/>
          <w:szCs w:val="24"/>
        </w:rPr>
        <w:t xml:space="preserve"> forsinker nedbrydelsen af </w:t>
      </w:r>
      <w:proofErr w:type="spellStart"/>
      <w:r w:rsidRPr="000131EF">
        <w:rPr>
          <w:iCs/>
          <w:sz w:val="24"/>
          <w:szCs w:val="24"/>
        </w:rPr>
        <w:t>procain</w:t>
      </w:r>
      <w:proofErr w:type="spellEnd"/>
      <w:r w:rsidRPr="000131EF">
        <w:rPr>
          <w:iCs/>
          <w:sz w:val="24"/>
          <w:szCs w:val="24"/>
        </w:rPr>
        <w:t>.</w:t>
      </w:r>
    </w:p>
    <w:p w:rsidR="00DF32BE" w:rsidRPr="000131EF" w:rsidRDefault="00DF32BE" w:rsidP="000131E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F32BE" w:rsidRPr="000131EF" w:rsidRDefault="00DF32BE" w:rsidP="000131E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0131EF">
        <w:rPr>
          <w:b/>
          <w:sz w:val="24"/>
          <w:szCs w:val="24"/>
        </w:rPr>
        <w:t>4.9</w:t>
      </w:r>
      <w:r w:rsidRPr="000131EF">
        <w:rPr>
          <w:b/>
          <w:sz w:val="24"/>
          <w:szCs w:val="24"/>
        </w:rPr>
        <w:tab/>
        <w:t>Dosering og indgivelsesmåde</w:t>
      </w:r>
    </w:p>
    <w:p w:rsidR="00961E95" w:rsidRPr="000131EF" w:rsidRDefault="00961E95" w:rsidP="000131EF">
      <w:pPr>
        <w:spacing w:after="120" w:line="280" w:lineRule="exact"/>
        <w:ind w:left="851"/>
        <w:rPr>
          <w:sz w:val="24"/>
          <w:szCs w:val="24"/>
        </w:rPr>
      </w:pPr>
      <w:r w:rsidRPr="000131EF">
        <w:rPr>
          <w:sz w:val="24"/>
          <w:szCs w:val="24"/>
        </w:rPr>
        <w:t xml:space="preserve">Administration: </w:t>
      </w:r>
      <w:proofErr w:type="spellStart"/>
      <w:r w:rsidRPr="000131EF">
        <w:rPr>
          <w:sz w:val="24"/>
          <w:szCs w:val="24"/>
        </w:rPr>
        <w:t>Intramuskulært</w:t>
      </w:r>
      <w:proofErr w:type="spellEnd"/>
      <w:r w:rsidRPr="000131EF">
        <w:rPr>
          <w:sz w:val="24"/>
          <w:szCs w:val="24"/>
        </w:rPr>
        <w:t>.</w:t>
      </w:r>
      <w:r w:rsidRPr="000131EF">
        <w:rPr>
          <w:sz w:val="24"/>
          <w:szCs w:val="24"/>
          <w:vertAlign w:val="superscript"/>
        </w:rPr>
        <w:t xml:space="preserve"> </w:t>
      </w:r>
    </w:p>
    <w:p w:rsidR="000131EF" w:rsidRDefault="00961E95" w:rsidP="000131E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0131EF">
        <w:rPr>
          <w:sz w:val="24"/>
          <w:szCs w:val="24"/>
        </w:rPr>
        <w:t xml:space="preserve">Anbefalet dosis er 20 mg/kg legemsvægt svarende til 1 ml pr. </w:t>
      </w:r>
      <w:smartTag w:uri="urn:schemas-microsoft-com:office:smarttags" w:element="metricconverter">
        <w:smartTagPr>
          <w:attr w:name="ProductID" w:val="15 kg"/>
        </w:smartTagPr>
        <w:r w:rsidRPr="000131EF">
          <w:rPr>
            <w:sz w:val="24"/>
            <w:szCs w:val="24"/>
          </w:rPr>
          <w:t>15 kg</w:t>
        </w:r>
      </w:smartTag>
      <w:r w:rsidR="000131EF">
        <w:rPr>
          <w:sz w:val="24"/>
          <w:szCs w:val="24"/>
        </w:rPr>
        <w:t xml:space="preserve"> legemsvægt. Om </w:t>
      </w:r>
      <w:r w:rsidRPr="000131EF">
        <w:rPr>
          <w:sz w:val="24"/>
          <w:szCs w:val="24"/>
        </w:rPr>
        <w:t>nødvendigt kan behandlingen gentages efter 72 timer.</w:t>
      </w:r>
    </w:p>
    <w:p w:rsidR="00961E95" w:rsidRPr="000131EF" w:rsidRDefault="00961E95" w:rsidP="000131E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0131EF">
        <w:rPr>
          <w:sz w:val="24"/>
          <w:szCs w:val="24"/>
        </w:rPr>
        <w:t>For at sikre korrekt dosering, og undgå underdosering, skal dyrets vægt bestemmes så nøjagtigt som muligt.</w:t>
      </w:r>
    </w:p>
    <w:p w:rsidR="00961E95" w:rsidRPr="00EE7130" w:rsidRDefault="00961E95" w:rsidP="00EE7130">
      <w:pPr>
        <w:rPr>
          <w:sz w:val="24"/>
          <w:szCs w:val="24"/>
        </w:rPr>
      </w:pPr>
    </w:p>
    <w:p w:rsidR="00961E95" w:rsidRPr="00EE7130" w:rsidRDefault="00961E95" w:rsidP="00EE7130">
      <w:pPr>
        <w:ind w:left="851"/>
        <w:rPr>
          <w:sz w:val="24"/>
          <w:szCs w:val="24"/>
        </w:rPr>
      </w:pPr>
      <w:r w:rsidRPr="00EE7130">
        <w:rPr>
          <w:sz w:val="24"/>
          <w:szCs w:val="24"/>
        </w:rPr>
        <w:t>Omryst flasken grundigt inden brug. Dette produkt indeholder ikke et antimikrobielt konserveringsmiddel. Aftør membranen inden udtag af hver dosis. Brug en tør steril kanyle og injektionssprøjte.</w:t>
      </w:r>
      <w:r w:rsidRPr="00EE7130">
        <w:rPr>
          <w:sz w:val="24"/>
          <w:szCs w:val="24"/>
          <w:vertAlign w:val="superscript"/>
        </w:rPr>
        <w:t xml:space="preserve"> </w:t>
      </w:r>
    </w:p>
    <w:p w:rsidR="00DF32BE" w:rsidRPr="000131EF" w:rsidRDefault="00DF32BE" w:rsidP="000131E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F32BE" w:rsidRPr="000131EF" w:rsidRDefault="00DF32BE" w:rsidP="000131E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0131EF">
        <w:rPr>
          <w:b/>
          <w:sz w:val="24"/>
          <w:szCs w:val="24"/>
        </w:rPr>
        <w:t>4.10</w:t>
      </w:r>
      <w:r w:rsidRPr="000131EF">
        <w:rPr>
          <w:b/>
          <w:sz w:val="24"/>
          <w:szCs w:val="24"/>
        </w:rPr>
        <w:tab/>
        <w:t>Overdosering</w:t>
      </w:r>
    </w:p>
    <w:p w:rsidR="00961E95" w:rsidRPr="000131EF" w:rsidRDefault="00961E95" w:rsidP="000131E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0131EF">
        <w:rPr>
          <w:sz w:val="24"/>
          <w:szCs w:val="24"/>
        </w:rPr>
        <w:tab/>
        <w:t>Ingen kendte.</w:t>
      </w:r>
      <w:r w:rsidRPr="000131EF">
        <w:rPr>
          <w:sz w:val="24"/>
          <w:szCs w:val="24"/>
          <w:vertAlign w:val="superscript"/>
        </w:rPr>
        <w:t xml:space="preserve"> </w:t>
      </w:r>
    </w:p>
    <w:p w:rsidR="00DF32BE" w:rsidRPr="000131EF" w:rsidRDefault="00DF32BE" w:rsidP="000131E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F32BE" w:rsidRPr="000131EF" w:rsidRDefault="00DF32BE" w:rsidP="000131E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0131EF">
        <w:rPr>
          <w:b/>
          <w:sz w:val="24"/>
          <w:szCs w:val="24"/>
        </w:rPr>
        <w:t>4.11</w:t>
      </w:r>
      <w:r w:rsidRPr="000131EF">
        <w:rPr>
          <w:b/>
          <w:sz w:val="24"/>
          <w:szCs w:val="24"/>
        </w:rPr>
        <w:tab/>
        <w:t>Tilbageholdelsestid</w:t>
      </w:r>
    </w:p>
    <w:p w:rsidR="00961E95" w:rsidRPr="000131EF" w:rsidRDefault="00961E95" w:rsidP="000131E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0131EF">
        <w:rPr>
          <w:sz w:val="24"/>
          <w:szCs w:val="24"/>
        </w:rPr>
        <w:tab/>
      </w:r>
      <w:r w:rsidRPr="000131EF">
        <w:rPr>
          <w:i/>
          <w:sz w:val="24"/>
          <w:szCs w:val="24"/>
        </w:rPr>
        <w:t xml:space="preserve">Slagtning: </w:t>
      </w:r>
      <w:r w:rsidRPr="000131EF">
        <w:rPr>
          <w:sz w:val="24"/>
          <w:szCs w:val="24"/>
        </w:rPr>
        <w:t>15 døgn.</w:t>
      </w:r>
      <w:r w:rsidRPr="000131EF">
        <w:rPr>
          <w:sz w:val="24"/>
          <w:szCs w:val="24"/>
          <w:vertAlign w:val="superscript"/>
        </w:rPr>
        <w:t xml:space="preserve"> </w:t>
      </w:r>
    </w:p>
    <w:p w:rsidR="00DF32BE" w:rsidRPr="000131EF" w:rsidRDefault="00DF32BE" w:rsidP="000131EF">
      <w:pPr>
        <w:pStyle w:val="Sidehoved"/>
        <w:tabs>
          <w:tab w:val="clear" w:pos="4819"/>
          <w:tab w:val="clear" w:pos="9638"/>
          <w:tab w:val="left" w:pos="8222"/>
        </w:tabs>
        <w:ind w:left="851" w:hanging="851"/>
        <w:jc w:val="both"/>
        <w:rPr>
          <w:szCs w:val="24"/>
        </w:rPr>
      </w:pPr>
    </w:p>
    <w:p w:rsidR="00DF32BE" w:rsidRPr="000131EF" w:rsidRDefault="00DF32BE" w:rsidP="000131EF">
      <w:pPr>
        <w:tabs>
          <w:tab w:val="left" w:pos="851"/>
          <w:tab w:val="left" w:pos="8222"/>
        </w:tabs>
        <w:ind w:left="851" w:hanging="851"/>
        <w:jc w:val="both"/>
        <w:rPr>
          <w:sz w:val="24"/>
          <w:szCs w:val="24"/>
        </w:rPr>
      </w:pPr>
    </w:p>
    <w:p w:rsidR="00DF32BE" w:rsidRPr="00EE7130" w:rsidRDefault="00DF32BE" w:rsidP="000131EF">
      <w:pPr>
        <w:numPr>
          <w:ilvl w:val="0"/>
          <w:numId w:val="1"/>
        </w:numPr>
        <w:tabs>
          <w:tab w:val="left" w:pos="8222"/>
        </w:tabs>
        <w:ind w:left="851" w:hanging="851"/>
        <w:rPr>
          <w:b/>
          <w:sz w:val="24"/>
          <w:szCs w:val="24"/>
        </w:rPr>
      </w:pPr>
      <w:r w:rsidRPr="00EE7130">
        <w:rPr>
          <w:b/>
          <w:sz w:val="24"/>
          <w:szCs w:val="24"/>
        </w:rPr>
        <w:t>FARMAKOLOGI</w:t>
      </w:r>
      <w:r w:rsidR="001577E4" w:rsidRPr="00EE7130">
        <w:rPr>
          <w:b/>
          <w:sz w:val="24"/>
          <w:szCs w:val="24"/>
        </w:rPr>
        <w:t>SKE EGENSKABER</w:t>
      </w:r>
    </w:p>
    <w:p w:rsidR="00961E95" w:rsidRPr="00EE7130" w:rsidRDefault="00961E95" w:rsidP="000131EF">
      <w:pPr>
        <w:tabs>
          <w:tab w:val="left" w:pos="851"/>
          <w:tab w:val="left" w:pos="2851"/>
          <w:tab w:val="left" w:pos="4569"/>
        </w:tabs>
        <w:ind w:left="851" w:hanging="851"/>
        <w:jc w:val="both"/>
        <w:rPr>
          <w:sz w:val="24"/>
          <w:szCs w:val="24"/>
        </w:rPr>
      </w:pPr>
      <w:r w:rsidRPr="00EE7130">
        <w:rPr>
          <w:sz w:val="24"/>
          <w:szCs w:val="24"/>
        </w:rPr>
        <w:tab/>
      </w:r>
      <w:proofErr w:type="spellStart"/>
      <w:r w:rsidRPr="00EE7130">
        <w:rPr>
          <w:sz w:val="24"/>
          <w:szCs w:val="24"/>
        </w:rPr>
        <w:t>Farmakoterapeutisk</w:t>
      </w:r>
      <w:proofErr w:type="spellEnd"/>
      <w:r w:rsidRPr="00EE7130">
        <w:rPr>
          <w:sz w:val="24"/>
          <w:szCs w:val="24"/>
        </w:rPr>
        <w:t xml:space="preserve"> klassifikation:</w:t>
      </w:r>
      <w:r w:rsidRPr="00EE7130">
        <w:rPr>
          <w:spacing w:val="-3"/>
          <w:sz w:val="24"/>
          <w:szCs w:val="24"/>
        </w:rPr>
        <w:t xml:space="preserve"> </w:t>
      </w:r>
      <w:r w:rsidRPr="00EE7130">
        <w:rPr>
          <w:color w:val="222222"/>
          <w:sz w:val="24"/>
          <w:szCs w:val="24"/>
        </w:rPr>
        <w:t>Beta-</w:t>
      </w:r>
      <w:proofErr w:type="spellStart"/>
      <w:r w:rsidRPr="00EE7130">
        <w:rPr>
          <w:color w:val="222222"/>
          <w:sz w:val="24"/>
          <w:szCs w:val="24"/>
        </w:rPr>
        <w:t>lactamase</w:t>
      </w:r>
      <w:proofErr w:type="spellEnd"/>
      <w:r w:rsidRPr="00EE7130">
        <w:rPr>
          <w:color w:val="222222"/>
          <w:sz w:val="24"/>
          <w:szCs w:val="24"/>
        </w:rPr>
        <w:t>-følsomme penicilliner</w:t>
      </w:r>
      <w:r w:rsidRPr="00EE7130">
        <w:rPr>
          <w:sz w:val="24"/>
          <w:szCs w:val="24"/>
        </w:rPr>
        <w:t xml:space="preserve">, </w:t>
      </w:r>
      <w:proofErr w:type="spellStart"/>
      <w:r w:rsidRPr="00EE7130">
        <w:rPr>
          <w:sz w:val="24"/>
          <w:szCs w:val="24"/>
        </w:rPr>
        <w:t>ATCvet</w:t>
      </w:r>
      <w:proofErr w:type="spellEnd"/>
      <w:r w:rsidRPr="00EE7130">
        <w:rPr>
          <w:sz w:val="24"/>
          <w:szCs w:val="24"/>
        </w:rPr>
        <w:t xml:space="preserve">-kode: </w:t>
      </w:r>
      <w:r w:rsidRPr="00EE7130">
        <w:rPr>
          <w:spacing w:val="-3"/>
          <w:sz w:val="24"/>
          <w:szCs w:val="24"/>
        </w:rPr>
        <w:t>QJ 01 CE 09</w:t>
      </w:r>
    </w:p>
    <w:p w:rsidR="00DF32BE" w:rsidRPr="00EE7130" w:rsidRDefault="00DF32BE" w:rsidP="000131EF">
      <w:pPr>
        <w:tabs>
          <w:tab w:val="left" w:pos="8222"/>
        </w:tabs>
        <w:ind w:left="851" w:hanging="851"/>
        <w:jc w:val="both"/>
        <w:rPr>
          <w:sz w:val="24"/>
          <w:szCs w:val="24"/>
        </w:rPr>
      </w:pPr>
    </w:p>
    <w:p w:rsidR="00DF32BE" w:rsidRPr="000131EF" w:rsidRDefault="00DF32BE" w:rsidP="000131E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EE7130">
        <w:rPr>
          <w:b/>
          <w:sz w:val="24"/>
          <w:szCs w:val="24"/>
        </w:rPr>
        <w:t>5.1</w:t>
      </w:r>
      <w:r w:rsidRPr="00EE7130">
        <w:rPr>
          <w:b/>
          <w:sz w:val="24"/>
          <w:szCs w:val="24"/>
        </w:rPr>
        <w:tab/>
      </w:r>
      <w:proofErr w:type="spellStart"/>
      <w:r w:rsidRPr="00EE7130">
        <w:rPr>
          <w:b/>
          <w:sz w:val="24"/>
          <w:szCs w:val="24"/>
        </w:rPr>
        <w:t>Farmakodynamiske</w:t>
      </w:r>
      <w:proofErr w:type="spellEnd"/>
      <w:r w:rsidR="001577E4" w:rsidRPr="00EE7130">
        <w:rPr>
          <w:b/>
          <w:sz w:val="24"/>
          <w:szCs w:val="24"/>
        </w:rPr>
        <w:t xml:space="preserve"> </w:t>
      </w:r>
      <w:r w:rsidRPr="00EE7130">
        <w:rPr>
          <w:b/>
          <w:sz w:val="24"/>
          <w:szCs w:val="24"/>
        </w:rPr>
        <w:t>egenskaber</w:t>
      </w:r>
    </w:p>
    <w:p w:rsidR="00961E95" w:rsidRPr="00EE7130" w:rsidRDefault="00961E95" w:rsidP="00EE7130">
      <w:pPr>
        <w:ind w:left="851"/>
        <w:rPr>
          <w:sz w:val="24"/>
          <w:szCs w:val="24"/>
        </w:rPr>
      </w:pPr>
      <w:proofErr w:type="spellStart"/>
      <w:r w:rsidRPr="00EE7130">
        <w:rPr>
          <w:sz w:val="24"/>
          <w:szCs w:val="24"/>
        </w:rPr>
        <w:t>Benzylpenicillin</w:t>
      </w:r>
      <w:proofErr w:type="spellEnd"/>
      <w:r w:rsidRPr="00EE7130">
        <w:rPr>
          <w:sz w:val="24"/>
          <w:szCs w:val="24"/>
        </w:rPr>
        <w:t xml:space="preserve">, </w:t>
      </w:r>
      <w:proofErr w:type="spellStart"/>
      <w:r w:rsidRPr="00EE7130">
        <w:rPr>
          <w:sz w:val="24"/>
          <w:szCs w:val="24"/>
        </w:rPr>
        <w:t>procain</w:t>
      </w:r>
      <w:proofErr w:type="spellEnd"/>
      <w:r w:rsidRPr="00EE7130">
        <w:rPr>
          <w:sz w:val="24"/>
          <w:szCs w:val="24"/>
        </w:rPr>
        <w:t xml:space="preserve"> er et beta-</w:t>
      </w:r>
      <w:proofErr w:type="spellStart"/>
      <w:r w:rsidRPr="00EE7130">
        <w:rPr>
          <w:sz w:val="24"/>
          <w:szCs w:val="24"/>
        </w:rPr>
        <w:t>lactam</w:t>
      </w:r>
      <w:proofErr w:type="spellEnd"/>
      <w:r w:rsidRPr="00EE7130">
        <w:rPr>
          <w:sz w:val="24"/>
          <w:szCs w:val="24"/>
        </w:rPr>
        <w:t xml:space="preserve"> antibiotikum og dets struktur indeholder beta-</w:t>
      </w:r>
      <w:proofErr w:type="spellStart"/>
      <w:r w:rsidRPr="00EE7130">
        <w:rPr>
          <w:sz w:val="24"/>
          <w:szCs w:val="24"/>
        </w:rPr>
        <w:t>lactam</w:t>
      </w:r>
      <w:proofErr w:type="spellEnd"/>
      <w:r w:rsidRPr="00EE7130">
        <w:rPr>
          <w:sz w:val="24"/>
          <w:szCs w:val="24"/>
        </w:rPr>
        <w:t xml:space="preserve">-ringen og </w:t>
      </w:r>
      <w:proofErr w:type="spellStart"/>
      <w:r w:rsidRPr="00EE7130">
        <w:rPr>
          <w:sz w:val="24"/>
          <w:szCs w:val="24"/>
        </w:rPr>
        <w:t>thiazolidinringen</w:t>
      </w:r>
      <w:proofErr w:type="spellEnd"/>
      <w:r w:rsidRPr="00EE7130">
        <w:rPr>
          <w:sz w:val="24"/>
          <w:szCs w:val="24"/>
        </w:rPr>
        <w:t>, som man finder hos alle penicilliner.</w:t>
      </w:r>
      <w:r w:rsidRPr="00EE7130">
        <w:rPr>
          <w:sz w:val="24"/>
          <w:szCs w:val="24"/>
        </w:rPr>
        <w:tab/>
      </w:r>
    </w:p>
    <w:p w:rsidR="00EE7130" w:rsidRDefault="00EE7130" w:rsidP="00EE7130">
      <w:pPr>
        <w:rPr>
          <w:sz w:val="24"/>
          <w:szCs w:val="24"/>
        </w:rPr>
      </w:pPr>
    </w:p>
    <w:p w:rsidR="00961E95" w:rsidRPr="00EE7130" w:rsidRDefault="00961E95" w:rsidP="00EE7130">
      <w:pPr>
        <w:ind w:left="851"/>
        <w:rPr>
          <w:sz w:val="24"/>
          <w:szCs w:val="24"/>
          <w:vertAlign w:val="superscript"/>
        </w:rPr>
      </w:pPr>
      <w:r w:rsidRPr="00EE7130">
        <w:rPr>
          <w:sz w:val="24"/>
          <w:szCs w:val="24"/>
        </w:rPr>
        <w:t xml:space="preserve">Det er effektivt mod følsomme </w:t>
      </w:r>
      <w:proofErr w:type="spellStart"/>
      <w:r w:rsidRPr="00EE7130">
        <w:rPr>
          <w:sz w:val="24"/>
          <w:szCs w:val="24"/>
        </w:rPr>
        <w:t>gram-positive</w:t>
      </w:r>
      <w:proofErr w:type="spellEnd"/>
      <w:r w:rsidRPr="00EE7130">
        <w:rPr>
          <w:sz w:val="24"/>
          <w:szCs w:val="24"/>
        </w:rPr>
        <w:t xml:space="preserve"> bakterier så som </w:t>
      </w:r>
      <w:proofErr w:type="spellStart"/>
      <w:r w:rsidRPr="00EE7130">
        <w:rPr>
          <w:i/>
          <w:sz w:val="24"/>
          <w:szCs w:val="24"/>
        </w:rPr>
        <w:t>Erysipelothrix</w:t>
      </w:r>
      <w:proofErr w:type="spellEnd"/>
      <w:r w:rsidRPr="00EE7130">
        <w:rPr>
          <w:i/>
          <w:sz w:val="24"/>
          <w:szCs w:val="24"/>
        </w:rPr>
        <w:t xml:space="preserve"> </w:t>
      </w:r>
      <w:proofErr w:type="spellStart"/>
      <w:r w:rsidRPr="00EE7130">
        <w:rPr>
          <w:i/>
          <w:sz w:val="24"/>
          <w:szCs w:val="24"/>
        </w:rPr>
        <w:t>rhusiopathiae</w:t>
      </w:r>
      <w:proofErr w:type="spellEnd"/>
      <w:r w:rsidRPr="00EE7130">
        <w:rPr>
          <w:i/>
          <w:sz w:val="24"/>
          <w:szCs w:val="24"/>
        </w:rPr>
        <w:t>,</w:t>
      </w:r>
      <w:r w:rsidRPr="00EE7130">
        <w:rPr>
          <w:sz w:val="24"/>
          <w:szCs w:val="24"/>
        </w:rPr>
        <w:t xml:space="preserve"> </w:t>
      </w:r>
      <w:proofErr w:type="spellStart"/>
      <w:r w:rsidRPr="00EE7130">
        <w:rPr>
          <w:sz w:val="24"/>
          <w:szCs w:val="24"/>
        </w:rPr>
        <w:t>Clostridia</w:t>
      </w:r>
      <w:proofErr w:type="spellEnd"/>
      <w:r w:rsidRPr="00EE7130">
        <w:rPr>
          <w:sz w:val="24"/>
          <w:szCs w:val="24"/>
        </w:rPr>
        <w:t xml:space="preserve">, </w:t>
      </w:r>
      <w:proofErr w:type="spellStart"/>
      <w:r w:rsidRPr="00EE7130">
        <w:rPr>
          <w:i/>
          <w:sz w:val="24"/>
          <w:szCs w:val="24"/>
        </w:rPr>
        <w:t>Staphylococcus</w:t>
      </w:r>
      <w:proofErr w:type="spellEnd"/>
      <w:r w:rsidRPr="00EE7130">
        <w:rPr>
          <w:i/>
          <w:sz w:val="24"/>
          <w:szCs w:val="24"/>
        </w:rPr>
        <w:t xml:space="preserve"> </w:t>
      </w:r>
      <w:proofErr w:type="spellStart"/>
      <w:r w:rsidRPr="00EE7130">
        <w:rPr>
          <w:i/>
          <w:sz w:val="24"/>
          <w:szCs w:val="24"/>
        </w:rPr>
        <w:t>aurerus</w:t>
      </w:r>
      <w:proofErr w:type="spellEnd"/>
      <w:r w:rsidRPr="00EE7130">
        <w:rPr>
          <w:i/>
          <w:sz w:val="24"/>
          <w:szCs w:val="24"/>
        </w:rPr>
        <w:t xml:space="preserve">, </w:t>
      </w:r>
      <w:r w:rsidRPr="00EE7130">
        <w:rPr>
          <w:sz w:val="24"/>
          <w:szCs w:val="24"/>
        </w:rPr>
        <w:t>β-</w:t>
      </w:r>
      <w:proofErr w:type="spellStart"/>
      <w:r w:rsidRPr="00EE7130">
        <w:rPr>
          <w:sz w:val="24"/>
          <w:szCs w:val="24"/>
        </w:rPr>
        <w:t>hæmolytiske</w:t>
      </w:r>
      <w:proofErr w:type="spellEnd"/>
      <w:r w:rsidRPr="00EE7130">
        <w:rPr>
          <w:sz w:val="24"/>
          <w:szCs w:val="24"/>
        </w:rPr>
        <w:t xml:space="preserve"> </w:t>
      </w:r>
      <w:proofErr w:type="spellStart"/>
      <w:r w:rsidRPr="00EE7130">
        <w:rPr>
          <w:sz w:val="24"/>
          <w:szCs w:val="24"/>
        </w:rPr>
        <w:t>streptococcus</w:t>
      </w:r>
      <w:proofErr w:type="spellEnd"/>
      <w:r w:rsidRPr="00EE7130">
        <w:rPr>
          <w:sz w:val="24"/>
          <w:szCs w:val="24"/>
        </w:rPr>
        <w:t xml:space="preserve"> </w:t>
      </w:r>
      <w:proofErr w:type="spellStart"/>
      <w:proofErr w:type="gramStart"/>
      <w:r w:rsidRPr="00EE7130">
        <w:rPr>
          <w:sz w:val="24"/>
          <w:szCs w:val="24"/>
        </w:rPr>
        <w:t>spp</w:t>
      </w:r>
      <w:proofErr w:type="spellEnd"/>
      <w:r w:rsidRPr="00EE7130">
        <w:rPr>
          <w:sz w:val="24"/>
          <w:szCs w:val="24"/>
        </w:rPr>
        <w:t>.,</w:t>
      </w:r>
      <w:proofErr w:type="gramEnd"/>
      <w:r w:rsidRPr="00EE7130">
        <w:rPr>
          <w:sz w:val="24"/>
          <w:szCs w:val="24"/>
        </w:rPr>
        <w:t xml:space="preserve"> </w:t>
      </w:r>
      <w:proofErr w:type="spellStart"/>
      <w:r w:rsidRPr="00EE7130">
        <w:rPr>
          <w:i/>
          <w:sz w:val="24"/>
          <w:szCs w:val="24"/>
        </w:rPr>
        <w:t>Streptococcus</w:t>
      </w:r>
      <w:proofErr w:type="spellEnd"/>
      <w:r w:rsidRPr="00EE7130">
        <w:rPr>
          <w:i/>
          <w:sz w:val="24"/>
          <w:szCs w:val="24"/>
        </w:rPr>
        <w:t xml:space="preserve"> </w:t>
      </w:r>
      <w:proofErr w:type="spellStart"/>
      <w:r w:rsidRPr="00EE7130">
        <w:rPr>
          <w:i/>
          <w:sz w:val="24"/>
          <w:szCs w:val="24"/>
        </w:rPr>
        <w:t>suis</w:t>
      </w:r>
      <w:proofErr w:type="spellEnd"/>
      <w:r w:rsidRPr="00EE7130">
        <w:rPr>
          <w:i/>
          <w:sz w:val="24"/>
          <w:szCs w:val="24"/>
        </w:rPr>
        <w:t>,</w:t>
      </w:r>
      <w:r w:rsidRPr="00EE7130">
        <w:rPr>
          <w:sz w:val="24"/>
          <w:szCs w:val="24"/>
        </w:rPr>
        <w:t xml:space="preserve"> </w:t>
      </w:r>
      <w:proofErr w:type="spellStart"/>
      <w:r w:rsidRPr="00EE7130">
        <w:rPr>
          <w:i/>
          <w:sz w:val="24"/>
          <w:szCs w:val="24"/>
        </w:rPr>
        <w:t>Actinobaculum</w:t>
      </w:r>
      <w:proofErr w:type="spellEnd"/>
      <w:r w:rsidRPr="00EE7130">
        <w:rPr>
          <w:i/>
          <w:sz w:val="24"/>
          <w:szCs w:val="24"/>
        </w:rPr>
        <w:t xml:space="preserve"> </w:t>
      </w:r>
      <w:proofErr w:type="spellStart"/>
      <w:r w:rsidRPr="00EE7130">
        <w:rPr>
          <w:i/>
          <w:sz w:val="24"/>
          <w:szCs w:val="24"/>
        </w:rPr>
        <w:t>suis</w:t>
      </w:r>
      <w:proofErr w:type="spellEnd"/>
      <w:r w:rsidRPr="00EE7130">
        <w:rPr>
          <w:i/>
          <w:sz w:val="24"/>
          <w:szCs w:val="24"/>
        </w:rPr>
        <w:t xml:space="preserve"> </w:t>
      </w:r>
      <w:r w:rsidRPr="00EE7130">
        <w:rPr>
          <w:sz w:val="24"/>
          <w:szCs w:val="24"/>
        </w:rPr>
        <w:t xml:space="preserve">og </w:t>
      </w:r>
      <w:proofErr w:type="spellStart"/>
      <w:r w:rsidRPr="00EE7130">
        <w:rPr>
          <w:i/>
          <w:sz w:val="24"/>
          <w:szCs w:val="24"/>
        </w:rPr>
        <w:t>Arcanobacterium</w:t>
      </w:r>
      <w:proofErr w:type="spellEnd"/>
      <w:r w:rsidRPr="00EE7130">
        <w:rPr>
          <w:i/>
          <w:sz w:val="24"/>
          <w:szCs w:val="24"/>
        </w:rPr>
        <w:t xml:space="preserve"> </w:t>
      </w:r>
      <w:proofErr w:type="spellStart"/>
      <w:r w:rsidRPr="00EE7130">
        <w:rPr>
          <w:i/>
          <w:sz w:val="24"/>
          <w:szCs w:val="24"/>
        </w:rPr>
        <w:t>pyogenes</w:t>
      </w:r>
      <w:proofErr w:type="spellEnd"/>
      <w:r w:rsidRPr="00EE7130">
        <w:rPr>
          <w:sz w:val="24"/>
          <w:szCs w:val="24"/>
        </w:rPr>
        <w:t xml:space="preserve">,, men har kun begrænset effekt mod </w:t>
      </w:r>
      <w:proofErr w:type="spellStart"/>
      <w:r w:rsidRPr="00EE7130">
        <w:rPr>
          <w:sz w:val="24"/>
          <w:szCs w:val="24"/>
        </w:rPr>
        <w:t>gram-negative</w:t>
      </w:r>
      <w:proofErr w:type="spellEnd"/>
      <w:r w:rsidRPr="00EE7130">
        <w:rPr>
          <w:sz w:val="24"/>
          <w:szCs w:val="24"/>
        </w:rPr>
        <w:t xml:space="preserve"> bakterier med undtagelse af </w:t>
      </w:r>
      <w:proofErr w:type="spellStart"/>
      <w:r w:rsidRPr="00EE7130">
        <w:rPr>
          <w:i/>
          <w:sz w:val="24"/>
          <w:szCs w:val="24"/>
        </w:rPr>
        <w:t>Haemophilus</w:t>
      </w:r>
      <w:proofErr w:type="spellEnd"/>
      <w:r w:rsidRPr="00EE7130">
        <w:rPr>
          <w:i/>
          <w:sz w:val="24"/>
          <w:szCs w:val="24"/>
        </w:rPr>
        <w:t xml:space="preserve"> </w:t>
      </w:r>
      <w:proofErr w:type="spellStart"/>
      <w:r w:rsidRPr="00EE7130">
        <w:rPr>
          <w:i/>
          <w:sz w:val="24"/>
          <w:szCs w:val="24"/>
        </w:rPr>
        <w:t>parasuis</w:t>
      </w:r>
      <w:proofErr w:type="spellEnd"/>
      <w:r w:rsidRPr="00EE7130">
        <w:rPr>
          <w:i/>
          <w:sz w:val="24"/>
          <w:szCs w:val="24"/>
        </w:rPr>
        <w:t xml:space="preserve"> </w:t>
      </w:r>
      <w:r w:rsidRPr="00EE7130">
        <w:rPr>
          <w:sz w:val="24"/>
          <w:szCs w:val="24"/>
        </w:rPr>
        <w:t>og</w:t>
      </w:r>
      <w:r w:rsidRPr="00EE7130">
        <w:rPr>
          <w:i/>
          <w:sz w:val="24"/>
          <w:szCs w:val="24"/>
        </w:rPr>
        <w:t xml:space="preserve"> </w:t>
      </w:r>
      <w:proofErr w:type="spellStart"/>
      <w:r w:rsidRPr="00EE7130">
        <w:rPr>
          <w:sz w:val="24"/>
          <w:szCs w:val="24"/>
        </w:rPr>
        <w:t>Pasteurella</w:t>
      </w:r>
      <w:proofErr w:type="spellEnd"/>
      <w:r w:rsidRPr="00EE7130">
        <w:rPr>
          <w:sz w:val="24"/>
          <w:szCs w:val="24"/>
        </w:rPr>
        <w:t xml:space="preserve"> </w:t>
      </w:r>
      <w:proofErr w:type="spellStart"/>
      <w:r w:rsidRPr="00EE7130">
        <w:rPr>
          <w:sz w:val="24"/>
          <w:szCs w:val="24"/>
        </w:rPr>
        <w:t>spp</w:t>
      </w:r>
      <w:proofErr w:type="spellEnd"/>
      <w:r w:rsidRPr="00EE7130">
        <w:rPr>
          <w:i/>
          <w:sz w:val="24"/>
          <w:szCs w:val="24"/>
        </w:rPr>
        <w:t>.</w:t>
      </w:r>
      <w:r w:rsidRPr="00EE7130">
        <w:rPr>
          <w:sz w:val="24"/>
          <w:szCs w:val="24"/>
          <w:vertAlign w:val="superscript"/>
        </w:rPr>
        <w:t xml:space="preserve"> </w:t>
      </w:r>
    </w:p>
    <w:p w:rsidR="00EE7130" w:rsidRDefault="00EE7130" w:rsidP="00EE7130">
      <w:pPr>
        <w:ind w:firstLine="851"/>
        <w:rPr>
          <w:sz w:val="24"/>
          <w:szCs w:val="24"/>
        </w:rPr>
      </w:pPr>
    </w:p>
    <w:p w:rsidR="00961E95" w:rsidRPr="00EE7130" w:rsidRDefault="00961E95" w:rsidP="00EE7130">
      <w:pPr>
        <w:ind w:left="851"/>
        <w:rPr>
          <w:sz w:val="24"/>
          <w:szCs w:val="24"/>
        </w:rPr>
      </w:pPr>
      <w:r w:rsidRPr="00EE7130">
        <w:rPr>
          <w:sz w:val="24"/>
          <w:szCs w:val="24"/>
        </w:rPr>
        <w:t>Beta-</w:t>
      </w:r>
      <w:proofErr w:type="spellStart"/>
      <w:r w:rsidRPr="00EE7130">
        <w:rPr>
          <w:sz w:val="24"/>
          <w:szCs w:val="24"/>
        </w:rPr>
        <w:t>lactam</w:t>
      </w:r>
      <w:proofErr w:type="spellEnd"/>
      <w:r w:rsidRPr="00EE7130">
        <w:rPr>
          <w:sz w:val="24"/>
          <w:szCs w:val="24"/>
        </w:rPr>
        <w:t xml:space="preserve"> antibiotika hindrer dannelsen af bakteriecellevæggen ved at interferere med det sidste trin i </w:t>
      </w:r>
      <w:proofErr w:type="spellStart"/>
      <w:r w:rsidRPr="00EE7130">
        <w:rPr>
          <w:sz w:val="24"/>
          <w:szCs w:val="24"/>
        </w:rPr>
        <w:t>peptidoglycansyntesen</w:t>
      </w:r>
      <w:proofErr w:type="spellEnd"/>
      <w:r w:rsidRPr="00EE7130">
        <w:rPr>
          <w:sz w:val="24"/>
          <w:szCs w:val="24"/>
        </w:rPr>
        <w:t xml:space="preserve">. De hæmmer aktiviteten af </w:t>
      </w:r>
      <w:proofErr w:type="spellStart"/>
      <w:r w:rsidRPr="00EE7130">
        <w:rPr>
          <w:sz w:val="24"/>
          <w:szCs w:val="24"/>
        </w:rPr>
        <w:t>transpeptidase</w:t>
      </w:r>
      <w:proofErr w:type="spellEnd"/>
      <w:r w:rsidRPr="00EE7130">
        <w:rPr>
          <w:sz w:val="24"/>
          <w:szCs w:val="24"/>
        </w:rPr>
        <w:t xml:space="preserve">-enzymerne, som katalyserer krydsbinding af de </w:t>
      </w:r>
      <w:proofErr w:type="spellStart"/>
      <w:r w:rsidRPr="00EE7130">
        <w:rPr>
          <w:sz w:val="24"/>
          <w:szCs w:val="24"/>
        </w:rPr>
        <w:t>glucopeptidpolymer</w:t>
      </w:r>
      <w:proofErr w:type="spellEnd"/>
      <w:r w:rsidRPr="00EE7130">
        <w:rPr>
          <w:sz w:val="24"/>
          <w:szCs w:val="24"/>
        </w:rPr>
        <w:t xml:space="preserve">-enheder, som danner cellevæggen. De udøver en baktericid aktivitet, men forårsager kun </w:t>
      </w:r>
      <w:proofErr w:type="spellStart"/>
      <w:r w:rsidRPr="00EE7130">
        <w:rPr>
          <w:sz w:val="24"/>
          <w:szCs w:val="24"/>
        </w:rPr>
        <w:t>lysis</w:t>
      </w:r>
      <w:proofErr w:type="spellEnd"/>
      <w:r w:rsidRPr="00EE7130">
        <w:rPr>
          <w:sz w:val="24"/>
          <w:szCs w:val="24"/>
        </w:rPr>
        <w:t xml:space="preserve"> af celler i vækst.</w:t>
      </w:r>
      <w:r w:rsidRPr="00EE7130">
        <w:rPr>
          <w:sz w:val="24"/>
          <w:szCs w:val="24"/>
          <w:vertAlign w:val="superscript"/>
        </w:rPr>
        <w:t xml:space="preserve"> </w:t>
      </w:r>
    </w:p>
    <w:p w:rsidR="00961E95" w:rsidRPr="00EE7130" w:rsidRDefault="00961E95" w:rsidP="00EE7130">
      <w:pPr>
        <w:ind w:left="851"/>
        <w:rPr>
          <w:sz w:val="24"/>
          <w:szCs w:val="24"/>
        </w:rPr>
      </w:pPr>
      <w:r w:rsidRPr="00EE7130">
        <w:rPr>
          <w:sz w:val="24"/>
          <w:szCs w:val="24"/>
        </w:rPr>
        <w:t>Den bakterielle følsomhed overfor antibiotika af β-</w:t>
      </w:r>
      <w:proofErr w:type="spellStart"/>
      <w:r w:rsidRPr="00EE7130">
        <w:rPr>
          <w:sz w:val="24"/>
          <w:szCs w:val="24"/>
        </w:rPr>
        <w:t>lactam</w:t>
      </w:r>
      <w:proofErr w:type="spellEnd"/>
      <w:r w:rsidRPr="00EE7130">
        <w:rPr>
          <w:sz w:val="24"/>
          <w:szCs w:val="24"/>
        </w:rPr>
        <w:t xml:space="preserve"> typen afgøres af tre uafhængige faktorer: dannelse af β-</w:t>
      </w:r>
      <w:proofErr w:type="spellStart"/>
      <w:r w:rsidRPr="00EE7130">
        <w:rPr>
          <w:sz w:val="24"/>
          <w:szCs w:val="24"/>
        </w:rPr>
        <w:t>lactamaser</w:t>
      </w:r>
      <w:proofErr w:type="spellEnd"/>
      <w:r w:rsidRPr="00EE7130">
        <w:rPr>
          <w:sz w:val="24"/>
          <w:szCs w:val="24"/>
        </w:rPr>
        <w:t xml:space="preserve">, </w:t>
      </w:r>
      <w:proofErr w:type="spellStart"/>
      <w:r w:rsidRPr="00EE7130">
        <w:rPr>
          <w:sz w:val="24"/>
          <w:szCs w:val="24"/>
        </w:rPr>
        <w:t>permeabilitet</w:t>
      </w:r>
      <w:proofErr w:type="spellEnd"/>
      <w:r w:rsidRPr="00EE7130">
        <w:rPr>
          <w:sz w:val="24"/>
          <w:szCs w:val="24"/>
        </w:rPr>
        <w:t xml:space="preserve"> af cellevæggen og sensitiviteten af det penicillinbindende protein. Beta-</w:t>
      </w:r>
      <w:proofErr w:type="spellStart"/>
      <w:r w:rsidRPr="00EE7130">
        <w:rPr>
          <w:sz w:val="24"/>
          <w:szCs w:val="24"/>
        </w:rPr>
        <w:t>lactamaser</w:t>
      </w:r>
      <w:proofErr w:type="spellEnd"/>
      <w:r w:rsidRPr="00EE7130">
        <w:rPr>
          <w:sz w:val="24"/>
          <w:szCs w:val="24"/>
        </w:rPr>
        <w:t xml:space="preserve"> er enzymer der inaktiverer antibiotika ved at hydrolysere β-</w:t>
      </w:r>
      <w:proofErr w:type="spellStart"/>
      <w:r w:rsidRPr="00EE7130">
        <w:rPr>
          <w:sz w:val="24"/>
          <w:szCs w:val="24"/>
        </w:rPr>
        <w:t>lactam</w:t>
      </w:r>
      <w:proofErr w:type="spellEnd"/>
      <w:r w:rsidRPr="00EE7130">
        <w:rPr>
          <w:sz w:val="24"/>
          <w:szCs w:val="24"/>
        </w:rPr>
        <w:t xml:space="preserve"> ringen, og et eksempel er penicillinase. Der er to mekanismer for β-</w:t>
      </w:r>
      <w:proofErr w:type="spellStart"/>
      <w:r w:rsidRPr="00EE7130">
        <w:rPr>
          <w:sz w:val="24"/>
          <w:szCs w:val="24"/>
        </w:rPr>
        <w:t>lactamase</w:t>
      </w:r>
      <w:proofErr w:type="spellEnd"/>
      <w:r w:rsidRPr="00EE7130">
        <w:rPr>
          <w:sz w:val="24"/>
          <w:szCs w:val="24"/>
        </w:rPr>
        <w:t xml:space="preserve"> produktion: Kromosomal og </w:t>
      </w:r>
      <w:proofErr w:type="spellStart"/>
      <w:r w:rsidRPr="00EE7130">
        <w:rPr>
          <w:sz w:val="24"/>
          <w:szCs w:val="24"/>
        </w:rPr>
        <w:t>plasmid</w:t>
      </w:r>
      <w:proofErr w:type="spellEnd"/>
      <w:r w:rsidRPr="00EE7130">
        <w:rPr>
          <w:sz w:val="24"/>
          <w:szCs w:val="24"/>
        </w:rPr>
        <w:t>. Kromosomale β-</w:t>
      </w:r>
      <w:proofErr w:type="spellStart"/>
      <w:r w:rsidRPr="00EE7130">
        <w:rPr>
          <w:sz w:val="24"/>
          <w:szCs w:val="24"/>
        </w:rPr>
        <w:t>lactamaser</w:t>
      </w:r>
      <w:proofErr w:type="spellEnd"/>
      <w:r w:rsidRPr="00EE7130">
        <w:rPr>
          <w:sz w:val="24"/>
          <w:szCs w:val="24"/>
        </w:rPr>
        <w:t xml:space="preserve"> er arts- og slægts-specifikke, og kan induceres af tilstedeværelsen af enhver β-</w:t>
      </w:r>
      <w:proofErr w:type="spellStart"/>
      <w:r w:rsidRPr="00EE7130">
        <w:rPr>
          <w:sz w:val="24"/>
          <w:szCs w:val="24"/>
        </w:rPr>
        <w:t>lactam</w:t>
      </w:r>
      <w:proofErr w:type="spellEnd"/>
      <w:r w:rsidRPr="00EE7130">
        <w:rPr>
          <w:sz w:val="24"/>
          <w:szCs w:val="24"/>
        </w:rPr>
        <w:t xml:space="preserve">-forbindelse. </w:t>
      </w:r>
      <w:proofErr w:type="spellStart"/>
      <w:r w:rsidRPr="00EE7130">
        <w:rPr>
          <w:sz w:val="24"/>
          <w:szCs w:val="24"/>
        </w:rPr>
        <w:t>Plasmid</w:t>
      </w:r>
      <w:proofErr w:type="spellEnd"/>
      <w:r w:rsidRPr="00EE7130">
        <w:rPr>
          <w:sz w:val="24"/>
          <w:szCs w:val="24"/>
        </w:rPr>
        <w:t>-afledte β-</w:t>
      </w:r>
      <w:proofErr w:type="spellStart"/>
      <w:r w:rsidRPr="00EE7130">
        <w:rPr>
          <w:sz w:val="24"/>
          <w:szCs w:val="24"/>
        </w:rPr>
        <w:t>lactamaser</w:t>
      </w:r>
      <w:proofErr w:type="spellEnd"/>
      <w:r w:rsidRPr="00EE7130">
        <w:rPr>
          <w:sz w:val="24"/>
          <w:szCs w:val="24"/>
        </w:rPr>
        <w:t xml:space="preserve"> kan blive overført mellem bakterier, hvorved antallet af bakterier, der er resistente overfor antibiotika, øges. </w:t>
      </w:r>
    </w:p>
    <w:p w:rsidR="00DF32BE" w:rsidRPr="00EE7130" w:rsidRDefault="00DF32BE" w:rsidP="00EE7130">
      <w:pPr>
        <w:rPr>
          <w:sz w:val="24"/>
          <w:szCs w:val="24"/>
        </w:rPr>
      </w:pPr>
    </w:p>
    <w:p w:rsidR="00DF32BE" w:rsidRPr="000131EF" w:rsidRDefault="00DF32BE" w:rsidP="000131E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EE7130">
        <w:rPr>
          <w:b/>
          <w:sz w:val="24"/>
          <w:szCs w:val="24"/>
        </w:rPr>
        <w:t>5.2</w:t>
      </w:r>
      <w:r w:rsidRPr="00EE7130">
        <w:rPr>
          <w:b/>
          <w:sz w:val="24"/>
          <w:szCs w:val="24"/>
        </w:rPr>
        <w:tab/>
      </w:r>
      <w:proofErr w:type="spellStart"/>
      <w:r w:rsidRPr="00EE7130">
        <w:rPr>
          <w:b/>
          <w:sz w:val="24"/>
          <w:szCs w:val="24"/>
        </w:rPr>
        <w:t>Farmakokinetiske</w:t>
      </w:r>
      <w:proofErr w:type="spellEnd"/>
      <w:r w:rsidRPr="00EE7130">
        <w:rPr>
          <w:b/>
          <w:sz w:val="24"/>
          <w:szCs w:val="24"/>
        </w:rPr>
        <w:t xml:space="preserve"> egenskaber</w:t>
      </w:r>
    </w:p>
    <w:p w:rsidR="00961E95" w:rsidRPr="000131EF" w:rsidRDefault="00DF32BE" w:rsidP="000131EF">
      <w:pPr>
        <w:pStyle w:val="Brdtekstindrykning2"/>
        <w:spacing w:after="0" w:line="240" w:lineRule="auto"/>
        <w:ind w:left="851" w:hanging="851"/>
        <w:rPr>
          <w:szCs w:val="24"/>
        </w:rPr>
      </w:pPr>
      <w:r w:rsidRPr="000131EF">
        <w:rPr>
          <w:szCs w:val="24"/>
        </w:rPr>
        <w:tab/>
      </w:r>
      <w:r w:rsidR="00961E95" w:rsidRPr="000131EF">
        <w:rPr>
          <w:szCs w:val="24"/>
        </w:rPr>
        <w:t xml:space="preserve">Efter injektion af </w:t>
      </w:r>
      <w:proofErr w:type="spellStart"/>
      <w:r w:rsidR="00961E95" w:rsidRPr="000131EF">
        <w:rPr>
          <w:szCs w:val="24"/>
        </w:rPr>
        <w:t>SOlong</w:t>
      </w:r>
      <w:proofErr w:type="spellEnd"/>
      <w:r w:rsidR="00961E95" w:rsidRPr="000131EF">
        <w:rPr>
          <w:szCs w:val="24"/>
        </w:rPr>
        <w:t xml:space="preserve"> absorberes </w:t>
      </w:r>
      <w:proofErr w:type="spellStart"/>
      <w:r w:rsidR="00961E95" w:rsidRPr="000131EF">
        <w:rPr>
          <w:szCs w:val="24"/>
        </w:rPr>
        <w:t>penicillinprocain</w:t>
      </w:r>
      <w:proofErr w:type="spellEnd"/>
      <w:r w:rsidR="00961E95" w:rsidRPr="000131EF">
        <w:rPr>
          <w:szCs w:val="24"/>
        </w:rPr>
        <w:t xml:space="preserve"> hurtigt fra injektionsstedet og der opnås en maksimal penicillinkoncentration på ca. 2,1 µg/ml på under 3 timer efter </w:t>
      </w:r>
      <w:proofErr w:type="spellStart"/>
      <w:r w:rsidR="00961E95" w:rsidRPr="000131EF">
        <w:rPr>
          <w:szCs w:val="24"/>
        </w:rPr>
        <w:t>intramuskulær</w:t>
      </w:r>
      <w:proofErr w:type="spellEnd"/>
      <w:r w:rsidR="00961E95" w:rsidRPr="000131EF">
        <w:rPr>
          <w:szCs w:val="24"/>
        </w:rPr>
        <w:t xml:space="preserve"> injektion i grise.</w:t>
      </w:r>
    </w:p>
    <w:p w:rsidR="00961E95" w:rsidRPr="000131EF" w:rsidRDefault="00961E95" w:rsidP="000131EF">
      <w:pPr>
        <w:pStyle w:val="Brdtekstindrykning2"/>
        <w:spacing w:after="0" w:line="240" w:lineRule="auto"/>
        <w:ind w:left="851" w:hanging="851"/>
        <w:rPr>
          <w:szCs w:val="24"/>
        </w:rPr>
      </w:pPr>
    </w:p>
    <w:p w:rsidR="00961E95" w:rsidRPr="000131EF" w:rsidRDefault="00961E95" w:rsidP="00EE7130">
      <w:pPr>
        <w:pStyle w:val="Brdtekstindrykning2"/>
        <w:spacing w:after="0" w:line="240" w:lineRule="auto"/>
        <w:ind w:left="851"/>
        <w:rPr>
          <w:szCs w:val="24"/>
        </w:rPr>
      </w:pPr>
      <w:r w:rsidRPr="000131EF">
        <w:rPr>
          <w:color w:val="000000"/>
          <w:szCs w:val="24"/>
        </w:rPr>
        <w:t xml:space="preserve">Eliminationen af penicillin foregår via urin og halveringstiden er ca. 7,5 timer for grise efter </w:t>
      </w:r>
      <w:proofErr w:type="spellStart"/>
      <w:r w:rsidRPr="000131EF">
        <w:rPr>
          <w:color w:val="000000"/>
          <w:szCs w:val="24"/>
        </w:rPr>
        <w:t>intramuskulær</w:t>
      </w:r>
      <w:proofErr w:type="spellEnd"/>
      <w:r w:rsidRPr="000131EF">
        <w:rPr>
          <w:color w:val="000000"/>
          <w:szCs w:val="24"/>
        </w:rPr>
        <w:t xml:space="preserve"> injektion.</w:t>
      </w:r>
    </w:p>
    <w:p w:rsidR="00DF32BE" w:rsidRPr="000131EF" w:rsidRDefault="00DF32BE" w:rsidP="000131E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F32BE" w:rsidRPr="000131EF" w:rsidRDefault="00DF32BE" w:rsidP="000131E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0131EF">
        <w:rPr>
          <w:b/>
          <w:sz w:val="24"/>
          <w:szCs w:val="24"/>
        </w:rPr>
        <w:t>5.3</w:t>
      </w:r>
      <w:r w:rsidRPr="000131EF">
        <w:rPr>
          <w:b/>
          <w:sz w:val="24"/>
          <w:szCs w:val="24"/>
        </w:rPr>
        <w:tab/>
        <w:t>Miljømæssige forhold</w:t>
      </w:r>
    </w:p>
    <w:p w:rsidR="00961E95" w:rsidRPr="000131EF" w:rsidRDefault="00961E95" w:rsidP="000131E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0131EF">
        <w:rPr>
          <w:sz w:val="24"/>
          <w:szCs w:val="24"/>
        </w:rPr>
        <w:tab/>
        <w:t>Ingen.</w:t>
      </w:r>
    </w:p>
    <w:p w:rsidR="00DF32BE" w:rsidRPr="000131EF" w:rsidRDefault="00DF32BE" w:rsidP="000131EF">
      <w:pPr>
        <w:tabs>
          <w:tab w:val="left" w:pos="8222"/>
        </w:tabs>
        <w:ind w:left="851" w:hanging="851"/>
        <w:rPr>
          <w:sz w:val="24"/>
          <w:szCs w:val="24"/>
        </w:rPr>
      </w:pPr>
    </w:p>
    <w:p w:rsidR="00DF32BE" w:rsidRPr="000131EF" w:rsidRDefault="00DF32BE" w:rsidP="000131EF">
      <w:pPr>
        <w:tabs>
          <w:tab w:val="left" w:pos="851"/>
          <w:tab w:val="left" w:pos="8222"/>
        </w:tabs>
        <w:ind w:left="851" w:hanging="851"/>
        <w:jc w:val="both"/>
        <w:rPr>
          <w:sz w:val="24"/>
          <w:szCs w:val="24"/>
        </w:rPr>
      </w:pPr>
    </w:p>
    <w:p w:rsidR="00DF32BE" w:rsidRPr="000131EF" w:rsidRDefault="00DF32BE" w:rsidP="000131EF">
      <w:pPr>
        <w:numPr>
          <w:ilvl w:val="0"/>
          <w:numId w:val="1"/>
        </w:num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131EF">
        <w:rPr>
          <w:b/>
          <w:sz w:val="24"/>
          <w:szCs w:val="24"/>
        </w:rPr>
        <w:t>FARMACEUTISKE OPLYSNINGER</w:t>
      </w:r>
    </w:p>
    <w:p w:rsidR="00DF32BE" w:rsidRPr="000131EF" w:rsidRDefault="00DF32BE" w:rsidP="000131E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F32BE" w:rsidRPr="000131EF" w:rsidRDefault="00DF32BE" w:rsidP="000131EF">
      <w:pPr>
        <w:numPr>
          <w:ilvl w:val="1"/>
          <w:numId w:val="1"/>
        </w:num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131EF">
        <w:rPr>
          <w:b/>
          <w:sz w:val="24"/>
          <w:szCs w:val="24"/>
        </w:rPr>
        <w:t>Hjælpestoffer</w:t>
      </w:r>
    </w:p>
    <w:p w:rsidR="00961E95" w:rsidRPr="000131EF" w:rsidRDefault="00DF32BE" w:rsidP="000131EF">
      <w:pPr>
        <w:tabs>
          <w:tab w:val="left" w:pos="851"/>
          <w:tab w:val="left" w:pos="8222"/>
        </w:tabs>
        <w:ind w:left="851" w:hanging="851"/>
        <w:rPr>
          <w:sz w:val="24"/>
          <w:szCs w:val="24"/>
          <w:lang w:val="en-US"/>
        </w:rPr>
      </w:pPr>
      <w:r w:rsidRPr="000131EF">
        <w:rPr>
          <w:sz w:val="24"/>
          <w:szCs w:val="24"/>
        </w:rPr>
        <w:tab/>
      </w:r>
      <w:proofErr w:type="spellStart"/>
      <w:r w:rsidR="00961E95" w:rsidRPr="000131EF">
        <w:rPr>
          <w:spacing w:val="-3"/>
          <w:sz w:val="24"/>
          <w:szCs w:val="24"/>
          <w:lang w:val="en-US"/>
        </w:rPr>
        <w:t>Butylhydroxyanisol</w:t>
      </w:r>
      <w:proofErr w:type="spellEnd"/>
    </w:p>
    <w:p w:rsidR="00961E95" w:rsidRPr="000131EF" w:rsidRDefault="00961E95" w:rsidP="000131EF">
      <w:pPr>
        <w:tabs>
          <w:tab w:val="left" w:pos="851"/>
          <w:tab w:val="left" w:pos="8222"/>
        </w:tabs>
        <w:ind w:left="851" w:hanging="851"/>
        <w:rPr>
          <w:sz w:val="24"/>
          <w:szCs w:val="24"/>
          <w:lang w:val="en-US"/>
        </w:rPr>
      </w:pPr>
      <w:r w:rsidRPr="000131EF">
        <w:rPr>
          <w:spacing w:val="-3"/>
          <w:sz w:val="24"/>
          <w:szCs w:val="24"/>
          <w:lang w:val="en-US"/>
        </w:rPr>
        <w:tab/>
      </w:r>
      <w:proofErr w:type="spellStart"/>
      <w:r w:rsidRPr="000131EF">
        <w:rPr>
          <w:spacing w:val="-3"/>
          <w:sz w:val="24"/>
          <w:szCs w:val="24"/>
          <w:lang w:val="en-US"/>
        </w:rPr>
        <w:t>Butylhydroxytoluen</w:t>
      </w:r>
      <w:proofErr w:type="spellEnd"/>
    </w:p>
    <w:p w:rsidR="00961E95" w:rsidRPr="000131EF" w:rsidRDefault="00EE7130" w:rsidP="000131EF">
      <w:pPr>
        <w:tabs>
          <w:tab w:val="left" w:pos="851"/>
          <w:tab w:val="left" w:pos="8222"/>
        </w:tabs>
        <w:ind w:left="851" w:hanging="851"/>
        <w:rPr>
          <w:spacing w:val="-3"/>
          <w:sz w:val="24"/>
          <w:szCs w:val="24"/>
          <w:lang w:val="en-US"/>
        </w:rPr>
      </w:pPr>
      <w:r>
        <w:rPr>
          <w:spacing w:val="-3"/>
          <w:sz w:val="24"/>
          <w:szCs w:val="24"/>
          <w:lang w:val="en-US"/>
        </w:rPr>
        <w:tab/>
      </w:r>
      <w:proofErr w:type="spellStart"/>
      <w:r w:rsidR="00961E95" w:rsidRPr="000131EF">
        <w:rPr>
          <w:spacing w:val="-3"/>
          <w:sz w:val="24"/>
          <w:szCs w:val="24"/>
          <w:lang w:val="en-US"/>
        </w:rPr>
        <w:t>Aluminiumdistearat</w:t>
      </w:r>
      <w:proofErr w:type="spellEnd"/>
    </w:p>
    <w:p w:rsidR="00961E95" w:rsidRPr="000131EF" w:rsidRDefault="00961E95" w:rsidP="000131EF">
      <w:pPr>
        <w:tabs>
          <w:tab w:val="left" w:pos="851"/>
          <w:tab w:val="left" w:pos="8222"/>
        </w:tabs>
        <w:ind w:left="851" w:hanging="851"/>
        <w:rPr>
          <w:sz w:val="24"/>
          <w:szCs w:val="24"/>
          <w:lang w:val="en-US"/>
        </w:rPr>
      </w:pPr>
      <w:r w:rsidRPr="000131EF">
        <w:rPr>
          <w:spacing w:val="-3"/>
          <w:sz w:val="24"/>
          <w:szCs w:val="24"/>
          <w:lang w:val="en-US"/>
        </w:rPr>
        <w:tab/>
      </w:r>
      <w:proofErr w:type="spellStart"/>
      <w:r w:rsidRPr="000131EF">
        <w:rPr>
          <w:spacing w:val="-3"/>
          <w:sz w:val="24"/>
          <w:szCs w:val="24"/>
          <w:lang w:val="en-US"/>
        </w:rPr>
        <w:t>Propylenglycol</w:t>
      </w:r>
      <w:proofErr w:type="spellEnd"/>
      <w:r w:rsidRPr="000131EF">
        <w:rPr>
          <w:spacing w:val="-3"/>
          <w:sz w:val="24"/>
          <w:szCs w:val="24"/>
          <w:lang w:val="en-US"/>
        </w:rPr>
        <w:t>/</w:t>
      </w:r>
      <w:proofErr w:type="spellStart"/>
      <w:r w:rsidRPr="000131EF">
        <w:rPr>
          <w:spacing w:val="-3"/>
          <w:sz w:val="24"/>
          <w:szCs w:val="24"/>
          <w:lang w:val="en-US"/>
        </w:rPr>
        <w:t>dicaprylat</w:t>
      </w:r>
      <w:proofErr w:type="spellEnd"/>
      <w:r w:rsidRPr="000131EF">
        <w:rPr>
          <w:spacing w:val="-3"/>
          <w:sz w:val="24"/>
          <w:szCs w:val="24"/>
          <w:lang w:val="en-US"/>
        </w:rPr>
        <w:t>/</w:t>
      </w:r>
      <w:proofErr w:type="spellStart"/>
      <w:r w:rsidRPr="000131EF">
        <w:rPr>
          <w:spacing w:val="-3"/>
          <w:sz w:val="24"/>
          <w:szCs w:val="24"/>
          <w:lang w:val="en-US"/>
        </w:rPr>
        <w:t>dicaprat</w:t>
      </w:r>
      <w:proofErr w:type="spellEnd"/>
    </w:p>
    <w:p w:rsidR="00DF32BE" w:rsidRPr="000131EF" w:rsidRDefault="00DF32BE" w:rsidP="000131EF">
      <w:pPr>
        <w:tabs>
          <w:tab w:val="left" w:pos="851"/>
          <w:tab w:val="left" w:pos="8222"/>
        </w:tabs>
        <w:ind w:left="851" w:hanging="851"/>
        <w:rPr>
          <w:sz w:val="24"/>
          <w:szCs w:val="24"/>
          <w:lang w:val="en-US"/>
        </w:rPr>
      </w:pPr>
    </w:p>
    <w:p w:rsidR="00DF32BE" w:rsidRPr="000131EF" w:rsidRDefault="00DF32BE" w:rsidP="000131EF">
      <w:pPr>
        <w:numPr>
          <w:ilvl w:val="1"/>
          <w:numId w:val="1"/>
        </w:num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131EF">
        <w:rPr>
          <w:b/>
          <w:sz w:val="24"/>
          <w:szCs w:val="24"/>
        </w:rPr>
        <w:t>Uforligeligheder</w:t>
      </w:r>
    </w:p>
    <w:p w:rsidR="00961E95" w:rsidRPr="000131EF" w:rsidRDefault="00DF32BE" w:rsidP="000131E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0131EF">
        <w:rPr>
          <w:sz w:val="24"/>
          <w:szCs w:val="24"/>
        </w:rPr>
        <w:tab/>
      </w:r>
      <w:r w:rsidR="00961E95" w:rsidRPr="000131EF">
        <w:rPr>
          <w:sz w:val="24"/>
          <w:szCs w:val="24"/>
        </w:rPr>
        <w:t>Ingen kendte.</w:t>
      </w:r>
    </w:p>
    <w:p w:rsidR="00961E95" w:rsidRPr="000131EF" w:rsidRDefault="00EE7130" w:rsidP="000131E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961E95" w:rsidRPr="000131EF">
        <w:rPr>
          <w:sz w:val="24"/>
          <w:szCs w:val="24"/>
        </w:rPr>
        <w:t>Da der ikke foreligger undersøgelser vedrørende eventuelle uforligeligheder, bør dette lægemiddel ikke blandes med andre præparater.</w:t>
      </w:r>
    </w:p>
    <w:p w:rsidR="00DF32BE" w:rsidRPr="000131EF" w:rsidRDefault="00DF32BE" w:rsidP="000131E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F32BE" w:rsidRPr="000131EF" w:rsidRDefault="00DF32BE" w:rsidP="000131EF">
      <w:pPr>
        <w:numPr>
          <w:ilvl w:val="1"/>
          <w:numId w:val="1"/>
        </w:num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131EF">
        <w:rPr>
          <w:b/>
          <w:sz w:val="24"/>
          <w:szCs w:val="24"/>
        </w:rPr>
        <w:t>Opbevaringstid</w:t>
      </w:r>
    </w:p>
    <w:p w:rsidR="00961E95" w:rsidRPr="000131EF" w:rsidRDefault="00DF32BE" w:rsidP="000131E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0131EF">
        <w:rPr>
          <w:sz w:val="24"/>
          <w:szCs w:val="24"/>
        </w:rPr>
        <w:tab/>
      </w:r>
      <w:r w:rsidR="00961E95" w:rsidRPr="000131EF">
        <w:rPr>
          <w:sz w:val="24"/>
          <w:szCs w:val="24"/>
        </w:rPr>
        <w:t>3 år.</w:t>
      </w:r>
    </w:p>
    <w:p w:rsidR="00961E95" w:rsidRPr="000131EF" w:rsidRDefault="00EE7130" w:rsidP="000131E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961E95" w:rsidRPr="000131EF">
        <w:rPr>
          <w:sz w:val="24"/>
          <w:szCs w:val="24"/>
        </w:rPr>
        <w:t xml:space="preserve">Holdbarhed efter anbrud: 28 dage ved 25 </w:t>
      </w:r>
      <w:r w:rsidR="00961E95" w:rsidRPr="000131EF">
        <w:rPr>
          <w:sz w:val="24"/>
          <w:szCs w:val="24"/>
        </w:rPr>
        <w:sym w:font="Symbol" w:char="00B0"/>
      </w:r>
      <w:r w:rsidR="00961E95" w:rsidRPr="000131EF">
        <w:rPr>
          <w:sz w:val="24"/>
          <w:szCs w:val="24"/>
        </w:rPr>
        <w:t>C.</w:t>
      </w:r>
      <w:r w:rsidR="00961E95" w:rsidRPr="000131EF">
        <w:rPr>
          <w:sz w:val="24"/>
          <w:szCs w:val="24"/>
          <w:vertAlign w:val="superscript"/>
        </w:rPr>
        <w:t xml:space="preserve"> </w:t>
      </w:r>
    </w:p>
    <w:p w:rsidR="00DF32BE" w:rsidRPr="000131EF" w:rsidRDefault="00DF32BE" w:rsidP="000131E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F32BE" w:rsidRPr="000131EF" w:rsidRDefault="00DF32BE" w:rsidP="000131EF">
      <w:pPr>
        <w:numPr>
          <w:ilvl w:val="1"/>
          <w:numId w:val="1"/>
        </w:num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131EF">
        <w:rPr>
          <w:b/>
          <w:sz w:val="24"/>
          <w:szCs w:val="24"/>
        </w:rPr>
        <w:t>Særlige opbevaringsforhold</w:t>
      </w:r>
    </w:p>
    <w:p w:rsidR="00961E95" w:rsidRPr="000131EF" w:rsidRDefault="00DF32BE" w:rsidP="000131EF">
      <w:pPr>
        <w:ind w:left="851" w:hanging="851"/>
        <w:rPr>
          <w:sz w:val="24"/>
          <w:szCs w:val="24"/>
        </w:rPr>
      </w:pPr>
      <w:r w:rsidRPr="000131EF">
        <w:rPr>
          <w:sz w:val="24"/>
          <w:szCs w:val="24"/>
        </w:rPr>
        <w:tab/>
      </w:r>
      <w:r w:rsidR="00961E95" w:rsidRPr="000131EF">
        <w:rPr>
          <w:sz w:val="24"/>
          <w:szCs w:val="24"/>
        </w:rPr>
        <w:t xml:space="preserve">Kemisk og fysisk stabilitet efter åbning er dokumenteret i 28 dage ved 25 °C. Andre opbevaringstider og -betingelser er på brugerens eget ansvar. </w:t>
      </w:r>
    </w:p>
    <w:p w:rsidR="00961E95" w:rsidRPr="000131EF" w:rsidRDefault="00961E95" w:rsidP="000131EF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61E95" w:rsidRPr="000131EF" w:rsidRDefault="00EE7130" w:rsidP="000131EF">
      <w:pPr>
        <w:tabs>
          <w:tab w:val="left" w:pos="8222"/>
        </w:tabs>
        <w:ind w:left="851" w:hanging="851"/>
        <w:rPr>
          <w:sz w:val="24"/>
          <w:szCs w:val="24"/>
          <w:highlight w:val="green"/>
        </w:rPr>
      </w:pPr>
      <w:r>
        <w:rPr>
          <w:sz w:val="24"/>
          <w:szCs w:val="24"/>
        </w:rPr>
        <w:tab/>
      </w:r>
      <w:r w:rsidR="00961E95" w:rsidRPr="000131EF">
        <w:rPr>
          <w:sz w:val="24"/>
          <w:szCs w:val="24"/>
        </w:rPr>
        <w:t>Ubrugt lægemiddel skal kasseres.</w:t>
      </w:r>
      <w:r w:rsidR="00961E95" w:rsidRPr="000131EF">
        <w:rPr>
          <w:sz w:val="24"/>
          <w:szCs w:val="24"/>
          <w:highlight w:val="green"/>
        </w:rPr>
        <w:t xml:space="preserve"> </w:t>
      </w:r>
    </w:p>
    <w:p w:rsidR="00DF32BE" w:rsidRPr="000131EF" w:rsidRDefault="00DF32BE" w:rsidP="000131E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F32BE" w:rsidRPr="000131EF" w:rsidRDefault="00DF32BE" w:rsidP="000131EF">
      <w:pPr>
        <w:numPr>
          <w:ilvl w:val="1"/>
          <w:numId w:val="1"/>
        </w:num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131EF">
        <w:rPr>
          <w:b/>
          <w:sz w:val="24"/>
          <w:szCs w:val="24"/>
        </w:rPr>
        <w:t>Emballage</w:t>
      </w:r>
    </w:p>
    <w:p w:rsidR="00961E95" w:rsidRPr="000131EF" w:rsidRDefault="00961E95" w:rsidP="000131EF">
      <w:pPr>
        <w:tabs>
          <w:tab w:val="left" w:pos="851"/>
          <w:tab w:val="left" w:pos="2851"/>
          <w:tab w:val="left" w:pos="4569"/>
        </w:tabs>
        <w:ind w:left="851" w:hanging="851"/>
        <w:rPr>
          <w:spacing w:val="-3"/>
          <w:sz w:val="24"/>
          <w:szCs w:val="24"/>
        </w:rPr>
      </w:pPr>
      <w:r w:rsidRPr="000131EF">
        <w:rPr>
          <w:sz w:val="24"/>
          <w:szCs w:val="24"/>
        </w:rPr>
        <w:tab/>
        <w:t xml:space="preserve">Klare type II hætteglas á 50 og 100 ml, </w:t>
      </w:r>
      <w:r w:rsidRPr="000131EF">
        <w:rPr>
          <w:spacing w:val="-3"/>
          <w:sz w:val="24"/>
          <w:szCs w:val="24"/>
        </w:rPr>
        <w:t xml:space="preserve">lukket med </w:t>
      </w:r>
      <w:proofErr w:type="spellStart"/>
      <w:r w:rsidRPr="000131EF">
        <w:rPr>
          <w:sz w:val="24"/>
          <w:szCs w:val="24"/>
        </w:rPr>
        <w:t>nitryl</w:t>
      </w:r>
      <w:r w:rsidRPr="000131EF">
        <w:rPr>
          <w:spacing w:val="-3"/>
          <w:sz w:val="24"/>
          <w:szCs w:val="24"/>
        </w:rPr>
        <w:t>gummiprop</w:t>
      </w:r>
      <w:proofErr w:type="spellEnd"/>
      <w:r w:rsidRPr="000131EF">
        <w:rPr>
          <w:spacing w:val="-3"/>
          <w:sz w:val="24"/>
          <w:szCs w:val="24"/>
        </w:rPr>
        <w:t xml:space="preserve"> og forseglet med aluminiumshætte.</w:t>
      </w:r>
    </w:p>
    <w:p w:rsidR="00961E95" w:rsidRPr="000131EF" w:rsidRDefault="00961E95" w:rsidP="000131EF">
      <w:pPr>
        <w:ind w:left="851" w:hanging="851"/>
        <w:jc w:val="both"/>
        <w:rPr>
          <w:sz w:val="24"/>
          <w:szCs w:val="24"/>
        </w:rPr>
      </w:pPr>
    </w:p>
    <w:p w:rsidR="00961E95" w:rsidRPr="000131EF" w:rsidRDefault="00961E95" w:rsidP="00EE7130">
      <w:pPr>
        <w:ind w:left="851"/>
        <w:rPr>
          <w:sz w:val="24"/>
          <w:szCs w:val="24"/>
        </w:rPr>
      </w:pPr>
      <w:r w:rsidRPr="000131EF">
        <w:rPr>
          <w:sz w:val="24"/>
          <w:szCs w:val="24"/>
        </w:rPr>
        <w:t>Ikke alle pakningsstørrelser er nødvendigvis markedsført.</w:t>
      </w:r>
      <w:r w:rsidRPr="000131EF">
        <w:rPr>
          <w:sz w:val="24"/>
          <w:szCs w:val="24"/>
          <w:vertAlign w:val="superscript"/>
        </w:rPr>
        <w:t xml:space="preserve"> </w:t>
      </w:r>
    </w:p>
    <w:p w:rsidR="00DF32BE" w:rsidRPr="000131EF" w:rsidRDefault="00DF32BE" w:rsidP="000131E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F32BE" w:rsidRPr="000131EF" w:rsidRDefault="00DF32BE" w:rsidP="000131E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0131EF">
        <w:rPr>
          <w:b/>
          <w:sz w:val="24"/>
          <w:szCs w:val="24"/>
        </w:rPr>
        <w:t>6.6</w:t>
      </w:r>
      <w:r w:rsidRPr="000131EF">
        <w:rPr>
          <w:b/>
          <w:sz w:val="24"/>
          <w:szCs w:val="24"/>
        </w:rPr>
        <w:tab/>
        <w:t>Særlige forholdsregler ved bortskaffelse af rester af lægemidlet eller affald</w:t>
      </w:r>
    </w:p>
    <w:p w:rsidR="00961E95" w:rsidRPr="000131EF" w:rsidRDefault="00961E95" w:rsidP="00EE7130">
      <w:pPr>
        <w:ind w:left="851" w:right="-318"/>
        <w:rPr>
          <w:i/>
          <w:sz w:val="24"/>
          <w:szCs w:val="24"/>
        </w:rPr>
      </w:pPr>
      <w:r w:rsidRPr="000131EF">
        <w:rPr>
          <w:sz w:val="24"/>
          <w:szCs w:val="24"/>
        </w:rPr>
        <w:t xml:space="preserve">Ikke anvendte veterinære lægemidler, samt affald heraf bør destrueres i henhold til lokale </w:t>
      </w:r>
      <w:proofErr w:type="spellStart"/>
      <w:r w:rsidRPr="000131EF">
        <w:rPr>
          <w:sz w:val="24"/>
          <w:szCs w:val="24"/>
        </w:rPr>
        <w:t>retningslinier</w:t>
      </w:r>
      <w:proofErr w:type="spellEnd"/>
      <w:r w:rsidRPr="000131EF">
        <w:rPr>
          <w:sz w:val="24"/>
          <w:szCs w:val="24"/>
        </w:rPr>
        <w:t>.</w:t>
      </w:r>
      <w:r w:rsidRPr="000131EF">
        <w:rPr>
          <w:sz w:val="24"/>
          <w:szCs w:val="24"/>
          <w:vertAlign w:val="superscript"/>
        </w:rPr>
        <w:t xml:space="preserve"> </w:t>
      </w:r>
    </w:p>
    <w:p w:rsidR="00DF32BE" w:rsidRPr="000131EF" w:rsidRDefault="00DF32BE" w:rsidP="000131E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</w:p>
    <w:p w:rsidR="00DF32BE" w:rsidRPr="000131EF" w:rsidRDefault="00DF32BE" w:rsidP="000131E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0131EF">
        <w:rPr>
          <w:b/>
          <w:sz w:val="24"/>
          <w:szCs w:val="24"/>
        </w:rPr>
        <w:t>7.</w:t>
      </w:r>
      <w:r w:rsidRPr="000131EF">
        <w:rPr>
          <w:b/>
          <w:sz w:val="24"/>
          <w:szCs w:val="24"/>
        </w:rPr>
        <w:tab/>
        <w:t>INDEHAVER AF MARKEDSFØRINGSTILLADELSEN</w:t>
      </w:r>
    </w:p>
    <w:p w:rsidR="00924D2A" w:rsidRPr="000F0EBD" w:rsidRDefault="00961E95" w:rsidP="00924D2A">
      <w:pPr>
        <w:tabs>
          <w:tab w:val="left" w:pos="851"/>
          <w:tab w:val="left" w:pos="8222"/>
        </w:tabs>
        <w:rPr>
          <w:sz w:val="24"/>
          <w:szCs w:val="24"/>
          <w:lang w:val="en-US"/>
        </w:rPr>
      </w:pPr>
      <w:r w:rsidRPr="000131EF">
        <w:rPr>
          <w:sz w:val="24"/>
          <w:szCs w:val="24"/>
        </w:rPr>
        <w:tab/>
      </w:r>
      <w:proofErr w:type="spellStart"/>
      <w:r w:rsidR="000F0EBD" w:rsidRPr="000F0EBD">
        <w:rPr>
          <w:sz w:val="24"/>
          <w:szCs w:val="24"/>
          <w:lang w:val="en-US"/>
        </w:rPr>
        <w:t>Norbrook</w:t>
      </w:r>
      <w:proofErr w:type="spellEnd"/>
      <w:r w:rsidR="000F0EBD" w:rsidRPr="000F0EBD">
        <w:rPr>
          <w:sz w:val="24"/>
          <w:szCs w:val="24"/>
          <w:lang w:val="en-US"/>
        </w:rPr>
        <w:t xml:space="preserve"> Laboratories (Ireland) Limited</w:t>
      </w:r>
    </w:p>
    <w:p w:rsidR="00924D2A" w:rsidRDefault="00924D2A" w:rsidP="00924D2A">
      <w:pPr>
        <w:tabs>
          <w:tab w:val="left" w:pos="851"/>
          <w:tab w:val="left" w:pos="8222"/>
        </w:tabs>
        <w:rPr>
          <w:sz w:val="24"/>
          <w:szCs w:val="24"/>
          <w:lang w:val="en-US"/>
        </w:rPr>
      </w:pPr>
      <w:r w:rsidRPr="000F0EBD">
        <w:rPr>
          <w:sz w:val="24"/>
          <w:szCs w:val="24"/>
          <w:lang w:val="en-US"/>
        </w:rPr>
        <w:tab/>
      </w:r>
      <w:proofErr w:type="spellStart"/>
      <w:r w:rsidR="000F0EBD" w:rsidRPr="000F0EBD">
        <w:rPr>
          <w:sz w:val="24"/>
          <w:szCs w:val="24"/>
          <w:lang w:val="en-US"/>
        </w:rPr>
        <w:t>Rossmore</w:t>
      </w:r>
      <w:proofErr w:type="spellEnd"/>
      <w:r w:rsidR="000F0EBD" w:rsidRPr="000F0EBD">
        <w:rPr>
          <w:sz w:val="24"/>
          <w:szCs w:val="24"/>
          <w:lang w:val="en-US"/>
        </w:rPr>
        <w:t xml:space="preserve"> Industrial Estate</w:t>
      </w:r>
    </w:p>
    <w:p w:rsidR="00924D2A" w:rsidRPr="002D62FC" w:rsidRDefault="000F0EBD" w:rsidP="00924D2A">
      <w:pPr>
        <w:tabs>
          <w:tab w:val="left" w:pos="851"/>
          <w:tab w:val="left" w:pos="8222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0F0EBD">
        <w:rPr>
          <w:sz w:val="24"/>
          <w:szCs w:val="24"/>
          <w:lang w:val="en-US"/>
        </w:rPr>
        <w:t>Monaghan</w:t>
      </w:r>
    </w:p>
    <w:p w:rsidR="00924D2A" w:rsidRPr="00924D2A" w:rsidRDefault="00924D2A" w:rsidP="00924D2A">
      <w:pPr>
        <w:tabs>
          <w:tab w:val="left" w:pos="851"/>
          <w:tab w:val="left" w:pos="8222"/>
        </w:tabs>
        <w:rPr>
          <w:sz w:val="24"/>
          <w:szCs w:val="24"/>
        </w:rPr>
      </w:pPr>
      <w:r w:rsidRPr="002D62FC">
        <w:rPr>
          <w:sz w:val="24"/>
          <w:szCs w:val="24"/>
          <w:lang w:val="en-US"/>
        </w:rPr>
        <w:tab/>
      </w:r>
      <w:r w:rsidR="000F0EBD">
        <w:rPr>
          <w:sz w:val="24"/>
          <w:szCs w:val="24"/>
        </w:rPr>
        <w:t>Irland</w:t>
      </w:r>
    </w:p>
    <w:p w:rsidR="00EE7130" w:rsidRDefault="00EE7130" w:rsidP="00924D2A">
      <w:pPr>
        <w:tabs>
          <w:tab w:val="left" w:pos="851"/>
          <w:tab w:val="left" w:pos="2851"/>
          <w:tab w:val="left" w:pos="4569"/>
        </w:tabs>
        <w:ind w:left="851" w:hanging="851"/>
        <w:jc w:val="both"/>
        <w:rPr>
          <w:sz w:val="24"/>
          <w:szCs w:val="24"/>
        </w:rPr>
      </w:pPr>
    </w:p>
    <w:p w:rsidR="00DF32BE" w:rsidRPr="000131EF" w:rsidRDefault="00DF32BE" w:rsidP="000131E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F32BE" w:rsidRPr="000131EF" w:rsidRDefault="00DF32BE" w:rsidP="000131EF">
      <w:pPr>
        <w:numPr>
          <w:ilvl w:val="0"/>
          <w:numId w:val="3"/>
        </w:numPr>
        <w:tabs>
          <w:tab w:val="clear" w:pos="360"/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0131EF">
        <w:rPr>
          <w:b/>
          <w:sz w:val="24"/>
          <w:szCs w:val="24"/>
        </w:rPr>
        <w:t>MARKEDSFØRINGSTILLADELSESNUMMER</w:t>
      </w:r>
      <w:r w:rsidR="001577E4" w:rsidRPr="000131EF">
        <w:rPr>
          <w:b/>
          <w:sz w:val="24"/>
          <w:szCs w:val="24"/>
        </w:rPr>
        <w:t xml:space="preserve"> (NUMRE)</w:t>
      </w:r>
    </w:p>
    <w:p w:rsidR="00DF32BE" w:rsidRPr="000131EF" w:rsidRDefault="00DF32BE" w:rsidP="000131E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0131EF">
        <w:rPr>
          <w:sz w:val="24"/>
          <w:szCs w:val="24"/>
        </w:rPr>
        <w:tab/>
      </w:r>
      <w:r w:rsidR="00961E95" w:rsidRPr="000131EF">
        <w:rPr>
          <w:sz w:val="24"/>
          <w:szCs w:val="24"/>
        </w:rPr>
        <w:t>47609</w:t>
      </w:r>
    </w:p>
    <w:p w:rsidR="00DF32BE" w:rsidRPr="000131EF" w:rsidRDefault="00DF32BE" w:rsidP="000131E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F32BE" w:rsidRPr="000131EF" w:rsidRDefault="00DF32BE" w:rsidP="000131E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0131EF">
        <w:rPr>
          <w:b/>
          <w:sz w:val="24"/>
          <w:szCs w:val="24"/>
        </w:rPr>
        <w:t>9.</w:t>
      </w:r>
      <w:r w:rsidRPr="000131EF">
        <w:rPr>
          <w:b/>
          <w:sz w:val="24"/>
          <w:szCs w:val="24"/>
        </w:rPr>
        <w:tab/>
        <w:t>DATO FOR FØRSTE MARKEDSFØRINGSTILLADELSE</w:t>
      </w:r>
    </w:p>
    <w:p w:rsidR="00DF32BE" w:rsidRPr="000131EF" w:rsidRDefault="00DF32BE" w:rsidP="000131E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0131EF">
        <w:rPr>
          <w:sz w:val="24"/>
          <w:szCs w:val="24"/>
        </w:rPr>
        <w:tab/>
      </w:r>
      <w:r w:rsidR="00961E95" w:rsidRPr="000131EF">
        <w:rPr>
          <w:sz w:val="24"/>
          <w:szCs w:val="24"/>
        </w:rPr>
        <w:t>23. april 2012</w:t>
      </w:r>
    </w:p>
    <w:p w:rsidR="00DF32BE" w:rsidRPr="000131EF" w:rsidRDefault="00DF32BE" w:rsidP="000131E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F32BE" w:rsidRPr="000131EF" w:rsidRDefault="00DF32BE" w:rsidP="000131E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0131EF">
        <w:rPr>
          <w:b/>
          <w:sz w:val="24"/>
          <w:szCs w:val="24"/>
        </w:rPr>
        <w:t>10.</w:t>
      </w:r>
      <w:r w:rsidRPr="000131EF">
        <w:rPr>
          <w:b/>
          <w:sz w:val="24"/>
          <w:szCs w:val="24"/>
        </w:rPr>
        <w:tab/>
        <w:t>DATO FOR ÆNDRING AF TEKSTEN</w:t>
      </w:r>
    </w:p>
    <w:p w:rsidR="00DF32BE" w:rsidRPr="000131EF" w:rsidRDefault="00DF32BE" w:rsidP="000131E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0131EF">
        <w:rPr>
          <w:sz w:val="24"/>
          <w:szCs w:val="24"/>
        </w:rPr>
        <w:tab/>
      </w:r>
      <w:r w:rsidR="000F0EBD">
        <w:rPr>
          <w:sz w:val="24"/>
          <w:szCs w:val="24"/>
        </w:rPr>
        <w:t>3. januar 2020</w:t>
      </w:r>
    </w:p>
    <w:p w:rsidR="00DF32BE" w:rsidRPr="000131EF" w:rsidRDefault="00DF32BE" w:rsidP="000131E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F32BE" w:rsidRPr="000131EF" w:rsidRDefault="00DF32BE" w:rsidP="000131E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0131EF">
        <w:rPr>
          <w:b/>
          <w:sz w:val="24"/>
          <w:szCs w:val="24"/>
        </w:rPr>
        <w:t>11.</w:t>
      </w:r>
      <w:r w:rsidRPr="000131EF">
        <w:rPr>
          <w:b/>
          <w:sz w:val="24"/>
          <w:szCs w:val="24"/>
        </w:rPr>
        <w:tab/>
        <w:t>UDLEVERINGSBESTEMMELSE</w:t>
      </w:r>
    </w:p>
    <w:p w:rsidR="00DF32BE" w:rsidRPr="000131EF" w:rsidRDefault="00DF32BE" w:rsidP="000131EF">
      <w:pPr>
        <w:pStyle w:val="Sidehoved"/>
        <w:tabs>
          <w:tab w:val="clear" w:pos="4819"/>
          <w:tab w:val="clear" w:pos="9638"/>
          <w:tab w:val="left" w:pos="851"/>
          <w:tab w:val="left" w:pos="8222"/>
        </w:tabs>
        <w:ind w:left="851" w:hanging="851"/>
        <w:rPr>
          <w:szCs w:val="24"/>
        </w:rPr>
      </w:pPr>
      <w:r w:rsidRPr="000131EF">
        <w:rPr>
          <w:szCs w:val="24"/>
        </w:rPr>
        <w:tab/>
      </w:r>
      <w:r w:rsidR="00961E95" w:rsidRPr="000131EF">
        <w:rPr>
          <w:szCs w:val="24"/>
        </w:rPr>
        <w:t>BP</w:t>
      </w:r>
    </w:p>
    <w:p w:rsidR="0003527F" w:rsidRPr="000131EF" w:rsidRDefault="0003527F" w:rsidP="000131EF">
      <w:pPr>
        <w:ind w:left="851" w:hanging="851"/>
        <w:rPr>
          <w:sz w:val="24"/>
          <w:szCs w:val="24"/>
        </w:rPr>
      </w:pPr>
    </w:p>
    <w:sectPr w:rsidR="0003527F" w:rsidRPr="000131EF" w:rsidSect="008F5B7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09" w:right="1134" w:bottom="1701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1EF" w:rsidRDefault="000131EF">
      <w:r>
        <w:separator/>
      </w:r>
    </w:p>
  </w:endnote>
  <w:endnote w:type="continuationSeparator" w:id="0">
    <w:p w:rsidR="000131EF" w:rsidRDefault="0001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1EF" w:rsidRDefault="000131EF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0131EF" w:rsidRDefault="000131EF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0131EF" w:rsidRDefault="008F5B75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0131EF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CF401D">
      <w:rPr>
        <w:i/>
        <w:noProof/>
        <w:snapToGrid w:val="0"/>
        <w:sz w:val="18"/>
      </w:rPr>
      <w:t>SOlong Vet., injektionsvæske, suspension 300 mg-ml.docx</w:t>
    </w:r>
    <w:r>
      <w:rPr>
        <w:i/>
        <w:snapToGrid w:val="0"/>
        <w:sz w:val="18"/>
      </w:rPr>
      <w:fldChar w:fldCharType="end"/>
    </w:r>
    <w:r w:rsidR="000131EF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0131EF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0F0EBD">
      <w:rPr>
        <w:i/>
        <w:noProof/>
        <w:snapToGrid w:val="0"/>
        <w:sz w:val="18"/>
      </w:rPr>
      <w:t>5</w:t>
    </w:r>
    <w:r>
      <w:rPr>
        <w:i/>
        <w:snapToGrid w:val="0"/>
        <w:sz w:val="18"/>
      </w:rPr>
      <w:fldChar w:fldCharType="end"/>
    </w:r>
    <w:r w:rsidR="000131EF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0131EF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0F0EBD">
      <w:rPr>
        <w:i/>
        <w:noProof/>
        <w:snapToGrid w:val="0"/>
        <w:sz w:val="18"/>
      </w:rPr>
      <w:t>5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1EF" w:rsidRDefault="000131EF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0131EF" w:rsidRDefault="000131EF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0131EF" w:rsidRDefault="008F5B75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0131EF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CF401D">
      <w:rPr>
        <w:i/>
        <w:noProof/>
        <w:snapToGrid w:val="0"/>
        <w:sz w:val="18"/>
      </w:rPr>
      <w:t>SOlong Vet., injektionsvæske, suspension 300 mg-ml.docx</w:t>
    </w:r>
    <w:r>
      <w:rPr>
        <w:i/>
        <w:snapToGrid w:val="0"/>
        <w:sz w:val="18"/>
      </w:rPr>
      <w:fldChar w:fldCharType="end"/>
    </w:r>
    <w:r w:rsidR="000131EF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0131EF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0F0EBD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0131EF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0131EF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0F0EBD">
      <w:rPr>
        <w:i/>
        <w:noProof/>
        <w:snapToGrid w:val="0"/>
        <w:sz w:val="18"/>
      </w:rPr>
      <w:t>5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1EF" w:rsidRDefault="000131EF">
      <w:r>
        <w:separator/>
      </w:r>
    </w:p>
  </w:footnote>
  <w:footnote w:type="continuationSeparator" w:id="0">
    <w:p w:rsidR="000131EF" w:rsidRDefault="00013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1EF" w:rsidRDefault="000131EF">
    <w:pPr>
      <w:pStyle w:val="Sidehove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1EF" w:rsidRDefault="000131EF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0831"/>
    <w:multiLevelType w:val="hybridMultilevel"/>
    <w:tmpl w:val="21A62644"/>
    <w:lvl w:ilvl="0" w:tplc="0406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F11D1D"/>
    <w:multiLevelType w:val="hybridMultilevel"/>
    <w:tmpl w:val="115417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91E92"/>
    <w:multiLevelType w:val="hybridMultilevel"/>
    <w:tmpl w:val="10DAD24C"/>
    <w:lvl w:ilvl="0" w:tplc="0406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61"/>
    <w:rsid w:val="00001F45"/>
    <w:rsid w:val="000131EF"/>
    <w:rsid w:val="0003527F"/>
    <w:rsid w:val="00094EB8"/>
    <w:rsid w:val="000F0EBD"/>
    <w:rsid w:val="00136461"/>
    <w:rsid w:val="001577E4"/>
    <w:rsid w:val="001858CA"/>
    <w:rsid w:val="002D62FC"/>
    <w:rsid w:val="00306361"/>
    <w:rsid w:val="00354320"/>
    <w:rsid w:val="003A2496"/>
    <w:rsid w:val="00414F58"/>
    <w:rsid w:val="008F5B75"/>
    <w:rsid w:val="00924D2A"/>
    <w:rsid w:val="009301B2"/>
    <w:rsid w:val="00961E95"/>
    <w:rsid w:val="00996C69"/>
    <w:rsid w:val="009D0E3B"/>
    <w:rsid w:val="00CC7896"/>
    <w:rsid w:val="00CF401D"/>
    <w:rsid w:val="00D41CFD"/>
    <w:rsid w:val="00DC38E0"/>
    <w:rsid w:val="00DF32BE"/>
    <w:rsid w:val="00E54925"/>
    <w:rsid w:val="00E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4F14B351-4664-4460-A87E-9B025432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B75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8F5B7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8F5B75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basedOn w:val="Standardskrifttypeiafsnit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SidehovedTegn">
    <w:name w:val="Sidehoved Tegn"/>
    <w:basedOn w:val="Standardskrifttypeiafsnit"/>
    <w:link w:val="Sidehoved"/>
    <w:rsid w:val="00961E95"/>
    <w:rPr>
      <w:sz w:val="24"/>
    </w:rPr>
  </w:style>
  <w:style w:type="paragraph" w:styleId="Brdtekstindrykning2">
    <w:name w:val="Body Text Indent 2"/>
    <w:basedOn w:val="Normal"/>
    <w:link w:val="Brdtekstindrykning2Tegn"/>
    <w:semiHidden/>
    <w:unhideWhenUsed/>
    <w:rsid w:val="00961E95"/>
    <w:pPr>
      <w:spacing w:after="120" w:line="480" w:lineRule="auto"/>
      <w:ind w:left="283"/>
    </w:pPr>
    <w:rPr>
      <w:sz w:val="24"/>
      <w:lang w:eastAsia="da-DK"/>
    </w:r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961E95"/>
    <w:rPr>
      <w:sz w:val="24"/>
    </w:rPr>
  </w:style>
  <w:style w:type="paragraph" w:customStyle="1" w:styleId="TextkrperFachinformation">
    <w:name w:val="TextkörperFachinformation"/>
    <w:basedOn w:val="Normal"/>
    <w:next w:val="Normal"/>
    <w:uiPriority w:val="99"/>
    <w:rsid w:val="00961E95"/>
    <w:pPr>
      <w:autoSpaceDE w:val="0"/>
      <w:autoSpaceDN w:val="0"/>
      <w:adjustRightInd w:val="0"/>
    </w:pPr>
    <w:rPr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17E9.E55533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961</Words>
  <Characters>6968</Characters>
  <Application>Microsoft Office Word</Application>
  <DocSecurity>0</DocSecurity>
  <Lines>58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7914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</dc:creator>
  <cp:keywords/>
  <dc:description>2019092868
Skift af MAH fra Boehringer Ingelheim Animal </dc:description>
  <cp:lastModifiedBy>Marianne Ott Jensen</cp:lastModifiedBy>
  <cp:revision>3</cp:revision>
  <cp:lastPrinted>2012-04-23T11:38:00Z</cp:lastPrinted>
  <dcterms:created xsi:type="dcterms:W3CDTF">2020-01-03T10:49:00Z</dcterms:created>
  <dcterms:modified xsi:type="dcterms:W3CDTF">2020-01-03T10:52:00Z</dcterms:modified>
</cp:coreProperties>
</file>