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F1CD8"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5659B1B3" wp14:editId="4A03082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D625912" w14:textId="77777777" w:rsidR="008203A8" w:rsidRDefault="008203A8" w:rsidP="008203A8">
      <w:pPr>
        <w:rPr>
          <w:sz w:val="24"/>
          <w:szCs w:val="24"/>
        </w:rPr>
      </w:pPr>
    </w:p>
    <w:p w14:paraId="00FFCFC6" w14:textId="284E8227" w:rsidR="008203A8" w:rsidRPr="00406EE7" w:rsidRDefault="008203A8" w:rsidP="008203A8">
      <w:pPr>
        <w:tabs>
          <w:tab w:val="right" w:pos="9356"/>
        </w:tabs>
        <w:rPr>
          <w:b/>
          <w:sz w:val="24"/>
          <w:szCs w:val="24"/>
        </w:rPr>
      </w:pPr>
      <w:r>
        <w:rPr>
          <w:b/>
          <w:sz w:val="24"/>
          <w:szCs w:val="24"/>
        </w:rPr>
        <w:tab/>
      </w:r>
      <w:r w:rsidR="00723EA6">
        <w:rPr>
          <w:b/>
          <w:sz w:val="24"/>
          <w:szCs w:val="24"/>
        </w:rPr>
        <w:t>26. juni 2023</w:t>
      </w:r>
    </w:p>
    <w:p w14:paraId="70D2964D" w14:textId="77777777" w:rsidR="008203A8" w:rsidRDefault="008203A8" w:rsidP="008203A8">
      <w:pPr>
        <w:rPr>
          <w:sz w:val="24"/>
          <w:szCs w:val="24"/>
        </w:rPr>
      </w:pPr>
    </w:p>
    <w:p w14:paraId="59DCEABA" w14:textId="77777777" w:rsidR="008203A8" w:rsidRDefault="008203A8" w:rsidP="008203A8">
      <w:pPr>
        <w:jc w:val="center"/>
        <w:rPr>
          <w:b/>
          <w:sz w:val="24"/>
          <w:szCs w:val="24"/>
        </w:rPr>
      </w:pPr>
    </w:p>
    <w:p w14:paraId="0B25D663" w14:textId="77777777" w:rsidR="008203A8" w:rsidRPr="00406EE7" w:rsidRDefault="008203A8" w:rsidP="008203A8">
      <w:pPr>
        <w:jc w:val="center"/>
        <w:rPr>
          <w:b/>
          <w:sz w:val="24"/>
          <w:szCs w:val="24"/>
        </w:rPr>
      </w:pPr>
      <w:r w:rsidRPr="00406EE7">
        <w:rPr>
          <w:b/>
          <w:sz w:val="24"/>
          <w:szCs w:val="24"/>
        </w:rPr>
        <w:t>PRODUKTRESUMÉ</w:t>
      </w:r>
    </w:p>
    <w:p w14:paraId="459E4E42" w14:textId="77777777" w:rsidR="008203A8" w:rsidRPr="00406EE7" w:rsidRDefault="008203A8" w:rsidP="008203A8">
      <w:pPr>
        <w:jc w:val="center"/>
        <w:rPr>
          <w:b/>
          <w:sz w:val="24"/>
          <w:szCs w:val="24"/>
        </w:rPr>
      </w:pPr>
    </w:p>
    <w:p w14:paraId="652D1FF4" w14:textId="77777777" w:rsidR="008203A8" w:rsidRPr="00406EE7" w:rsidRDefault="008203A8" w:rsidP="008203A8">
      <w:pPr>
        <w:jc w:val="center"/>
        <w:rPr>
          <w:b/>
          <w:sz w:val="24"/>
          <w:szCs w:val="24"/>
        </w:rPr>
      </w:pPr>
      <w:r w:rsidRPr="00406EE7">
        <w:rPr>
          <w:b/>
          <w:sz w:val="24"/>
          <w:szCs w:val="24"/>
        </w:rPr>
        <w:t>for</w:t>
      </w:r>
    </w:p>
    <w:p w14:paraId="0F2FB5A6" w14:textId="77777777" w:rsidR="008203A8" w:rsidRPr="00406EE7" w:rsidRDefault="008203A8" w:rsidP="008203A8">
      <w:pPr>
        <w:jc w:val="center"/>
        <w:rPr>
          <w:b/>
          <w:sz w:val="24"/>
          <w:szCs w:val="24"/>
        </w:rPr>
      </w:pPr>
    </w:p>
    <w:p w14:paraId="34586B43" w14:textId="44A56DAF" w:rsidR="008203A8" w:rsidRPr="00565A74" w:rsidRDefault="002F5147" w:rsidP="008203A8">
      <w:pPr>
        <w:jc w:val="center"/>
        <w:rPr>
          <w:b/>
          <w:sz w:val="24"/>
          <w:szCs w:val="24"/>
        </w:rPr>
      </w:pPr>
      <w:r>
        <w:rPr>
          <w:b/>
          <w:sz w:val="24"/>
          <w:szCs w:val="24"/>
        </w:rPr>
        <w:t>Soluclin Vet.</w:t>
      </w:r>
      <w:r w:rsidR="00221CA4">
        <w:rPr>
          <w:b/>
          <w:sz w:val="24"/>
          <w:szCs w:val="24"/>
        </w:rPr>
        <w:t>, oral opløsning</w:t>
      </w:r>
    </w:p>
    <w:p w14:paraId="3F17A788" w14:textId="77777777" w:rsidR="008203A8" w:rsidRPr="00406EE7" w:rsidRDefault="008203A8" w:rsidP="008203A8">
      <w:pPr>
        <w:jc w:val="both"/>
        <w:rPr>
          <w:sz w:val="24"/>
          <w:szCs w:val="24"/>
        </w:rPr>
      </w:pPr>
    </w:p>
    <w:p w14:paraId="0982DD1C" w14:textId="77777777" w:rsidR="008203A8" w:rsidRDefault="008203A8" w:rsidP="008203A8">
      <w:pPr>
        <w:jc w:val="both"/>
        <w:rPr>
          <w:sz w:val="24"/>
          <w:szCs w:val="24"/>
        </w:rPr>
      </w:pPr>
    </w:p>
    <w:p w14:paraId="7C692055" w14:textId="77777777" w:rsidR="008203A8" w:rsidRPr="00406EE7" w:rsidRDefault="008203A8" w:rsidP="008203A8">
      <w:pPr>
        <w:jc w:val="both"/>
        <w:rPr>
          <w:sz w:val="24"/>
          <w:szCs w:val="24"/>
        </w:rPr>
      </w:pPr>
    </w:p>
    <w:p w14:paraId="680A60AD"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712BBA2A" w14:textId="222BFA63" w:rsidR="008203A8" w:rsidRPr="00406EE7" w:rsidRDefault="00113E46" w:rsidP="008203A8">
      <w:pPr>
        <w:ind w:left="851"/>
        <w:rPr>
          <w:sz w:val="24"/>
          <w:szCs w:val="24"/>
        </w:rPr>
      </w:pPr>
      <w:r>
        <w:rPr>
          <w:sz w:val="24"/>
          <w:szCs w:val="24"/>
        </w:rPr>
        <w:t>3294</w:t>
      </w:r>
      <w:r w:rsidR="00AB5F74">
        <w:rPr>
          <w:sz w:val="24"/>
          <w:szCs w:val="24"/>
        </w:rPr>
        <w:t>1</w:t>
      </w:r>
    </w:p>
    <w:p w14:paraId="3591DDFC" w14:textId="77777777" w:rsidR="008203A8" w:rsidRPr="00406EE7" w:rsidRDefault="008203A8" w:rsidP="008203A8">
      <w:pPr>
        <w:ind w:left="851"/>
        <w:rPr>
          <w:sz w:val="24"/>
          <w:szCs w:val="24"/>
        </w:rPr>
      </w:pPr>
    </w:p>
    <w:p w14:paraId="37FDE8C9"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22D83180" w14:textId="1DEF8207" w:rsidR="008203A8" w:rsidRDefault="002F5147" w:rsidP="008203A8">
      <w:pPr>
        <w:ind w:left="851"/>
        <w:rPr>
          <w:sz w:val="24"/>
          <w:szCs w:val="24"/>
        </w:rPr>
      </w:pPr>
      <w:r>
        <w:rPr>
          <w:sz w:val="24"/>
          <w:szCs w:val="24"/>
        </w:rPr>
        <w:t>Soluclin Vet.</w:t>
      </w:r>
    </w:p>
    <w:p w14:paraId="5AEFC41B" w14:textId="77777777" w:rsidR="008203A8" w:rsidRDefault="008203A8" w:rsidP="008203A8">
      <w:pPr>
        <w:ind w:left="851"/>
        <w:rPr>
          <w:sz w:val="24"/>
          <w:szCs w:val="24"/>
        </w:rPr>
      </w:pPr>
    </w:p>
    <w:p w14:paraId="3B431A06" w14:textId="6497EEA7" w:rsidR="008203A8" w:rsidRPr="00776C2C" w:rsidRDefault="008203A8" w:rsidP="008203A8">
      <w:pPr>
        <w:ind w:left="851"/>
        <w:rPr>
          <w:sz w:val="24"/>
          <w:szCs w:val="24"/>
        </w:rPr>
      </w:pPr>
      <w:r w:rsidRPr="00776C2C">
        <w:rPr>
          <w:sz w:val="24"/>
          <w:szCs w:val="24"/>
        </w:rPr>
        <w:t xml:space="preserve">Lægemiddelform: </w:t>
      </w:r>
      <w:r w:rsidR="00AB5F74">
        <w:rPr>
          <w:sz w:val="24"/>
          <w:szCs w:val="24"/>
        </w:rPr>
        <w:t>Oral opløsning</w:t>
      </w:r>
    </w:p>
    <w:p w14:paraId="184A2655" w14:textId="5067CF74" w:rsidR="008203A8" w:rsidRPr="00776C2C" w:rsidRDefault="008203A8" w:rsidP="008203A8">
      <w:pPr>
        <w:ind w:left="851"/>
        <w:rPr>
          <w:sz w:val="24"/>
          <w:szCs w:val="24"/>
        </w:rPr>
      </w:pPr>
      <w:r w:rsidRPr="00776C2C">
        <w:rPr>
          <w:sz w:val="24"/>
          <w:szCs w:val="24"/>
        </w:rPr>
        <w:t xml:space="preserve">Styrke: </w:t>
      </w:r>
      <w:r w:rsidR="00AB5F74">
        <w:rPr>
          <w:sz w:val="24"/>
          <w:szCs w:val="24"/>
        </w:rPr>
        <w:t>25 mg/ml</w:t>
      </w:r>
    </w:p>
    <w:p w14:paraId="6FAD4FA9" w14:textId="77777777" w:rsidR="008203A8" w:rsidRPr="00406EE7" w:rsidRDefault="008203A8" w:rsidP="008203A8">
      <w:pPr>
        <w:ind w:left="851"/>
        <w:rPr>
          <w:sz w:val="24"/>
          <w:szCs w:val="24"/>
        </w:rPr>
      </w:pPr>
    </w:p>
    <w:p w14:paraId="66D5FCDB"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6AB6617A" w14:textId="77777777" w:rsidR="00DB4AAE" w:rsidRPr="00DB4AAE" w:rsidRDefault="00DB4AAE" w:rsidP="00DB4AAE">
      <w:pPr>
        <w:ind w:left="851"/>
        <w:rPr>
          <w:bCs/>
          <w:sz w:val="24"/>
          <w:szCs w:val="24"/>
        </w:rPr>
      </w:pPr>
      <w:bookmarkStart w:id="1" w:name="_Hlk116036103"/>
      <w:r w:rsidRPr="00DB4AAE">
        <w:rPr>
          <w:bCs/>
          <w:sz w:val="24"/>
          <w:szCs w:val="24"/>
        </w:rPr>
        <w:t>Hver ml  indeholder:</w:t>
      </w:r>
    </w:p>
    <w:p w14:paraId="71C66A2C" w14:textId="77777777" w:rsidR="00DB4AAE" w:rsidRPr="00DB4AAE" w:rsidRDefault="00DB4AAE" w:rsidP="00DB4AAE">
      <w:pPr>
        <w:ind w:left="851"/>
        <w:rPr>
          <w:b/>
          <w:sz w:val="24"/>
          <w:szCs w:val="24"/>
        </w:rPr>
      </w:pPr>
    </w:p>
    <w:p w14:paraId="63E4068E" w14:textId="3FD29CF3" w:rsidR="00DB4AAE" w:rsidRPr="0046702D" w:rsidRDefault="00DB4AAE" w:rsidP="00DB4AAE">
      <w:pPr>
        <w:ind w:left="851"/>
        <w:rPr>
          <w:sz w:val="24"/>
          <w:szCs w:val="24"/>
          <w:u w:val="single"/>
        </w:rPr>
      </w:pPr>
      <w:r w:rsidRPr="0046702D">
        <w:rPr>
          <w:sz w:val="24"/>
          <w:szCs w:val="24"/>
          <w:u w:val="single"/>
        </w:rPr>
        <w:t>Aktivt stof</w:t>
      </w:r>
    </w:p>
    <w:p w14:paraId="3DDC5711" w14:textId="77777777" w:rsidR="00DB4AAE" w:rsidRPr="00DB4AAE" w:rsidRDefault="00DB4AAE" w:rsidP="00DB4AAE">
      <w:pPr>
        <w:ind w:left="851"/>
        <w:rPr>
          <w:iCs/>
          <w:sz w:val="24"/>
          <w:szCs w:val="24"/>
        </w:rPr>
      </w:pPr>
      <w:r w:rsidRPr="00DB4AAE">
        <w:rPr>
          <w:sz w:val="24"/>
          <w:szCs w:val="24"/>
        </w:rPr>
        <w:t>Clindamycin 25 mg (svarende til 27,15 mg clindamycinhydrochlorid)</w:t>
      </w:r>
    </w:p>
    <w:bookmarkEnd w:id="1"/>
    <w:p w14:paraId="49050D14" w14:textId="77777777" w:rsidR="00DB4AAE" w:rsidRPr="00DB4AAE" w:rsidRDefault="00DB4AAE" w:rsidP="00DB4AAE">
      <w:pPr>
        <w:ind w:left="851"/>
        <w:rPr>
          <w:iCs/>
          <w:sz w:val="24"/>
          <w:szCs w:val="24"/>
        </w:rPr>
      </w:pPr>
    </w:p>
    <w:p w14:paraId="61D3934D" w14:textId="0DDBFD02" w:rsidR="00DB4AAE" w:rsidRPr="0046702D" w:rsidRDefault="00DB4AAE" w:rsidP="00DB4AAE">
      <w:pPr>
        <w:ind w:left="851"/>
        <w:rPr>
          <w:sz w:val="24"/>
          <w:szCs w:val="24"/>
          <w:u w:val="single"/>
        </w:rPr>
      </w:pPr>
      <w:r w:rsidRPr="0046702D">
        <w:rPr>
          <w:sz w:val="24"/>
          <w:szCs w:val="24"/>
          <w:u w:val="single"/>
        </w:rPr>
        <w:t>Hjælpestoffer</w:t>
      </w:r>
    </w:p>
    <w:p w14:paraId="0CC6E56A" w14:textId="77777777" w:rsidR="00DB4AAE" w:rsidRPr="00DB4AAE" w:rsidRDefault="00DB4AAE" w:rsidP="00DB4AAE">
      <w:pPr>
        <w:ind w:left="851"/>
        <w:rPr>
          <w:sz w:val="24"/>
          <w:szCs w:val="24"/>
        </w:rPr>
      </w:pPr>
    </w:p>
    <w:tbl>
      <w:tblPr>
        <w:tblW w:w="928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DB4AAE" w:rsidRPr="00DB4AAE" w14:paraId="60C4E9A5" w14:textId="77777777" w:rsidTr="0046702D">
        <w:tc>
          <w:tcPr>
            <w:tcW w:w="4643" w:type="dxa"/>
            <w:tcBorders>
              <w:top w:val="single" w:sz="4" w:space="0" w:color="000000"/>
              <w:left w:val="single" w:sz="4" w:space="0" w:color="000000"/>
              <w:bottom w:val="single" w:sz="4" w:space="0" w:color="000000"/>
              <w:right w:val="single" w:sz="4" w:space="0" w:color="000000"/>
            </w:tcBorders>
            <w:vAlign w:val="center"/>
            <w:hideMark/>
          </w:tcPr>
          <w:p w14:paraId="455BD153" w14:textId="77777777" w:rsidR="00DB4AAE" w:rsidRPr="00DB4AAE" w:rsidRDefault="00DB4AAE" w:rsidP="0046702D">
            <w:pPr>
              <w:ind w:left="33"/>
              <w:rPr>
                <w:iCs/>
                <w:sz w:val="24"/>
                <w:szCs w:val="24"/>
              </w:rPr>
            </w:pPr>
            <w:r w:rsidRPr="00DB4AAE">
              <w:rPr>
                <w:b/>
                <w:sz w:val="24"/>
                <w:szCs w:val="24"/>
              </w:rPr>
              <w:t>Kvalitativ</w:t>
            </w:r>
            <w:r w:rsidRPr="00DB4AAE">
              <w:rPr>
                <w:sz w:val="24"/>
                <w:szCs w:val="24"/>
              </w:rPr>
              <w:t xml:space="preserve"> </w:t>
            </w:r>
            <w:r w:rsidRPr="00DB4AAE">
              <w:rPr>
                <w:b/>
                <w:sz w:val="24"/>
                <w:szCs w:val="24"/>
              </w:rPr>
              <w:t>sammensætning af hjælpestoffer og andre bestanddele</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6E7A315F" w14:textId="77777777" w:rsidR="00DB4AAE" w:rsidRPr="00DB4AAE" w:rsidRDefault="00DB4AAE" w:rsidP="0046702D">
            <w:pPr>
              <w:ind w:left="70"/>
              <w:rPr>
                <w:i/>
                <w:iCs/>
                <w:sz w:val="24"/>
                <w:szCs w:val="24"/>
              </w:rPr>
            </w:pPr>
            <w:r w:rsidRPr="00DB4AAE">
              <w:rPr>
                <w:b/>
                <w:sz w:val="24"/>
                <w:szCs w:val="24"/>
              </w:rPr>
              <w:t>Kvantitativ</w:t>
            </w:r>
            <w:r w:rsidRPr="00DB4AAE">
              <w:rPr>
                <w:sz w:val="24"/>
                <w:szCs w:val="24"/>
              </w:rPr>
              <w:t xml:space="preserve"> </w:t>
            </w:r>
            <w:r w:rsidRPr="00DB4AAE">
              <w:rPr>
                <w:b/>
                <w:sz w:val="24"/>
                <w:szCs w:val="24"/>
              </w:rPr>
              <w:t>sammensætning,</w:t>
            </w:r>
            <w:r w:rsidRPr="00DB4AAE">
              <w:rPr>
                <w:sz w:val="24"/>
                <w:szCs w:val="24"/>
              </w:rPr>
              <w:t xml:space="preserve"> </w:t>
            </w:r>
            <w:r w:rsidRPr="00DB4AAE">
              <w:rPr>
                <w:b/>
                <w:sz w:val="24"/>
                <w:szCs w:val="24"/>
              </w:rPr>
              <w:t>hvis oplysningen er vigtig</w:t>
            </w:r>
            <w:r w:rsidRPr="00DB4AAE">
              <w:rPr>
                <w:sz w:val="24"/>
                <w:szCs w:val="24"/>
              </w:rPr>
              <w:t xml:space="preserve"> </w:t>
            </w:r>
            <w:r w:rsidRPr="00DB4AAE">
              <w:rPr>
                <w:b/>
                <w:sz w:val="24"/>
                <w:szCs w:val="24"/>
              </w:rPr>
              <w:t>for korrekt administration af veterinærlægemidle</w:t>
            </w:r>
            <w:r w:rsidRPr="00DB4AAE">
              <w:rPr>
                <w:sz w:val="24"/>
                <w:szCs w:val="24"/>
              </w:rPr>
              <w:t>t</w:t>
            </w:r>
          </w:p>
        </w:tc>
      </w:tr>
      <w:tr w:rsidR="00DB4AAE" w:rsidRPr="00DB4AAE" w14:paraId="2A22B76F" w14:textId="77777777" w:rsidTr="0046702D">
        <w:tc>
          <w:tcPr>
            <w:tcW w:w="4643" w:type="dxa"/>
            <w:tcBorders>
              <w:top w:val="single" w:sz="4" w:space="0" w:color="000000"/>
              <w:left w:val="single" w:sz="4" w:space="0" w:color="000000"/>
              <w:bottom w:val="single" w:sz="4" w:space="0" w:color="000000"/>
              <w:right w:val="single" w:sz="4" w:space="0" w:color="000000"/>
            </w:tcBorders>
            <w:hideMark/>
          </w:tcPr>
          <w:p w14:paraId="7D443A93" w14:textId="77777777" w:rsidR="00DB4AAE" w:rsidRPr="00DB4AAE" w:rsidRDefault="00DB4AAE" w:rsidP="0046702D">
            <w:pPr>
              <w:ind w:left="33"/>
              <w:rPr>
                <w:iCs/>
                <w:sz w:val="24"/>
                <w:szCs w:val="24"/>
              </w:rPr>
            </w:pPr>
            <w:r w:rsidRPr="00DB4AAE">
              <w:rPr>
                <w:sz w:val="24"/>
                <w:szCs w:val="24"/>
              </w:rPr>
              <w:t>Ethanol 96 % (E1510)</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3D881F3A" w14:textId="77777777" w:rsidR="00DB4AAE" w:rsidRPr="00DB4AAE" w:rsidRDefault="00DB4AAE" w:rsidP="0046702D">
            <w:pPr>
              <w:ind w:left="70"/>
              <w:rPr>
                <w:iCs/>
                <w:sz w:val="24"/>
                <w:szCs w:val="24"/>
              </w:rPr>
            </w:pPr>
            <w:r w:rsidRPr="00DB4AAE">
              <w:rPr>
                <w:sz w:val="24"/>
                <w:szCs w:val="24"/>
              </w:rPr>
              <w:t>100 mg</w:t>
            </w:r>
          </w:p>
        </w:tc>
      </w:tr>
      <w:tr w:rsidR="00DB4AAE" w:rsidRPr="00DB4AAE" w14:paraId="1F564C53" w14:textId="77777777" w:rsidTr="0046702D">
        <w:tc>
          <w:tcPr>
            <w:tcW w:w="4643" w:type="dxa"/>
            <w:tcBorders>
              <w:top w:val="single" w:sz="4" w:space="0" w:color="000000"/>
              <w:left w:val="single" w:sz="4" w:space="0" w:color="000000"/>
              <w:bottom w:val="single" w:sz="4" w:space="0" w:color="000000"/>
              <w:right w:val="single" w:sz="4" w:space="0" w:color="000000"/>
            </w:tcBorders>
            <w:hideMark/>
          </w:tcPr>
          <w:p w14:paraId="10E3DC1E" w14:textId="77777777" w:rsidR="00DB4AAE" w:rsidRPr="00DB4AAE" w:rsidRDefault="00DB4AAE" w:rsidP="0046702D">
            <w:pPr>
              <w:ind w:left="33"/>
              <w:rPr>
                <w:iCs/>
                <w:sz w:val="24"/>
                <w:szCs w:val="24"/>
              </w:rPr>
            </w:pPr>
            <w:r w:rsidRPr="00DB4AAE">
              <w:rPr>
                <w:sz w:val="24"/>
                <w:szCs w:val="24"/>
              </w:rPr>
              <w:t>Sorbitol, flydende (ikke-krystalliserende)</w:t>
            </w:r>
          </w:p>
        </w:tc>
        <w:tc>
          <w:tcPr>
            <w:tcW w:w="4644" w:type="dxa"/>
            <w:tcBorders>
              <w:top w:val="single" w:sz="4" w:space="0" w:color="000000"/>
              <w:left w:val="single" w:sz="4" w:space="0" w:color="000000"/>
              <w:bottom w:val="single" w:sz="4" w:space="0" w:color="000000"/>
              <w:right w:val="single" w:sz="4" w:space="0" w:color="000000"/>
            </w:tcBorders>
            <w:vAlign w:val="center"/>
          </w:tcPr>
          <w:p w14:paraId="1080269F" w14:textId="77777777" w:rsidR="00DB4AAE" w:rsidRPr="00DB4AAE" w:rsidRDefault="00DB4AAE" w:rsidP="0046702D">
            <w:pPr>
              <w:ind w:left="70"/>
              <w:rPr>
                <w:iCs/>
                <w:sz w:val="24"/>
                <w:szCs w:val="24"/>
              </w:rPr>
            </w:pPr>
          </w:p>
        </w:tc>
      </w:tr>
      <w:tr w:rsidR="00DB4AAE" w:rsidRPr="00DB4AAE" w14:paraId="7A4245A9" w14:textId="77777777" w:rsidTr="0046702D">
        <w:tc>
          <w:tcPr>
            <w:tcW w:w="4643" w:type="dxa"/>
            <w:tcBorders>
              <w:top w:val="single" w:sz="4" w:space="0" w:color="000000"/>
              <w:left w:val="single" w:sz="4" w:space="0" w:color="000000"/>
              <w:bottom w:val="single" w:sz="4" w:space="0" w:color="000000"/>
              <w:right w:val="single" w:sz="4" w:space="0" w:color="000000"/>
            </w:tcBorders>
            <w:hideMark/>
          </w:tcPr>
          <w:p w14:paraId="4CBAC639" w14:textId="77777777" w:rsidR="00DB4AAE" w:rsidRPr="00DB4AAE" w:rsidRDefault="00DB4AAE" w:rsidP="0046702D">
            <w:pPr>
              <w:ind w:left="33"/>
              <w:rPr>
                <w:b/>
                <w:bCs/>
                <w:iCs/>
                <w:sz w:val="24"/>
                <w:szCs w:val="24"/>
              </w:rPr>
            </w:pPr>
            <w:r w:rsidRPr="00DB4AAE">
              <w:rPr>
                <w:sz w:val="24"/>
                <w:szCs w:val="24"/>
              </w:rPr>
              <w:t>Glycerol</w:t>
            </w:r>
          </w:p>
        </w:tc>
        <w:tc>
          <w:tcPr>
            <w:tcW w:w="4644" w:type="dxa"/>
            <w:tcBorders>
              <w:top w:val="single" w:sz="4" w:space="0" w:color="000000"/>
              <w:left w:val="single" w:sz="4" w:space="0" w:color="000000"/>
              <w:bottom w:val="single" w:sz="4" w:space="0" w:color="000000"/>
              <w:right w:val="single" w:sz="4" w:space="0" w:color="000000"/>
            </w:tcBorders>
            <w:vAlign w:val="center"/>
          </w:tcPr>
          <w:p w14:paraId="345349C8" w14:textId="77777777" w:rsidR="00DB4AAE" w:rsidRPr="00DB4AAE" w:rsidRDefault="00DB4AAE" w:rsidP="0046702D">
            <w:pPr>
              <w:ind w:left="70"/>
              <w:rPr>
                <w:iCs/>
                <w:sz w:val="24"/>
                <w:szCs w:val="24"/>
              </w:rPr>
            </w:pPr>
          </w:p>
        </w:tc>
      </w:tr>
      <w:tr w:rsidR="00DB4AAE" w:rsidRPr="00DB4AAE" w14:paraId="0E8E98D3" w14:textId="77777777" w:rsidTr="0046702D">
        <w:tc>
          <w:tcPr>
            <w:tcW w:w="4643" w:type="dxa"/>
            <w:tcBorders>
              <w:top w:val="single" w:sz="4" w:space="0" w:color="000000"/>
              <w:left w:val="single" w:sz="4" w:space="0" w:color="000000"/>
              <w:bottom w:val="single" w:sz="4" w:space="0" w:color="000000"/>
              <w:right w:val="single" w:sz="4" w:space="0" w:color="000000"/>
            </w:tcBorders>
            <w:hideMark/>
          </w:tcPr>
          <w:p w14:paraId="5B775396" w14:textId="77777777" w:rsidR="00DB4AAE" w:rsidRPr="00DB4AAE" w:rsidRDefault="00DB4AAE" w:rsidP="0046702D">
            <w:pPr>
              <w:ind w:left="33"/>
              <w:rPr>
                <w:iCs/>
                <w:sz w:val="24"/>
                <w:szCs w:val="24"/>
              </w:rPr>
            </w:pPr>
            <w:r w:rsidRPr="00DB4AAE">
              <w:rPr>
                <w:sz w:val="24"/>
                <w:szCs w:val="24"/>
              </w:rPr>
              <w:t>Propylenglykol</w:t>
            </w:r>
          </w:p>
        </w:tc>
        <w:tc>
          <w:tcPr>
            <w:tcW w:w="4644" w:type="dxa"/>
            <w:tcBorders>
              <w:top w:val="single" w:sz="4" w:space="0" w:color="000000"/>
              <w:left w:val="single" w:sz="4" w:space="0" w:color="000000"/>
              <w:bottom w:val="single" w:sz="4" w:space="0" w:color="000000"/>
              <w:right w:val="single" w:sz="4" w:space="0" w:color="000000"/>
            </w:tcBorders>
            <w:vAlign w:val="center"/>
          </w:tcPr>
          <w:p w14:paraId="0BCE909D" w14:textId="77777777" w:rsidR="00DB4AAE" w:rsidRPr="00DB4AAE" w:rsidRDefault="00DB4AAE" w:rsidP="0046702D">
            <w:pPr>
              <w:ind w:left="70"/>
              <w:rPr>
                <w:iCs/>
                <w:sz w:val="24"/>
                <w:szCs w:val="24"/>
              </w:rPr>
            </w:pPr>
          </w:p>
        </w:tc>
      </w:tr>
      <w:tr w:rsidR="00DB4AAE" w:rsidRPr="00DB4AAE" w14:paraId="3F151EE3" w14:textId="77777777" w:rsidTr="0046702D">
        <w:tc>
          <w:tcPr>
            <w:tcW w:w="4643" w:type="dxa"/>
            <w:tcBorders>
              <w:top w:val="single" w:sz="4" w:space="0" w:color="000000"/>
              <w:left w:val="single" w:sz="4" w:space="0" w:color="000000"/>
              <w:bottom w:val="single" w:sz="4" w:space="0" w:color="000000"/>
              <w:right w:val="single" w:sz="4" w:space="0" w:color="000000"/>
            </w:tcBorders>
            <w:hideMark/>
          </w:tcPr>
          <w:p w14:paraId="0F899C90" w14:textId="77777777" w:rsidR="00DB4AAE" w:rsidRPr="00DB4AAE" w:rsidRDefault="00DB4AAE" w:rsidP="0046702D">
            <w:pPr>
              <w:ind w:left="33"/>
              <w:rPr>
                <w:iCs/>
                <w:sz w:val="24"/>
                <w:szCs w:val="24"/>
              </w:rPr>
            </w:pPr>
            <w:r w:rsidRPr="00DB4AAE">
              <w:rPr>
                <w:sz w:val="24"/>
                <w:szCs w:val="24"/>
              </w:rPr>
              <w:t>Natriumcyclamat</w:t>
            </w:r>
          </w:p>
        </w:tc>
        <w:tc>
          <w:tcPr>
            <w:tcW w:w="4644" w:type="dxa"/>
            <w:tcBorders>
              <w:top w:val="single" w:sz="4" w:space="0" w:color="000000"/>
              <w:left w:val="single" w:sz="4" w:space="0" w:color="000000"/>
              <w:bottom w:val="single" w:sz="4" w:space="0" w:color="000000"/>
              <w:right w:val="single" w:sz="4" w:space="0" w:color="000000"/>
            </w:tcBorders>
            <w:vAlign w:val="center"/>
          </w:tcPr>
          <w:p w14:paraId="2D4805D9" w14:textId="77777777" w:rsidR="00DB4AAE" w:rsidRPr="00DB4AAE" w:rsidRDefault="00DB4AAE" w:rsidP="0046702D">
            <w:pPr>
              <w:ind w:left="70"/>
              <w:rPr>
                <w:iCs/>
                <w:sz w:val="24"/>
                <w:szCs w:val="24"/>
              </w:rPr>
            </w:pPr>
          </w:p>
        </w:tc>
      </w:tr>
      <w:tr w:rsidR="00DB4AAE" w:rsidRPr="00DB4AAE" w14:paraId="16D35C8B" w14:textId="77777777" w:rsidTr="0046702D">
        <w:tc>
          <w:tcPr>
            <w:tcW w:w="4643" w:type="dxa"/>
            <w:tcBorders>
              <w:top w:val="single" w:sz="4" w:space="0" w:color="000000"/>
              <w:left w:val="single" w:sz="4" w:space="0" w:color="000000"/>
              <w:bottom w:val="single" w:sz="4" w:space="0" w:color="000000"/>
              <w:right w:val="single" w:sz="4" w:space="0" w:color="000000"/>
            </w:tcBorders>
            <w:hideMark/>
          </w:tcPr>
          <w:p w14:paraId="284EC821" w14:textId="77777777" w:rsidR="00DB4AAE" w:rsidRPr="00DB4AAE" w:rsidRDefault="00DB4AAE" w:rsidP="0046702D">
            <w:pPr>
              <w:ind w:left="33"/>
              <w:rPr>
                <w:iCs/>
                <w:sz w:val="24"/>
                <w:szCs w:val="24"/>
              </w:rPr>
            </w:pPr>
            <w:r w:rsidRPr="00DB4AAE">
              <w:rPr>
                <w:sz w:val="24"/>
                <w:szCs w:val="24"/>
              </w:rPr>
              <w:t>Sucralose</w:t>
            </w:r>
          </w:p>
        </w:tc>
        <w:tc>
          <w:tcPr>
            <w:tcW w:w="4644" w:type="dxa"/>
            <w:tcBorders>
              <w:top w:val="single" w:sz="4" w:space="0" w:color="000000"/>
              <w:left w:val="single" w:sz="4" w:space="0" w:color="000000"/>
              <w:bottom w:val="single" w:sz="4" w:space="0" w:color="000000"/>
              <w:right w:val="single" w:sz="4" w:space="0" w:color="000000"/>
            </w:tcBorders>
            <w:vAlign w:val="center"/>
          </w:tcPr>
          <w:p w14:paraId="71604F69" w14:textId="77777777" w:rsidR="00DB4AAE" w:rsidRPr="00DB4AAE" w:rsidRDefault="00DB4AAE" w:rsidP="0046702D">
            <w:pPr>
              <w:ind w:left="70"/>
              <w:rPr>
                <w:iCs/>
                <w:sz w:val="24"/>
                <w:szCs w:val="24"/>
              </w:rPr>
            </w:pPr>
          </w:p>
        </w:tc>
      </w:tr>
      <w:tr w:rsidR="00DB4AAE" w:rsidRPr="00DB4AAE" w14:paraId="2DD44D72" w14:textId="77777777" w:rsidTr="0046702D">
        <w:tc>
          <w:tcPr>
            <w:tcW w:w="4643" w:type="dxa"/>
            <w:tcBorders>
              <w:top w:val="single" w:sz="4" w:space="0" w:color="000000"/>
              <w:left w:val="single" w:sz="4" w:space="0" w:color="000000"/>
              <w:bottom w:val="single" w:sz="4" w:space="0" w:color="000000"/>
              <w:right w:val="single" w:sz="4" w:space="0" w:color="000000"/>
            </w:tcBorders>
            <w:hideMark/>
          </w:tcPr>
          <w:p w14:paraId="4591FB77" w14:textId="77777777" w:rsidR="00DB4AAE" w:rsidRPr="00DB4AAE" w:rsidRDefault="00DB4AAE" w:rsidP="0046702D">
            <w:pPr>
              <w:ind w:left="33"/>
              <w:rPr>
                <w:iCs/>
                <w:sz w:val="24"/>
                <w:szCs w:val="24"/>
              </w:rPr>
            </w:pPr>
            <w:r w:rsidRPr="00DB4AAE">
              <w:rPr>
                <w:sz w:val="24"/>
                <w:szCs w:val="24"/>
              </w:rPr>
              <w:t>Anissmag</w:t>
            </w:r>
          </w:p>
        </w:tc>
        <w:tc>
          <w:tcPr>
            <w:tcW w:w="4644" w:type="dxa"/>
            <w:tcBorders>
              <w:top w:val="single" w:sz="4" w:space="0" w:color="000000"/>
              <w:left w:val="single" w:sz="4" w:space="0" w:color="000000"/>
              <w:bottom w:val="single" w:sz="4" w:space="0" w:color="000000"/>
              <w:right w:val="single" w:sz="4" w:space="0" w:color="000000"/>
            </w:tcBorders>
            <w:vAlign w:val="center"/>
          </w:tcPr>
          <w:p w14:paraId="0C68DC33" w14:textId="77777777" w:rsidR="00DB4AAE" w:rsidRPr="00DB4AAE" w:rsidRDefault="00DB4AAE" w:rsidP="0046702D">
            <w:pPr>
              <w:ind w:left="70"/>
              <w:rPr>
                <w:iCs/>
                <w:sz w:val="24"/>
                <w:szCs w:val="24"/>
              </w:rPr>
            </w:pPr>
          </w:p>
        </w:tc>
      </w:tr>
      <w:tr w:rsidR="00DB4AAE" w:rsidRPr="00DB4AAE" w14:paraId="48D5D12B" w14:textId="77777777" w:rsidTr="0046702D">
        <w:tc>
          <w:tcPr>
            <w:tcW w:w="4643" w:type="dxa"/>
            <w:tcBorders>
              <w:top w:val="single" w:sz="4" w:space="0" w:color="000000"/>
              <w:left w:val="single" w:sz="4" w:space="0" w:color="000000"/>
              <w:bottom w:val="single" w:sz="4" w:space="0" w:color="000000"/>
              <w:right w:val="single" w:sz="4" w:space="0" w:color="000000"/>
            </w:tcBorders>
            <w:hideMark/>
          </w:tcPr>
          <w:p w14:paraId="44ABDBBD" w14:textId="77777777" w:rsidR="00DB4AAE" w:rsidRPr="00DB4AAE" w:rsidRDefault="00DB4AAE" w:rsidP="0046702D">
            <w:pPr>
              <w:ind w:left="33"/>
              <w:rPr>
                <w:sz w:val="24"/>
                <w:szCs w:val="24"/>
              </w:rPr>
            </w:pPr>
            <w:r w:rsidRPr="00DB4AAE">
              <w:rPr>
                <w:sz w:val="24"/>
                <w:szCs w:val="24"/>
              </w:rPr>
              <w:t>Saltsyre, fortyndet</w:t>
            </w:r>
          </w:p>
        </w:tc>
        <w:tc>
          <w:tcPr>
            <w:tcW w:w="4644" w:type="dxa"/>
            <w:tcBorders>
              <w:top w:val="single" w:sz="4" w:space="0" w:color="000000"/>
              <w:left w:val="single" w:sz="4" w:space="0" w:color="000000"/>
              <w:bottom w:val="single" w:sz="4" w:space="0" w:color="000000"/>
              <w:right w:val="single" w:sz="4" w:space="0" w:color="000000"/>
            </w:tcBorders>
            <w:vAlign w:val="center"/>
          </w:tcPr>
          <w:p w14:paraId="1019CCE3" w14:textId="77777777" w:rsidR="00DB4AAE" w:rsidRPr="00DB4AAE" w:rsidRDefault="00DB4AAE" w:rsidP="0046702D">
            <w:pPr>
              <w:ind w:left="70"/>
              <w:rPr>
                <w:iCs/>
                <w:sz w:val="24"/>
                <w:szCs w:val="24"/>
              </w:rPr>
            </w:pPr>
          </w:p>
        </w:tc>
      </w:tr>
      <w:tr w:rsidR="00DB4AAE" w:rsidRPr="00DB4AAE" w14:paraId="518A0FCE" w14:textId="77777777" w:rsidTr="0046702D">
        <w:tc>
          <w:tcPr>
            <w:tcW w:w="4643" w:type="dxa"/>
            <w:tcBorders>
              <w:top w:val="single" w:sz="4" w:space="0" w:color="000000"/>
              <w:left w:val="single" w:sz="4" w:space="0" w:color="000000"/>
              <w:bottom w:val="single" w:sz="4" w:space="0" w:color="000000"/>
              <w:right w:val="single" w:sz="4" w:space="0" w:color="000000"/>
            </w:tcBorders>
            <w:hideMark/>
          </w:tcPr>
          <w:p w14:paraId="4DC63B02" w14:textId="77777777" w:rsidR="00DB4AAE" w:rsidRPr="00DB4AAE" w:rsidRDefault="00DB4AAE" w:rsidP="0046702D">
            <w:pPr>
              <w:ind w:left="33"/>
              <w:rPr>
                <w:sz w:val="24"/>
                <w:szCs w:val="24"/>
              </w:rPr>
            </w:pPr>
            <w:r w:rsidRPr="00DB4AAE">
              <w:rPr>
                <w:sz w:val="24"/>
                <w:szCs w:val="24"/>
              </w:rPr>
              <w:t>Natriumhydroxid</w:t>
            </w:r>
          </w:p>
        </w:tc>
        <w:tc>
          <w:tcPr>
            <w:tcW w:w="4644" w:type="dxa"/>
            <w:tcBorders>
              <w:top w:val="single" w:sz="4" w:space="0" w:color="000000"/>
              <w:left w:val="single" w:sz="4" w:space="0" w:color="000000"/>
              <w:bottom w:val="single" w:sz="4" w:space="0" w:color="000000"/>
              <w:right w:val="single" w:sz="4" w:space="0" w:color="000000"/>
            </w:tcBorders>
            <w:vAlign w:val="center"/>
          </w:tcPr>
          <w:p w14:paraId="48D29424" w14:textId="77777777" w:rsidR="00DB4AAE" w:rsidRPr="00DB4AAE" w:rsidRDefault="00DB4AAE" w:rsidP="0046702D">
            <w:pPr>
              <w:ind w:left="70"/>
              <w:rPr>
                <w:iCs/>
                <w:sz w:val="24"/>
                <w:szCs w:val="24"/>
              </w:rPr>
            </w:pPr>
          </w:p>
        </w:tc>
      </w:tr>
      <w:tr w:rsidR="00DB4AAE" w:rsidRPr="00DB4AAE" w14:paraId="631DC510" w14:textId="77777777" w:rsidTr="0046702D">
        <w:tc>
          <w:tcPr>
            <w:tcW w:w="4643" w:type="dxa"/>
            <w:tcBorders>
              <w:top w:val="single" w:sz="4" w:space="0" w:color="000000"/>
              <w:left w:val="single" w:sz="4" w:space="0" w:color="000000"/>
              <w:bottom w:val="single" w:sz="4" w:space="0" w:color="000000"/>
              <w:right w:val="single" w:sz="4" w:space="0" w:color="000000"/>
            </w:tcBorders>
            <w:hideMark/>
          </w:tcPr>
          <w:p w14:paraId="388D2CCD" w14:textId="77777777" w:rsidR="00DB4AAE" w:rsidRPr="00DB4AAE" w:rsidRDefault="00DB4AAE" w:rsidP="0046702D">
            <w:pPr>
              <w:ind w:left="33"/>
              <w:rPr>
                <w:sz w:val="24"/>
                <w:szCs w:val="24"/>
              </w:rPr>
            </w:pPr>
            <w:r w:rsidRPr="00DB4AAE">
              <w:rPr>
                <w:sz w:val="24"/>
                <w:szCs w:val="24"/>
              </w:rPr>
              <w:t>Vand, renset</w:t>
            </w:r>
          </w:p>
        </w:tc>
        <w:tc>
          <w:tcPr>
            <w:tcW w:w="4644" w:type="dxa"/>
            <w:tcBorders>
              <w:top w:val="single" w:sz="4" w:space="0" w:color="000000"/>
              <w:left w:val="single" w:sz="4" w:space="0" w:color="000000"/>
              <w:bottom w:val="single" w:sz="4" w:space="0" w:color="000000"/>
              <w:right w:val="single" w:sz="4" w:space="0" w:color="000000"/>
            </w:tcBorders>
            <w:vAlign w:val="center"/>
          </w:tcPr>
          <w:p w14:paraId="1AFC7B95" w14:textId="77777777" w:rsidR="00DB4AAE" w:rsidRPr="00DB4AAE" w:rsidRDefault="00DB4AAE" w:rsidP="0046702D">
            <w:pPr>
              <w:ind w:left="70"/>
              <w:rPr>
                <w:iCs/>
                <w:sz w:val="24"/>
                <w:szCs w:val="24"/>
              </w:rPr>
            </w:pPr>
          </w:p>
        </w:tc>
      </w:tr>
    </w:tbl>
    <w:p w14:paraId="081DF106" w14:textId="77777777" w:rsidR="00DB4AAE" w:rsidRPr="00DB4AAE" w:rsidRDefault="00DB4AAE" w:rsidP="00DB4AAE">
      <w:pPr>
        <w:ind w:left="851"/>
        <w:rPr>
          <w:sz w:val="24"/>
          <w:szCs w:val="24"/>
        </w:rPr>
      </w:pPr>
    </w:p>
    <w:p w14:paraId="7FB43078" w14:textId="77777777" w:rsidR="00DB4AAE" w:rsidRPr="00DB4AAE" w:rsidRDefault="00DB4AAE" w:rsidP="00DB4AAE">
      <w:pPr>
        <w:ind w:left="851"/>
        <w:rPr>
          <w:sz w:val="24"/>
          <w:szCs w:val="24"/>
        </w:rPr>
      </w:pPr>
      <w:r w:rsidRPr="00DB4AAE">
        <w:rPr>
          <w:sz w:val="24"/>
          <w:szCs w:val="24"/>
        </w:rPr>
        <w:t>Oral opløsning.</w:t>
      </w:r>
    </w:p>
    <w:p w14:paraId="3EB45BC3" w14:textId="1BCB4B0F" w:rsidR="00DB4AAE" w:rsidRPr="00DB4AAE" w:rsidRDefault="00DB4AAE" w:rsidP="00DB4AAE">
      <w:pPr>
        <w:ind w:left="851"/>
        <w:rPr>
          <w:sz w:val="24"/>
          <w:szCs w:val="24"/>
        </w:rPr>
      </w:pPr>
      <w:bookmarkStart w:id="2" w:name="_Hlk116052711"/>
      <w:r w:rsidRPr="00DB4AAE">
        <w:rPr>
          <w:sz w:val="24"/>
          <w:szCs w:val="24"/>
        </w:rPr>
        <w:t>En farveløs til let gulligfarvet opløsning</w:t>
      </w:r>
      <w:bookmarkEnd w:id="2"/>
      <w:r w:rsidRPr="00DB4AAE">
        <w:rPr>
          <w:sz w:val="24"/>
          <w:szCs w:val="24"/>
        </w:rPr>
        <w:t>.</w:t>
      </w:r>
    </w:p>
    <w:p w14:paraId="28311E89" w14:textId="77777777" w:rsidR="00DB4AAE" w:rsidRPr="00DB4AAE" w:rsidRDefault="00DB4AAE" w:rsidP="00DB4AAE">
      <w:pPr>
        <w:ind w:left="851"/>
        <w:rPr>
          <w:sz w:val="24"/>
          <w:szCs w:val="24"/>
        </w:rPr>
      </w:pPr>
    </w:p>
    <w:p w14:paraId="0026CA17" w14:textId="77777777" w:rsidR="008203A8" w:rsidRDefault="008203A8" w:rsidP="008203A8">
      <w:pPr>
        <w:ind w:left="851"/>
        <w:rPr>
          <w:sz w:val="24"/>
          <w:szCs w:val="24"/>
        </w:rPr>
      </w:pPr>
    </w:p>
    <w:p w14:paraId="6B23941E" w14:textId="77777777" w:rsidR="008203A8" w:rsidRPr="008509BB" w:rsidRDefault="008203A8" w:rsidP="008203A8">
      <w:pPr>
        <w:ind w:left="851"/>
        <w:rPr>
          <w:sz w:val="24"/>
          <w:szCs w:val="24"/>
        </w:rPr>
      </w:pPr>
    </w:p>
    <w:p w14:paraId="4EF632D8"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56095891" w14:textId="77777777" w:rsidR="008203A8" w:rsidRPr="00406EE7" w:rsidRDefault="008203A8" w:rsidP="008203A8">
      <w:pPr>
        <w:tabs>
          <w:tab w:val="left" w:pos="851"/>
        </w:tabs>
        <w:ind w:left="851"/>
        <w:rPr>
          <w:sz w:val="24"/>
          <w:szCs w:val="24"/>
        </w:rPr>
      </w:pPr>
    </w:p>
    <w:p w14:paraId="3F97932F"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712BEF25" w14:textId="77777777" w:rsidR="00FF6B60" w:rsidRDefault="00DB4AAE" w:rsidP="00DB4AAE">
      <w:pPr>
        <w:ind w:left="851"/>
        <w:rPr>
          <w:sz w:val="24"/>
          <w:szCs w:val="24"/>
        </w:rPr>
      </w:pPr>
      <w:bookmarkStart w:id="3" w:name="_Hlk96002103"/>
      <w:r w:rsidRPr="00DB4AAE">
        <w:rPr>
          <w:sz w:val="24"/>
          <w:szCs w:val="24"/>
        </w:rPr>
        <w:t>Kat</w:t>
      </w:r>
    </w:p>
    <w:p w14:paraId="384D14C1" w14:textId="6C811900" w:rsidR="00DB4AAE" w:rsidRPr="00DB4AAE" w:rsidRDefault="00FF6B60" w:rsidP="00DB4AAE">
      <w:pPr>
        <w:ind w:left="851"/>
        <w:rPr>
          <w:bCs/>
          <w:sz w:val="24"/>
          <w:szCs w:val="24"/>
        </w:rPr>
      </w:pPr>
      <w:r>
        <w:rPr>
          <w:sz w:val="24"/>
          <w:szCs w:val="24"/>
        </w:rPr>
        <w:t>H</w:t>
      </w:r>
      <w:r w:rsidR="00DB4AAE" w:rsidRPr="00DB4AAE">
        <w:rPr>
          <w:sz w:val="24"/>
          <w:szCs w:val="24"/>
        </w:rPr>
        <w:t>und</w:t>
      </w:r>
      <w:bookmarkEnd w:id="3"/>
    </w:p>
    <w:p w14:paraId="678624C8" w14:textId="77777777" w:rsidR="008203A8" w:rsidRPr="00406EE7" w:rsidRDefault="008203A8" w:rsidP="008203A8">
      <w:pPr>
        <w:ind w:left="851"/>
        <w:rPr>
          <w:sz w:val="24"/>
          <w:szCs w:val="24"/>
        </w:rPr>
      </w:pPr>
    </w:p>
    <w:p w14:paraId="203DFC3A"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781317F3" w14:textId="77777777" w:rsidR="00DB4AAE" w:rsidRPr="00DB4AAE" w:rsidRDefault="00DB4AAE" w:rsidP="00DB4AAE">
      <w:pPr>
        <w:pStyle w:val="Sidehoved"/>
        <w:ind w:left="851"/>
        <w:rPr>
          <w:szCs w:val="24"/>
        </w:rPr>
      </w:pPr>
    </w:p>
    <w:p w14:paraId="0F8AB021" w14:textId="2FA8F4D6" w:rsidR="00DB4AAE" w:rsidRPr="00FF6B60" w:rsidRDefault="00DB4AAE" w:rsidP="00DB4AAE">
      <w:pPr>
        <w:pStyle w:val="Sidehoved"/>
        <w:ind w:left="851"/>
        <w:rPr>
          <w:szCs w:val="24"/>
          <w:u w:val="single"/>
        </w:rPr>
      </w:pPr>
      <w:bookmarkStart w:id="4" w:name="_Hlk87013641"/>
      <w:r w:rsidRPr="00FF6B60">
        <w:rPr>
          <w:szCs w:val="24"/>
          <w:u w:val="single"/>
        </w:rPr>
        <w:t>Kat</w:t>
      </w:r>
    </w:p>
    <w:p w14:paraId="5693965D" w14:textId="77777777" w:rsidR="00DB4AAE" w:rsidRPr="00DB4AAE" w:rsidRDefault="00DB4AAE" w:rsidP="00DB4AAE">
      <w:pPr>
        <w:pStyle w:val="Sidehoved"/>
        <w:ind w:left="851"/>
        <w:rPr>
          <w:szCs w:val="24"/>
        </w:rPr>
      </w:pPr>
      <w:r w:rsidRPr="00DB4AAE">
        <w:rPr>
          <w:szCs w:val="24"/>
        </w:rPr>
        <w:t xml:space="preserve">Til behandling af inficerede sår og abscesser, der er forårsaget af clindamycin-følsomme arter af </w:t>
      </w:r>
      <w:r w:rsidRPr="00DB4AAE">
        <w:rPr>
          <w:i/>
          <w:szCs w:val="24"/>
        </w:rPr>
        <w:t xml:space="preserve">Staphylococcus </w:t>
      </w:r>
      <w:r w:rsidRPr="00DB4AAE">
        <w:rPr>
          <w:szCs w:val="24"/>
        </w:rPr>
        <w:t xml:space="preserve">spp. og </w:t>
      </w:r>
      <w:r w:rsidRPr="00DB4AAE">
        <w:rPr>
          <w:i/>
          <w:szCs w:val="24"/>
        </w:rPr>
        <w:t xml:space="preserve">Streptococcus </w:t>
      </w:r>
      <w:r w:rsidRPr="00DB4AAE">
        <w:rPr>
          <w:szCs w:val="24"/>
        </w:rPr>
        <w:t>spp.</w:t>
      </w:r>
    </w:p>
    <w:p w14:paraId="76FC4659" w14:textId="77777777" w:rsidR="00DB4AAE" w:rsidRPr="00DB4AAE" w:rsidRDefault="00DB4AAE" w:rsidP="00DB4AAE">
      <w:pPr>
        <w:pStyle w:val="Sidehoved"/>
        <w:ind w:left="851"/>
        <w:rPr>
          <w:szCs w:val="24"/>
        </w:rPr>
      </w:pPr>
    </w:p>
    <w:p w14:paraId="4723B8FF" w14:textId="7FC57581" w:rsidR="00DB4AAE" w:rsidRPr="00FF6B60" w:rsidRDefault="00DB4AAE" w:rsidP="00DB4AAE">
      <w:pPr>
        <w:pStyle w:val="Sidehoved"/>
        <w:ind w:left="851"/>
        <w:rPr>
          <w:szCs w:val="24"/>
          <w:u w:val="single"/>
        </w:rPr>
      </w:pPr>
      <w:r w:rsidRPr="00FF6B60">
        <w:rPr>
          <w:szCs w:val="24"/>
          <w:u w:val="single"/>
        </w:rPr>
        <w:t>Hund</w:t>
      </w:r>
    </w:p>
    <w:p w14:paraId="407CE16F" w14:textId="77777777" w:rsidR="00DB4AAE" w:rsidRPr="00DB4AAE" w:rsidRDefault="00DB4AAE" w:rsidP="00FF6B60">
      <w:pPr>
        <w:pStyle w:val="Sidehoved"/>
        <w:numPr>
          <w:ilvl w:val="0"/>
          <w:numId w:val="4"/>
        </w:numPr>
        <w:ind w:left="1134" w:hanging="283"/>
        <w:rPr>
          <w:szCs w:val="24"/>
        </w:rPr>
      </w:pPr>
      <w:r w:rsidRPr="00DB4AAE">
        <w:rPr>
          <w:szCs w:val="24"/>
        </w:rPr>
        <w:t xml:space="preserve">Til behandling af inficerede sår, abscesser og mundhule-/tandinfektioner, forårsaget af eller associeret med clindamycin-følsomme arter af </w:t>
      </w:r>
      <w:r w:rsidRPr="00DB4AAE">
        <w:rPr>
          <w:i/>
          <w:szCs w:val="24"/>
        </w:rPr>
        <w:t xml:space="preserve">Staphylococcus </w:t>
      </w:r>
      <w:r w:rsidRPr="00DB4AAE">
        <w:rPr>
          <w:szCs w:val="24"/>
        </w:rPr>
        <w:t>spp.,</w:t>
      </w:r>
      <w:r w:rsidRPr="00DB4AAE">
        <w:rPr>
          <w:i/>
          <w:szCs w:val="24"/>
        </w:rPr>
        <w:t xml:space="preserve"> Streptococcus </w:t>
      </w:r>
      <w:r w:rsidRPr="00DB4AAE">
        <w:rPr>
          <w:szCs w:val="24"/>
        </w:rPr>
        <w:t xml:space="preserve">spp., </w:t>
      </w:r>
      <w:r w:rsidRPr="00DB4AAE">
        <w:rPr>
          <w:i/>
          <w:szCs w:val="24"/>
        </w:rPr>
        <w:t xml:space="preserve">Bacteroides </w:t>
      </w:r>
      <w:r w:rsidRPr="00DB4AAE">
        <w:rPr>
          <w:szCs w:val="24"/>
        </w:rPr>
        <w:t xml:space="preserve">spp., </w:t>
      </w:r>
      <w:r w:rsidRPr="00DB4AAE">
        <w:rPr>
          <w:i/>
          <w:szCs w:val="24"/>
        </w:rPr>
        <w:t>Fusobacterium necrophorum</w:t>
      </w:r>
      <w:r w:rsidRPr="00DB4AAE">
        <w:rPr>
          <w:szCs w:val="24"/>
        </w:rPr>
        <w:t xml:space="preserve">, </w:t>
      </w:r>
      <w:r w:rsidRPr="00DB4AAE">
        <w:rPr>
          <w:i/>
          <w:szCs w:val="24"/>
        </w:rPr>
        <w:t>Clostridium perfringens</w:t>
      </w:r>
      <w:r w:rsidRPr="00DB4AAE">
        <w:rPr>
          <w:szCs w:val="24"/>
        </w:rPr>
        <w:t>.</w:t>
      </w:r>
    </w:p>
    <w:p w14:paraId="11E12E27" w14:textId="77777777" w:rsidR="00DB4AAE" w:rsidRPr="00DB4AAE" w:rsidRDefault="00DB4AAE" w:rsidP="00FF6B60">
      <w:pPr>
        <w:pStyle w:val="Sidehoved"/>
        <w:numPr>
          <w:ilvl w:val="0"/>
          <w:numId w:val="4"/>
        </w:numPr>
        <w:ind w:left="1134" w:hanging="283"/>
        <w:rPr>
          <w:szCs w:val="24"/>
        </w:rPr>
      </w:pPr>
      <w:r w:rsidRPr="00DB4AAE">
        <w:rPr>
          <w:szCs w:val="24"/>
        </w:rPr>
        <w:t>Supplerende behandling ved mekanisk eller kirurgisk periodontal terapi i behandlingen af infektioner i det gingivale og periodontale væv.</w:t>
      </w:r>
    </w:p>
    <w:p w14:paraId="06B444F2" w14:textId="77777777" w:rsidR="00DB4AAE" w:rsidRPr="00DB4AAE" w:rsidRDefault="00DB4AAE" w:rsidP="00FF6B60">
      <w:pPr>
        <w:pStyle w:val="Sidehoved"/>
        <w:numPr>
          <w:ilvl w:val="0"/>
          <w:numId w:val="4"/>
        </w:numPr>
        <w:ind w:left="1134" w:hanging="283"/>
        <w:rPr>
          <w:szCs w:val="24"/>
        </w:rPr>
      </w:pPr>
      <w:r w:rsidRPr="00DB4AAE">
        <w:rPr>
          <w:szCs w:val="24"/>
        </w:rPr>
        <w:t xml:space="preserve">Til behandling af osteomyelitis, forårsaget af </w:t>
      </w:r>
      <w:r w:rsidRPr="00DB4AAE">
        <w:rPr>
          <w:i/>
          <w:szCs w:val="24"/>
        </w:rPr>
        <w:t>Staphylococcus aureus</w:t>
      </w:r>
      <w:r w:rsidRPr="00DB4AAE">
        <w:rPr>
          <w:szCs w:val="24"/>
        </w:rPr>
        <w:t>.</w:t>
      </w:r>
    </w:p>
    <w:bookmarkEnd w:id="4"/>
    <w:p w14:paraId="391F3DE2" w14:textId="77777777" w:rsidR="008203A8" w:rsidRDefault="008203A8" w:rsidP="008203A8">
      <w:pPr>
        <w:pStyle w:val="Sidehoved"/>
        <w:ind w:left="851"/>
        <w:rPr>
          <w:szCs w:val="24"/>
        </w:rPr>
      </w:pPr>
    </w:p>
    <w:p w14:paraId="7E95CEE1"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36FCF21E" w14:textId="7DAF6CCC" w:rsidR="00DB4AAE" w:rsidRPr="00DB4AAE" w:rsidRDefault="00DB4AAE" w:rsidP="00DB4AAE">
      <w:pPr>
        <w:pStyle w:val="Sidehoved"/>
        <w:ind w:left="851"/>
        <w:rPr>
          <w:szCs w:val="24"/>
        </w:rPr>
      </w:pPr>
      <w:r w:rsidRPr="00DB4AAE">
        <w:rPr>
          <w:szCs w:val="24"/>
        </w:rPr>
        <w:t>Bør ikke anvendes til hamstere, marsvin, kaniner, chinchillaer, heste eller drøvtyggere, da indtagelse af clindamycin hos disse dyrearter kan medføre alvorlige mave-tarm</w:t>
      </w:r>
      <w:r w:rsidR="001176F1">
        <w:rPr>
          <w:szCs w:val="24"/>
        </w:rPr>
        <w:t>-</w:t>
      </w:r>
      <w:r w:rsidRPr="00DB4AAE">
        <w:rPr>
          <w:szCs w:val="24"/>
        </w:rPr>
        <w:t>problemer.</w:t>
      </w:r>
    </w:p>
    <w:p w14:paraId="20E14536" w14:textId="77777777" w:rsidR="00DB4AAE" w:rsidRPr="00DB4AAE" w:rsidRDefault="00DB4AAE" w:rsidP="00DB4AAE">
      <w:pPr>
        <w:pStyle w:val="Sidehoved"/>
        <w:ind w:left="851"/>
        <w:rPr>
          <w:szCs w:val="24"/>
        </w:rPr>
      </w:pPr>
      <w:r w:rsidRPr="00DB4AAE">
        <w:rPr>
          <w:szCs w:val="24"/>
        </w:rPr>
        <w:t>Bør ikke anvendes i tilfælde af overfølsomhed over for clindamycin eller lincomycin, eller over for et eller flere af hjælpestofferne.</w:t>
      </w:r>
    </w:p>
    <w:p w14:paraId="19196786" w14:textId="77777777" w:rsidR="008203A8" w:rsidRPr="00406EE7" w:rsidRDefault="008203A8" w:rsidP="008203A8">
      <w:pPr>
        <w:pStyle w:val="Sidehoved"/>
        <w:tabs>
          <w:tab w:val="clear" w:pos="4819"/>
        </w:tabs>
        <w:ind w:left="851"/>
        <w:rPr>
          <w:szCs w:val="24"/>
        </w:rPr>
      </w:pPr>
    </w:p>
    <w:p w14:paraId="7EA5474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2AB13884" w14:textId="1219585C" w:rsidR="00DB4AAE" w:rsidRPr="00DB4AAE" w:rsidRDefault="00DB4AAE" w:rsidP="00DB4AAE">
      <w:pPr>
        <w:pStyle w:val="Sidehoved"/>
        <w:ind w:left="851"/>
        <w:rPr>
          <w:szCs w:val="24"/>
        </w:rPr>
      </w:pPr>
      <w:bookmarkStart w:id="5" w:name="_Hlk116040254"/>
      <w:r w:rsidRPr="00DB4AAE">
        <w:rPr>
          <w:szCs w:val="24"/>
        </w:rPr>
        <w:t>Der er påvist krydsresistens mellem clindamycin og forskellige antimikrobielle stoffer tilhørende lincosamid- og makrolidgruppen (herunder erythromycin).</w:t>
      </w:r>
    </w:p>
    <w:p w14:paraId="6BD1DBD2" w14:textId="77777777" w:rsidR="00DB4AAE" w:rsidRPr="00DB4AAE" w:rsidRDefault="00DB4AAE" w:rsidP="00DB4AAE">
      <w:pPr>
        <w:pStyle w:val="Sidehoved"/>
        <w:ind w:left="851"/>
        <w:rPr>
          <w:szCs w:val="24"/>
        </w:rPr>
      </w:pPr>
      <w:r w:rsidRPr="00DB4AAE">
        <w:rPr>
          <w:szCs w:val="24"/>
        </w:rPr>
        <w:t>Anvendelse af clindamycin bør overvejes nøje, hvis følsomhedstest har vist resistens over for lincosamider og makrolider, da virkningen kan være nedsat.</w:t>
      </w:r>
    </w:p>
    <w:p w14:paraId="6CEAE625" w14:textId="77777777" w:rsidR="00DB4AAE" w:rsidRPr="00DB4AAE" w:rsidRDefault="00DB4AAE" w:rsidP="00DB4AAE">
      <w:pPr>
        <w:pStyle w:val="Sidehoved"/>
        <w:ind w:left="851"/>
        <w:rPr>
          <w:szCs w:val="24"/>
        </w:rPr>
      </w:pPr>
    </w:p>
    <w:bookmarkEnd w:id="5"/>
    <w:p w14:paraId="0A8C1826" w14:textId="77777777" w:rsidR="00DB4AAE" w:rsidRPr="00DB4AAE" w:rsidRDefault="00DB4AAE" w:rsidP="00DB4AAE">
      <w:pPr>
        <w:pStyle w:val="Sidehoved"/>
        <w:ind w:left="851"/>
        <w:rPr>
          <w:szCs w:val="24"/>
        </w:rPr>
      </w:pPr>
      <w:r w:rsidRPr="00DB4AAE">
        <w:rPr>
          <w:szCs w:val="24"/>
        </w:rPr>
        <w:t>Et antibiotikum med en lavere risiko for at selektere for antimikrobiel resistens (lavere AMEG-kategori) bør bruges som førstevalgspræparat, hvor følsomhedstest underbygger den sandsynlige effekt af denne tilgang.</w:t>
      </w:r>
    </w:p>
    <w:p w14:paraId="3B872346" w14:textId="77777777" w:rsidR="00DB4AAE" w:rsidRPr="00DB4AAE" w:rsidRDefault="00DB4AAE" w:rsidP="00DB4AAE">
      <w:pPr>
        <w:pStyle w:val="Sidehoved"/>
        <w:ind w:left="851"/>
        <w:rPr>
          <w:szCs w:val="24"/>
        </w:rPr>
      </w:pPr>
    </w:p>
    <w:p w14:paraId="0F2383F2" w14:textId="77777777" w:rsidR="008203A8" w:rsidRPr="00406EE7" w:rsidRDefault="008203A8" w:rsidP="008203A8">
      <w:pPr>
        <w:pStyle w:val="Sidehoved"/>
        <w:tabs>
          <w:tab w:val="clear" w:pos="4819"/>
        </w:tabs>
        <w:ind w:left="851"/>
        <w:rPr>
          <w:szCs w:val="24"/>
        </w:rPr>
      </w:pPr>
    </w:p>
    <w:p w14:paraId="6089A1CB"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1B10E282" w14:textId="77777777" w:rsidR="008203A8" w:rsidRPr="002374DA" w:rsidRDefault="008203A8" w:rsidP="008203A8">
      <w:pPr>
        <w:tabs>
          <w:tab w:val="left" w:pos="851"/>
        </w:tabs>
        <w:ind w:left="851"/>
        <w:rPr>
          <w:sz w:val="24"/>
          <w:szCs w:val="24"/>
        </w:rPr>
      </w:pPr>
    </w:p>
    <w:p w14:paraId="71CE4F12"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4BD24912" w14:textId="77777777" w:rsidR="008A52D9" w:rsidRPr="008A52D9" w:rsidRDefault="008A52D9" w:rsidP="008A52D9">
      <w:pPr>
        <w:tabs>
          <w:tab w:val="left" w:pos="851"/>
        </w:tabs>
        <w:ind w:left="851"/>
        <w:rPr>
          <w:sz w:val="24"/>
          <w:szCs w:val="24"/>
        </w:rPr>
      </w:pPr>
      <w:r w:rsidRPr="008A52D9">
        <w:rPr>
          <w:sz w:val="24"/>
          <w:szCs w:val="24"/>
        </w:rPr>
        <w:t>Anvendelsen af dette produkt skal være baseret på identifikation og følsomhedstestning af målpatogen(er), herunder D-zonetest.</w:t>
      </w:r>
    </w:p>
    <w:p w14:paraId="5D4A1A98" w14:textId="77777777" w:rsidR="008A52D9" w:rsidRPr="008A52D9" w:rsidRDefault="008A52D9" w:rsidP="008A52D9">
      <w:pPr>
        <w:tabs>
          <w:tab w:val="left" w:pos="851"/>
        </w:tabs>
        <w:ind w:left="851"/>
        <w:rPr>
          <w:sz w:val="24"/>
          <w:szCs w:val="24"/>
        </w:rPr>
      </w:pPr>
      <w:r w:rsidRPr="008A52D9">
        <w:rPr>
          <w:sz w:val="24"/>
          <w:szCs w:val="24"/>
        </w:rPr>
        <w:t>Hvis dette ikke er muligt, skal behandlingen baseres på lokal/regional epidemiologisk information og viden om følsomheden af målpatogener.</w:t>
      </w:r>
    </w:p>
    <w:p w14:paraId="7EEB1800" w14:textId="77777777" w:rsidR="008A52D9" w:rsidRPr="008A52D9" w:rsidRDefault="008A52D9" w:rsidP="008A52D9">
      <w:pPr>
        <w:tabs>
          <w:tab w:val="left" w:pos="851"/>
        </w:tabs>
        <w:ind w:left="851"/>
        <w:rPr>
          <w:sz w:val="24"/>
          <w:szCs w:val="24"/>
        </w:rPr>
      </w:pPr>
      <w:r w:rsidRPr="008A52D9">
        <w:rPr>
          <w:sz w:val="24"/>
          <w:szCs w:val="24"/>
        </w:rPr>
        <w:t>Der skal tages højde for den officielle nationale og regionale antibiotikapolitik, når produktet anvendes.</w:t>
      </w:r>
    </w:p>
    <w:p w14:paraId="1C04AF97" w14:textId="77777777" w:rsidR="008A52D9" w:rsidRPr="008A52D9" w:rsidRDefault="008A52D9" w:rsidP="008A52D9">
      <w:pPr>
        <w:tabs>
          <w:tab w:val="left" w:pos="851"/>
        </w:tabs>
        <w:ind w:left="851"/>
        <w:rPr>
          <w:sz w:val="24"/>
          <w:szCs w:val="24"/>
        </w:rPr>
      </w:pPr>
      <w:r w:rsidRPr="008A52D9">
        <w:rPr>
          <w:sz w:val="24"/>
          <w:szCs w:val="24"/>
        </w:rPr>
        <w:lastRenderedPageBreak/>
        <w:t xml:space="preserve">Clindamycin vil sandsynligvis fremme vækst af ikke-følsomme organismer, såsom resistente </w:t>
      </w:r>
      <w:r w:rsidRPr="008A52D9">
        <w:rPr>
          <w:i/>
          <w:sz w:val="24"/>
          <w:szCs w:val="24"/>
        </w:rPr>
        <w:t xml:space="preserve">Clostridia </w:t>
      </w:r>
      <w:r w:rsidRPr="008A52D9">
        <w:rPr>
          <w:sz w:val="24"/>
          <w:szCs w:val="24"/>
        </w:rPr>
        <w:t>spp. og gærsvampe. I tilfælde af sekundær infektion bør der træffes passende korrigerende foranstaltninger baseret på kliniske observationer.</w:t>
      </w:r>
    </w:p>
    <w:p w14:paraId="7AD0E36F" w14:textId="77777777" w:rsidR="008A52D9" w:rsidRPr="008A52D9" w:rsidRDefault="008A52D9" w:rsidP="008A52D9">
      <w:pPr>
        <w:tabs>
          <w:tab w:val="left" w:pos="851"/>
        </w:tabs>
        <w:ind w:left="851"/>
        <w:rPr>
          <w:sz w:val="24"/>
          <w:szCs w:val="24"/>
        </w:rPr>
      </w:pPr>
      <w:r w:rsidRPr="008A52D9">
        <w:rPr>
          <w:sz w:val="24"/>
          <w:szCs w:val="24"/>
        </w:rPr>
        <w:t>Hvis der gives høje doser af clindamycin, eller længerevarende behandling på en måned eller mere, skal lever- og nyrefunktion samt blodparametre kontrolleres regelmæssigt.</w:t>
      </w:r>
    </w:p>
    <w:p w14:paraId="3AB20047" w14:textId="77777777" w:rsidR="008A52D9" w:rsidRPr="008A52D9" w:rsidRDefault="008A52D9" w:rsidP="008A52D9">
      <w:pPr>
        <w:tabs>
          <w:tab w:val="left" w:pos="851"/>
        </w:tabs>
        <w:ind w:left="851"/>
        <w:rPr>
          <w:sz w:val="24"/>
          <w:szCs w:val="24"/>
        </w:rPr>
      </w:pPr>
      <w:r w:rsidRPr="008A52D9">
        <w:rPr>
          <w:sz w:val="24"/>
          <w:szCs w:val="24"/>
        </w:rPr>
        <w:t>Hunde og katte med nyreproblemer og/eller leverproblemer, ledsaget af alvorlige metaboliske forstyrrelser, bør doseres med forsigtighed, og dyrets tilstand bør følges nøje ved hjælp af passende blodprøve test under behandlingen.</w:t>
      </w:r>
    </w:p>
    <w:p w14:paraId="59C16D72" w14:textId="77777777" w:rsidR="008A52D9" w:rsidRPr="008A52D9" w:rsidRDefault="008A52D9" w:rsidP="008A52D9">
      <w:pPr>
        <w:tabs>
          <w:tab w:val="left" w:pos="851"/>
        </w:tabs>
        <w:ind w:left="851"/>
        <w:rPr>
          <w:sz w:val="24"/>
          <w:szCs w:val="24"/>
        </w:rPr>
      </w:pPr>
      <w:r w:rsidRPr="008A52D9">
        <w:rPr>
          <w:sz w:val="24"/>
          <w:szCs w:val="24"/>
        </w:rPr>
        <w:t>Det anbefales ikke at bruge produktet til nyfødte dyr.</w:t>
      </w:r>
    </w:p>
    <w:p w14:paraId="5C25AEFB" w14:textId="77777777" w:rsidR="008203A8" w:rsidRPr="00406EE7" w:rsidRDefault="008203A8" w:rsidP="008203A8">
      <w:pPr>
        <w:tabs>
          <w:tab w:val="left" w:pos="851"/>
        </w:tabs>
        <w:ind w:left="851"/>
        <w:rPr>
          <w:sz w:val="24"/>
          <w:szCs w:val="24"/>
        </w:rPr>
      </w:pPr>
    </w:p>
    <w:p w14:paraId="2CB6C839"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04309529" w14:textId="77777777" w:rsidR="008A52D9" w:rsidRPr="008A52D9" w:rsidRDefault="008A52D9" w:rsidP="008A52D9">
      <w:pPr>
        <w:tabs>
          <w:tab w:val="left" w:pos="851"/>
        </w:tabs>
        <w:ind w:left="851"/>
        <w:rPr>
          <w:sz w:val="24"/>
          <w:szCs w:val="24"/>
        </w:rPr>
      </w:pPr>
      <w:r w:rsidRPr="008A52D9">
        <w:rPr>
          <w:sz w:val="24"/>
          <w:szCs w:val="24"/>
        </w:rPr>
        <w:t>Vask hænder omhyggeligt efter anvendelse.</w:t>
      </w:r>
    </w:p>
    <w:p w14:paraId="56D70AD4" w14:textId="77777777" w:rsidR="008A52D9" w:rsidRPr="008A52D9" w:rsidRDefault="008A52D9" w:rsidP="008A52D9">
      <w:pPr>
        <w:tabs>
          <w:tab w:val="left" w:pos="851"/>
        </w:tabs>
        <w:ind w:left="851"/>
        <w:rPr>
          <w:sz w:val="24"/>
          <w:szCs w:val="24"/>
        </w:rPr>
      </w:pPr>
      <w:r w:rsidRPr="008A52D9">
        <w:rPr>
          <w:sz w:val="24"/>
          <w:szCs w:val="24"/>
        </w:rPr>
        <w:t>Dette veterinærlægemiddel kan forårsage overfølsomhed (allergisk reaktion). Personer med kendt overfølsomhed over for lincosamider (clindamycin og lincomycin) bør undgå kontakt med dette veterinærlægemiddel.</w:t>
      </w:r>
    </w:p>
    <w:p w14:paraId="12C7450E" w14:textId="77777777" w:rsidR="008A52D9" w:rsidRPr="008A52D9" w:rsidRDefault="008A52D9" w:rsidP="008A52D9">
      <w:pPr>
        <w:tabs>
          <w:tab w:val="left" w:pos="851"/>
        </w:tabs>
        <w:ind w:left="851"/>
        <w:rPr>
          <w:sz w:val="24"/>
          <w:szCs w:val="24"/>
        </w:rPr>
      </w:pPr>
      <w:r w:rsidRPr="008A52D9">
        <w:rPr>
          <w:sz w:val="24"/>
          <w:szCs w:val="24"/>
        </w:rPr>
        <w:t>Produktet bør håndteres med forsigtighed for at forhindre selvindtagelse ved hændeligt uheld, da dette kan resultere i mave-tarmsymptomer såsom mavesmerter og diarré.</w:t>
      </w:r>
    </w:p>
    <w:p w14:paraId="01B0DBFE" w14:textId="77777777" w:rsidR="008A52D9" w:rsidRPr="008A52D9" w:rsidRDefault="008A52D9" w:rsidP="008A52D9">
      <w:pPr>
        <w:tabs>
          <w:tab w:val="left" w:pos="851"/>
        </w:tabs>
        <w:ind w:left="851"/>
        <w:rPr>
          <w:sz w:val="24"/>
          <w:szCs w:val="24"/>
        </w:rPr>
      </w:pPr>
      <w:r w:rsidRPr="008A52D9">
        <w:rPr>
          <w:sz w:val="24"/>
          <w:szCs w:val="24"/>
        </w:rPr>
        <w:t>I tilfælde af utilsigtet indtagelse ved hændeligt uheld, især hos børn, eller ved allergisk reaktion, skal der straks søges lægehjælp, og indlægssedlen eller etiketten bør vises til lægen.</w:t>
      </w:r>
    </w:p>
    <w:p w14:paraId="78F451B2" w14:textId="77777777" w:rsidR="008A52D9" w:rsidRPr="008A52D9" w:rsidRDefault="008A52D9" w:rsidP="008A52D9">
      <w:pPr>
        <w:tabs>
          <w:tab w:val="left" w:pos="851"/>
        </w:tabs>
        <w:ind w:left="851"/>
        <w:rPr>
          <w:sz w:val="24"/>
          <w:szCs w:val="24"/>
        </w:rPr>
      </w:pPr>
      <w:r w:rsidRPr="008A52D9">
        <w:rPr>
          <w:sz w:val="24"/>
          <w:szCs w:val="24"/>
        </w:rPr>
        <w:t>Der bør træffes generelle hygiejneforanstaltninger for at begrænse spredning af resistente bakterier. Det anbefales at vaske hænder med sæbe og vand, især ved håndtering af behandlede dyr, deres affald og strøelse.</w:t>
      </w:r>
    </w:p>
    <w:p w14:paraId="6251FAE5" w14:textId="77777777" w:rsidR="008203A8" w:rsidRDefault="008203A8" w:rsidP="008203A8">
      <w:pPr>
        <w:tabs>
          <w:tab w:val="left" w:pos="851"/>
        </w:tabs>
        <w:ind w:left="851"/>
        <w:rPr>
          <w:sz w:val="24"/>
          <w:szCs w:val="24"/>
        </w:rPr>
      </w:pPr>
    </w:p>
    <w:p w14:paraId="7E130651"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3AE65D8B" w14:textId="038F3A70" w:rsidR="008203A8" w:rsidRPr="002E304C" w:rsidRDefault="008A52D9" w:rsidP="008203A8">
      <w:pPr>
        <w:tabs>
          <w:tab w:val="left" w:pos="851"/>
        </w:tabs>
        <w:ind w:left="851"/>
        <w:rPr>
          <w:sz w:val="24"/>
          <w:szCs w:val="24"/>
        </w:rPr>
      </w:pPr>
      <w:r>
        <w:rPr>
          <w:sz w:val="24"/>
          <w:szCs w:val="24"/>
        </w:rPr>
        <w:t>Ikke relevant.</w:t>
      </w:r>
    </w:p>
    <w:p w14:paraId="329F6AC0" w14:textId="77777777" w:rsidR="008203A8" w:rsidRPr="00406EE7" w:rsidRDefault="008203A8" w:rsidP="008203A8">
      <w:pPr>
        <w:tabs>
          <w:tab w:val="left" w:pos="851"/>
        </w:tabs>
        <w:ind w:left="851"/>
        <w:rPr>
          <w:sz w:val="24"/>
          <w:szCs w:val="24"/>
        </w:rPr>
      </w:pPr>
    </w:p>
    <w:p w14:paraId="69BAFFE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4DC7FB7C" w14:textId="77777777" w:rsidR="00C32DDB" w:rsidRPr="00C32DDB" w:rsidRDefault="00C32DDB" w:rsidP="00C32DDB">
      <w:pPr>
        <w:tabs>
          <w:tab w:val="left" w:pos="851"/>
        </w:tabs>
        <w:ind w:left="851"/>
        <w:rPr>
          <w:sz w:val="24"/>
          <w:szCs w:val="24"/>
        </w:rPr>
      </w:pPr>
    </w:p>
    <w:p w14:paraId="0C07A096" w14:textId="715F8C33" w:rsidR="00C32DDB" w:rsidRPr="00A466FF" w:rsidRDefault="00C32DDB" w:rsidP="00C32DDB">
      <w:pPr>
        <w:tabs>
          <w:tab w:val="left" w:pos="851"/>
        </w:tabs>
        <w:ind w:left="851"/>
        <w:rPr>
          <w:sz w:val="24"/>
          <w:szCs w:val="24"/>
          <w:u w:val="single"/>
        </w:rPr>
      </w:pPr>
      <w:bookmarkStart w:id="6" w:name="_Hlk87101857"/>
      <w:r w:rsidRPr="00A466FF">
        <w:rPr>
          <w:sz w:val="24"/>
          <w:szCs w:val="24"/>
          <w:u w:val="single"/>
        </w:rPr>
        <w:t>Kat og hund</w:t>
      </w:r>
    </w:p>
    <w:p w14:paraId="1BA85A7C" w14:textId="77777777" w:rsidR="00C32DDB" w:rsidRPr="00C32DDB" w:rsidRDefault="00C32DDB" w:rsidP="00C32DDB">
      <w:pPr>
        <w:tabs>
          <w:tab w:val="left" w:pos="851"/>
        </w:tabs>
        <w:ind w:left="851"/>
        <w:rPr>
          <w:sz w:val="24"/>
          <w:szCs w:val="24"/>
        </w:rPr>
      </w:pPr>
    </w:p>
    <w:tbl>
      <w:tblPr>
        <w:tblW w:w="353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3035"/>
      </w:tblGrid>
      <w:tr w:rsidR="00C32DDB" w:rsidRPr="00C32DDB" w14:paraId="3A073CCA" w14:textId="77777777" w:rsidTr="00A466FF">
        <w:tc>
          <w:tcPr>
            <w:tcW w:w="2769" w:type="pct"/>
            <w:tcBorders>
              <w:top w:val="single" w:sz="4" w:space="0" w:color="auto"/>
              <w:left w:val="single" w:sz="4" w:space="0" w:color="auto"/>
              <w:bottom w:val="single" w:sz="4" w:space="0" w:color="auto"/>
              <w:right w:val="single" w:sz="4" w:space="0" w:color="auto"/>
            </w:tcBorders>
            <w:hideMark/>
          </w:tcPr>
          <w:p w14:paraId="24A3FF2C" w14:textId="77777777" w:rsidR="00C32DDB" w:rsidRPr="00C32DDB" w:rsidRDefault="00C32DDB" w:rsidP="00A466FF">
            <w:pPr>
              <w:ind w:left="33"/>
              <w:rPr>
                <w:sz w:val="24"/>
                <w:szCs w:val="24"/>
              </w:rPr>
            </w:pPr>
            <w:r w:rsidRPr="00C32DDB">
              <w:rPr>
                <w:sz w:val="24"/>
                <w:szCs w:val="24"/>
              </w:rPr>
              <w:t>Meget sjælden</w:t>
            </w:r>
          </w:p>
          <w:p w14:paraId="4280F055" w14:textId="77777777" w:rsidR="00C32DDB" w:rsidRPr="00C32DDB" w:rsidRDefault="00C32DDB" w:rsidP="00A466FF">
            <w:pPr>
              <w:ind w:left="33"/>
              <w:rPr>
                <w:sz w:val="24"/>
                <w:szCs w:val="24"/>
              </w:rPr>
            </w:pPr>
            <w:r w:rsidRPr="00C32DDB">
              <w:rPr>
                <w:sz w:val="24"/>
                <w:szCs w:val="24"/>
              </w:rPr>
              <w:t>(&lt; 1 dyr ud af 10.000 behandlede dyr, herunder enkeltstående indberetninger):</w:t>
            </w:r>
          </w:p>
        </w:tc>
        <w:tc>
          <w:tcPr>
            <w:tcW w:w="2231" w:type="pct"/>
            <w:tcBorders>
              <w:top w:val="single" w:sz="4" w:space="0" w:color="auto"/>
              <w:left w:val="single" w:sz="4" w:space="0" w:color="auto"/>
              <w:bottom w:val="single" w:sz="4" w:space="0" w:color="auto"/>
              <w:right w:val="single" w:sz="4" w:space="0" w:color="auto"/>
            </w:tcBorders>
            <w:hideMark/>
          </w:tcPr>
          <w:p w14:paraId="6790D34E" w14:textId="77777777" w:rsidR="00C32DDB" w:rsidRPr="00C32DDB" w:rsidRDefault="00C32DDB" w:rsidP="00A466FF">
            <w:pPr>
              <w:rPr>
                <w:iCs/>
                <w:sz w:val="24"/>
                <w:szCs w:val="24"/>
              </w:rPr>
            </w:pPr>
            <w:r w:rsidRPr="00C32DDB">
              <w:rPr>
                <w:sz w:val="24"/>
                <w:szCs w:val="24"/>
              </w:rPr>
              <w:t>Opkastning og/eller diarré</w:t>
            </w:r>
          </w:p>
        </w:tc>
      </w:tr>
    </w:tbl>
    <w:p w14:paraId="42B3E8F9" w14:textId="77777777" w:rsidR="00C32DDB" w:rsidRPr="00C32DDB" w:rsidRDefault="00C32DDB" w:rsidP="00C32DDB">
      <w:pPr>
        <w:tabs>
          <w:tab w:val="left" w:pos="851"/>
        </w:tabs>
        <w:ind w:left="851"/>
        <w:rPr>
          <w:sz w:val="24"/>
          <w:szCs w:val="24"/>
        </w:rPr>
      </w:pPr>
    </w:p>
    <w:p w14:paraId="0AFD7F43" w14:textId="77777777" w:rsidR="00C32DDB" w:rsidRPr="00C32DDB" w:rsidRDefault="00C32DDB" w:rsidP="00C32DDB">
      <w:pPr>
        <w:tabs>
          <w:tab w:val="left" w:pos="851"/>
        </w:tabs>
        <w:ind w:left="851"/>
        <w:rPr>
          <w:sz w:val="24"/>
          <w:szCs w:val="24"/>
        </w:rPr>
      </w:pPr>
      <w:bookmarkStart w:id="7" w:name="_Hlk66891708"/>
      <w:bookmarkEnd w:id="6"/>
      <w:r w:rsidRPr="00C32DDB">
        <w:rPr>
          <w:sz w:val="24"/>
          <w:szCs w:val="24"/>
        </w:rPr>
        <w:t>Indberetning af bivirkninger er vigtigt, da det muliggør løbende sikkerhedsovervågning af et veterinærlægemiddel. Indberetninger sendes, helst via en dyrlæge, til enten indehaveren af markedsføringstilladelsen eller dennes lokale repræsentant eller til den nationale kompetente myndighed via det nationale indberetningssystem. Se også afsnit 16 i indlægssedlen for de relevante “Kontaktoplysninger”.</w:t>
      </w:r>
      <w:bookmarkEnd w:id="7"/>
    </w:p>
    <w:p w14:paraId="706B75B1" w14:textId="77777777" w:rsidR="008203A8" w:rsidRPr="00406EE7" w:rsidRDefault="008203A8" w:rsidP="008203A8">
      <w:pPr>
        <w:tabs>
          <w:tab w:val="left" w:pos="851"/>
        </w:tabs>
        <w:ind w:left="851"/>
        <w:rPr>
          <w:sz w:val="24"/>
          <w:szCs w:val="24"/>
        </w:rPr>
      </w:pPr>
    </w:p>
    <w:p w14:paraId="658F066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3164E4FA" w14:textId="77777777" w:rsidR="00705C5E" w:rsidRPr="00705C5E" w:rsidRDefault="00705C5E" w:rsidP="00705C5E">
      <w:pPr>
        <w:tabs>
          <w:tab w:val="left" w:pos="851"/>
        </w:tabs>
        <w:ind w:left="851"/>
        <w:rPr>
          <w:sz w:val="24"/>
          <w:szCs w:val="24"/>
        </w:rPr>
      </w:pPr>
      <w:bookmarkStart w:id="8" w:name="_Hlk87102459"/>
      <w:r w:rsidRPr="00705C5E">
        <w:rPr>
          <w:sz w:val="24"/>
          <w:szCs w:val="24"/>
        </w:rPr>
        <w:t>Højdosis studier i rotter viser, at clindamycin ikke er teratogent og ikke påvirker avlsevnen hos hundyr og handyr signifikant. Veterinærlægemidlets sikkerhed hos drægtige tæver/hunkatte eller avls</w:t>
      </w:r>
      <w:r w:rsidRPr="00705C5E">
        <w:rPr>
          <w:sz w:val="24"/>
          <w:szCs w:val="24"/>
        </w:rPr>
        <w:noBreakHyphen/>
        <w:t>hanhunde/katte er dog ikke undersøgt. Må kun anvendes i overensstemmelse med den ansvarlige dyrlæges vurdering af risk-benefit-forholdet.</w:t>
      </w:r>
    </w:p>
    <w:p w14:paraId="06B11F1E" w14:textId="77777777" w:rsidR="00705C5E" w:rsidRPr="00705C5E" w:rsidRDefault="00705C5E" w:rsidP="00705C5E">
      <w:pPr>
        <w:tabs>
          <w:tab w:val="left" w:pos="851"/>
        </w:tabs>
        <w:ind w:left="851"/>
        <w:rPr>
          <w:sz w:val="24"/>
          <w:szCs w:val="24"/>
        </w:rPr>
      </w:pPr>
      <w:r w:rsidRPr="00705C5E">
        <w:rPr>
          <w:sz w:val="24"/>
          <w:szCs w:val="24"/>
        </w:rPr>
        <w:t>Clindamycin kan passere placenta og blod-mælk barrieren. Som konsekvens heraf, kan behandling af diegivende hundyr medføre diarré hos hvalpe og killinger.</w:t>
      </w:r>
      <w:bookmarkEnd w:id="8"/>
    </w:p>
    <w:p w14:paraId="53CA79CC" w14:textId="0AD9C3C0" w:rsidR="00DC7AFA" w:rsidRDefault="00DC7AFA">
      <w:pPr>
        <w:rPr>
          <w:sz w:val="24"/>
          <w:szCs w:val="24"/>
        </w:rPr>
      </w:pPr>
      <w:r>
        <w:rPr>
          <w:sz w:val="24"/>
          <w:szCs w:val="24"/>
        </w:rPr>
        <w:br w:type="page"/>
      </w:r>
    </w:p>
    <w:p w14:paraId="5F374FED" w14:textId="77777777" w:rsidR="008203A8" w:rsidRPr="00406EE7" w:rsidRDefault="008203A8" w:rsidP="008203A8">
      <w:pPr>
        <w:tabs>
          <w:tab w:val="left" w:pos="851"/>
        </w:tabs>
        <w:ind w:left="851"/>
        <w:rPr>
          <w:sz w:val="24"/>
          <w:szCs w:val="24"/>
        </w:rPr>
      </w:pPr>
    </w:p>
    <w:p w14:paraId="19AF761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3A41D58C" w14:textId="01FCB805" w:rsidR="00705C5E" w:rsidRPr="00705C5E" w:rsidRDefault="00705C5E" w:rsidP="00DC7AFA">
      <w:pPr>
        <w:tabs>
          <w:tab w:val="left" w:pos="1134"/>
        </w:tabs>
        <w:ind w:left="1134" w:hanging="283"/>
        <w:rPr>
          <w:sz w:val="24"/>
          <w:szCs w:val="24"/>
        </w:rPr>
      </w:pPr>
      <w:r w:rsidRPr="00705C5E">
        <w:rPr>
          <w:sz w:val="24"/>
          <w:szCs w:val="24"/>
        </w:rPr>
        <w:t>-</w:t>
      </w:r>
      <w:r w:rsidR="00DC7AFA">
        <w:rPr>
          <w:sz w:val="24"/>
          <w:szCs w:val="24"/>
        </w:rPr>
        <w:tab/>
      </w:r>
      <w:r w:rsidRPr="00705C5E">
        <w:rPr>
          <w:sz w:val="24"/>
          <w:szCs w:val="24"/>
        </w:rPr>
        <w:t>Aluminiumsalte og hydroxider, kaolin og aluminium-magnesium-silikat-kompleks kan reducere mave-tarm</w:t>
      </w:r>
      <w:r w:rsidR="00DC7AFA">
        <w:rPr>
          <w:sz w:val="24"/>
          <w:szCs w:val="24"/>
        </w:rPr>
        <w:t>-</w:t>
      </w:r>
      <w:r w:rsidRPr="00705C5E">
        <w:rPr>
          <w:sz w:val="24"/>
          <w:szCs w:val="24"/>
        </w:rPr>
        <w:t>absorptionen af lincosamider. Produkter der indeholder disse stoffer bør administreres mindst 2 timer før clindamycin.</w:t>
      </w:r>
    </w:p>
    <w:p w14:paraId="0AAA3BFF" w14:textId="5806BCCB" w:rsidR="00705C5E" w:rsidRPr="00705C5E" w:rsidRDefault="00705C5E" w:rsidP="00DC7AFA">
      <w:pPr>
        <w:tabs>
          <w:tab w:val="left" w:pos="1134"/>
        </w:tabs>
        <w:ind w:left="1134" w:hanging="283"/>
        <w:rPr>
          <w:sz w:val="24"/>
          <w:szCs w:val="24"/>
        </w:rPr>
      </w:pPr>
      <w:r w:rsidRPr="00705C5E">
        <w:rPr>
          <w:sz w:val="24"/>
          <w:szCs w:val="24"/>
        </w:rPr>
        <w:t>-</w:t>
      </w:r>
      <w:r w:rsidR="00DC7AFA">
        <w:rPr>
          <w:sz w:val="24"/>
          <w:szCs w:val="24"/>
        </w:rPr>
        <w:tab/>
      </w:r>
      <w:r w:rsidRPr="00705C5E">
        <w:rPr>
          <w:sz w:val="24"/>
          <w:szCs w:val="24"/>
        </w:rPr>
        <w:t xml:space="preserve">Cyclosporin: </w:t>
      </w:r>
      <w:r w:rsidR="00DC7AFA">
        <w:rPr>
          <w:sz w:val="24"/>
          <w:szCs w:val="24"/>
        </w:rPr>
        <w:t>C</w:t>
      </w:r>
      <w:r w:rsidRPr="00705C5E">
        <w:rPr>
          <w:sz w:val="24"/>
          <w:szCs w:val="24"/>
        </w:rPr>
        <w:t>lindamycin kan reducere dette immunsuppressive lægemiddels niveau med en risiko for manglende virkning.</w:t>
      </w:r>
    </w:p>
    <w:p w14:paraId="3FCC5AD6" w14:textId="3FD8BD0B" w:rsidR="00705C5E" w:rsidRPr="00705C5E" w:rsidRDefault="00705C5E" w:rsidP="00DC7AFA">
      <w:pPr>
        <w:tabs>
          <w:tab w:val="left" w:pos="1134"/>
        </w:tabs>
        <w:ind w:left="1134" w:hanging="283"/>
        <w:rPr>
          <w:sz w:val="24"/>
          <w:szCs w:val="24"/>
        </w:rPr>
      </w:pPr>
      <w:r w:rsidRPr="00705C5E">
        <w:rPr>
          <w:sz w:val="24"/>
          <w:szCs w:val="24"/>
        </w:rPr>
        <w:t>-</w:t>
      </w:r>
      <w:r w:rsidR="00DC7AFA">
        <w:rPr>
          <w:sz w:val="24"/>
          <w:szCs w:val="24"/>
        </w:rPr>
        <w:tab/>
      </w:r>
      <w:r w:rsidRPr="00705C5E">
        <w:rPr>
          <w:sz w:val="24"/>
          <w:szCs w:val="24"/>
        </w:rPr>
        <w:t xml:space="preserve">Neuromuskulært blokerende midler: </w:t>
      </w:r>
      <w:r w:rsidR="00DC7AFA">
        <w:rPr>
          <w:sz w:val="24"/>
          <w:szCs w:val="24"/>
        </w:rPr>
        <w:t>C</w:t>
      </w:r>
      <w:r w:rsidRPr="00705C5E">
        <w:rPr>
          <w:sz w:val="24"/>
          <w:szCs w:val="24"/>
        </w:rPr>
        <w:t>lindamycin har en intrinsisk neuromuskulær blokerende aktivitet og bør anvendes med forsigtighed sammen med andre neuromuskulært blokerende midler (curare). Clindamycin kan øge den neuromuskulære blokerende effekt.</w:t>
      </w:r>
    </w:p>
    <w:p w14:paraId="1DC59C3C" w14:textId="08392972" w:rsidR="00705C5E" w:rsidRPr="00705C5E" w:rsidRDefault="00705C5E" w:rsidP="00DC7AFA">
      <w:pPr>
        <w:tabs>
          <w:tab w:val="left" w:pos="1134"/>
        </w:tabs>
        <w:ind w:left="1134" w:hanging="283"/>
        <w:rPr>
          <w:sz w:val="24"/>
          <w:szCs w:val="24"/>
        </w:rPr>
      </w:pPr>
      <w:r w:rsidRPr="00705C5E">
        <w:rPr>
          <w:sz w:val="24"/>
          <w:szCs w:val="24"/>
        </w:rPr>
        <w:t>-</w:t>
      </w:r>
      <w:r w:rsidR="00DC7AFA">
        <w:rPr>
          <w:sz w:val="24"/>
          <w:szCs w:val="24"/>
        </w:rPr>
        <w:tab/>
      </w:r>
      <w:r w:rsidRPr="00705C5E">
        <w:rPr>
          <w:sz w:val="24"/>
          <w:szCs w:val="24"/>
        </w:rPr>
        <w:t>Anvend ikke clindamycin samtidigt med chloramfenicol eller macrolider, da de begge binder sig til 50S sub-enheden af ribosomet, og der kan udvikles antagonistiske effekter.</w:t>
      </w:r>
    </w:p>
    <w:p w14:paraId="41077121" w14:textId="1FEDD478" w:rsidR="00705C5E" w:rsidRPr="00705C5E" w:rsidRDefault="00705C5E" w:rsidP="00DC7AFA">
      <w:pPr>
        <w:tabs>
          <w:tab w:val="left" w:pos="1134"/>
        </w:tabs>
        <w:ind w:left="1134" w:hanging="283"/>
        <w:rPr>
          <w:sz w:val="24"/>
          <w:szCs w:val="24"/>
        </w:rPr>
      </w:pPr>
      <w:r w:rsidRPr="00705C5E">
        <w:rPr>
          <w:sz w:val="24"/>
          <w:szCs w:val="24"/>
        </w:rPr>
        <w:t>-</w:t>
      </w:r>
      <w:r w:rsidR="00DC7AFA">
        <w:rPr>
          <w:sz w:val="24"/>
          <w:szCs w:val="24"/>
        </w:rPr>
        <w:tab/>
      </w:r>
      <w:r w:rsidRPr="00705C5E">
        <w:rPr>
          <w:sz w:val="24"/>
          <w:szCs w:val="24"/>
        </w:rPr>
        <w:t>Ved samtidig anvendelse af clindamycin og aminoglycosider (f.eks. gentamicin) kan risikoen for uønskede interaktioner (akut nyresvigt) ikke udelukkes.</w:t>
      </w:r>
    </w:p>
    <w:p w14:paraId="08F8B7D6" w14:textId="77777777" w:rsidR="008203A8" w:rsidRPr="00406EE7" w:rsidRDefault="008203A8" w:rsidP="008203A8">
      <w:pPr>
        <w:tabs>
          <w:tab w:val="left" w:pos="851"/>
        </w:tabs>
        <w:ind w:left="851"/>
        <w:rPr>
          <w:sz w:val="24"/>
          <w:szCs w:val="24"/>
        </w:rPr>
      </w:pPr>
    </w:p>
    <w:p w14:paraId="48B1519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43A5EE4C" w14:textId="77777777" w:rsidR="00705C5E" w:rsidRPr="00705C5E" w:rsidRDefault="00705C5E" w:rsidP="00705C5E">
      <w:pPr>
        <w:tabs>
          <w:tab w:val="left" w:pos="851"/>
        </w:tabs>
        <w:ind w:left="851"/>
        <w:rPr>
          <w:sz w:val="24"/>
          <w:szCs w:val="24"/>
        </w:rPr>
      </w:pPr>
      <w:bookmarkStart w:id="9" w:name="_Hlk87102633"/>
      <w:bookmarkStart w:id="10" w:name="_Hlk87105369"/>
      <w:r w:rsidRPr="00705C5E">
        <w:rPr>
          <w:sz w:val="24"/>
          <w:szCs w:val="24"/>
        </w:rPr>
        <w:t>Til oral anvendelse.</w:t>
      </w:r>
    </w:p>
    <w:p w14:paraId="4FB3C488" w14:textId="77777777" w:rsidR="00705C5E" w:rsidRPr="00705C5E" w:rsidRDefault="00705C5E" w:rsidP="00705C5E">
      <w:pPr>
        <w:tabs>
          <w:tab w:val="left" w:pos="851"/>
        </w:tabs>
        <w:ind w:left="851"/>
        <w:rPr>
          <w:sz w:val="24"/>
          <w:szCs w:val="24"/>
        </w:rPr>
      </w:pPr>
      <w:bookmarkStart w:id="11" w:name="_Hlk87013709"/>
    </w:p>
    <w:p w14:paraId="3E8776F7" w14:textId="1A5284AC" w:rsidR="00705C5E" w:rsidRPr="008D13F9" w:rsidRDefault="00705C5E" w:rsidP="00705C5E">
      <w:pPr>
        <w:tabs>
          <w:tab w:val="left" w:pos="851"/>
        </w:tabs>
        <w:ind w:left="851"/>
        <w:rPr>
          <w:sz w:val="24"/>
          <w:szCs w:val="24"/>
          <w:u w:val="single"/>
        </w:rPr>
      </w:pPr>
      <w:bookmarkStart w:id="12" w:name="_Hlk87102664"/>
      <w:bookmarkEnd w:id="9"/>
      <w:bookmarkEnd w:id="11"/>
      <w:r w:rsidRPr="008D13F9">
        <w:rPr>
          <w:sz w:val="24"/>
          <w:szCs w:val="24"/>
          <w:u w:val="single"/>
        </w:rPr>
        <w:t>Anbefalet dosis</w:t>
      </w:r>
    </w:p>
    <w:p w14:paraId="6DEBA83C" w14:textId="77777777" w:rsidR="00705C5E" w:rsidRPr="00705C5E" w:rsidRDefault="00705C5E" w:rsidP="00705C5E">
      <w:pPr>
        <w:tabs>
          <w:tab w:val="left" w:pos="851"/>
        </w:tabs>
        <w:ind w:left="851"/>
        <w:rPr>
          <w:sz w:val="24"/>
          <w:szCs w:val="24"/>
        </w:rPr>
      </w:pPr>
    </w:p>
    <w:p w14:paraId="04A20315" w14:textId="6AB8882F" w:rsidR="00705C5E" w:rsidRPr="008D13F9" w:rsidRDefault="00705C5E" w:rsidP="00705C5E">
      <w:pPr>
        <w:tabs>
          <w:tab w:val="left" w:pos="851"/>
        </w:tabs>
        <w:ind w:left="851"/>
        <w:rPr>
          <w:i/>
          <w:sz w:val="24"/>
          <w:szCs w:val="24"/>
        </w:rPr>
      </w:pPr>
      <w:r w:rsidRPr="008D13F9">
        <w:rPr>
          <w:i/>
          <w:sz w:val="24"/>
          <w:szCs w:val="24"/>
        </w:rPr>
        <w:t>Kat</w:t>
      </w:r>
    </w:p>
    <w:p w14:paraId="565CE4B7" w14:textId="77777777" w:rsidR="00705C5E" w:rsidRPr="00705C5E" w:rsidRDefault="00705C5E" w:rsidP="00705C5E">
      <w:pPr>
        <w:tabs>
          <w:tab w:val="left" w:pos="851"/>
        </w:tabs>
        <w:ind w:left="851"/>
        <w:rPr>
          <w:sz w:val="24"/>
          <w:szCs w:val="24"/>
        </w:rPr>
      </w:pPr>
      <w:r w:rsidRPr="00705C5E">
        <w:rPr>
          <w:sz w:val="24"/>
          <w:szCs w:val="24"/>
        </w:rPr>
        <w:t xml:space="preserve">Inficerede sår og abscesser: 11 mg clindamycin pr. kg legemsvægt (dvs. ca. 0,5 ml produkt/kg legemsvægt) pr. 24 timer eller 5,5 mg/kg </w:t>
      </w:r>
      <w:bookmarkStart w:id="13" w:name="_Hlk116044438"/>
      <w:r w:rsidRPr="00705C5E">
        <w:rPr>
          <w:sz w:val="24"/>
          <w:szCs w:val="24"/>
        </w:rPr>
        <w:t xml:space="preserve">(dvs. ca. 0,25 ml produkt/kg legemsvægt) </w:t>
      </w:r>
      <w:bookmarkEnd w:id="13"/>
      <w:r w:rsidRPr="00705C5E">
        <w:rPr>
          <w:sz w:val="24"/>
          <w:szCs w:val="24"/>
        </w:rPr>
        <w:t>pr. 12 timer i 7 til 10 dage.</w:t>
      </w:r>
    </w:p>
    <w:p w14:paraId="44BF2123" w14:textId="77777777" w:rsidR="00705C5E" w:rsidRPr="00705C5E" w:rsidRDefault="00705C5E" w:rsidP="00705C5E">
      <w:pPr>
        <w:tabs>
          <w:tab w:val="left" w:pos="851"/>
        </w:tabs>
        <w:ind w:left="851"/>
        <w:rPr>
          <w:sz w:val="24"/>
          <w:szCs w:val="24"/>
        </w:rPr>
      </w:pPr>
      <w:r w:rsidRPr="00705C5E">
        <w:rPr>
          <w:sz w:val="24"/>
          <w:szCs w:val="24"/>
        </w:rPr>
        <w:t>Behandlingen skal indstilles, hvis der ikke ses nogen terapeutisk effekt efter 4 dage.</w:t>
      </w:r>
    </w:p>
    <w:p w14:paraId="736721B0" w14:textId="77777777" w:rsidR="00705C5E" w:rsidRPr="00705C5E" w:rsidRDefault="00705C5E" w:rsidP="00705C5E">
      <w:pPr>
        <w:tabs>
          <w:tab w:val="left" w:pos="851"/>
        </w:tabs>
        <w:ind w:left="851"/>
        <w:rPr>
          <w:sz w:val="24"/>
          <w:szCs w:val="24"/>
        </w:rPr>
      </w:pPr>
    </w:p>
    <w:p w14:paraId="5684654E" w14:textId="444D5AC6" w:rsidR="00705C5E" w:rsidRPr="008D13F9" w:rsidRDefault="00705C5E" w:rsidP="00705C5E">
      <w:pPr>
        <w:tabs>
          <w:tab w:val="left" w:pos="851"/>
        </w:tabs>
        <w:ind w:left="851"/>
        <w:rPr>
          <w:i/>
          <w:sz w:val="24"/>
          <w:szCs w:val="24"/>
        </w:rPr>
      </w:pPr>
      <w:r w:rsidRPr="008D13F9">
        <w:rPr>
          <w:i/>
          <w:sz w:val="24"/>
          <w:szCs w:val="24"/>
        </w:rPr>
        <w:t>Hund</w:t>
      </w:r>
    </w:p>
    <w:p w14:paraId="302F51A8" w14:textId="77777777" w:rsidR="00705C5E" w:rsidRPr="00705C5E" w:rsidRDefault="00705C5E" w:rsidP="008D13F9">
      <w:pPr>
        <w:numPr>
          <w:ilvl w:val="0"/>
          <w:numId w:val="5"/>
        </w:numPr>
        <w:tabs>
          <w:tab w:val="left" w:pos="851"/>
        </w:tabs>
        <w:ind w:left="1134" w:hanging="283"/>
        <w:rPr>
          <w:sz w:val="24"/>
          <w:szCs w:val="24"/>
        </w:rPr>
      </w:pPr>
      <w:r w:rsidRPr="00705C5E">
        <w:rPr>
          <w:sz w:val="24"/>
          <w:szCs w:val="24"/>
        </w:rPr>
        <w:t>Inficerede sår, abscesser og infektioner i mundhule og tænder: 11 mg clindamycin pr. kg legemsvægt (dvs. ca. 0,5 ml produkt/kg legemsvægt) pr. 24 timer eller 5,5 mg/kg (dvs. ca. 0,25 ml produkt/kg legemsvægt) pr. 12 timer i 7 til 10 dage. Behandlingen skal indstilles, hvis der ikke ses nogen terapeutisk effekt efter 4 dage.</w:t>
      </w:r>
    </w:p>
    <w:p w14:paraId="225C5839" w14:textId="77777777" w:rsidR="00705C5E" w:rsidRPr="00705C5E" w:rsidRDefault="00705C5E" w:rsidP="008D13F9">
      <w:pPr>
        <w:numPr>
          <w:ilvl w:val="0"/>
          <w:numId w:val="6"/>
        </w:numPr>
        <w:tabs>
          <w:tab w:val="left" w:pos="851"/>
        </w:tabs>
        <w:ind w:left="1134" w:hanging="283"/>
        <w:rPr>
          <w:sz w:val="24"/>
          <w:szCs w:val="24"/>
        </w:rPr>
      </w:pPr>
      <w:r w:rsidRPr="00705C5E">
        <w:rPr>
          <w:sz w:val="24"/>
          <w:szCs w:val="24"/>
        </w:rPr>
        <w:t>Behandling af knogleinfektioner (osteomyelitis): 11 mg clindamycin pr. kg legemsvægt (dvs.ca. 0,5 ml produkt/kg legemsvægt) pr. 12 timer i en periode på mindst 28 dage.  Behandlingen skal indstilles, hvis der ikke ses nogen terapeutisk effekt i løbet af de første 14 dage.</w:t>
      </w:r>
    </w:p>
    <w:p w14:paraId="04528A67" w14:textId="77777777" w:rsidR="008D13F9" w:rsidRDefault="008D13F9" w:rsidP="00705C5E">
      <w:pPr>
        <w:tabs>
          <w:tab w:val="left" w:pos="851"/>
        </w:tabs>
        <w:ind w:left="851"/>
        <w:rPr>
          <w:sz w:val="24"/>
          <w:szCs w:val="24"/>
        </w:rPr>
      </w:pPr>
    </w:p>
    <w:p w14:paraId="4BB15368" w14:textId="57982F11" w:rsidR="00705C5E" w:rsidRPr="00705C5E" w:rsidRDefault="00705C5E" w:rsidP="00705C5E">
      <w:pPr>
        <w:tabs>
          <w:tab w:val="left" w:pos="851"/>
        </w:tabs>
        <w:ind w:left="851"/>
        <w:rPr>
          <w:sz w:val="24"/>
          <w:szCs w:val="24"/>
        </w:rPr>
      </w:pPr>
      <w:r w:rsidRPr="00705C5E">
        <w:rPr>
          <w:sz w:val="24"/>
          <w:szCs w:val="24"/>
        </w:rPr>
        <w:t>For at sikre administration af en korrekt dosering, skal legemsvægten beregnes så præcist som muligt.</w:t>
      </w:r>
    </w:p>
    <w:p w14:paraId="6CD9884E" w14:textId="77777777" w:rsidR="00705C5E" w:rsidRPr="00705C5E" w:rsidRDefault="00705C5E" w:rsidP="00705C5E">
      <w:pPr>
        <w:tabs>
          <w:tab w:val="left" w:pos="851"/>
        </w:tabs>
        <w:ind w:left="851"/>
        <w:rPr>
          <w:sz w:val="24"/>
          <w:szCs w:val="24"/>
        </w:rPr>
      </w:pPr>
      <w:r w:rsidRPr="00705C5E">
        <w:rPr>
          <w:sz w:val="24"/>
          <w:szCs w:val="24"/>
        </w:rPr>
        <w:t>Der medfølger en 3 ml målesprøjte for at lette administration af veterinærlægemidlet.</w:t>
      </w:r>
    </w:p>
    <w:p w14:paraId="704F1C22" w14:textId="77777777" w:rsidR="00705C5E" w:rsidRPr="00705C5E" w:rsidRDefault="00705C5E" w:rsidP="00705C5E">
      <w:pPr>
        <w:tabs>
          <w:tab w:val="left" w:pos="851"/>
        </w:tabs>
        <w:ind w:left="851"/>
        <w:rPr>
          <w:sz w:val="24"/>
          <w:szCs w:val="24"/>
        </w:rPr>
      </w:pPr>
    </w:p>
    <w:p w14:paraId="25F731AD" w14:textId="77777777" w:rsidR="00705C5E" w:rsidRPr="00705C5E" w:rsidRDefault="00705C5E" w:rsidP="00705C5E">
      <w:pPr>
        <w:tabs>
          <w:tab w:val="left" w:pos="851"/>
        </w:tabs>
        <w:ind w:left="851"/>
        <w:rPr>
          <w:sz w:val="24"/>
          <w:szCs w:val="24"/>
        </w:rPr>
      </w:pPr>
      <w:r w:rsidRPr="00705C5E">
        <w:rPr>
          <w:sz w:val="24"/>
          <w:szCs w:val="24"/>
        </w:rPr>
        <w:t>Opløsningen kan indgives direkte i dyrets mund eller tilsættes en mindre portion foder.</w:t>
      </w:r>
    </w:p>
    <w:p w14:paraId="17396DED" w14:textId="77777777" w:rsidR="00705C5E" w:rsidRPr="00705C5E" w:rsidRDefault="00705C5E" w:rsidP="00705C5E">
      <w:pPr>
        <w:tabs>
          <w:tab w:val="left" w:pos="851"/>
        </w:tabs>
        <w:ind w:left="851"/>
        <w:rPr>
          <w:sz w:val="24"/>
          <w:szCs w:val="24"/>
        </w:rPr>
      </w:pPr>
    </w:p>
    <w:p w14:paraId="113AD9CB" w14:textId="77777777" w:rsidR="00705C5E" w:rsidRPr="00705C5E" w:rsidRDefault="00705C5E" w:rsidP="00705C5E">
      <w:pPr>
        <w:tabs>
          <w:tab w:val="left" w:pos="851"/>
        </w:tabs>
        <w:ind w:left="851"/>
        <w:rPr>
          <w:sz w:val="24"/>
          <w:szCs w:val="24"/>
        </w:rPr>
      </w:pPr>
      <w:r w:rsidRPr="00705C5E">
        <w:rPr>
          <w:sz w:val="24"/>
          <w:szCs w:val="24"/>
        </w:rPr>
        <w:t>Vejledning: Fjern hætten fra flasken, sæt sprøjtespidsen i flaskens adapter, vend flasken for at trække den ønskede dosis op, sæt flasken i opretstående position og fjern sprøjten fra flasken.</w:t>
      </w:r>
    </w:p>
    <w:bookmarkEnd w:id="10"/>
    <w:bookmarkEnd w:id="12"/>
    <w:p w14:paraId="3701477A" w14:textId="77777777" w:rsidR="008203A8" w:rsidRPr="00406EE7" w:rsidRDefault="008203A8" w:rsidP="008203A8">
      <w:pPr>
        <w:tabs>
          <w:tab w:val="left" w:pos="851"/>
        </w:tabs>
        <w:ind w:left="851"/>
        <w:rPr>
          <w:sz w:val="24"/>
          <w:szCs w:val="24"/>
        </w:rPr>
      </w:pPr>
    </w:p>
    <w:p w14:paraId="471FEBB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3C24D0F6" w14:textId="77777777" w:rsidR="00705C5E" w:rsidRPr="00705C5E" w:rsidRDefault="00705C5E" w:rsidP="00705C5E">
      <w:pPr>
        <w:tabs>
          <w:tab w:val="left" w:pos="851"/>
        </w:tabs>
        <w:ind w:left="851"/>
        <w:rPr>
          <w:sz w:val="24"/>
          <w:szCs w:val="24"/>
        </w:rPr>
      </w:pPr>
      <w:r w:rsidRPr="00705C5E">
        <w:rPr>
          <w:sz w:val="24"/>
          <w:szCs w:val="24"/>
        </w:rPr>
        <w:t xml:space="preserve">Ingen bivirkninger er blevet rapporteret efter administration af høje dosisniveauer på op til 300 mg/kg clindamycin hos hunde. Opkast, nedsat appetit, diarré, leukocytose og </w:t>
      </w:r>
      <w:r w:rsidRPr="00705C5E">
        <w:rPr>
          <w:sz w:val="24"/>
          <w:szCs w:val="24"/>
        </w:rPr>
        <w:lastRenderedPageBreak/>
        <w:t>forhøjede leverenzymer (AST/SGOT og ALT/SGPT) er blevet observeret i nogle tilfælde. I sådanne tilfælde bør behandlingen afbrydes, og symptomatisk behandling påbegyndes.</w:t>
      </w:r>
    </w:p>
    <w:p w14:paraId="4F5A2B24" w14:textId="77777777" w:rsidR="008203A8" w:rsidRDefault="008203A8" w:rsidP="008203A8">
      <w:pPr>
        <w:tabs>
          <w:tab w:val="left" w:pos="851"/>
        </w:tabs>
        <w:ind w:left="851"/>
        <w:rPr>
          <w:sz w:val="24"/>
          <w:szCs w:val="24"/>
        </w:rPr>
      </w:pPr>
    </w:p>
    <w:p w14:paraId="5135F18C"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1D807029" w14:textId="343DF199" w:rsidR="008203A8" w:rsidRDefault="00705C5E" w:rsidP="008203A8">
      <w:pPr>
        <w:tabs>
          <w:tab w:val="left" w:pos="851"/>
        </w:tabs>
        <w:ind w:left="851"/>
        <w:rPr>
          <w:sz w:val="24"/>
          <w:szCs w:val="24"/>
        </w:rPr>
      </w:pPr>
      <w:r>
        <w:rPr>
          <w:sz w:val="24"/>
          <w:szCs w:val="24"/>
        </w:rPr>
        <w:t>Ikke relevant.</w:t>
      </w:r>
    </w:p>
    <w:p w14:paraId="635BA8BD" w14:textId="77777777" w:rsidR="008203A8" w:rsidRPr="00406EE7" w:rsidRDefault="008203A8" w:rsidP="008203A8">
      <w:pPr>
        <w:tabs>
          <w:tab w:val="left" w:pos="851"/>
        </w:tabs>
        <w:ind w:left="851"/>
        <w:rPr>
          <w:sz w:val="24"/>
          <w:szCs w:val="24"/>
        </w:rPr>
      </w:pPr>
    </w:p>
    <w:p w14:paraId="4E653E50"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1D14733C" w14:textId="06FB45BA" w:rsidR="008203A8" w:rsidRPr="00406EE7" w:rsidRDefault="001E386C" w:rsidP="008203A8">
      <w:pPr>
        <w:tabs>
          <w:tab w:val="left" w:pos="851"/>
        </w:tabs>
        <w:ind w:left="851"/>
        <w:rPr>
          <w:sz w:val="24"/>
          <w:szCs w:val="24"/>
        </w:rPr>
      </w:pPr>
      <w:r>
        <w:rPr>
          <w:sz w:val="24"/>
          <w:szCs w:val="24"/>
        </w:rPr>
        <w:t>Ikke relevant.</w:t>
      </w:r>
    </w:p>
    <w:p w14:paraId="3495750D" w14:textId="77777777" w:rsidR="008203A8" w:rsidRPr="00406EE7" w:rsidRDefault="008203A8" w:rsidP="008203A8">
      <w:pPr>
        <w:pStyle w:val="Sidehoved"/>
        <w:tabs>
          <w:tab w:val="clear" w:pos="4819"/>
        </w:tabs>
        <w:ind w:left="851"/>
        <w:rPr>
          <w:szCs w:val="24"/>
        </w:rPr>
      </w:pPr>
    </w:p>
    <w:p w14:paraId="64B84CA9" w14:textId="77777777" w:rsidR="008203A8" w:rsidRPr="00406EE7" w:rsidRDefault="008203A8" w:rsidP="008203A8">
      <w:pPr>
        <w:tabs>
          <w:tab w:val="left" w:pos="851"/>
        </w:tabs>
        <w:ind w:left="851"/>
        <w:rPr>
          <w:sz w:val="24"/>
          <w:szCs w:val="24"/>
        </w:rPr>
      </w:pPr>
    </w:p>
    <w:p w14:paraId="0D61E08A" w14:textId="02D4B9EA" w:rsidR="008203A8" w:rsidRPr="00B708BE" w:rsidRDefault="008203A8" w:rsidP="008203A8">
      <w:pPr>
        <w:ind w:left="851" w:hanging="851"/>
        <w:rPr>
          <w:b/>
          <w:sz w:val="24"/>
          <w:szCs w:val="24"/>
        </w:rPr>
      </w:pPr>
      <w:r w:rsidRPr="00B708BE">
        <w:rPr>
          <w:b/>
          <w:sz w:val="24"/>
          <w:szCs w:val="24"/>
        </w:rPr>
        <w:t>4.</w:t>
      </w:r>
      <w:r w:rsidRPr="00B708BE">
        <w:rPr>
          <w:b/>
          <w:sz w:val="24"/>
          <w:szCs w:val="24"/>
        </w:rPr>
        <w:tab/>
        <w:t>FARMAKOLOGISKE OPLYSNINGER</w:t>
      </w:r>
    </w:p>
    <w:p w14:paraId="7EEFCC3F" w14:textId="77777777" w:rsidR="008203A8" w:rsidRPr="00B708BE" w:rsidRDefault="008203A8" w:rsidP="008203A8">
      <w:pPr>
        <w:ind w:left="851"/>
        <w:rPr>
          <w:sz w:val="24"/>
          <w:szCs w:val="24"/>
        </w:rPr>
      </w:pPr>
    </w:p>
    <w:p w14:paraId="507B7CFB" w14:textId="77777777" w:rsidR="008203A8" w:rsidRPr="00B708BE" w:rsidRDefault="008203A8" w:rsidP="008203A8">
      <w:pPr>
        <w:ind w:left="851" w:hanging="851"/>
        <w:rPr>
          <w:b/>
          <w:sz w:val="24"/>
          <w:szCs w:val="24"/>
        </w:rPr>
      </w:pPr>
      <w:r w:rsidRPr="00B708BE">
        <w:rPr>
          <w:b/>
          <w:sz w:val="24"/>
          <w:szCs w:val="24"/>
        </w:rPr>
        <w:t>4.1</w:t>
      </w:r>
      <w:r w:rsidRPr="00B708BE">
        <w:rPr>
          <w:b/>
          <w:sz w:val="24"/>
          <w:szCs w:val="24"/>
        </w:rPr>
        <w:tab/>
        <w:t>ATCvet-kode</w:t>
      </w:r>
    </w:p>
    <w:p w14:paraId="2C7678D5" w14:textId="179FE5F1" w:rsidR="008203A8" w:rsidRPr="00B708BE" w:rsidRDefault="001E386C" w:rsidP="008203A8">
      <w:pPr>
        <w:ind w:left="851"/>
        <w:rPr>
          <w:sz w:val="24"/>
          <w:szCs w:val="24"/>
        </w:rPr>
      </w:pPr>
      <w:r w:rsidRPr="00B708BE">
        <w:rPr>
          <w:sz w:val="24"/>
          <w:szCs w:val="24"/>
        </w:rPr>
        <w:t>QJ01FF01</w:t>
      </w:r>
    </w:p>
    <w:p w14:paraId="58066070" w14:textId="77777777" w:rsidR="008203A8" w:rsidRPr="00B708BE" w:rsidRDefault="008203A8" w:rsidP="008203A8">
      <w:pPr>
        <w:ind w:left="851"/>
        <w:rPr>
          <w:sz w:val="24"/>
          <w:szCs w:val="24"/>
        </w:rPr>
      </w:pPr>
    </w:p>
    <w:p w14:paraId="07AE9975" w14:textId="77777777" w:rsidR="008203A8" w:rsidRPr="00B708BE" w:rsidRDefault="008203A8" w:rsidP="008203A8">
      <w:pPr>
        <w:tabs>
          <w:tab w:val="left" w:pos="851"/>
        </w:tabs>
        <w:ind w:left="851" w:hanging="851"/>
        <w:rPr>
          <w:b/>
          <w:sz w:val="24"/>
          <w:szCs w:val="24"/>
        </w:rPr>
      </w:pPr>
      <w:r w:rsidRPr="00B708BE">
        <w:rPr>
          <w:b/>
          <w:sz w:val="24"/>
          <w:szCs w:val="24"/>
        </w:rPr>
        <w:t>4.2</w:t>
      </w:r>
      <w:r w:rsidRPr="00B708BE">
        <w:rPr>
          <w:b/>
          <w:sz w:val="24"/>
          <w:szCs w:val="24"/>
        </w:rPr>
        <w:tab/>
        <w:t>Farmakodynamiske oplysninger</w:t>
      </w:r>
    </w:p>
    <w:p w14:paraId="6807AAE8" w14:textId="77777777" w:rsidR="001E386C" w:rsidRPr="001E386C" w:rsidRDefault="001E386C" w:rsidP="001E386C">
      <w:pPr>
        <w:tabs>
          <w:tab w:val="left" w:pos="851"/>
        </w:tabs>
        <w:ind w:left="851"/>
        <w:rPr>
          <w:sz w:val="24"/>
          <w:szCs w:val="24"/>
        </w:rPr>
      </w:pPr>
      <w:bookmarkStart w:id="14" w:name="_Hlk87105455"/>
      <w:r w:rsidRPr="00B708BE">
        <w:rPr>
          <w:sz w:val="24"/>
          <w:szCs w:val="24"/>
        </w:rPr>
        <w:t>Clindamycin er hovedsageligt et bakteriostatisk antibiotikum, der tilhører gruppen af</w:t>
      </w:r>
      <w:r w:rsidRPr="001E386C">
        <w:rPr>
          <w:sz w:val="24"/>
          <w:szCs w:val="24"/>
        </w:rPr>
        <w:t xml:space="preserve"> lincosamider. Clindamycin er en kloreret analog af lincomycin. Clindamycin virker ved at hæmme bakteriernes proteinsyntese. Den reversible binding til underenheden 50-S i bakterielle ribosomer hæmmer translation af aminosyrer, der er bundet til tRNA, og forhindrer dermed opbygningen af peptidekæden.</w:t>
      </w:r>
    </w:p>
    <w:p w14:paraId="09346272" w14:textId="77777777" w:rsidR="001E386C" w:rsidRPr="001E386C" w:rsidRDefault="001E386C" w:rsidP="001E386C">
      <w:pPr>
        <w:tabs>
          <w:tab w:val="left" w:pos="851"/>
        </w:tabs>
        <w:ind w:left="851"/>
        <w:rPr>
          <w:sz w:val="24"/>
          <w:szCs w:val="24"/>
        </w:rPr>
      </w:pPr>
      <w:r w:rsidRPr="001E386C">
        <w:rPr>
          <w:sz w:val="24"/>
          <w:szCs w:val="24"/>
        </w:rPr>
        <w:t>Clindamycin og lincomycin udviser krydsresistens, hvilket ligeledes er almindeligt mellem erythromycin og andre macrolider.</w:t>
      </w:r>
    </w:p>
    <w:p w14:paraId="39B172ED" w14:textId="77777777" w:rsidR="001E386C" w:rsidRPr="001E386C" w:rsidRDefault="001E386C" w:rsidP="001E386C">
      <w:pPr>
        <w:tabs>
          <w:tab w:val="left" w:pos="851"/>
        </w:tabs>
        <w:ind w:left="851"/>
        <w:rPr>
          <w:sz w:val="24"/>
          <w:szCs w:val="24"/>
        </w:rPr>
      </w:pPr>
      <w:r w:rsidRPr="001E386C">
        <w:rPr>
          <w:sz w:val="24"/>
          <w:szCs w:val="24"/>
        </w:rPr>
        <w:t xml:space="preserve">Sekundær resistens kan forekomme ved methylering af det ribosomale bindingssted via kromosomal mutation i gram-positive bakterier, eller ved plasmid-medierede mekanismer i gram-negative bakterier. </w:t>
      </w:r>
    </w:p>
    <w:p w14:paraId="6792BAD2" w14:textId="77777777" w:rsidR="001E386C" w:rsidRPr="001E386C" w:rsidRDefault="001E386C" w:rsidP="001E386C">
      <w:pPr>
        <w:tabs>
          <w:tab w:val="left" w:pos="851"/>
        </w:tabs>
        <w:ind w:left="851"/>
        <w:rPr>
          <w:sz w:val="24"/>
          <w:szCs w:val="24"/>
        </w:rPr>
      </w:pPr>
      <w:r w:rsidRPr="001E386C">
        <w:rPr>
          <w:sz w:val="24"/>
          <w:szCs w:val="24"/>
        </w:rPr>
        <w:t xml:space="preserve">CLSI clindamycin veterinære breakpoints er tilgængelige i </w:t>
      </w:r>
      <w:r w:rsidRPr="001E386C">
        <w:rPr>
          <w:i/>
          <w:sz w:val="24"/>
          <w:szCs w:val="24"/>
        </w:rPr>
        <w:t xml:space="preserve">Staphylococcus </w:t>
      </w:r>
      <w:r w:rsidRPr="001E386C">
        <w:rPr>
          <w:sz w:val="24"/>
          <w:szCs w:val="24"/>
        </w:rPr>
        <w:t>spp</w:t>
      </w:r>
      <w:r w:rsidRPr="001E386C">
        <w:rPr>
          <w:i/>
          <w:sz w:val="24"/>
          <w:szCs w:val="24"/>
        </w:rPr>
        <w:t>.</w:t>
      </w:r>
      <w:r w:rsidRPr="001E386C">
        <w:rPr>
          <w:sz w:val="24"/>
          <w:szCs w:val="24"/>
        </w:rPr>
        <w:t xml:space="preserve"> og hæmolytiske </w:t>
      </w:r>
      <w:r w:rsidRPr="001E386C">
        <w:rPr>
          <w:i/>
          <w:sz w:val="24"/>
          <w:szCs w:val="24"/>
        </w:rPr>
        <w:t>Streptococci</w:t>
      </w:r>
      <w:r w:rsidRPr="001E386C">
        <w:rPr>
          <w:sz w:val="24"/>
          <w:szCs w:val="24"/>
        </w:rPr>
        <w:t>-ß-gruppe isolater fra hunde ved hud- og blødvævsinfektioner: S ≤ 0,5 μg/ml; I = 1</w:t>
      </w:r>
      <w:r w:rsidRPr="001E386C">
        <w:rPr>
          <w:sz w:val="24"/>
          <w:szCs w:val="24"/>
        </w:rPr>
        <w:noBreakHyphen/>
        <w:t>2 µg/ml; R ≥ 4 μg/ml (CLSI 2020).</w:t>
      </w:r>
    </w:p>
    <w:p w14:paraId="03160A7F" w14:textId="77777777" w:rsidR="001E386C" w:rsidRPr="001E386C" w:rsidRDefault="001E386C" w:rsidP="001E386C">
      <w:pPr>
        <w:tabs>
          <w:tab w:val="left" w:pos="851"/>
        </w:tabs>
        <w:ind w:left="851"/>
        <w:rPr>
          <w:sz w:val="24"/>
          <w:szCs w:val="24"/>
        </w:rPr>
      </w:pPr>
      <w:r w:rsidRPr="001E386C">
        <w:rPr>
          <w:sz w:val="24"/>
          <w:szCs w:val="24"/>
        </w:rPr>
        <w:t xml:space="preserve">Forekomsten af resistens over for lincosamider hos </w:t>
      </w:r>
      <w:r w:rsidRPr="001E386C">
        <w:rPr>
          <w:i/>
          <w:sz w:val="24"/>
          <w:szCs w:val="24"/>
        </w:rPr>
        <w:t>Staphylococcus</w:t>
      </w:r>
      <w:r w:rsidRPr="001E386C">
        <w:rPr>
          <w:sz w:val="24"/>
          <w:szCs w:val="24"/>
        </w:rPr>
        <w:t xml:space="preserve"> spp. synes at være vidt udbredt i Europa med et vægtet aritmetisk gennemsnit af resistens på ca. 25 % hos </w:t>
      </w:r>
      <w:r w:rsidRPr="001E386C">
        <w:rPr>
          <w:i/>
          <w:sz w:val="24"/>
          <w:szCs w:val="24"/>
        </w:rPr>
        <w:t>Staphylococcus</w:t>
      </w:r>
      <w:r w:rsidRPr="001E386C">
        <w:rPr>
          <w:sz w:val="24"/>
          <w:szCs w:val="24"/>
        </w:rPr>
        <w:t xml:space="preserve"> </w:t>
      </w:r>
      <w:r w:rsidRPr="001E386C">
        <w:rPr>
          <w:i/>
          <w:sz w:val="24"/>
          <w:szCs w:val="24"/>
        </w:rPr>
        <w:t>pseudintermedius</w:t>
      </w:r>
      <w:r w:rsidRPr="001E386C">
        <w:rPr>
          <w:sz w:val="24"/>
          <w:szCs w:val="24"/>
        </w:rPr>
        <w:t xml:space="preserve"> og hos </w:t>
      </w:r>
      <w:r w:rsidRPr="001E386C">
        <w:rPr>
          <w:i/>
          <w:sz w:val="24"/>
          <w:szCs w:val="24"/>
        </w:rPr>
        <w:t>Staphylococcus</w:t>
      </w:r>
      <w:r w:rsidRPr="001E386C">
        <w:rPr>
          <w:sz w:val="24"/>
          <w:szCs w:val="24"/>
        </w:rPr>
        <w:t xml:space="preserve"> </w:t>
      </w:r>
      <w:r w:rsidRPr="001E386C">
        <w:rPr>
          <w:i/>
          <w:sz w:val="24"/>
          <w:szCs w:val="24"/>
        </w:rPr>
        <w:t xml:space="preserve">aureus </w:t>
      </w:r>
      <w:r w:rsidRPr="001E386C">
        <w:rPr>
          <w:sz w:val="24"/>
          <w:szCs w:val="24"/>
        </w:rPr>
        <w:t>(EFSA, 2021).</w:t>
      </w:r>
    </w:p>
    <w:bookmarkEnd w:id="14"/>
    <w:p w14:paraId="0A1A466B" w14:textId="77777777" w:rsidR="008203A8" w:rsidRPr="00406EE7" w:rsidRDefault="008203A8" w:rsidP="008203A8">
      <w:pPr>
        <w:tabs>
          <w:tab w:val="left" w:pos="851"/>
        </w:tabs>
        <w:ind w:left="851"/>
        <w:rPr>
          <w:sz w:val="24"/>
          <w:szCs w:val="24"/>
        </w:rPr>
      </w:pPr>
    </w:p>
    <w:p w14:paraId="2D0C1E49" w14:textId="77777777" w:rsidR="008203A8" w:rsidRPr="00406EE7" w:rsidRDefault="008203A8" w:rsidP="008203A8">
      <w:pPr>
        <w:tabs>
          <w:tab w:val="left" w:pos="851"/>
        </w:tabs>
        <w:ind w:left="851" w:hanging="851"/>
        <w:rPr>
          <w:b/>
          <w:sz w:val="24"/>
          <w:szCs w:val="24"/>
        </w:rPr>
      </w:pPr>
      <w:r w:rsidRPr="00B708BE">
        <w:rPr>
          <w:b/>
          <w:sz w:val="24"/>
          <w:szCs w:val="24"/>
        </w:rPr>
        <w:t>4.3</w:t>
      </w:r>
      <w:r w:rsidRPr="00B708BE">
        <w:rPr>
          <w:b/>
          <w:sz w:val="24"/>
          <w:szCs w:val="24"/>
        </w:rPr>
        <w:tab/>
        <w:t>Farmakokinetiske oplysninger</w:t>
      </w:r>
    </w:p>
    <w:p w14:paraId="69916212" w14:textId="77777777" w:rsidR="001E386C" w:rsidRPr="001E386C" w:rsidRDefault="001E386C" w:rsidP="001E386C">
      <w:pPr>
        <w:tabs>
          <w:tab w:val="left" w:pos="851"/>
        </w:tabs>
        <w:ind w:left="851"/>
        <w:rPr>
          <w:sz w:val="24"/>
          <w:szCs w:val="24"/>
        </w:rPr>
      </w:pPr>
      <w:bookmarkStart w:id="15" w:name="_Hlk96005043"/>
      <w:r w:rsidRPr="001E386C">
        <w:rPr>
          <w:sz w:val="24"/>
          <w:szCs w:val="24"/>
        </w:rPr>
        <w:t>Clindamycin absorberes næsten fuldstændigt efter oral administration. Efter oral administration af 11 mg/kg blev maksimale plasmakoncentrationer på 8 µg/ml opnået i løbet af en time (uden indflydelse fra foder).</w:t>
      </w:r>
    </w:p>
    <w:p w14:paraId="096C32BF" w14:textId="77777777" w:rsidR="001E386C" w:rsidRPr="001E386C" w:rsidRDefault="001E386C" w:rsidP="001E386C">
      <w:pPr>
        <w:tabs>
          <w:tab w:val="left" w:pos="851"/>
        </w:tabs>
        <w:ind w:left="851"/>
        <w:rPr>
          <w:sz w:val="24"/>
          <w:szCs w:val="24"/>
        </w:rPr>
      </w:pPr>
      <w:bookmarkStart w:id="16" w:name="_Hlk96005064"/>
      <w:bookmarkEnd w:id="15"/>
      <w:r w:rsidRPr="001E386C">
        <w:rPr>
          <w:sz w:val="24"/>
          <w:szCs w:val="24"/>
        </w:rPr>
        <w:t>Clindamycin distribueres bredt og kan opkoncentreres i visse væv.</w:t>
      </w:r>
    </w:p>
    <w:p w14:paraId="16E37393" w14:textId="77777777" w:rsidR="001E386C" w:rsidRPr="001E386C" w:rsidRDefault="001E386C" w:rsidP="001E386C">
      <w:pPr>
        <w:tabs>
          <w:tab w:val="left" w:pos="851"/>
        </w:tabs>
        <w:ind w:left="851"/>
        <w:rPr>
          <w:sz w:val="24"/>
          <w:szCs w:val="24"/>
        </w:rPr>
      </w:pPr>
      <w:r w:rsidRPr="001E386C">
        <w:rPr>
          <w:sz w:val="24"/>
          <w:szCs w:val="24"/>
        </w:rPr>
        <w:t>Eliminationshalveringstiden for clindamycin er ca. 4 timer. Ca. 70 % udskilles med fæces og ca. 30 % med urinen.</w:t>
      </w:r>
    </w:p>
    <w:p w14:paraId="2ED58BFF" w14:textId="77777777" w:rsidR="001E386C" w:rsidRPr="001E386C" w:rsidRDefault="001E386C" w:rsidP="001E386C">
      <w:pPr>
        <w:tabs>
          <w:tab w:val="left" w:pos="851"/>
        </w:tabs>
        <w:ind w:left="851"/>
        <w:rPr>
          <w:sz w:val="24"/>
          <w:szCs w:val="24"/>
        </w:rPr>
      </w:pPr>
    </w:p>
    <w:p w14:paraId="516874F3" w14:textId="77777777" w:rsidR="001E386C" w:rsidRPr="001E386C" w:rsidRDefault="001E386C" w:rsidP="001E386C">
      <w:pPr>
        <w:tabs>
          <w:tab w:val="left" w:pos="851"/>
        </w:tabs>
        <w:ind w:left="851"/>
        <w:rPr>
          <w:sz w:val="24"/>
          <w:szCs w:val="24"/>
        </w:rPr>
      </w:pPr>
      <w:r w:rsidRPr="001E386C">
        <w:rPr>
          <w:sz w:val="24"/>
          <w:szCs w:val="24"/>
        </w:rPr>
        <w:t>Ca. 93 % af clindamycin bindes til plasmaproteiner.</w:t>
      </w:r>
    </w:p>
    <w:bookmarkEnd w:id="16"/>
    <w:p w14:paraId="6381D85E" w14:textId="77777777" w:rsidR="001E386C" w:rsidRPr="001E386C" w:rsidRDefault="001E386C" w:rsidP="001E386C">
      <w:pPr>
        <w:tabs>
          <w:tab w:val="left" w:pos="851"/>
        </w:tabs>
        <w:ind w:left="851"/>
        <w:rPr>
          <w:sz w:val="24"/>
          <w:szCs w:val="24"/>
        </w:rPr>
      </w:pPr>
    </w:p>
    <w:p w14:paraId="2AC3E95C" w14:textId="77777777" w:rsidR="008203A8" w:rsidRPr="00406EE7" w:rsidRDefault="008203A8" w:rsidP="008203A8">
      <w:pPr>
        <w:tabs>
          <w:tab w:val="left" w:pos="851"/>
        </w:tabs>
        <w:ind w:left="851"/>
        <w:rPr>
          <w:sz w:val="24"/>
          <w:szCs w:val="24"/>
        </w:rPr>
      </w:pPr>
    </w:p>
    <w:p w14:paraId="05A83CF6"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223762D7" w14:textId="77777777" w:rsidR="008203A8" w:rsidRPr="00406EE7" w:rsidRDefault="008203A8" w:rsidP="008203A8">
      <w:pPr>
        <w:tabs>
          <w:tab w:val="left" w:pos="851"/>
        </w:tabs>
        <w:ind w:left="851"/>
        <w:rPr>
          <w:sz w:val="24"/>
          <w:szCs w:val="24"/>
        </w:rPr>
      </w:pPr>
    </w:p>
    <w:p w14:paraId="41D791CB"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478D851F" w14:textId="77777777" w:rsidR="004752AC" w:rsidRPr="004752AC" w:rsidRDefault="004752AC" w:rsidP="004752AC">
      <w:pPr>
        <w:tabs>
          <w:tab w:val="left" w:pos="851"/>
        </w:tabs>
        <w:ind w:left="851"/>
        <w:rPr>
          <w:sz w:val="24"/>
          <w:szCs w:val="24"/>
        </w:rPr>
      </w:pPr>
      <w:r w:rsidRPr="004752AC">
        <w:rPr>
          <w:sz w:val="24"/>
          <w:szCs w:val="24"/>
        </w:rPr>
        <w:t>Da der ikke foreligger undersøgelser vedrørende eventuelle uforligeligheder, bør dette veterinærlægemiddel ikke blandes med andre veterinærlægemidler.</w:t>
      </w:r>
    </w:p>
    <w:p w14:paraId="6FABDC0A" w14:textId="77777777" w:rsidR="008203A8" w:rsidRPr="00406EE7" w:rsidRDefault="008203A8" w:rsidP="008203A8">
      <w:pPr>
        <w:tabs>
          <w:tab w:val="left" w:pos="851"/>
        </w:tabs>
        <w:ind w:left="851"/>
        <w:rPr>
          <w:sz w:val="24"/>
          <w:szCs w:val="24"/>
        </w:rPr>
      </w:pPr>
    </w:p>
    <w:p w14:paraId="2F255090"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52540910" w14:textId="36F6FDFD" w:rsidR="004752AC" w:rsidRPr="004752AC" w:rsidRDefault="002667CD" w:rsidP="004752AC">
      <w:pPr>
        <w:tabs>
          <w:tab w:val="left" w:pos="851"/>
        </w:tabs>
        <w:ind w:left="851"/>
        <w:rPr>
          <w:sz w:val="24"/>
          <w:szCs w:val="24"/>
        </w:rPr>
      </w:pPr>
      <w:r>
        <w:rPr>
          <w:sz w:val="24"/>
          <w:szCs w:val="24"/>
        </w:rPr>
        <w:t>I</w:t>
      </w:r>
      <w:r w:rsidR="004752AC" w:rsidRPr="004752AC">
        <w:rPr>
          <w:sz w:val="24"/>
          <w:szCs w:val="24"/>
        </w:rPr>
        <w:t xml:space="preserve"> salgspakning: 30 måneder</w:t>
      </w:r>
      <w:r>
        <w:rPr>
          <w:sz w:val="24"/>
          <w:szCs w:val="24"/>
        </w:rPr>
        <w:t>.</w:t>
      </w:r>
    </w:p>
    <w:p w14:paraId="7CEC8972" w14:textId="18BA1CFE" w:rsidR="004752AC" w:rsidRPr="004752AC" w:rsidRDefault="002667CD" w:rsidP="004752AC">
      <w:pPr>
        <w:tabs>
          <w:tab w:val="left" w:pos="851"/>
        </w:tabs>
        <w:ind w:left="851"/>
        <w:rPr>
          <w:sz w:val="24"/>
          <w:szCs w:val="24"/>
        </w:rPr>
      </w:pPr>
      <w:bookmarkStart w:id="17" w:name="_Hlk116054260"/>
      <w:r>
        <w:rPr>
          <w:sz w:val="24"/>
          <w:szCs w:val="24"/>
        </w:rPr>
        <w:t>E</w:t>
      </w:r>
      <w:r w:rsidR="004752AC" w:rsidRPr="004752AC">
        <w:rPr>
          <w:sz w:val="24"/>
          <w:szCs w:val="24"/>
        </w:rPr>
        <w:t>fter første åbning af den indre emballage: 3 måneder</w:t>
      </w:r>
      <w:bookmarkEnd w:id="17"/>
      <w:r>
        <w:rPr>
          <w:sz w:val="24"/>
          <w:szCs w:val="24"/>
        </w:rPr>
        <w:t>.</w:t>
      </w:r>
    </w:p>
    <w:p w14:paraId="51618591" w14:textId="77777777" w:rsidR="008203A8" w:rsidRPr="00406EE7" w:rsidRDefault="008203A8" w:rsidP="008203A8">
      <w:pPr>
        <w:tabs>
          <w:tab w:val="left" w:pos="851"/>
        </w:tabs>
        <w:ind w:left="851"/>
        <w:rPr>
          <w:sz w:val="24"/>
          <w:szCs w:val="24"/>
        </w:rPr>
      </w:pPr>
    </w:p>
    <w:p w14:paraId="254DE6DE"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0320AFD3" w14:textId="77777777" w:rsidR="00301DC3" w:rsidRPr="00301DC3" w:rsidRDefault="00301DC3" w:rsidP="00301DC3">
      <w:pPr>
        <w:tabs>
          <w:tab w:val="left" w:pos="851"/>
        </w:tabs>
        <w:ind w:left="851"/>
        <w:rPr>
          <w:sz w:val="24"/>
          <w:szCs w:val="24"/>
        </w:rPr>
      </w:pPr>
      <w:r w:rsidRPr="00301DC3">
        <w:rPr>
          <w:sz w:val="24"/>
          <w:szCs w:val="24"/>
        </w:rPr>
        <w:t>Der er ingen særlige krav vedrørende opbevaringsforhold for dette veterinærlægemiddel.</w:t>
      </w:r>
    </w:p>
    <w:p w14:paraId="34DFA78C" w14:textId="77777777" w:rsidR="008203A8" w:rsidRPr="00406EE7" w:rsidRDefault="008203A8" w:rsidP="008203A8">
      <w:pPr>
        <w:tabs>
          <w:tab w:val="left" w:pos="851"/>
        </w:tabs>
        <w:ind w:left="851"/>
        <w:rPr>
          <w:sz w:val="24"/>
          <w:szCs w:val="24"/>
        </w:rPr>
      </w:pPr>
    </w:p>
    <w:p w14:paraId="032B7AD5"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010F5213" w14:textId="5A3E3D62" w:rsidR="00301DC3" w:rsidRPr="00301DC3" w:rsidRDefault="00301DC3" w:rsidP="00301DC3">
      <w:pPr>
        <w:tabs>
          <w:tab w:val="left" w:pos="851"/>
        </w:tabs>
        <w:ind w:left="851"/>
        <w:rPr>
          <w:sz w:val="24"/>
          <w:szCs w:val="24"/>
        </w:rPr>
      </w:pPr>
      <w:r w:rsidRPr="00301DC3">
        <w:rPr>
          <w:sz w:val="24"/>
          <w:szCs w:val="24"/>
        </w:rPr>
        <w:t>Ravfarvet</w:t>
      </w:r>
      <w:r w:rsidR="00B708BE">
        <w:rPr>
          <w:sz w:val="24"/>
          <w:szCs w:val="24"/>
        </w:rPr>
        <w:t>,</w:t>
      </w:r>
      <w:r w:rsidRPr="00301DC3">
        <w:rPr>
          <w:sz w:val="24"/>
          <w:szCs w:val="24"/>
        </w:rPr>
        <w:t xml:space="preserve"> type III glasflaske eller hvid</w:t>
      </w:r>
      <w:r w:rsidR="00B708BE">
        <w:rPr>
          <w:sz w:val="24"/>
          <w:szCs w:val="24"/>
        </w:rPr>
        <w:t>,</w:t>
      </w:r>
      <w:r w:rsidRPr="00301DC3">
        <w:rPr>
          <w:sz w:val="24"/>
          <w:szCs w:val="24"/>
        </w:rPr>
        <w:t xml:space="preserve"> højdensitet polyethylen (HDPE) flaske, lukket med et børnesikret</w:t>
      </w:r>
      <w:r w:rsidR="00BF4380">
        <w:rPr>
          <w:sz w:val="24"/>
          <w:szCs w:val="24"/>
        </w:rPr>
        <w:t>,</w:t>
      </w:r>
      <w:r w:rsidRPr="00301DC3">
        <w:rPr>
          <w:sz w:val="24"/>
          <w:szCs w:val="24"/>
        </w:rPr>
        <w:t xml:space="preserve"> hvidt</w:t>
      </w:r>
      <w:r w:rsidR="00BF4380">
        <w:rPr>
          <w:sz w:val="24"/>
          <w:szCs w:val="24"/>
        </w:rPr>
        <w:t>,</w:t>
      </w:r>
      <w:r w:rsidRPr="00301DC3">
        <w:rPr>
          <w:sz w:val="24"/>
          <w:szCs w:val="24"/>
        </w:rPr>
        <w:t xml:space="preserve"> polypropylenlåg og lavdensitet polyethylen (LDPE) sprøjteadapter.</w:t>
      </w:r>
    </w:p>
    <w:p w14:paraId="43CC4A3D" w14:textId="77777777" w:rsidR="00301DC3" w:rsidRPr="00301DC3" w:rsidRDefault="00301DC3" w:rsidP="00301DC3">
      <w:pPr>
        <w:tabs>
          <w:tab w:val="left" w:pos="851"/>
        </w:tabs>
        <w:ind w:left="851"/>
        <w:rPr>
          <w:sz w:val="24"/>
          <w:szCs w:val="24"/>
        </w:rPr>
      </w:pPr>
      <w:r w:rsidRPr="00301DC3">
        <w:rPr>
          <w:sz w:val="24"/>
          <w:szCs w:val="24"/>
        </w:rPr>
        <w:t>En 3 ml LDPE-/polystyren målesprøjte er vedlagt hver flaske.</w:t>
      </w:r>
    </w:p>
    <w:p w14:paraId="7BDA0535" w14:textId="77777777" w:rsidR="00301DC3" w:rsidRPr="00301DC3" w:rsidRDefault="00301DC3" w:rsidP="00301DC3">
      <w:pPr>
        <w:tabs>
          <w:tab w:val="left" w:pos="851"/>
        </w:tabs>
        <w:ind w:left="851"/>
        <w:rPr>
          <w:sz w:val="24"/>
          <w:szCs w:val="24"/>
        </w:rPr>
      </w:pPr>
      <w:r w:rsidRPr="00301DC3">
        <w:rPr>
          <w:sz w:val="24"/>
          <w:szCs w:val="24"/>
        </w:rPr>
        <w:t>Hver flaske er pakket i en papæske.</w:t>
      </w:r>
    </w:p>
    <w:p w14:paraId="7606BEDB" w14:textId="77777777" w:rsidR="00301DC3" w:rsidRPr="00301DC3" w:rsidRDefault="00301DC3" w:rsidP="00301DC3">
      <w:pPr>
        <w:tabs>
          <w:tab w:val="left" w:pos="851"/>
        </w:tabs>
        <w:ind w:left="851"/>
        <w:rPr>
          <w:sz w:val="24"/>
          <w:szCs w:val="24"/>
        </w:rPr>
      </w:pPr>
    </w:p>
    <w:p w14:paraId="7BD4DA74" w14:textId="20C5AC26" w:rsidR="00301DC3" w:rsidRPr="00301DC3" w:rsidRDefault="00301DC3" w:rsidP="00301DC3">
      <w:pPr>
        <w:tabs>
          <w:tab w:val="left" w:pos="851"/>
        </w:tabs>
        <w:ind w:left="851"/>
        <w:rPr>
          <w:sz w:val="24"/>
          <w:szCs w:val="24"/>
          <w:u w:val="single"/>
        </w:rPr>
      </w:pPr>
      <w:r w:rsidRPr="00301DC3">
        <w:rPr>
          <w:sz w:val="24"/>
          <w:szCs w:val="24"/>
          <w:u w:val="single"/>
        </w:rPr>
        <w:t>Pakningsstørrelser</w:t>
      </w:r>
    </w:p>
    <w:p w14:paraId="2FCDA0EF" w14:textId="5A69F596" w:rsidR="00301DC3" w:rsidRPr="00301DC3" w:rsidRDefault="00301DC3" w:rsidP="00301DC3">
      <w:pPr>
        <w:tabs>
          <w:tab w:val="left" w:pos="851"/>
        </w:tabs>
        <w:ind w:left="851"/>
        <w:rPr>
          <w:sz w:val="24"/>
          <w:szCs w:val="24"/>
        </w:rPr>
      </w:pPr>
      <w:r w:rsidRPr="00301DC3">
        <w:rPr>
          <w:sz w:val="24"/>
          <w:szCs w:val="24"/>
        </w:rPr>
        <w:t>Papæske med 1 glasflaske à 10 ml</w:t>
      </w:r>
      <w:r w:rsidR="00BF4380">
        <w:rPr>
          <w:sz w:val="24"/>
          <w:szCs w:val="24"/>
        </w:rPr>
        <w:t>.</w:t>
      </w:r>
    </w:p>
    <w:p w14:paraId="7EA3AFFC" w14:textId="2DFF55C8" w:rsidR="00301DC3" w:rsidRPr="00301DC3" w:rsidRDefault="00301DC3" w:rsidP="00301DC3">
      <w:pPr>
        <w:tabs>
          <w:tab w:val="left" w:pos="851"/>
        </w:tabs>
        <w:ind w:left="851"/>
        <w:rPr>
          <w:sz w:val="24"/>
          <w:szCs w:val="24"/>
        </w:rPr>
      </w:pPr>
      <w:r w:rsidRPr="00301DC3">
        <w:rPr>
          <w:sz w:val="24"/>
          <w:szCs w:val="24"/>
        </w:rPr>
        <w:t>Papæske med 1 glasflaske à 25 ml</w:t>
      </w:r>
      <w:r w:rsidR="00BF4380">
        <w:rPr>
          <w:sz w:val="24"/>
          <w:szCs w:val="24"/>
        </w:rPr>
        <w:t>.</w:t>
      </w:r>
    </w:p>
    <w:p w14:paraId="68A35B78" w14:textId="378AAEC7" w:rsidR="00301DC3" w:rsidRPr="00301DC3" w:rsidRDefault="00301DC3" w:rsidP="00301DC3">
      <w:pPr>
        <w:tabs>
          <w:tab w:val="left" w:pos="851"/>
        </w:tabs>
        <w:ind w:left="851"/>
        <w:rPr>
          <w:sz w:val="24"/>
          <w:szCs w:val="24"/>
        </w:rPr>
      </w:pPr>
      <w:r w:rsidRPr="00301DC3">
        <w:rPr>
          <w:sz w:val="24"/>
          <w:szCs w:val="24"/>
        </w:rPr>
        <w:t>Papæske med 1 glasflaske à 50 ml</w:t>
      </w:r>
      <w:r w:rsidR="00BF4380">
        <w:rPr>
          <w:sz w:val="24"/>
          <w:szCs w:val="24"/>
        </w:rPr>
        <w:t>.</w:t>
      </w:r>
    </w:p>
    <w:p w14:paraId="5DF8ED6C" w14:textId="5E5FC8F4" w:rsidR="00301DC3" w:rsidRPr="00301DC3" w:rsidRDefault="00301DC3" w:rsidP="00301DC3">
      <w:pPr>
        <w:tabs>
          <w:tab w:val="left" w:pos="851"/>
        </w:tabs>
        <w:ind w:left="851"/>
        <w:rPr>
          <w:sz w:val="24"/>
          <w:szCs w:val="24"/>
        </w:rPr>
      </w:pPr>
      <w:r w:rsidRPr="00301DC3">
        <w:rPr>
          <w:sz w:val="24"/>
          <w:szCs w:val="24"/>
        </w:rPr>
        <w:t>Papæske med 1 HDPE-flaske à 10 ml</w:t>
      </w:r>
      <w:r w:rsidR="00BF4380">
        <w:rPr>
          <w:sz w:val="24"/>
          <w:szCs w:val="24"/>
        </w:rPr>
        <w:t>.</w:t>
      </w:r>
    </w:p>
    <w:p w14:paraId="31B9387A" w14:textId="1BAD2F7B" w:rsidR="00301DC3" w:rsidRPr="00301DC3" w:rsidRDefault="00301DC3" w:rsidP="00301DC3">
      <w:pPr>
        <w:tabs>
          <w:tab w:val="left" w:pos="851"/>
        </w:tabs>
        <w:ind w:left="851"/>
        <w:rPr>
          <w:sz w:val="24"/>
          <w:szCs w:val="24"/>
        </w:rPr>
      </w:pPr>
      <w:r w:rsidRPr="00301DC3">
        <w:rPr>
          <w:sz w:val="24"/>
          <w:szCs w:val="24"/>
        </w:rPr>
        <w:t>Papæske med 1 HDPE-flaske à 25 ml</w:t>
      </w:r>
      <w:r w:rsidR="00BF4380">
        <w:rPr>
          <w:sz w:val="24"/>
          <w:szCs w:val="24"/>
        </w:rPr>
        <w:t>.</w:t>
      </w:r>
    </w:p>
    <w:p w14:paraId="29B87DE8" w14:textId="5E03384E" w:rsidR="00301DC3" w:rsidRPr="00301DC3" w:rsidRDefault="00301DC3" w:rsidP="00301DC3">
      <w:pPr>
        <w:tabs>
          <w:tab w:val="left" w:pos="851"/>
        </w:tabs>
        <w:ind w:left="851"/>
        <w:rPr>
          <w:sz w:val="24"/>
          <w:szCs w:val="24"/>
        </w:rPr>
      </w:pPr>
      <w:r w:rsidRPr="00301DC3">
        <w:rPr>
          <w:sz w:val="24"/>
          <w:szCs w:val="24"/>
        </w:rPr>
        <w:t>Papæske med 1 HDPE-flaske à 50 ml</w:t>
      </w:r>
      <w:r w:rsidR="00BF4380">
        <w:rPr>
          <w:sz w:val="24"/>
          <w:szCs w:val="24"/>
        </w:rPr>
        <w:t>.</w:t>
      </w:r>
    </w:p>
    <w:p w14:paraId="25C3021A" w14:textId="77777777" w:rsidR="00301DC3" w:rsidRPr="00301DC3" w:rsidRDefault="00301DC3" w:rsidP="00301DC3">
      <w:pPr>
        <w:tabs>
          <w:tab w:val="left" w:pos="851"/>
        </w:tabs>
        <w:ind w:left="851"/>
        <w:rPr>
          <w:sz w:val="24"/>
          <w:szCs w:val="24"/>
        </w:rPr>
      </w:pPr>
    </w:p>
    <w:p w14:paraId="45346A99" w14:textId="77777777" w:rsidR="00301DC3" w:rsidRPr="00301DC3" w:rsidRDefault="00301DC3" w:rsidP="00301DC3">
      <w:pPr>
        <w:tabs>
          <w:tab w:val="left" w:pos="851"/>
        </w:tabs>
        <w:ind w:left="851"/>
        <w:rPr>
          <w:sz w:val="24"/>
          <w:szCs w:val="24"/>
        </w:rPr>
      </w:pPr>
      <w:r w:rsidRPr="00301DC3">
        <w:rPr>
          <w:sz w:val="24"/>
          <w:szCs w:val="24"/>
        </w:rPr>
        <w:t>Ikke alle pakningsstørrelser er nødvendigvis markedsført.</w:t>
      </w:r>
    </w:p>
    <w:p w14:paraId="35EF1487" w14:textId="77777777" w:rsidR="008203A8" w:rsidRPr="00406EE7" w:rsidRDefault="008203A8" w:rsidP="008203A8">
      <w:pPr>
        <w:tabs>
          <w:tab w:val="left" w:pos="851"/>
        </w:tabs>
        <w:ind w:left="851"/>
        <w:rPr>
          <w:sz w:val="24"/>
          <w:szCs w:val="24"/>
        </w:rPr>
      </w:pPr>
    </w:p>
    <w:p w14:paraId="2FF34BEC"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1A71CB34" w14:textId="77777777" w:rsidR="00301DC3" w:rsidRPr="00301DC3" w:rsidRDefault="00301DC3" w:rsidP="00301DC3">
      <w:pPr>
        <w:tabs>
          <w:tab w:val="left" w:pos="851"/>
        </w:tabs>
        <w:ind w:left="851"/>
        <w:rPr>
          <w:sz w:val="24"/>
          <w:szCs w:val="24"/>
        </w:rPr>
      </w:pPr>
      <w:r w:rsidRPr="00301DC3">
        <w:rPr>
          <w:sz w:val="24"/>
          <w:szCs w:val="24"/>
        </w:rPr>
        <w:t>Lægemidler må ikke bortskaffes sammen med spildevand eller husholdningsaffald.</w:t>
      </w:r>
    </w:p>
    <w:p w14:paraId="1A8D3C9F" w14:textId="77777777" w:rsidR="00301DC3" w:rsidRPr="00301DC3" w:rsidRDefault="00301DC3" w:rsidP="00301DC3">
      <w:pPr>
        <w:tabs>
          <w:tab w:val="left" w:pos="851"/>
        </w:tabs>
        <w:ind w:left="851"/>
        <w:rPr>
          <w:sz w:val="24"/>
          <w:szCs w:val="24"/>
        </w:rPr>
      </w:pPr>
      <w:r w:rsidRPr="00301DC3">
        <w:rPr>
          <w:sz w:val="24"/>
          <w:szCs w:val="24"/>
        </w:rPr>
        <w:t>Benyt returordninger ved bortskaffelse af ubrugte veterinærlægemidler eller affaldsmaterialer herfra i henhold til lokale retningslinjer op nationale indsamlingsordninger, der er relevante for det pågældende veterinærlægemiddel.</w:t>
      </w:r>
    </w:p>
    <w:p w14:paraId="598CA13C" w14:textId="77777777" w:rsidR="008203A8" w:rsidRDefault="008203A8" w:rsidP="008203A8">
      <w:pPr>
        <w:tabs>
          <w:tab w:val="left" w:pos="851"/>
        </w:tabs>
        <w:ind w:left="851"/>
        <w:rPr>
          <w:sz w:val="24"/>
          <w:szCs w:val="24"/>
        </w:rPr>
      </w:pPr>
    </w:p>
    <w:p w14:paraId="7151425E"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021FABCC" w14:textId="77777777" w:rsidR="00EA7117" w:rsidRPr="00EA7117" w:rsidRDefault="00EA7117" w:rsidP="00EA7117">
      <w:pPr>
        <w:tabs>
          <w:tab w:val="left" w:pos="851"/>
        </w:tabs>
        <w:ind w:left="851"/>
        <w:rPr>
          <w:sz w:val="24"/>
          <w:szCs w:val="24"/>
        </w:rPr>
      </w:pPr>
      <w:r w:rsidRPr="00EA7117">
        <w:rPr>
          <w:sz w:val="24"/>
          <w:szCs w:val="24"/>
        </w:rPr>
        <w:t>Cp-Pharma Handelsgesellschaft mbH</w:t>
      </w:r>
    </w:p>
    <w:p w14:paraId="140E64D0" w14:textId="77777777" w:rsidR="00EA7117" w:rsidRPr="002F5147" w:rsidRDefault="00EA7117" w:rsidP="00EA7117">
      <w:pPr>
        <w:tabs>
          <w:tab w:val="left" w:pos="851"/>
        </w:tabs>
        <w:ind w:left="851"/>
        <w:rPr>
          <w:sz w:val="24"/>
          <w:szCs w:val="24"/>
          <w:lang w:val="en-US"/>
        </w:rPr>
      </w:pPr>
      <w:r w:rsidRPr="002F5147">
        <w:rPr>
          <w:sz w:val="24"/>
          <w:szCs w:val="24"/>
          <w:lang w:val="en-US"/>
        </w:rPr>
        <w:t>Ostlandring 13</w:t>
      </w:r>
    </w:p>
    <w:p w14:paraId="073E3FC8" w14:textId="77777777" w:rsidR="00EA7117" w:rsidRPr="00EA7117" w:rsidRDefault="00EA7117" w:rsidP="00EA7117">
      <w:pPr>
        <w:tabs>
          <w:tab w:val="left" w:pos="851"/>
        </w:tabs>
        <w:ind w:left="851"/>
        <w:rPr>
          <w:sz w:val="24"/>
          <w:szCs w:val="24"/>
          <w:lang w:val="en-US"/>
        </w:rPr>
      </w:pPr>
      <w:r w:rsidRPr="00EA7117">
        <w:rPr>
          <w:sz w:val="24"/>
          <w:szCs w:val="24"/>
          <w:lang w:val="en-US"/>
        </w:rPr>
        <w:t>31303 Burgdorf, Lower Saxony</w:t>
      </w:r>
    </w:p>
    <w:p w14:paraId="7A219952" w14:textId="77777777" w:rsidR="00EA7117" w:rsidRPr="00EA7117" w:rsidRDefault="00EA7117" w:rsidP="00EA7117">
      <w:pPr>
        <w:tabs>
          <w:tab w:val="left" w:pos="851"/>
        </w:tabs>
        <w:ind w:left="851"/>
        <w:rPr>
          <w:sz w:val="24"/>
          <w:szCs w:val="24"/>
          <w:lang w:val="en-US"/>
        </w:rPr>
      </w:pPr>
      <w:r w:rsidRPr="00EA7117">
        <w:rPr>
          <w:sz w:val="24"/>
          <w:szCs w:val="24"/>
          <w:lang w:val="en-US"/>
        </w:rPr>
        <w:t>Germany</w:t>
      </w:r>
    </w:p>
    <w:p w14:paraId="2B329299" w14:textId="77777777" w:rsidR="008203A8" w:rsidRPr="00E43E02" w:rsidRDefault="008203A8" w:rsidP="008203A8">
      <w:pPr>
        <w:tabs>
          <w:tab w:val="left" w:pos="851"/>
        </w:tabs>
        <w:ind w:left="851"/>
        <w:rPr>
          <w:sz w:val="24"/>
          <w:szCs w:val="24"/>
          <w:lang w:val="en-US"/>
        </w:rPr>
      </w:pPr>
    </w:p>
    <w:p w14:paraId="4E2ED28B" w14:textId="77777777" w:rsidR="008203A8" w:rsidRPr="00E43E02" w:rsidRDefault="008203A8" w:rsidP="008203A8">
      <w:pPr>
        <w:tabs>
          <w:tab w:val="left" w:pos="851"/>
        </w:tabs>
        <w:ind w:left="851"/>
        <w:rPr>
          <w:b/>
          <w:sz w:val="24"/>
          <w:szCs w:val="24"/>
          <w:lang w:val="en-US"/>
        </w:rPr>
      </w:pPr>
      <w:r w:rsidRPr="00E43E02">
        <w:rPr>
          <w:b/>
          <w:sz w:val="24"/>
          <w:szCs w:val="24"/>
          <w:lang w:val="en-US"/>
        </w:rPr>
        <w:t>Repræsentant</w:t>
      </w:r>
    </w:p>
    <w:p w14:paraId="578155BB" w14:textId="7707B946" w:rsidR="00E43E02" w:rsidRPr="00E43E02" w:rsidRDefault="00E43E02" w:rsidP="00E43E02">
      <w:pPr>
        <w:tabs>
          <w:tab w:val="left" w:pos="851"/>
        </w:tabs>
        <w:ind w:left="851"/>
        <w:rPr>
          <w:sz w:val="24"/>
          <w:szCs w:val="24"/>
          <w:lang w:val="en-GB"/>
        </w:rPr>
      </w:pPr>
      <w:r w:rsidRPr="00E43E02">
        <w:rPr>
          <w:sz w:val="24"/>
          <w:szCs w:val="24"/>
          <w:lang w:val="en-GB"/>
        </w:rPr>
        <w:t>ScanVet Animal Health A/S</w:t>
      </w:r>
    </w:p>
    <w:p w14:paraId="17C2D8D4" w14:textId="7E5BAD29" w:rsidR="00E43E02" w:rsidRPr="00E43E02" w:rsidRDefault="00E43E02" w:rsidP="00E43E02">
      <w:pPr>
        <w:tabs>
          <w:tab w:val="left" w:pos="851"/>
        </w:tabs>
        <w:ind w:left="851"/>
        <w:rPr>
          <w:sz w:val="24"/>
          <w:szCs w:val="24"/>
        </w:rPr>
      </w:pPr>
      <w:r w:rsidRPr="00E43E02">
        <w:rPr>
          <w:sz w:val="24"/>
          <w:szCs w:val="24"/>
        </w:rPr>
        <w:t>Kongevejen 66</w:t>
      </w:r>
    </w:p>
    <w:p w14:paraId="2904F417" w14:textId="77777777" w:rsidR="00E43E02" w:rsidRPr="00E43E02" w:rsidRDefault="00E43E02" w:rsidP="00E43E02">
      <w:pPr>
        <w:tabs>
          <w:tab w:val="left" w:pos="851"/>
        </w:tabs>
        <w:ind w:left="851"/>
        <w:rPr>
          <w:sz w:val="24"/>
          <w:szCs w:val="24"/>
        </w:rPr>
      </w:pPr>
      <w:r w:rsidRPr="00E43E02">
        <w:rPr>
          <w:sz w:val="24"/>
          <w:szCs w:val="24"/>
        </w:rPr>
        <w:t>3480 Fredensborg</w:t>
      </w:r>
    </w:p>
    <w:p w14:paraId="1AE7EB09" w14:textId="77777777" w:rsidR="008203A8" w:rsidRPr="00406EE7" w:rsidRDefault="008203A8" w:rsidP="008203A8">
      <w:pPr>
        <w:tabs>
          <w:tab w:val="left" w:pos="851"/>
        </w:tabs>
        <w:ind w:left="851"/>
        <w:rPr>
          <w:sz w:val="24"/>
          <w:szCs w:val="24"/>
        </w:rPr>
      </w:pPr>
    </w:p>
    <w:p w14:paraId="4E3065C0"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31BC5A68" w14:textId="293F20F8" w:rsidR="008203A8" w:rsidRPr="00406EE7" w:rsidRDefault="00DB6BBE" w:rsidP="008203A8">
      <w:pPr>
        <w:tabs>
          <w:tab w:val="left" w:pos="851"/>
        </w:tabs>
        <w:ind w:left="851"/>
        <w:rPr>
          <w:sz w:val="24"/>
          <w:szCs w:val="24"/>
        </w:rPr>
      </w:pPr>
      <w:r>
        <w:rPr>
          <w:sz w:val="24"/>
          <w:szCs w:val="24"/>
        </w:rPr>
        <w:t>67613</w:t>
      </w:r>
    </w:p>
    <w:p w14:paraId="21E51196" w14:textId="77777777" w:rsidR="008203A8" w:rsidRPr="00406EE7" w:rsidRDefault="008203A8" w:rsidP="008203A8">
      <w:pPr>
        <w:tabs>
          <w:tab w:val="left" w:pos="851"/>
        </w:tabs>
        <w:ind w:left="851"/>
        <w:rPr>
          <w:sz w:val="24"/>
          <w:szCs w:val="24"/>
        </w:rPr>
      </w:pPr>
    </w:p>
    <w:p w14:paraId="6BE07E1B"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1E52D11D" w14:textId="725850A4" w:rsidR="008203A8" w:rsidRPr="00406EE7" w:rsidRDefault="00723EA6" w:rsidP="008203A8">
      <w:pPr>
        <w:tabs>
          <w:tab w:val="left" w:pos="851"/>
        </w:tabs>
        <w:ind w:left="851"/>
        <w:rPr>
          <w:sz w:val="24"/>
          <w:szCs w:val="24"/>
        </w:rPr>
      </w:pPr>
      <w:r>
        <w:rPr>
          <w:sz w:val="24"/>
          <w:szCs w:val="24"/>
        </w:rPr>
        <w:t>26. juni 2023</w:t>
      </w:r>
    </w:p>
    <w:p w14:paraId="6A2D1063" w14:textId="77777777" w:rsidR="008203A8" w:rsidRPr="00406EE7" w:rsidRDefault="008203A8" w:rsidP="008203A8">
      <w:pPr>
        <w:tabs>
          <w:tab w:val="left" w:pos="851"/>
        </w:tabs>
        <w:ind w:left="851"/>
        <w:rPr>
          <w:sz w:val="24"/>
          <w:szCs w:val="24"/>
        </w:rPr>
      </w:pPr>
    </w:p>
    <w:p w14:paraId="5DDA9169"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2509551E" w14:textId="4DC57E20" w:rsidR="008203A8" w:rsidRPr="00406EE7" w:rsidRDefault="00DB6BBE" w:rsidP="008203A8">
      <w:pPr>
        <w:tabs>
          <w:tab w:val="left" w:pos="851"/>
        </w:tabs>
        <w:ind w:left="851"/>
        <w:rPr>
          <w:sz w:val="24"/>
          <w:szCs w:val="24"/>
        </w:rPr>
      </w:pPr>
      <w:r>
        <w:rPr>
          <w:sz w:val="24"/>
          <w:szCs w:val="24"/>
        </w:rPr>
        <w:t>-</w:t>
      </w:r>
    </w:p>
    <w:p w14:paraId="72132FEB" w14:textId="77777777" w:rsidR="008203A8" w:rsidRPr="00406EE7" w:rsidRDefault="008203A8" w:rsidP="008203A8">
      <w:pPr>
        <w:tabs>
          <w:tab w:val="left" w:pos="851"/>
        </w:tabs>
        <w:ind w:left="851"/>
        <w:rPr>
          <w:sz w:val="24"/>
          <w:szCs w:val="24"/>
        </w:rPr>
      </w:pPr>
    </w:p>
    <w:p w14:paraId="65224A46"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56756D88" w14:textId="2BDCE36B" w:rsidR="00865DC5" w:rsidRDefault="00865DC5" w:rsidP="00F85BA8">
      <w:pPr>
        <w:ind w:left="851" w:right="-318"/>
      </w:pPr>
      <w:r>
        <w:t>B</w:t>
      </w:r>
    </w:p>
    <w:p w14:paraId="540D4F98" w14:textId="77777777" w:rsidR="00F85BA8" w:rsidRDefault="00F85BA8" w:rsidP="00F85BA8">
      <w:pPr>
        <w:ind w:left="851" w:right="-318"/>
        <w:rPr>
          <w:sz w:val="22"/>
          <w:szCs w:val="22"/>
        </w:rPr>
      </w:pPr>
    </w:p>
    <w:p w14:paraId="71F7DDAF" w14:textId="05338389" w:rsidR="00865DC5" w:rsidRDefault="00865DC5" w:rsidP="00F85BA8">
      <w:pPr>
        <w:ind w:left="851" w:right="-318"/>
        <w:rPr>
          <w:iCs/>
          <w:szCs w:val="22"/>
        </w:rPr>
      </w:pPr>
      <w:bookmarkStart w:id="18" w:name="_Hlk73467306"/>
      <w:r>
        <w:t>Der findes detaljerede oplysninger om dette veterinærlægemiddel i EU-lægemiddeldatabasen</w:t>
      </w:r>
      <w:r w:rsidR="00F85BA8">
        <w:t>.</w:t>
      </w:r>
    </w:p>
    <w:bookmarkEnd w:id="18"/>
    <w:p w14:paraId="5865D999" w14:textId="243D000E" w:rsidR="0003527F" w:rsidRPr="008203A8" w:rsidRDefault="0003527F" w:rsidP="00723EA6">
      <w:pPr>
        <w:pStyle w:val="Kommentartekst"/>
        <w:tabs>
          <w:tab w:val="left" w:pos="5103"/>
        </w:tabs>
      </w:pPr>
    </w:p>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B9F87" w14:textId="77777777" w:rsidR="00D7263B" w:rsidRDefault="00D7263B">
      <w:r>
        <w:separator/>
      </w:r>
    </w:p>
  </w:endnote>
  <w:endnote w:type="continuationSeparator" w:id="0">
    <w:p w14:paraId="1C32D213" w14:textId="77777777" w:rsidR="00D7263B" w:rsidRDefault="00D7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B45D" w14:textId="77777777" w:rsidR="004A62CC" w:rsidRDefault="004A62CC">
    <w:pPr>
      <w:pStyle w:val="Sidefod"/>
      <w:pBdr>
        <w:bottom w:val="single" w:sz="6" w:space="1" w:color="auto"/>
      </w:pBdr>
      <w:tabs>
        <w:tab w:val="clear" w:pos="4819"/>
        <w:tab w:val="left" w:pos="8647"/>
      </w:tabs>
      <w:rPr>
        <w:i/>
        <w:snapToGrid w:val="0"/>
        <w:sz w:val="18"/>
      </w:rPr>
    </w:pPr>
  </w:p>
  <w:p w14:paraId="34D01AD1" w14:textId="77777777" w:rsidR="004A62CC" w:rsidRDefault="004A62CC">
    <w:pPr>
      <w:pStyle w:val="Sidefod"/>
      <w:tabs>
        <w:tab w:val="clear" w:pos="4819"/>
        <w:tab w:val="left" w:pos="8647"/>
      </w:tabs>
      <w:rPr>
        <w:i/>
        <w:snapToGrid w:val="0"/>
        <w:sz w:val="18"/>
      </w:rPr>
    </w:pPr>
  </w:p>
  <w:p w14:paraId="2EA1A542" w14:textId="5AA05B6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A52D9">
      <w:rPr>
        <w:i/>
        <w:noProof/>
        <w:snapToGrid w:val="0"/>
        <w:sz w:val="18"/>
      </w:rPr>
      <w:t>Soluclin vet, oral opløsning 25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4189D" w14:textId="77777777" w:rsidR="004A62CC" w:rsidRDefault="004A62CC">
    <w:pPr>
      <w:pStyle w:val="Sidefod"/>
      <w:pBdr>
        <w:bottom w:val="single" w:sz="6" w:space="1" w:color="auto"/>
      </w:pBdr>
      <w:tabs>
        <w:tab w:val="clear" w:pos="4819"/>
        <w:tab w:val="left" w:pos="8647"/>
      </w:tabs>
      <w:rPr>
        <w:i/>
        <w:snapToGrid w:val="0"/>
        <w:sz w:val="18"/>
      </w:rPr>
    </w:pPr>
  </w:p>
  <w:p w14:paraId="0001161B" w14:textId="77777777" w:rsidR="004A62CC" w:rsidRDefault="004A62CC">
    <w:pPr>
      <w:pStyle w:val="Sidefod"/>
      <w:tabs>
        <w:tab w:val="clear" w:pos="4819"/>
        <w:tab w:val="left" w:pos="8647"/>
      </w:tabs>
      <w:rPr>
        <w:i/>
        <w:snapToGrid w:val="0"/>
        <w:sz w:val="18"/>
      </w:rPr>
    </w:pPr>
  </w:p>
  <w:p w14:paraId="44B9BFD5" w14:textId="2D2651D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A52D9">
      <w:rPr>
        <w:i/>
        <w:noProof/>
        <w:snapToGrid w:val="0"/>
        <w:sz w:val="18"/>
      </w:rPr>
      <w:t>Soluclin vet, oral opløsning 25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5DB51" w14:textId="77777777" w:rsidR="00D7263B" w:rsidRDefault="00D7263B">
      <w:r>
        <w:separator/>
      </w:r>
    </w:p>
  </w:footnote>
  <w:footnote w:type="continuationSeparator" w:id="0">
    <w:p w14:paraId="70F305CD" w14:textId="77777777" w:rsidR="00D7263B" w:rsidRDefault="00D72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ED9BF"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7CD4"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91FA5"/>
    <w:multiLevelType w:val="hybridMultilevel"/>
    <w:tmpl w:val="FD8C9D4C"/>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F0B009F"/>
    <w:multiLevelType w:val="hybridMultilevel"/>
    <w:tmpl w:val="099E48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9F15B5B"/>
    <w:multiLevelType w:val="hybridMultilevel"/>
    <w:tmpl w:val="83561E64"/>
    <w:lvl w:ilvl="0" w:tplc="FFFFFFFF">
      <w:start w:val="1"/>
      <w:numFmt w:val="bullet"/>
      <w:lvlText w:val=""/>
      <w:lvlJc w:val="left"/>
      <w:pPr>
        <w:ind w:left="0" w:firstLine="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3B"/>
    <w:rsid w:val="000241E8"/>
    <w:rsid w:val="0003527F"/>
    <w:rsid w:val="0004390D"/>
    <w:rsid w:val="0005355A"/>
    <w:rsid w:val="00065C7D"/>
    <w:rsid w:val="00092AFF"/>
    <w:rsid w:val="000B102C"/>
    <w:rsid w:val="000C6CD4"/>
    <w:rsid w:val="00113E46"/>
    <w:rsid w:val="001176F1"/>
    <w:rsid w:val="00131D7A"/>
    <w:rsid w:val="001577E4"/>
    <w:rsid w:val="001623D2"/>
    <w:rsid w:val="00162A88"/>
    <w:rsid w:val="00173F52"/>
    <w:rsid w:val="0018534D"/>
    <w:rsid w:val="001858CA"/>
    <w:rsid w:val="001869DB"/>
    <w:rsid w:val="001903E6"/>
    <w:rsid w:val="001C4AEF"/>
    <w:rsid w:val="001D3CC5"/>
    <w:rsid w:val="001E386C"/>
    <w:rsid w:val="00202A14"/>
    <w:rsid w:val="00207C0E"/>
    <w:rsid w:val="00221CA4"/>
    <w:rsid w:val="002667CD"/>
    <w:rsid w:val="002C3E74"/>
    <w:rsid w:val="002E304C"/>
    <w:rsid w:val="002E7439"/>
    <w:rsid w:val="002F3591"/>
    <w:rsid w:val="002F5147"/>
    <w:rsid w:val="00301DC3"/>
    <w:rsid w:val="00322BDE"/>
    <w:rsid w:val="00340679"/>
    <w:rsid w:val="00371CA6"/>
    <w:rsid w:val="003E4B6F"/>
    <w:rsid w:val="00406EE7"/>
    <w:rsid w:val="00407013"/>
    <w:rsid w:val="00412537"/>
    <w:rsid w:val="00415D7C"/>
    <w:rsid w:val="00417225"/>
    <w:rsid w:val="00451FEF"/>
    <w:rsid w:val="0046702D"/>
    <w:rsid w:val="004752AC"/>
    <w:rsid w:val="00477F09"/>
    <w:rsid w:val="004A62CC"/>
    <w:rsid w:val="004C733C"/>
    <w:rsid w:val="00514C36"/>
    <w:rsid w:val="005517D5"/>
    <w:rsid w:val="00565A74"/>
    <w:rsid w:val="005B0036"/>
    <w:rsid w:val="005D1DAA"/>
    <w:rsid w:val="005E336B"/>
    <w:rsid w:val="005F5831"/>
    <w:rsid w:val="005F75A0"/>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05C5E"/>
    <w:rsid w:val="0071651B"/>
    <w:rsid w:val="00723EA6"/>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46615"/>
    <w:rsid w:val="008509BB"/>
    <w:rsid w:val="00851D7F"/>
    <w:rsid w:val="00865DC5"/>
    <w:rsid w:val="008803C5"/>
    <w:rsid w:val="008A52D9"/>
    <w:rsid w:val="008D13F9"/>
    <w:rsid w:val="008E4866"/>
    <w:rsid w:val="009202AE"/>
    <w:rsid w:val="00942FB8"/>
    <w:rsid w:val="00960F5F"/>
    <w:rsid w:val="00967486"/>
    <w:rsid w:val="009D1467"/>
    <w:rsid w:val="009D66C6"/>
    <w:rsid w:val="009E300C"/>
    <w:rsid w:val="009E5184"/>
    <w:rsid w:val="009F1F5E"/>
    <w:rsid w:val="00A31E52"/>
    <w:rsid w:val="00A466FF"/>
    <w:rsid w:val="00A74A8A"/>
    <w:rsid w:val="00A85606"/>
    <w:rsid w:val="00A86C63"/>
    <w:rsid w:val="00A957A6"/>
    <w:rsid w:val="00A96525"/>
    <w:rsid w:val="00AA0D25"/>
    <w:rsid w:val="00AB5F74"/>
    <w:rsid w:val="00AC012D"/>
    <w:rsid w:val="00AD4D77"/>
    <w:rsid w:val="00AE29E5"/>
    <w:rsid w:val="00AE5757"/>
    <w:rsid w:val="00B25EB8"/>
    <w:rsid w:val="00B708BE"/>
    <w:rsid w:val="00B764E3"/>
    <w:rsid w:val="00B85456"/>
    <w:rsid w:val="00B87267"/>
    <w:rsid w:val="00B93A25"/>
    <w:rsid w:val="00BC634B"/>
    <w:rsid w:val="00BF2AE0"/>
    <w:rsid w:val="00BF4380"/>
    <w:rsid w:val="00C32DDB"/>
    <w:rsid w:val="00C41394"/>
    <w:rsid w:val="00C479BF"/>
    <w:rsid w:val="00C66C59"/>
    <w:rsid w:val="00C838AB"/>
    <w:rsid w:val="00C83AA2"/>
    <w:rsid w:val="00CE3A44"/>
    <w:rsid w:val="00CE3F86"/>
    <w:rsid w:val="00CF75B4"/>
    <w:rsid w:val="00D10EE1"/>
    <w:rsid w:val="00D14DBC"/>
    <w:rsid w:val="00D7263B"/>
    <w:rsid w:val="00D87E2B"/>
    <w:rsid w:val="00D910BA"/>
    <w:rsid w:val="00D96D04"/>
    <w:rsid w:val="00DB4AAE"/>
    <w:rsid w:val="00DB6BBE"/>
    <w:rsid w:val="00DC7AFA"/>
    <w:rsid w:val="00DD6D71"/>
    <w:rsid w:val="00DF32BE"/>
    <w:rsid w:val="00E14F0A"/>
    <w:rsid w:val="00E321D6"/>
    <w:rsid w:val="00E323FB"/>
    <w:rsid w:val="00E43E02"/>
    <w:rsid w:val="00E61E78"/>
    <w:rsid w:val="00E84DC6"/>
    <w:rsid w:val="00EA7117"/>
    <w:rsid w:val="00EB5778"/>
    <w:rsid w:val="00EE14EA"/>
    <w:rsid w:val="00EE5253"/>
    <w:rsid w:val="00EF3C59"/>
    <w:rsid w:val="00F36781"/>
    <w:rsid w:val="00F41E3A"/>
    <w:rsid w:val="00F60B72"/>
    <w:rsid w:val="00F85BA8"/>
    <w:rsid w:val="00FA2112"/>
    <w:rsid w:val="00FA3E7E"/>
    <w:rsid w:val="00FA66E4"/>
    <w:rsid w:val="00FD6433"/>
    <w:rsid w:val="00FF6B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BFCE3"/>
  <w15:chartTrackingRefBased/>
  <w15:docId w15:val="{5EEA2D10-BBC1-41AC-93E3-63017205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810">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274778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8185347">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1117238">
      <w:bodyDiv w:val="1"/>
      <w:marLeft w:val="0"/>
      <w:marRight w:val="0"/>
      <w:marTop w:val="0"/>
      <w:marBottom w:val="0"/>
      <w:divBdr>
        <w:top w:val="none" w:sz="0" w:space="0" w:color="auto"/>
        <w:left w:val="none" w:sz="0" w:space="0" w:color="auto"/>
        <w:bottom w:val="none" w:sz="0" w:space="0" w:color="auto"/>
        <w:right w:val="none" w:sz="0" w:space="0" w:color="auto"/>
      </w:divBdr>
    </w:div>
    <w:div w:id="281226165">
      <w:bodyDiv w:val="1"/>
      <w:marLeft w:val="0"/>
      <w:marRight w:val="0"/>
      <w:marTop w:val="0"/>
      <w:marBottom w:val="0"/>
      <w:divBdr>
        <w:top w:val="none" w:sz="0" w:space="0" w:color="auto"/>
        <w:left w:val="none" w:sz="0" w:space="0" w:color="auto"/>
        <w:bottom w:val="none" w:sz="0" w:space="0" w:color="auto"/>
        <w:right w:val="none" w:sz="0" w:space="0" w:color="auto"/>
      </w:divBdr>
    </w:div>
    <w:div w:id="283461385">
      <w:bodyDiv w:val="1"/>
      <w:marLeft w:val="0"/>
      <w:marRight w:val="0"/>
      <w:marTop w:val="0"/>
      <w:marBottom w:val="0"/>
      <w:divBdr>
        <w:top w:val="none" w:sz="0" w:space="0" w:color="auto"/>
        <w:left w:val="none" w:sz="0" w:space="0" w:color="auto"/>
        <w:bottom w:val="none" w:sz="0" w:space="0" w:color="auto"/>
        <w:right w:val="none" w:sz="0" w:space="0" w:color="auto"/>
      </w:divBdr>
    </w:div>
    <w:div w:id="311955469">
      <w:bodyDiv w:val="1"/>
      <w:marLeft w:val="0"/>
      <w:marRight w:val="0"/>
      <w:marTop w:val="0"/>
      <w:marBottom w:val="0"/>
      <w:divBdr>
        <w:top w:val="none" w:sz="0" w:space="0" w:color="auto"/>
        <w:left w:val="none" w:sz="0" w:space="0" w:color="auto"/>
        <w:bottom w:val="none" w:sz="0" w:space="0" w:color="auto"/>
        <w:right w:val="none" w:sz="0" w:space="0" w:color="auto"/>
      </w:divBdr>
    </w:div>
    <w:div w:id="363097136">
      <w:bodyDiv w:val="1"/>
      <w:marLeft w:val="0"/>
      <w:marRight w:val="0"/>
      <w:marTop w:val="0"/>
      <w:marBottom w:val="0"/>
      <w:divBdr>
        <w:top w:val="none" w:sz="0" w:space="0" w:color="auto"/>
        <w:left w:val="none" w:sz="0" w:space="0" w:color="auto"/>
        <w:bottom w:val="none" w:sz="0" w:space="0" w:color="auto"/>
        <w:right w:val="none" w:sz="0" w:space="0" w:color="auto"/>
      </w:divBdr>
    </w:div>
    <w:div w:id="388767150">
      <w:bodyDiv w:val="1"/>
      <w:marLeft w:val="0"/>
      <w:marRight w:val="0"/>
      <w:marTop w:val="0"/>
      <w:marBottom w:val="0"/>
      <w:divBdr>
        <w:top w:val="none" w:sz="0" w:space="0" w:color="auto"/>
        <w:left w:val="none" w:sz="0" w:space="0" w:color="auto"/>
        <w:bottom w:val="none" w:sz="0" w:space="0" w:color="auto"/>
        <w:right w:val="none" w:sz="0" w:space="0" w:color="auto"/>
      </w:divBdr>
    </w:div>
    <w:div w:id="40006244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0857053">
      <w:bodyDiv w:val="1"/>
      <w:marLeft w:val="0"/>
      <w:marRight w:val="0"/>
      <w:marTop w:val="0"/>
      <w:marBottom w:val="0"/>
      <w:divBdr>
        <w:top w:val="none" w:sz="0" w:space="0" w:color="auto"/>
        <w:left w:val="none" w:sz="0" w:space="0" w:color="auto"/>
        <w:bottom w:val="none" w:sz="0" w:space="0" w:color="auto"/>
        <w:right w:val="none" w:sz="0" w:space="0" w:color="auto"/>
      </w:divBdr>
    </w:div>
    <w:div w:id="526218326">
      <w:bodyDiv w:val="1"/>
      <w:marLeft w:val="0"/>
      <w:marRight w:val="0"/>
      <w:marTop w:val="0"/>
      <w:marBottom w:val="0"/>
      <w:divBdr>
        <w:top w:val="none" w:sz="0" w:space="0" w:color="auto"/>
        <w:left w:val="none" w:sz="0" w:space="0" w:color="auto"/>
        <w:bottom w:val="none" w:sz="0" w:space="0" w:color="auto"/>
        <w:right w:val="none" w:sz="0" w:space="0" w:color="auto"/>
      </w:divBdr>
    </w:div>
    <w:div w:id="560287051">
      <w:bodyDiv w:val="1"/>
      <w:marLeft w:val="0"/>
      <w:marRight w:val="0"/>
      <w:marTop w:val="0"/>
      <w:marBottom w:val="0"/>
      <w:divBdr>
        <w:top w:val="none" w:sz="0" w:space="0" w:color="auto"/>
        <w:left w:val="none" w:sz="0" w:space="0" w:color="auto"/>
        <w:bottom w:val="none" w:sz="0" w:space="0" w:color="auto"/>
        <w:right w:val="none" w:sz="0" w:space="0" w:color="auto"/>
      </w:divBdr>
    </w:div>
    <w:div w:id="587740602">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46976366">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07414239">
      <w:bodyDiv w:val="1"/>
      <w:marLeft w:val="0"/>
      <w:marRight w:val="0"/>
      <w:marTop w:val="0"/>
      <w:marBottom w:val="0"/>
      <w:divBdr>
        <w:top w:val="none" w:sz="0" w:space="0" w:color="auto"/>
        <w:left w:val="none" w:sz="0" w:space="0" w:color="auto"/>
        <w:bottom w:val="none" w:sz="0" w:space="0" w:color="auto"/>
        <w:right w:val="none" w:sz="0" w:space="0" w:color="auto"/>
      </w:divBdr>
    </w:div>
    <w:div w:id="806052814">
      <w:bodyDiv w:val="1"/>
      <w:marLeft w:val="0"/>
      <w:marRight w:val="0"/>
      <w:marTop w:val="0"/>
      <w:marBottom w:val="0"/>
      <w:divBdr>
        <w:top w:val="none" w:sz="0" w:space="0" w:color="auto"/>
        <w:left w:val="none" w:sz="0" w:space="0" w:color="auto"/>
        <w:bottom w:val="none" w:sz="0" w:space="0" w:color="auto"/>
        <w:right w:val="none" w:sz="0" w:space="0" w:color="auto"/>
      </w:divBdr>
    </w:div>
    <w:div w:id="809245719">
      <w:bodyDiv w:val="1"/>
      <w:marLeft w:val="0"/>
      <w:marRight w:val="0"/>
      <w:marTop w:val="0"/>
      <w:marBottom w:val="0"/>
      <w:divBdr>
        <w:top w:val="none" w:sz="0" w:space="0" w:color="auto"/>
        <w:left w:val="none" w:sz="0" w:space="0" w:color="auto"/>
        <w:bottom w:val="none" w:sz="0" w:space="0" w:color="auto"/>
        <w:right w:val="none" w:sz="0" w:space="0" w:color="auto"/>
      </w:divBdr>
    </w:div>
    <w:div w:id="843085743">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35165407">
      <w:bodyDiv w:val="1"/>
      <w:marLeft w:val="0"/>
      <w:marRight w:val="0"/>
      <w:marTop w:val="0"/>
      <w:marBottom w:val="0"/>
      <w:divBdr>
        <w:top w:val="none" w:sz="0" w:space="0" w:color="auto"/>
        <w:left w:val="none" w:sz="0" w:space="0" w:color="auto"/>
        <w:bottom w:val="none" w:sz="0" w:space="0" w:color="auto"/>
        <w:right w:val="none" w:sz="0" w:space="0" w:color="auto"/>
      </w:divBdr>
    </w:div>
    <w:div w:id="950481160">
      <w:bodyDiv w:val="1"/>
      <w:marLeft w:val="0"/>
      <w:marRight w:val="0"/>
      <w:marTop w:val="0"/>
      <w:marBottom w:val="0"/>
      <w:divBdr>
        <w:top w:val="none" w:sz="0" w:space="0" w:color="auto"/>
        <w:left w:val="none" w:sz="0" w:space="0" w:color="auto"/>
        <w:bottom w:val="none" w:sz="0" w:space="0" w:color="auto"/>
        <w:right w:val="none" w:sz="0" w:space="0" w:color="auto"/>
      </w:divBdr>
    </w:div>
    <w:div w:id="1028988595">
      <w:bodyDiv w:val="1"/>
      <w:marLeft w:val="0"/>
      <w:marRight w:val="0"/>
      <w:marTop w:val="0"/>
      <w:marBottom w:val="0"/>
      <w:divBdr>
        <w:top w:val="none" w:sz="0" w:space="0" w:color="auto"/>
        <w:left w:val="none" w:sz="0" w:space="0" w:color="auto"/>
        <w:bottom w:val="none" w:sz="0" w:space="0" w:color="auto"/>
        <w:right w:val="none" w:sz="0" w:space="0" w:color="auto"/>
      </w:divBdr>
    </w:div>
    <w:div w:id="1076321500">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76114307">
      <w:bodyDiv w:val="1"/>
      <w:marLeft w:val="0"/>
      <w:marRight w:val="0"/>
      <w:marTop w:val="0"/>
      <w:marBottom w:val="0"/>
      <w:divBdr>
        <w:top w:val="none" w:sz="0" w:space="0" w:color="auto"/>
        <w:left w:val="none" w:sz="0" w:space="0" w:color="auto"/>
        <w:bottom w:val="none" w:sz="0" w:space="0" w:color="auto"/>
        <w:right w:val="none" w:sz="0" w:space="0" w:color="auto"/>
      </w:divBdr>
    </w:div>
    <w:div w:id="1176529431">
      <w:bodyDiv w:val="1"/>
      <w:marLeft w:val="0"/>
      <w:marRight w:val="0"/>
      <w:marTop w:val="0"/>
      <w:marBottom w:val="0"/>
      <w:divBdr>
        <w:top w:val="none" w:sz="0" w:space="0" w:color="auto"/>
        <w:left w:val="none" w:sz="0" w:space="0" w:color="auto"/>
        <w:bottom w:val="none" w:sz="0" w:space="0" w:color="auto"/>
        <w:right w:val="none" w:sz="0" w:space="0" w:color="auto"/>
      </w:divBdr>
    </w:div>
    <w:div w:id="1178812589">
      <w:bodyDiv w:val="1"/>
      <w:marLeft w:val="0"/>
      <w:marRight w:val="0"/>
      <w:marTop w:val="0"/>
      <w:marBottom w:val="0"/>
      <w:divBdr>
        <w:top w:val="none" w:sz="0" w:space="0" w:color="auto"/>
        <w:left w:val="none" w:sz="0" w:space="0" w:color="auto"/>
        <w:bottom w:val="none" w:sz="0" w:space="0" w:color="auto"/>
        <w:right w:val="none" w:sz="0" w:space="0" w:color="auto"/>
      </w:divBdr>
    </w:div>
    <w:div w:id="1221096580">
      <w:bodyDiv w:val="1"/>
      <w:marLeft w:val="0"/>
      <w:marRight w:val="0"/>
      <w:marTop w:val="0"/>
      <w:marBottom w:val="0"/>
      <w:divBdr>
        <w:top w:val="none" w:sz="0" w:space="0" w:color="auto"/>
        <w:left w:val="none" w:sz="0" w:space="0" w:color="auto"/>
        <w:bottom w:val="none" w:sz="0" w:space="0" w:color="auto"/>
        <w:right w:val="none" w:sz="0" w:space="0" w:color="auto"/>
      </w:divBdr>
    </w:div>
    <w:div w:id="1253704195">
      <w:bodyDiv w:val="1"/>
      <w:marLeft w:val="0"/>
      <w:marRight w:val="0"/>
      <w:marTop w:val="0"/>
      <w:marBottom w:val="0"/>
      <w:divBdr>
        <w:top w:val="none" w:sz="0" w:space="0" w:color="auto"/>
        <w:left w:val="none" w:sz="0" w:space="0" w:color="auto"/>
        <w:bottom w:val="none" w:sz="0" w:space="0" w:color="auto"/>
        <w:right w:val="none" w:sz="0" w:space="0" w:color="auto"/>
      </w:divBdr>
    </w:div>
    <w:div w:id="1260061053">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32431172">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64371661">
      <w:bodyDiv w:val="1"/>
      <w:marLeft w:val="0"/>
      <w:marRight w:val="0"/>
      <w:marTop w:val="0"/>
      <w:marBottom w:val="0"/>
      <w:divBdr>
        <w:top w:val="none" w:sz="0" w:space="0" w:color="auto"/>
        <w:left w:val="none" w:sz="0" w:space="0" w:color="auto"/>
        <w:bottom w:val="none" w:sz="0" w:space="0" w:color="auto"/>
        <w:right w:val="none" w:sz="0" w:space="0" w:color="auto"/>
      </w:divBdr>
    </w:div>
    <w:div w:id="1565944884">
      <w:bodyDiv w:val="1"/>
      <w:marLeft w:val="0"/>
      <w:marRight w:val="0"/>
      <w:marTop w:val="0"/>
      <w:marBottom w:val="0"/>
      <w:divBdr>
        <w:top w:val="none" w:sz="0" w:space="0" w:color="auto"/>
        <w:left w:val="none" w:sz="0" w:space="0" w:color="auto"/>
        <w:bottom w:val="none" w:sz="0" w:space="0" w:color="auto"/>
        <w:right w:val="none" w:sz="0" w:space="0" w:color="auto"/>
      </w:divBdr>
    </w:div>
    <w:div w:id="1600483542">
      <w:bodyDiv w:val="1"/>
      <w:marLeft w:val="0"/>
      <w:marRight w:val="0"/>
      <w:marTop w:val="0"/>
      <w:marBottom w:val="0"/>
      <w:divBdr>
        <w:top w:val="none" w:sz="0" w:space="0" w:color="auto"/>
        <w:left w:val="none" w:sz="0" w:space="0" w:color="auto"/>
        <w:bottom w:val="none" w:sz="0" w:space="0" w:color="auto"/>
        <w:right w:val="none" w:sz="0" w:space="0" w:color="auto"/>
      </w:divBdr>
    </w:div>
    <w:div w:id="1632202866">
      <w:bodyDiv w:val="1"/>
      <w:marLeft w:val="0"/>
      <w:marRight w:val="0"/>
      <w:marTop w:val="0"/>
      <w:marBottom w:val="0"/>
      <w:divBdr>
        <w:top w:val="none" w:sz="0" w:space="0" w:color="auto"/>
        <w:left w:val="none" w:sz="0" w:space="0" w:color="auto"/>
        <w:bottom w:val="none" w:sz="0" w:space="0" w:color="auto"/>
        <w:right w:val="none" w:sz="0" w:space="0" w:color="auto"/>
      </w:divBdr>
    </w:div>
    <w:div w:id="1708066901">
      <w:bodyDiv w:val="1"/>
      <w:marLeft w:val="0"/>
      <w:marRight w:val="0"/>
      <w:marTop w:val="0"/>
      <w:marBottom w:val="0"/>
      <w:divBdr>
        <w:top w:val="none" w:sz="0" w:space="0" w:color="auto"/>
        <w:left w:val="none" w:sz="0" w:space="0" w:color="auto"/>
        <w:bottom w:val="none" w:sz="0" w:space="0" w:color="auto"/>
        <w:right w:val="none" w:sz="0" w:space="0" w:color="auto"/>
      </w:divBdr>
    </w:div>
    <w:div w:id="1747335613">
      <w:bodyDiv w:val="1"/>
      <w:marLeft w:val="0"/>
      <w:marRight w:val="0"/>
      <w:marTop w:val="0"/>
      <w:marBottom w:val="0"/>
      <w:divBdr>
        <w:top w:val="none" w:sz="0" w:space="0" w:color="auto"/>
        <w:left w:val="none" w:sz="0" w:space="0" w:color="auto"/>
        <w:bottom w:val="none" w:sz="0" w:space="0" w:color="auto"/>
        <w:right w:val="none" w:sz="0" w:space="0" w:color="auto"/>
      </w:divBdr>
    </w:div>
    <w:div w:id="1753118806">
      <w:bodyDiv w:val="1"/>
      <w:marLeft w:val="0"/>
      <w:marRight w:val="0"/>
      <w:marTop w:val="0"/>
      <w:marBottom w:val="0"/>
      <w:divBdr>
        <w:top w:val="none" w:sz="0" w:space="0" w:color="auto"/>
        <w:left w:val="none" w:sz="0" w:space="0" w:color="auto"/>
        <w:bottom w:val="none" w:sz="0" w:space="0" w:color="auto"/>
        <w:right w:val="none" w:sz="0" w:space="0" w:color="auto"/>
      </w:divBdr>
    </w:div>
    <w:div w:id="1823083561">
      <w:bodyDiv w:val="1"/>
      <w:marLeft w:val="0"/>
      <w:marRight w:val="0"/>
      <w:marTop w:val="0"/>
      <w:marBottom w:val="0"/>
      <w:divBdr>
        <w:top w:val="none" w:sz="0" w:space="0" w:color="auto"/>
        <w:left w:val="none" w:sz="0" w:space="0" w:color="auto"/>
        <w:bottom w:val="none" w:sz="0" w:space="0" w:color="auto"/>
        <w:right w:val="none" w:sz="0" w:space="0" w:color="auto"/>
      </w:divBdr>
    </w:div>
    <w:div w:id="1866283508">
      <w:bodyDiv w:val="1"/>
      <w:marLeft w:val="0"/>
      <w:marRight w:val="0"/>
      <w:marTop w:val="0"/>
      <w:marBottom w:val="0"/>
      <w:divBdr>
        <w:top w:val="none" w:sz="0" w:space="0" w:color="auto"/>
        <w:left w:val="none" w:sz="0" w:space="0" w:color="auto"/>
        <w:bottom w:val="none" w:sz="0" w:space="0" w:color="auto"/>
        <w:right w:val="none" w:sz="0" w:space="0" w:color="auto"/>
      </w:divBdr>
    </w:div>
    <w:div w:id="1900045710">
      <w:bodyDiv w:val="1"/>
      <w:marLeft w:val="0"/>
      <w:marRight w:val="0"/>
      <w:marTop w:val="0"/>
      <w:marBottom w:val="0"/>
      <w:divBdr>
        <w:top w:val="none" w:sz="0" w:space="0" w:color="auto"/>
        <w:left w:val="none" w:sz="0" w:space="0" w:color="auto"/>
        <w:bottom w:val="none" w:sz="0" w:space="0" w:color="auto"/>
        <w:right w:val="none" w:sz="0" w:space="0" w:color="auto"/>
      </w:divBdr>
    </w:div>
    <w:div w:id="2089377152">
      <w:bodyDiv w:val="1"/>
      <w:marLeft w:val="0"/>
      <w:marRight w:val="0"/>
      <w:marTop w:val="0"/>
      <w:marBottom w:val="0"/>
      <w:divBdr>
        <w:top w:val="none" w:sz="0" w:space="0" w:color="auto"/>
        <w:left w:val="none" w:sz="0" w:space="0" w:color="auto"/>
        <w:bottom w:val="none" w:sz="0" w:space="0" w:color="auto"/>
        <w:right w:val="none" w:sz="0" w:space="0" w:color="auto"/>
      </w:divBdr>
    </w:div>
    <w:div w:id="2090036021">
      <w:bodyDiv w:val="1"/>
      <w:marLeft w:val="0"/>
      <w:marRight w:val="0"/>
      <w:marTop w:val="0"/>
      <w:marBottom w:val="0"/>
      <w:divBdr>
        <w:top w:val="none" w:sz="0" w:space="0" w:color="auto"/>
        <w:left w:val="none" w:sz="0" w:space="0" w:color="auto"/>
        <w:bottom w:val="none" w:sz="0" w:space="0" w:color="auto"/>
        <w:right w:val="none" w:sz="0" w:space="0" w:color="auto"/>
      </w:divBdr>
    </w:div>
    <w:div w:id="209775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38</TotalTime>
  <Pages>7</Pages>
  <Words>1631</Words>
  <Characters>10965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2022034286 mt</dc:description>
  <cp:lastModifiedBy>Hanne Thy Iversen</cp:lastModifiedBy>
  <cp:revision>11</cp:revision>
  <cp:lastPrinted>2022-05-18T14:03:00Z</cp:lastPrinted>
  <dcterms:created xsi:type="dcterms:W3CDTF">2023-06-21T11:55:00Z</dcterms:created>
  <dcterms:modified xsi:type="dcterms:W3CDTF">2023-06-26T10:56:00Z</dcterms:modified>
</cp:coreProperties>
</file>