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85" w:rsidRPr="008F49E1" w:rsidRDefault="006F7C85" w:rsidP="006F7C85">
      <w:pPr>
        <w:rPr>
          <w:sz w:val="24"/>
          <w:szCs w:val="24"/>
        </w:rPr>
      </w:pPr>
      <w:r w:rsidRPr="005B0036">
        <w:rPr>
          <w:noProof/>
          <w:sz w:val="24"/>
          <w:szCs w:val="24"/>
          <w:lang w:eastAsia="da-DK"/>
        </w:rPr>
        <w:drawing>
          <wp:inline distT="0" distB="0" distL="0" distR="0" wp14:anchorId="25CC1D98" wp14:editId="22981E5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F7C85" w:rsidRPr="00406EE7" w:rsidRDefault="006F7C85" w:rsidP="006F7C85">
      <w:pPr>
        <w:tabs>
          <w:tab w:val="right" w:pos="9356"/>
        </w:tabs>
        <w:rPr>
          <w:b/>
          <w:sz w:val="24"/>
          <w:szCs w:val="24"/>
        </w:rPr>
      </w:pPr>
      <w:r>
        <w:rPr>
          <w:b/>
          <w:sz w:val="24"/>
          <w:szCs w:val="24"/>
        </w:rPr>
        <w:tab/>
      </w:r>
      <w:r w:rsidR="00084A16">
        <w:rPr>
          <w:b/>
          <w:sz w:val="24"/>
          <w:szCs w:val="24"/>
        </w:rPr>
        <w:t>15</w:t>
      </w:r>
      <w:r w:rsidR="008F1F2E">
        <w:rPr>
          <w:b/>
          <w:sz w:val="24"/>
          <w:szCs w:val="24"/>
        </w:rPr>
        <w:t xml:space="preserve">. </w:t>
      </w:r>
      <w:r w:rsidR="00084A16">
        <w:rPr>
          <w:b/>
          <w:sz w:val="24"/>
          <w:szCs w:val="24"/>
        </w:rPr>
        <w:t xml:space="preserve">juli </w:t>
      </w:r>
      <w:r w:rsidR="008F1F2E">
        <w:rPr>
          <w:b/>
          <w:sz w:val="24"/>
          <w:szCs w:val="24"/>
        </w:rPr>
        <w:t>202</w:t>
      </w:r>
      <w:r w:rsidR="00084A16">
        <w:rPr>
          <w:b/>
          <w:sz w:val="24"/>
          <w:szCs w:val="24"/>
        </w:rPr>
        <w:t>4</w:t>
      </w:r>
    </w:p>
    <w:p w:rsidR="006F7C85" w:rsidRPr="00406EE7" w:rsidRDefault="006F7C85" w:rsidP="006F7C85">
      <w:pPr>
        <w:rPr>
          <w:sz w:val="24"/>
          <w:szCs w:val="24"/>
        </w:rPr>
      </w:pPr>
    </w:p>
    <w:p w:rsidR="006F7C85" w:rsidRDefault="006F7C85" w:rsidP="006F7C85">
      <w:pPr>
        <w:rPr>
          <w:sz w:val="24"/>
          <w:szCs w:val="24"/>
        </w:rPr>
      </w:pPr>
    </w:p>
    <w:p w:rsidR="00084A16" w:rsidRPr="00406EE7" w:rsidRDefault="00084A16" w:rsidP="006F7C85">
      <w:pPr>
        <w:rPr>
          <w:sz w:val="24"/>
          <w:szCs w:val="24"/>
        </w:rPr>
      </w:pPr>
    </w:p>
    <w:p w:rsidR="006F7C85" w:rsidRPr="00406EE7" w:rsidRDefault="006F7C85" w:rsidP="006F7C85">
      <w:pPr>
        <w:tabs>
          <w:tab w:val="left" w:pos="8222"/>
        </w:tabs>
        <w:jc w:val="center"/>
        <w:rPr>
          <w:b/>
          <w:sz w:val="24"/>
          <w:szCs w:val="24"/>
        </w:rPr>
      </w:pPr>
      <w:r w:rsidRPr="00406EE7">
        <w:rPr>
          <w:b/>
          <w:sz w:val="24"/>
          <w:szCs w:val="24"/>
        </w:rPr>
        <w:t>PRODUKTRESUMÉ</w:t>
      </w:r>
    </w:p>
    <w:p w:rsidR="006F7C85" w:rsidRPr="00406EE7" w:rsidRDefault="006F7C85" w:rsidP="006F7C85">
      <w:pPr>
        <w:tabs>
          <w:tab w:val="left" w:pos="8222"/>
        </w:tabs>
        <w:jc w:val="center"/>
        <w:rPr>
          <w:b/>
          <w:sz w:val="24"/>
          <w:szCs w:val="24"/>
        </w:rPr>
      </w:pPr>
    </w:p>
    <w:p w:rsidR="006F7C85" w:rsidRPr="00406EE7" w:rsidRDefault="006F7C85" w:rsidP="006F7C85">
      <w:pPr>
        <w:tabs>
          <w:tab w:val="left" w:pos="8222"/>
        </w:tabs>
        <w:jc w:val="center"/>
        <w:rPr>
          <w:b/>
          <w:sz w:val="24"/>
          <w:szCs w:val="24"/>
        </w:rPr>
      </w:pPr>
      <w:r w:rsidRPr="00406EE7">
        <w:rPr>
          <w:b/>
          <w:sz w:val="24"/>
          <w:szCs w:val="24"/>
        </w:rPr>
        <w:t>for</w:t>
      </w:r>
    </w:p>
    <w:p w:rsidR="006F7C85" w:rsidRPr="00406EE7" w:rsidRDefault="006F7C85" w:rsidP="006F7C85">
      <w:pPr>
        <w:tabs>
          <w:tab w:val="left" w:pos="8222"/>
        </w:tabs>
        <w:jc w:val="center"/>
        <w:rPr>
          <w:b/>
          <w:sz w:val="24"/>
          <w:szCs w:val="24"/>
        </w:rPr>
      </w:pPr>
    </w:p>
    <w:p w:rsidR="006F7C85" w:rsidRPr="00565A74" w:rsidRDefault="006F7C85" w:rsidP="006F7C85">
      <w:pPr>
        <w:tabs>
          <w:tab w:val="left" w:pos="8222"/>
        </w:tabs>
        <w:jc w:val="center"/>
        <w:rPr>
          <w:b/>
          <w:sz w:val="24"/>
          <w:szCs w:val="24"/>
        </w:rPr>
      </w:pPr>
      <w:proofErr w:type="spellStart"/>
      <w:r>
        <w:rPr>
          <w:b/>
          <w:sz w:val="24"/>
          <w:szCs w:val="24"/>
        </w:rPr>
        <w:t>Spizobactin</w:t>
      </w:r>
      <w:proofErr w:type="spellEnd"/>
      <w:r>
        <w:rPr>
          <w:b/>
          <w:sz w:val="24"/>
          <w:szCs w:val="24"/>
        </w:rPr>
        <w:t xml:space="preserve"> </w:t>
      </w:r>
      <w:proofErr w:type="spellStart"/>
      <w:r>
        <w:rPr>
          <w:b/>
          <w:sz w:val="24"/>
          <w:szCs w:val="24"/>
        </w:rPr>
        <w:t>Vet</w:t>
      </w:r>
      <w:proofErr w:type="spellEnd"/>
      <w:r>
        <w:rPr>
          <w:b/>
          <w:sz w:val="24"/>
          <w:szCs w:val="24"/>
        </w:rPr>
        <w:t>., tyggetabletter</w:t>
      </w:r>
    </w:p>
    <w:p w:rsidR="006F7C85" w:rsidRPr="00406EE7" w:rsidRDefault="006F7C85" w:rsidP="006F7C85">
      <w:pPr>
        <w:tabs>
          <w:tab w:val="left" w:pos="8222"/>
        </w:tabs>
        <w:jc w:val="both"/>
        <w:rPr>
          <w:sz w:val="24"/>
          <w:szCs w:val="24"/>
        </w:rPr>
      </w:pPr>
    </w:p>
    <w:p w:rsidR="006F7C85" w:rsidRPr="00F533B8" w:rsidRDefault="006F7C85" w:rsidP="006F7C85">
      <w:pPr>
        <w:tabs>
          <w:tab w:val="left" w:pos="8222"/>
        </w:tabs>
        <w:jc w:val="both"/>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0.</w:t>
      </w:r>
      <w:r w:rsidRPr="00F533B8">
        <w:rPr>
          <w:b/>
          <w:sz w:val="24"/>
          <w:szCs w:val="24"/>
        </w:rPr>
        <w:tab/>
        <w:t>D.SP.NR.</w:t>
      </w:r>
    </w:p>
    <w:p w:rsidR="006F7C85" w:rsidRPr="00F533B8" w:rsidRDefault="006F7C85" w:rsidP="006F7C85">
      <w:pPr>
        <w:tabs>
          <w:tab w:val="left" w:pos="8222"/>
        </w:tabs>
        <w:ind w:left="851"/>
        <w:rPr>
          <w:sz w:val="24"/>
          <w:szCs w:val="24"/>
        </w:rPr>
      </w:pPr>
      <w:r w:rsidRPr="00F533B8">
        <w:rPr>
          <w:sz w:val="24"/>
          <w:szCs w:val="24"/>
        </w:rPr>
        <w:t>30447</w:t>
      </w:r>
    </w:p>
    <w:p w:rsidR="006F7C85" w:rsidRPr="00F533B8" w:rsidRDefault="006F7C85" w:rsidP="006F7C85">
      <w:pPr>
        <w:tabs>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1.</w:t>
      </w:r>
      <w:r w:rsidRPr="00F533B8">
        <w:rPr>
          <w:b/>
          <w:sz w:val="24"/>
          <w:szCs w:val="24"/>
        </w:rPr>
        <w:tab/>
        <w:t>VETERINÆRLÆGEMIDLETS NAVN</w:t>
      </w:r>
    </w:p>
    <w:p w:rsidR="006F7C85" w:rsidRPr="00F533B8" w:rsidRDefault="006F7C85" w:rsidP="006F7C85">
      <w:pPr>
        <w:tabs>
          <w:tab w:val="left" w:pos="8222"/>
        </w:tabs>
        <w:ind w:left="851"/>
        <w:rPr>
          <w:sz w:val="24"/>
          <w:szCs w:val="24"/>
        </w:rPr>
      </w:pPr>
      <w:proofErr w:type="spellStart"/>
      <w:r w:rsidRPr="00F533B8">
        <w:rPr>
          <w:sz w:val="24"/>
          <w:szCs w:val="24"/>
        </w:rPr>
        <w:t>Spizobactin</w:t>
      </w:r>
      <w:proofErr w:type="spellEnd"/>
      <w:r w:rsidRPr="00F533B8">
        <w:rPr>
          <w:sz w:val="24"/>
          <w:szCs w:val="24"/>
        </w:rPr>
        <w:t xml:space="preserve"> </w:t>
      </w:r>
      <w:proofErr w:type="spellStart"/>
      <w:r w:rsidRPr="00F533B8">
        <w:rPr>
          <w:sz w:val="24"/>
          <w:szCs w:val="24"/>
        </w:rPr>
        <w:t>Vet</w:t>
      </w:r>
      <w:proofErr w:type="spellEnd"/>
      <w:r w:rsidRPr="00F533B8">
        <w:rPr>
          <w:sz w:val="24"/>
          <w:szCs w:val="24"/>
        </w:rPr>
        <w:t>.</w:t>
      </w:r>
    </w:p>
    <w:p w:rsidR="006F7C85" w:rsidRPr="00F533B8" w:rsidRDefault="006F7C85" w:rsidP="006F7C85">
      <w:pPr>
        <w:tabs>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2.</w:t>
      </w:r>
      <w:r w:rsidRPr="00F533B8">
        <w:rPr>
          <w:b/>
          <w:sz w:val="24"/>
          <w:szCs w:val="24"/>
        </w:rPr>
        <w:tab/>
        <w:t>KVALITATIV OG KVANTITATIV SAMMENSÆTNING</w:t>
      </w:r>
    </w:p>
    <w:p w:rsidR="006F7C85" w:rsidRPr="00F533B8" w:rsidRDefault="008F1F2E" w:rsidP="006F7C85">
      <w:pPr>
        <w:tabs>
          <w:tab w:val="left" w:pos="8222"/>
        </w:tabs>
        <w:ind w:left="851"/>
        <w:rPr>
          <w:sz w:val="24"/>
          <w:szCs w:val="24"/>
          <w:lang w:eastAsia="da-DK"/>
        </w:rPr>
      </w:pPr>
      <w:r>
        <w:rPr>
          <w:sz w:val="24"/>
          <w:szCs w:val="24"/>
        </w:rPr>
        <w:t>Hver</w:t>
      </w:r>
      <w:r w:rsidR="006F7C85" w:rsidRPr="00F533B8">
        <w:rPr>
          <w:sz w:val="24"/>
          <w:szCs w:val="24"/>
        </w:rPr>
        <w:t xml:space="preserve"> tablet indeholder:</w:t>
      </w:r>
    </w:p>
    <w:p w:rsidR="006F7C85" w:rsidRPr="00F533B8" w:rsidRDefault="006F7C85" w:rsidP="006F7C85">
      <w:pPr>
        <w:tabs>
          <w:tab w:val="left" w:pos="8222"/>
        </w:tabs>
        <w:ind w:left="851"/>
        <w:rPr>
          <w:sz w:val="24"/>
          <w:szCs w:val="24"/>
        </w:rPr>
      </w:pPr>
    </w:p>
    <w:p w:rsidR="006F7C85" w:rsidRPr="00F533B8" w:rsidRDefault="006F7C85" w:rsidP="006F7C85">
      <w:pPr>
        <w:tabs>
          <w:tab w:val="left" w:pos="8222"/>
        </w:tabs>
        <w:ind w:left="851"/>
        <w:rPr>
          <w:b/>
          <w:sz w:val="24"/>
          <w:szCs w:val="24"/>
        </w:rPr>
      </w:pPr>
      <w:r w:rsidRPr="00F533B8">
        <w:rPr>
          <w:b/>
          <w:sz w:val="24"/>
          <w:szCs w:val="24"/>
        </w:rPr>
        <w:t>Aktive stoffer:</w:t>
      </w:r>
    </w:p>
    <w:p w:rsidR="006F7C85" w:rsidRPr="00F533B8" w:rsidRDefault="006F7C85" w:rsidP="006F7C85">
      <w:pPr>
        <w:tabs>
          <w:tab w:val="left" w:pos="8222"/>
        </w:tabs>
        <w:ind w:left="851"/>
        <w:rPr>
          <w:sz w:val="24"/>
          <w:szCs w:val="24"/>
        </w:rPr>
      </w:pPr>
      <w:r w:rsidRPr="00F533B8">
        <w:rPr>
          <w:sz w:val="24"/>
          <w:szCs w:val="24"/>
        </w:rPr>
        <w:t xml:space="preserve">750.000 IE/ 125 mg: </w:t>
      </w:r>
      <w:proofErr w:type="spellStart"/>
      <w:r w:rsidRPr="00F533B8">
        <w:rPr>
          <w:sz w:val="24"/>
          <w:szCs w:val="24"/>
        </w:rPr>
        <w:t>Spiramycin</w:t>
      </w:r>
      <w:proofErr w:type="spellEnd"/>
      <w:r w:rsidRPr="00F533B8">
        <w:rPr>
          <w:sz w:val="24"/>
          <w:szCs w:val="24"/>
        </w:rPr>
        <w:t xml:space="preserve"> 750.000 IE, </w:t>
      </w:r>
      <w:proofErr w:type="spellStart"/>
      <w:r>
        <w:rPr>
          <w:sz w:val="24"/>
          <w:szCs w:val="24"/>
        </w:rPr>
        <w:t>m</w:t>
      </w:r>
      <w:r w:rsidRPr="00F533B8">
        <w:rPr>
          <w:sz w:val="24"/>
          <w:szCs w:val="24"/>
        </w:rPr>
        <w:t>etronidazol</w:t>
      </w:r>
      <w:proofErr w:type="spellEnd"/>
      <w:r w:rsidRPr="00F533B8">
        <w:rPr>
          <w:sz w:val="24"/>
          <w:szCs w:val="24"/>
        </w:rPr>
        <w:t xml:space="preserve"> 125 mg</w:t>
      </w:r>
    </w:p>
    <w:p w:rsidR="006F7C85" w:rsidRPr="00F533B8" w:rsidRDefault="006F7C85" w:rsidP="006F7C85">
      <w:pPr>
        <w:tabs>
          <w:tab w:val="left" w:pos="8222"/>
        </w:tabs>
        <w:ind w:left="851"/>
        <w:rPr>
          <w:sz w:val="24"/>
          <w:szCs w:val="24"/>
        </w:rPr>
      </w:pPr>
      <w:r w:rsidRPr="00F533B8">
        <w:rPr>
          <w:sz w:val="24"/>
          <w:szCs w:val="24"/>
        </w:rPr>
        <w:t xml:space="preserve">1.500.000 IE/ 250 mg: </w:t>
      </w:r>
      <w:proofErr w:type="spellStart"/>
      <w:r w:rsidRPr="00F533B8">
        <w:rPr>
          <w:sz w:val="24"/>
          <w:szCs w:val="24"/>
        </w:rPr>
        <w:t>Spiramycin</w:t>
      </w:r>
      <w:proofErr w:type="spellEnd"/>
      <w:r w:rsidRPr="00F533B8">
        <w:rPr>
          <w:sz w:val="24"/>
          <w:szCs w:val="24"/>
        </w:rPr>
        <w:t xml:space="preserve"> 1.500.000 IE, </w:t>
      </w:r>
      <w:proofErr w:type="spellStart"/>
      <w:r>
        <w:rPr>
          <w:sz w:val="24"/>
          <w:szCs w:val="24"/>
        </w:rPr>
        <w:t>m</w:t>
      </w:r>
      <w:r w:rsidRPr="00F533B8">
        <w:rPr>
          <w:sz w:val="24"/>
          <w:szCs w:val="24"/>
        </w:rPr>
        <w:t>etronidazol</w:t>
      </w:r>
      <w:proofErr w:type="spellEnd"/>
      <w:r w:rsidRPr="00F533B8">
        <w:rPr>
          <w:sz w:val="24"/>
          <w:szCs w:val="24"/>
        </w:rPr>
        <w:t xml:space="preserve"> 250 mg</w:t>
      </w:r>
    </w:p>
    <w:p w:rsidR="006F7C85" w:rsidRPr="00F533B8" w:rsidRDefault="006F7C85" w:rsidP="006F7C85">
      <w:pPr>
        <w:tabs>
          <w:tab w:val="left" w:pos="8222"/>
        </w:tabs>
        <w:ind w:left="851"/>
        <w:rPr>
          <w:sz w:val="24"/>
          <w:szCs w:val="24"/>
        </w:rPr>
      </w:pPr>
      <w:r w:rsidRPr="00F533B8">
        <w:rPr>
          <w:sz w:val="24"/>
          <w:szCs w:val="24"/>
        </w:rPr>
        <w:t xml:space="preserve">3.000.000 IE/ 500 mg: </w:t>
      </w:r>
      <w:proofErr w:type="spellStart"/>
      <w:r w:rsidRPr="00F533B8">
        <w:rPr>
          <w:sz w:val="24"/>
          <w:szCs w:val="24"/>
        </w:rPr>
        <w:t>Spiramycin</w:t>
      </w:r>
      <w:proofErr w:type="spellEnd"/>
      <w:r w:rsidRPr="00F533B8">
        <w:rPr>
          <w:sz w:val="24"/>
          <w:szCs w:val="24"/>
        </w:rPr>
        <w:t xml:space="preserve"> 3.000.000 IE, </w:t>
      </w:r>
      <w:proofErr w:type="spellStart"/>
      <w:r>
        <w:rPr>
          <w:sz w:val="24"/>
          <w:szCs w:val="24"/>
        </w:rPr>
        <w:t>m</w:t>
      </w:r>
      <w:r w:rsidRPr="00F533B8">
        <w:rPr>
          <w:sz w:val="24"/>
          <w:szCs w:val="24"/>
        </w:rPr>
        <w:t>etronidazol</w:t>
      </w:r>
      <w:proofErr w:type="spellEnd"/>
      <w:r w:rsidRPr="00F533B8">
        <w:rPr>
          <w:sz w:val="24"/>
          <w:szCs w:val="24"/>
        </w:rPr>
        <w:t xml:space="preserve"> 500 mg</w:t>
      </w:r>
    </w:p>
    <w:p w:rsidR="006F7C85" w:rsidRPr="00F533B8" w:rsidRDefault="006F7C85" w:rsidP="006F7C85">
      <w:pPr>
        <w:tabs>
          <w:tab w:val="left" w:pos="8222"/>
        </w:tabs>
        <w:ind w:left="851"/>
        <w:rPr>
          <w:sz w:val="24"/>
          <w:szCs w:val="24"/>
        </w:rPr>
      </w:pPr>
    </w:p>
    <w:p w:rsidR="006F7C85" w:rsidRPr="00F533B8" w:rsidRDefault="006F7C85" w:rsidP="006F7C85">
      <w:pPr>
        <w:tabs>
          <w:tab w:val="left" w:pos="8222"/>
        </w:tabs>
        <w:ind w:left="851"/>
        <w:rPr>
          <w:b/>
          <w:sz w:val="24"/>
          <w:szCs w:val="24"/>
        </w:rPr>
      </w:pPr>
      <w:r w:rsidRPr="00F533B8">
        <w:rPr>
          <w:b/>
          <w:sz w:val="24"/>
          <w:szCs w:val="24"/>
        </w:rPr>
        <w:t>Hjælpestoffer:</w:t>
      </w:r>
    </w:p>
    <w:p w:rsidR="006F7C85" w:rsidRPr="00F533B8" w:rsidRDefault="006F7C85" w:rsidP="006F7C85">
      <w:pPr>
        <w:tabs>
          <w:tab w:val="left" w:pos="8222"/>
        </w:tabs>
        <w:ind w:left="851"/>
        <w:rPr>
          <w:sz w:val="24"/>
          <w:szCs w:val="24"/>
        </w:rPr>
      </w:pPr>
      <w:r w:rsidRPr="00F533B8">
        <w:rPr>
          <w:sz w:val="24"/>
          <w:szCs w:val="24"/>
        </w:rPr>
        <w:t>Alle hjælpestoffer er anført under pkt. 6.1.</w:t>
      </w:r>
    </w:p>
    <w:p w:rsidR="006F7C85" w:rsidRPr="00F533B8" w:rsidRDefault="006F7C85" w:rsidP="006F7C85">
      <w:pPr>
        <w:tabs>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3.</w:t>
      </w:r>
      <w:r w:rsidRPr="00F533B8">
        <w:rPr>
          <w:b/>
          <w:sz w:val="24"/>
          <w:szCs w:val="24"/>
        </w:rPr>
        <w:tab/>
        <w:t>LÆGEMIDDELFORM</w:t>
      </w:r>
    </w:p>
    <w:p w:rsidR="006F7C85" w:rsidRPr="00F533B8" w:rsidRDefault="006F7C85" w:rsidP="006F7C85">
      <w:pPr>
        <w:tabs>
          <w:tab w:val="left" w:pos="851"/>
          <w:tab w:val="left" w:pos="8222"/>
        </w:tabs>
        <w:ind w:left="851"/>
        <w:rPr>
          <w:sz w:val="24"/>
          <w:szCs w:val="24"/>
          <w:lang w:eastAsia="da-DK"/>
        </w:rPr>
      </w:pPr>
      <w:r>
        <w:rPr>
          <w:sz w:val="24"/>
          <w:szCs w:val="24"/>
        </w:rPr>
        <w:t>Tyggetabletter</w:t>
      </w:r>
    </w:p>
    <w:p w:rsidR="006F7C85" w:rsidRPr="00F533B8" w:rsidRDefault="006F7C85" w:rsidP="006F7C85">
      <w:pPr>
        <w:tabs>
          <w:tab w:val="left" w:pos="851"/>
          <w:tab w:val="left" w:pos="8222"/>
        </w:tabs>
        <w:ind w:left="851"/>
        <w:rPr>
          <w:sz w:val="24"/>
          <w:szCs w:val="24"/>
        </w:rPr>
      </w:pPr>
      <w:r w:rsidRPr="00F533B8">
        <w:rPr>
          <w:sz w:val="24"/>
          <w:szCs w:val="24"/>
        </w:rPr>
        <w:t xml:space="preserve">Lysebrun med brune prikker, rund og konveks tablet med smag og en </w:t>
      </w:r>
      <w:proofErr w:type="spellStart"/>
      <w:r w:rsidRPr="00F533B8">
        <w:rPr>
          <w:sz w:val="24"/>
          <w:szCs w:val="24"/>
        </w:rPr>
        <w:t>krydsformet</w:t>
      </w:r>
      <w:proofErr w:type="spellEnd"/>
      <w:r w:rsidRPr="00F533B8">
        <w:rPr>
          <w:sz w:val="24"/>
          <w:szCs w:val="24"/>
        </w:rPr>
        <w:t xml:space="preserve"> delekærv på den ene side.</w:t>
      </w:r>
    </w:p>
    <w:p w:rsidR="006F7C85" w:rsidRPr="00F533B8" w:rsidRDefault="006F7C85" w:rsidP="006F7C85">
      <w:pPr>
        <w:tabs>
          <w:tab w:val="left" w:pos="851"/>
          <w:tab w:val="left" w:pos="8222"/>
        </w:tabs>
        <w:ind w:left="851"/>
        <w:rPr>
          <w:sz w:val="24"/>
          <w:szCs w:val="24"/>
        </w:rPr>
      </w:pPr>
      <w:r w:rsidRPr="00F533B8">
        <w:rPr>
          <w:sz w:val="24"/>
          <w:szCs w:val="24"/>
        </w:rPr>
        <w:t>Tabletterne kan deles i to eller fire lige store dele.</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4.</w:t>
      </w:r>
      <w:r w:rsidRPr="00F533B8">
        <w:rPr>
          <w:b/>
          <w:sz w:val="24"/>
          <w:szCs w:val="24"/>
        </w:rPr>
        <w:tab/>
        <w:t>KLINISKE OPLYSNINGER</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u w:val="single"/>
        </w:rPr>
      </w:pPr>
      <w:r w:rsidRPr="00F533B8">
        <w:rPr>
          <w:b/>
          <w:sz w:val="24"/>
          <w:szCs w:val="24"/>
        </w:rPr>
        <w:t>4.1</w:t>
      </w:r>
      <w:r w:rsidRPr="00F533B8">
        <w:rPr>
          <w:b/>
          <w:sz w:val="24"/>
          <w:szCs w:val="24"/>
        </w:rPr>
        <w:tab/>
        <w:t>Dyrearter</w:t>
      </w:r>
    </w:p>
    <w:p w:rsidR="006F7C85" w:rsidRPr="00F533B8" w:rsidRDefault="006F7C85" w:rsidP="006F7C85">
      <w:pPr>
        <w:tabs>
          <w:tab w:val="left" w:pos="8222"/>
        </w:tabs>
        <w:ind w:left="851"/>
        <w:rPr>
          <w:sz w:val="24"/>
          <w:szCs w:val="24"/>
          <w:lang w:eastAsia="da-DK"/>
        </w:rPr>
      </w:pPr>
      <w:r w:rsidRPr="00F533B8">
        <w:rPr>
          <w:sz w:val="24"/>
          <w:szCs w:val="24"/>
        </w:rPr>
        <w:t>Hunde.</w:t>
      </w:r>
    </w:p>
    <w:p w:rsidR="006F7C85" w:rsidRPr="00F533B8" w:rsidRDefault="006F7C85" w:rsidP="006F7C85">
      <w:pPr>
        <w:tabs>
          <w:tab w:val="left" w:pos="8222"/>
        </w:tabs>
        <w:ind w:left="851"/>
        <w:rPr>
          <w:sz w:val="24"/>
          <w:szCs w:val="24"/>
        </w:rPr>
      </w:pPr>
    </w:p>
    <w:p w:rsidR="006F7C85" w:rsidRPr="00F533B8" w:rsidRDefault="006F7C85" w:rsidP="006F7C85">
      <w:pPr>
        <w:pStyle w:val="Sidehoved"/>
        <w:tabs>
          <w:tab w:val="clear" w:pos="4819"/>
          <w:tab w:val="left" w:pos="8222"/>
        </w:tabs>
        <w:ind w:left="851" w:hanging="851"/>
        <w:rPr>
          <w:b/>
          <w:szCs w:val="24"/>
        </w:rPr>
      </w:pPr>
      <w:r w:rsidRPr="00F533B8">
        <w:rPr>
          <w:b/>
          <w:szCs w:val="24"/>
        </w:rPr>
        <w:t>4.2</w:t>
      </w:r>
      <w:r w:rsidRPr="00F533B8">
        <w:rPr>
          <w:b/>
          <w:szCs w:val="24"/>
        </w:rPr>
        <w:tab/>
        <w:t>Terapeutiske indikationer</w:t>
      </w:r>
    </w:p>
    <w:p w:rsidR="006F7C85" w:rsidRPr="00F533B8" w:rsidRDefault="006F7C85" w:rsidP="006F7C85">
      <w:pPr>
        <w:pStyle w:val="Sidehoved"/>
        <w:tabs>
          <w:tab w:val="clear" w:pos="4819"/>
          <w:tab w:val="left" w:pos="8222"/>
        </w:tabs>
        <w:ind w:left="851"/>
        <w:rPr>
          <w:szCs w:val="24"/>
        </w:rPr>
      </w:pPr>
      <w:r w:rsidRPr="00F533B8">
        <w:rPr>
          <w:szCs w:val="24"/>
        </w:rPr>
        <w:t xml:space="preserve">Som tillægsbehandling til mekanisk eller kirurgisk </w:t>
      </w:r>
      <w:proofErr w:type="spellStart"/>
      <w:r w:rsidRPr="00F533B8">
        <w:rPr>
          <w:szCs w:val="24"/>
        </w:rPr>
        <w:t>parodontalbehandling</w:t>
      </w:r>
      <w:proofErr w:type="spellEnd"/>
      <w:r w:rsidRPr="00F533B8">
        <w:rPr>
          <w:szCs w:val="24"/>
        </w:rPr>
        <w:t xml:space="preserve"> ved behandling af multibakterielle infektioner af </w:t>
      </w:r>
      <w:proofErr w:type="spellStart"/>
      <w:r w:rsidRPr="00F533B8">
        <w:rPr>
          <w:szCs w:val="24"/>
        </w:rPr>
        <w:t>parodontale</w:t>
      </w:r>
      <w:proofErr w:type="spellEnd"/>
      <w:r w:rsidRPr="00F533B8">
        <w:rPr>
          <w:szCs w:val="24"/>
        </w:rPr>
        <w:t xml:space="preserve"> og relaterede (</w:t>
      </w:r>
      <w:proofErr w:type="spellStart"/>
      <w:r w:rsidRPr="00F533B8">
        <w:rPr>
          <w:szCs w:val="24"/>
        </w:rPr>
        <w:t>peri</w:t>
      </w:r>
      <w:proofErr w:type="spellEnd"/>
      <w:r w:rsidRPr="00F533B8">
        <w:rPr>
          <w:szCs w:val="24"/>
        </w:rPr>
        <w:t xml:space="preserve">)orale sygdomme </w:t>
      </w:r>
      <w:r>
        <w:rPr>
          <w:szCs w:val="24"/>
        </w:rPr>
        <w:t>-</w:t>
      </w:r>
      <w:r w:rsidRPr="00F533B8">
        <w:rPr>
          <w:szCs w:val="24"/>
        </w:rPr>
        <w:t xml:space="preserve"> f.eks. </w:t>
      </w:r>
      <w:proofErr w:type="spellStart"/>
      <w:r w:rsidRPr="00F533B8">
        <w:rPr>
          <w:szCs w:val="24"/>
        </w:rPr>
        <w:t>gingivitis</w:t>
      </w:r>
      <w:proofErr w:type="spellEnd"/>
      <w:r w:rsidRPr="00F533B8">
        <w:rPr>
          <w:szCs w:val="24"/>
        </w:rPr>
        <w:t xml:space="preserve">, </w:t>
      </w:r>
      <w:proofErr w:type="spellStart"/>
      <w:r w:rsidRPr="00F533B8">
        <w:rPr>
          <w:szCs w:val="24"/>
        </w:rPr>
        <w:t>stomatitis</w:t>
      </w:r>
      <w:proofErr w:type="spellEnd"/>
      <w:r w:rsidRPr="00F533B8">
        <w:rPr>
          <w:szCs w:val="24"/>
        </w:rPr>
        <w:t xml:space="preserve">, </w:t>
      </w:r>
      <w:proofErr w:type="spellStart"/>
      <w:r w:rsidRPr="00F533B8">
        <w:rPr>
          <w:szCs w:val="24"/>
        </w:rPr>
        <w:t>glossitis</w:t>
      </w:r>
      <w:proofErr w:type="spellEnd"/>
      <w:r w:rsidRPr="00F533B8">
        <w:rPr>
          <w:szCs w:val="24"/>
        </w:rPr>
        <w:t xml:space="preserve">, </w:t>
      </w:r>
      <w:proofErr w:type="spellStart"/>
      <w:r w:rsidRPr="00F533B8">
        <w:rPr>
          <w:szCs w:val="24"/>
        </w:rPr>
        <w:t>parodontitis</w:t>
      </w:r>
      <w:proofErr w:type="spellEnd"/>
      <w:r w:rsidRPr="00F533B8">
        <w:rPr>
          <w:szCs w:val="24"/>
        </w:rPr>
        <w:t xml:space="preserve">, </w:t>
      </w:r>
      <w:proofErr w:type="spellStart"/>
      <w:r w:rsidRPr="00F533B8">
        <w:rPr>
          <w:szCs w:val="24"/>
        </w:rPr>
        <w:t>tonsillitis</w:t>
      </w:r>
      <w:proofErr w:type="spellEnd"/>
      <w:r w:rsidRPr="00F533B8">
        <w:rPr>
          <w:szCs w:val="24"/>
        </w:rPr>
        <w:t xml:space="preserve">, dental fistel og andre fistelsår i det orale hulrum, </w:t>
      </w:r>
      <w:proofErr w:type="spellStart"/>
      <w:r w:rsidRPr="00F533B8">
        <w:rPr>
          <w:szCs w:val="24"/>
        </w:rPr>
        <w:t>cheilitis</w:t>
      </w:r>
      <w:proofErr w:type="spellEnd"/>
      <w:r w:rsidRPr="00F533B8">
        <w:rPr>
          <w:szCs w:val="24"/>
        </w:rPr>
        <w:t xml:space="preserve"> og </w:t>
      </w:r>
      <w:proofErr w:type="spellStart"/>
      <w:r w:rsidRPr="00F533B8">
        <w:rPr>
          <w:szCs w:val="24"/>
        </w:rPr>
        <w:t>sinuitis</w:t>
      </w:r>
      <w:proofErr w:type="spellEnd"/>
      <w:r w:rsidRPr="00F533B8">
        <w:rPr>
          <w:szCs w:val="24"/>
        </w:rPr>
        <w:t xml:space="preserve"> - hos hunde forårsaget af mikroorganismer, der er følsomme over for </w:t>
      </w:r>
      <w:proofErr w:type="spellStart"/>
      <w:r w:rsidRPr="00F533B8">
        <w:rPr>
          <w:szCs w:val="24"/>
        </w:rPr>
        <w:t>spiramycin</w:t>
      </w:r>
      <w:proofErr w:type="spellEnd"/>
      <w:r w:rsidRPr="00F533B8">
        <w:rPr>
          <w:szCs w:val="24"/>
        </w:rPr>
        <w:t>/</w:t>
      </w:r>
      <w:proofErr w:type="spellStart"/>
      <w:r w:rsidRPr="00F533B8">
        <w:rPr>
          <w:szCs w:val="24"/>
        </w:rPr>
        <w:t>metronidazol</w:t>
      </w:r>
      <w:proofErr w:type="spellEnd"/>
      <w:r w:rsidRPr="00F533B8">
        <w:rPr>
          <w:szCs w:val="24"/>
        </w:rPr>
        <w:t xml:space="preserve">, såsom grampositive bakterier og </w:t>
      </w:r>
      <w:proofErr w:type="spellStart"/>
      <w:r w:rsidRPr="00F533B8">
        <w:rPr>
          <w:szCs w:val="24"/>
        </w:rPr>
        <w:t>anaerober</w:t>
      </w:r>
      <w:proofErr w:type="spellEnd"/>
      <w:r w:rsidRPr="00F533B8">
        <w:rPr>
          <w:szCs w:val="24"/>
        </w:rPr>
        <w:t xml:space="preserve"> (se også pkt. 4.4 og 4.5).</w:t>
      </w:r>
    </w:p>
    <w:p w:rsidR="006F7C85" w:rsidRPr="00F533B8" w:rsidRDefault="006F7C85" w:rsidP="006F7C85">
      <w:pPr>
        <w:pStyle w:val="Sidehoved"/>
        <w:tabs>
          <w:tab w:val="clear" w:pos="4819"/>
          <w:tab w:val="left" w:pos="851"/>
          <w:tab w:val="left" w:pos="8222"/>
        </w:tabs>
        <w:rPr>
          <w:b/>
          <w:szCs w:val="24"/>
        </w:rPr>
      </w:pPr>
      <w:r w:rsidRPr="00F533B8">
        <w:rPr>
          <w:b/>
          <w:szCs w:val="24"/>
        </w:rPr>
        <w:lastRenderedPageBreak/>
        <w:t>4.3</w:t>
      </w:r>
      <w:r w:rsidRPr="00F533B8">
        <w:rPr>
          <w:b/>
          <w:szCs w:val="24"/>
        </w:rPr>
        <w:tab/>
        <w:t>Kontraindikationer</w:t>
      </w:r>
    </w:p>
    <w:p w:rsidR="006F7C85" w:rsidRPr="00F533B8" w:rsidRDefault="006F7C85" w:rsidP="006F7C85">
      <w:pPr>
        <w:pStyle w:val="Sidehoved"/>
        <w:tabs>
          <w:tab w:val="left" w:pos="8222"/>
        </w:tabs>
        <w:ind w:left="851"/>
        <w:rPr>
          <w:szCs w:val="24"/>
        </w:rPr>
      </w:pPr>
      <w:r w:rsidRPr="00F533B8">
        <w:rPr>
          <w:szCs w:val="24"/>
        </w:rPr>
        <w:t>Bør ikke anvendes i tilfælde af leversygdomme.</w:t>
      </w:r>
    </w:p>
    <w:p w:rsidR="008F1F2E" w:rsidRPr="00F533B8" w:rsidRDefault="008F1F2E" w:rsidP="008F1F2E">
      <w:pPr>
        <w:pStyle w:val="Sidehoved"/>
        <w:tabs>
          <w:tab w:val="left" w:pos="8222"/>
        </w:tabs>
        <w:ind w:left="851"/>
        <w:rPr>
          <w:szCs w:val="24"/>
        </w:rPr>
      </w:pPr>
      <w:r w:rsidRPr="00F533B8">
        <w:rPr>
          <w:szCs w:val="24"/>
        </w:rPr>
        <w:t xml:space="preserve">Bør ikke anvendes i tilfælde af overfølsomhed over for </w:t>
      </w:r>
      <w:r>
        <w:rPr>
          <w:szCs w:val="24"/>
        </w:rPr>
        <w:t>aktive stoffer</w:t>
      </w:r>
      <w:r w:rsidRPr="00F533B8">
        <w:rPr>
          <w:szCs w:val="24"/>
        </w:rPr>
        <w:t xml:space="preserve"> eller over for et eller flere af hjælpestofferne. </w:t>
      </w:r>
    </w:p>
    <w:p w:rsidR="006F7C85" w:rsidRPr="00F533B8" w:rsidRDefault="006F7C85" w:rsidP="006F7C85">
      <w:pPr>
        <w:pStyle w:val="Sidehoved"/>
        <w:tabs>
          <w:tab w:val="clear" w:pos="4819"/>
          <w:tab w:val="left" w:pos="8222"/>
        </w:tabs>
        <w:ind w:left="851"/>
        <w:rPr>
          <w:szCs w:val="24"/>
        </w:rPr>
      </w:pPr>
    </w:p>
    <w:p w:rsidR="006F7C85" w:rsidRPr="00F533B8" w:rsidRDefault="006F7C85" w:rsidP="006F7C85">
      <w:pPr>
        <w:tabs>
          <w:tab w:val="left" w:pos="851"/>
          <w:tab w:val="left" w:pos="8222"/>
        </w:tabs>
        <w:rPr>
          <w:b/>
          <w:sz w:val="24"/>
          <w:szCs w:val="24"/>
        </w:rPr>
      </w:pPr>
      <w:r w:rsidRPr="00F533B8">
        <w:rPr>
          <w:b/>
          <w:sz w:val="24"/>
          <w:szCs w:val="24"/>
        </w:rPr>
        <w:t>4.4</w:t>
      </w:r>
      <w:r w:rsidRPr="00F533B8">
        <w:rPr>
          <w:b/>
          <w:sz w:val="24"/>
          <w:szCs w:val="24"/>
        </w:rPr>
        <w:tab/>
        <w:t>Særlige advarsler</w:t>
      </w:r>
    </w:p>
    <w:p w:rsidR="006F7C85" w:rsidRPr="00F533B8" w:rsidRDefault="006F7C85" w:rsidP="006F7C85">
      <w:pPr>
        <w:tabs>
          <w:tab w:val="left" w:pos="851"/>
          <w:tab w:val="left" w:pos="8222"/>
        </w:tabs>
        <w:ind w:left="851"/>
        <w:rPr>
          <w:sz w:val="24"/>
          <w:szCs w:val="24"/>
          <w:lang w:eastAsia="da-DK"/>
        </w:rPr>
      </w:pPr>
      <w:r w:rsidRPr="00F533B8">
        <w:rPr>
          <w:sz w:val="24"/>
          <w:szCs w:val="24"/>
        </w:rPr>
        <w:t xml:space="preserve">I mange tilfælde med </w:t>
      </w:r>
      <w:proofErr w:type="spellStart"/>
      <w:r w:rsidRPr="00F533B8">
        <w:rPr>
          <w:sz w:val="24"/>
          <w:szCs w:val="24"/>
        </w:rPr>
        <w:t>endodontisk</w:t>
      </w:r>
      <w:proofErr w:type="spellEnd"/>
      <w:r w:rsidRPr="00F533B8">
        <w:rPr>
          <w:sz w:val="24"/>
          <w:szCs w:val="24"/>
        </w:rPr>
        <w:t>/</w:t>
      </w:r>
      <w:proofErr w:type="spellStart"/>
      <w:r w:rsidRPr="00F533B8">
        <w:rPr>
          <w:sz w:val="24"/>
          <w:szCs w:val="24"/>
        </w:rPr>
        <w:t>parodontal</w:t>
      </w:r>
      <w:proofErr w:type="spellEnd"/>
      <w:r w:rsidRPr="00F533B8">
        <w:rPr>
          <w:sz w:val="24"/>
          <w:szCs w:val="24"/>
        </w:rPr>
        <w:t xml:space="preserve"> sygdom er den primære behandling ikke medicinsk, og kræver ikke antimikrobiel medicinering. </w:t>
      </w:r>
    </w:p>
    <w:p w:rsidR="006F7C85" w:rsidRPr="00F533B8" w:rsidRDefault="006F7C85" w:rsidP="006F7C85">
      <w:pPr>
        <w:tabs>
          <w:tab w:val="left" w:pos="851"/>
          <w:tab w:val="left" w:pos="8222"/>
        </w:tabs>
        <w:ind w:left="851"/>
        <w:rPr>
          <w:sz w:val="24"/>
          <w:szCs w:val="24"/>
        </w:rPr>
      </w:pPr>
      <w:proofErr w:type="spellStart"/>
      <w:r w:rsidRPr="00F533B8">
        <w:rPr>
          <w:sz w:val="24"/>
          <w:szCs w:val="24"/>
        </w:rPr>
        <w:t>Endodontisk</w:t>
      </w:r>
      <w:proofErr w:type="spellEnd"/>
      <w:r w:rsidRPr="00F533B8">
        <w:rPr>
          <w:sz w:val="24"/>
          <w:szCs w:val="24"/>
        </w:rPr>
        <w:t xml:space="preserve"> behandling skal ledsage eller gå forud for antimikrobiel behandling af </w:t>
      </w:r>
      <w:proofErr w:type="spellStart"/>
      <w:r w:rsidRPr="00F533B8">
        <w:rPr>
          <w:sz w:val="24"/>
          <w:szCs w:val="24"/>
        </w:rPr>
        <w:t>parodontal</w:t>
      </w:r>
      <w:proofErr w:type="spellEnd"/>
      <w:r w:rsidRPr="00F533B8">
        <w:rPr>
          <w:sz w:val="24"/>
          <w:szCs w:val="24"/>
        </w:rPr>
        <w:t xml:space="preserve"> sygdom og/eller professionel tandrensning, især hvis sygdommen er fremskreden. Hundeejere opfordres til at børste hundens tænder rutinemæssigt, for at fjerne plak og dermed forhindre eller kontrollere </w:t>
      </w:r>
      <w:proofErr w:type="spellStart"/>
      <w:r w:rsidRPr="00F533B8">
        <w:rPr>
          <w:sz w:val="24"/>
          <w:szCs w:val="24"/>
        </w:rPr>
        <w:t>parodontal</w:t>
      </w:r>
      <w:proofErr w:type="spellEnd"/>
      <w:r w:rsidRPr="00F533B8">
        <w:rPr>
          <w:sz w:val="24"/>
          <w:szCs w:val="24"/>
        </w:rPr>
        <w:t xml:space="preserve"> sygdom.</w:t>
      </w:r>
    </w:p>
    <w:p w:rsidR="006F7C85" w:rsidRPr="00F533B8" w:rsidRDefault="006F7C85" w:rsidP="006F7C85">
      <w:pPr>
        <w:pStyle w:val="Sidehoved"/>
        <w:tabs>
          <w:tab w:val="clear" w:pos="4819"/>
          <w:tab w:val="left" w:pos="8222"/>
        </w:tabs>
        <w:ind w:left="851"/>
        <w:rPr>
          <w:szCs w:val="24"/>
        </w:rPr>
      </w:pPr>
    </w:p>
    <w:p w:rsidR="006F7C85" w:rsidRPr="00F533B8" w:rsidRDefault="006F7C85" w:rsidP="006F7C85">
      <w:pPr>
        <w:tabs>
          <w:tab w:val="left" w:pos="851"/>
          <w:tab w:val="left" w:pos="8222"/>
        </w:tabs>
        <w:rPr>
          <w:b/>
          <w:sz w:val="24"/>
          <w:szCs w:val="24"/>
        </w:rPr>
      </w:pPr>
      <w:r w:rsidRPr="00F533B8">
        <w:rPr>
          <w:b/>
          <w:sz w:val="24"/>
          <w:szCs w:val="24"/>
        </w:rPr>
        <w:t>4.5</w:t>
      </w:r>
      <w:r w:rsidRPr="00F533B8">
        <w:rPr>
          <w:b/>
          <w:sz w:val="24"/>
          <w:szCs w:val="24"/>
        </w:rPr>
        <w:tab/>
        <w:t>Særlige forsigtighedsregler vedrørende brugen</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b/>
          <w:sz w:val="24"/>
          <w:szCs w:val="24"/>
        </w:rPr>
      </w:pPr>
      <w:r w:rsidRPr="00F533B8">
        <w:rPr>
          <w:b/>
          <w:sz w:val="24"/>
          <w:szCs w:val="24"/>
        </w:rPr>
        <w:t>Særlige forsigtighedsregler for dyret</w:t>
      </w:r>
    </w:p>
    <w:p w:rsidR="006F7C85" w:rsidRPr="00F533B8" w:rsidRDefault="006F7C85" w:rsidP="006F7C85">
      <w:pPr>
        <w:tabs>
          <w:tab w:val="left" w:pos="851"/>
          <w:tab w:val="left" w:pos="8222"/>
        </w:tabs>
        <w:ind w:left="851"/>
        <w:rPr>
          <w:sz w:val="24"/>
          <w:szCs w:val="24"/>
          <w:lang w:eastAsia="da-DK"/>
        </w:rPr>
      </w:pPr>
      <w:r w:rsidRPr="00F533B8">
        <w:rPr>
          <w:sz w:val="24"/>
          <w:szCs w:val="24"/>
        </w:rPr>
        <w:t xml:space="preserve">Kombinationen af </w:t>
      </w:r>
      <w:proofErr w:type="spellStart"/>
      <w:r w:rsidRPr="00F533B8">
        <w:rPr>
          <w:sz w:val="24"/>
          <w:szCs w:val="24"/>
        </w:rPr>
        <w:t>spiramycin</w:t>
      </w:r>
      <w:proofErr w:type="spellEnd"/>
      <w:r w:rsidRPr="00F533B8">
        <w:rPr>
          <w:sz w:val="24"/>
          <w:szCs w:val="24"/>
        </w:rPr>
        <w:t xml:space="preserve"> og </w:t>
      </w:r>
      <w:proofErr w:type="spellStart"/>
      <w:r w:rsidRPr="00F533B8">
        <w:rPr>
          <w:sz w:val="24"/>
          <w:szCs w:val="24"/>
        </w:rPr>
        <w:t>metronidazol</w:t>
      </w:r>
      <w:proofErr w:type="spellEnd"/>
      <w:r w:rsidRPr="00F533B8">
        <w:rPr>
          <w:sz w:val="24"/>
          <w:szCs w:val="24"/>
        </w:rPr>
        <w:t xml:space="preserve"> bør ikke anvendes som førstevalgs empirisk behandling.</w:t>
      </w:r>
    </w:p>
    <w:p w:rsidR="008F1F2E" w:rsidRPr="00F533B8" w:rsidRDefault="008F1F2E" w:rsidP="008F1F2E">
      <w:pPr>
        <w:tabs>
          <w:tab w:val="left" w:pos="851"/>
          <w:tab w:val="left" w:pos="8222"/>
        </w:tabs>
        <w:ind w:left="851"/>
        <w:rPr>
          <w:sz w:val="24"/>
          <w:szCs w:val="24"/>
        </w:rPr>
      </w:pPr>
      <w:r w:rsidRPr="00F533B8">
        <w:rPr>
          <w:sz w:val="24"/>
          <w:szCs w:val="24"/>
        </w:rPr>
        <w:t xml:space="preserve">Når det er muligt, bør </w:t>
      </w:r>
      <w:proofErr w:type="spellStart"/>
      <w:r w:rsidRPr="00F533B8">
        <w:rPr>
          <w:sz w:val="24"/>
          <w:szCs w:val="24"/>
        </w:rPr>
        <w:t>metronidazol</w:t>
      </w:r>
      <w:proofErr w:type="spellEnd"/>
      <w:r w:rsidRPr="00F533B8">
        <w:rPr>
          <w:sz w:val="24"/>
          <w:szCs w:val="24"/>
        </w:rPr>
        <w:t xml:space="preserve"> og </w:t>
      </w:r>
      <w:proofErr w:type="spellStart"/>
      <w:r w:rsidRPr="00F533B8">
        <w:rPr>
          <w:sz w:val="24"/>
          <w:szCs w:val="24"/>
        </w:rPr>
        <w:t>spiramycin</w:t>
      </w:r>
      <w:proofErr w:type="spellEnd"/>
      <w:r w:rsidRPr="00F533B8">
        <w:rPr>
          <w:sz w:val="24"/>
          <w:szCs w:val="24"/>
        </w:rPr>
        <w:t xml:space="preserve"> kun anvendes baseret på </w:t>
      </w:r>
      <w:r w:rsidRPr="00426ADE">
        <w:rPr>
          <w:sz w:val="24"/>
          <w:szCs w:val="24"/>
        </w:rPr>
        <w:t>følsomhedstest</w:t>
      </w:r>
      <w:r>
        <w:rPr>
          <w:sz w:val="24"/>
          <w:szCs w:val="24"/>
        </w:rPr>
        <w:t xml:space="preserve"> af </w:t>
      </w:r>
      <w:proofErr w:type="spellStart"/>
      <w:r>
        <w:rPr>
          <w:sz w:val="24"/>
          <w:szCs w:val="24"/>
        </w:rPr>
        <w:t>patogenerne</w:t>
      </w:r>
      <w:proofErr w:type="spellEnd"/>
      <w:r w:rsidRPr="00F533B8">
        <w:rPr>
          <w:sz w:val="24"/>
          <w:szCs w:val="24"/>
        </w:rPr>
        <w:t>.</w:t>
      </w:r>
    </w:p>
    <w:p w:rsidR="008F1F2E" w:rsidRPr="00F533B8" w:rsidRDefault="008F1F2E" w:rsidP="008F1F2E">
      <w:pPr>
        <w:tabs>
          <w:tab w:val="left" w:pos="851"/>
          <w:tab w:val="left" w:pos="8222"/>
        </w:tabs>
        <w:ind w:left="851"/>
        <w:rPr>
          <w:sz w:val="24"/>
          <w:szCs w:val="24"/>
        </w:rPr>
      </w:pPr>
      <w:r w:rsidRPr="00F533B8">
        <w:rPr>
          <w:sz w:val="24"/>
          <w:szCs w:val="24"/>
        </w:rPr>
        <w:t>Officielle, nationale og regionale retningslinjer for anvendelse af antimikrobielle præparater bør tages i betragtning, når veterinærlægemidlet anvendes.</w:t>
      </w:r>
    </w:p>
    <w:p w:rsidR="008F1F2E" w:rsidRPr="00F533B8" w:rsidRDefault="008F1F2E" w:rsidP="008F1F2E">
      <w:pPr>
        <w:tabs>
          <w:tab w:val="left" w:pos="851"/>
          <w:tab w:val="left" w:pos="8222"/>
        </w:tabs>
        <w:ind w:left="851"/>
        <w:rPr>
          <w:sz w:val="24"/>
          <w:szCs w:val="24"/>
        </w:rPr>
      </w:pPr>
      <w:r w:rsidRPr="00F533B8">
        <w:rPr>
          <w:sz w:val="24"/>
          <w:szCs w:val="24"/>
        </w:rPr>
        <w:t xml:space="preserve">Det er nødvendigt at begrænse behandlingsvarigheden, da der ikke kan udelukkes en beskadigelse af kimcellerne med anvendelsen af </w:t>
      </w:r>
      <w:proofErr w:type="spellStart"/>
      <w:r w:rsidRPr="00F533B8">
        <w:rPr>
          <w:sz w:val="24"/>
          <w:szCs w:val="24"/>
        </w:rPr>
        <w:t>metronidazol</w:t>
      </w:r>
      <w:proofErr w:type="spellEnd"/>
      <w:r w:rsidRPr="00F533B8">
        <w:rPr>
          <w:sz w:val="24"/>
          <w:szCs w:val="24"/>
        </w:rPr>
        <w:t>, og da der er blevet observeret en stigning af visse tumorer hos gnavere i langvarige studier med høje doser.</w:t>
      </w:r>
      <w:r w:rsidRPr="00480455">
        <w:rPr>
          <w:rStyle w:val="q4iawc"/>
        </w:rPr>
        <w:t xml:space="preserve"> </w:t>
      </w:r>
      <w:r>
        <w:rPr>
          <w:rStyle w:val="q4iawc"/>
        </w:rPr>
        <w:t>Tyggetabletterne er tilsat smag.</w:t>
      </w:r>
      <w:r>
        <w:rPr>
          <w:rStyle w:val="viiyi"/>
        </w:rPr>
        <w:t xml:space="preserve"> </w:t>
      </w:r>
      <w:r>
        <w:rPr>
          <w:rStyle w:val="q4iawc"/>
        </w:rPr>
        <w:t>For at undgå utilsigtet indtagelse skal tabletterne opbevares utilgængeligt for dyrene.</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b/>
          <w:sz w:val="24"/>
          <w:szCs w:val="24"/>
        </w:rPr>
      </w:pPr>
      <w:r w:rsidRPr="00F533B8">
        <w:rPr>
          <w:b/>
          <w:sz w:val="24"/>
          <w:szCs w:val="24"/>
        </w:rPr>
        <w:t>Særlige forsigtighedsregler for personer, der administrerer lægemidlet</w:t>
      </w:r>
    </w:p>
    <w:p w:rsidR="008F1F2E" w:rsidRDefault="008F1F2E" w:rsidP="008F1F2E">
      <w:pPr>
        <w:tabs>
          <w:tab w:val="left" w:pos="851"/>
          <w:tab w:val="left" w:pos="8222"/>
        </w:tabs>
        <w:ind w:left="851"/>
        <w:rPr>
          <w:sz w:val="24"/>
          <w:szCs w:val="24"/>
        </w:rPr>
      </w:pPr>
      <w:proofErr w:type="spellStart"/>
      <w:r w:rsidRPr="00F533B8">
        <w:rPr>
          <w:sz w:val="24"/>
          <w:szCs w:val="24"/>
        </w:rPr>
        <w:t>Metronidazol</w:t>
      </w:r>
      <w:proofErr w:type="spellEnd"/>
      <w:r w:rsidRPr="00F533B8">
        <w:rPr>
          <w:sz w:val="24"/>
          <w:szCs w:val="24"/>
        </w:rPr>
        <w:t xml:space="preserve"> har bekræftede mutagene og genotoksiske egenskaber på laboratoriedyr samt på mennesker. </w:t>
      </w:r>
      <w:proofErr w:type="spellStart"/>
      <w:r w:rsidRPr="00F533B8">
        <w:rPr>
          <w:sz w:val="24"/>
          <w:szCs w:val="24"/>
        </w:rPr>
        <w:t>Metronidazol</w:t>
      </w:r>
      <w:proofErr w:type="spellEnd"/>
      <w:r w:rsidRPr="00F533B8">
        <w:rPr>
          <w:sz w:val="24"/>
          <w:szCs w:val="24"/>
        </w:rPr>
        <w:t xml:space="preserve"> har også en bekræftet </w:t>
      </w:r>
      <w:proofErr w:type="gramStart"/>
      <w:r w:rsidRPr="00F533B8">
        <w:rPr>
          <w:sz w:val="24"/>
          <w:szCs w:val="24"/>
        </w:rPr>
        <w:t>karcinogen virkning</w:t>
      </w:r>
      <w:proofErr w:type="gramEnd"/>
      <w:r w:rsidRPr="00F533B8">
        <w:rPr>
          <w:sz w:val="24"/>
          <w:szCs w:val="24"/>
        </w:rPr>
        <w:t xml:space="preserve"> på laboratoriedyr, og en mulig karcinogen virkning på mennesker. Hos mennesker er der imidlertid utilstrækkeligt bevis for </w:t>
      </w:r>
      <w:proofErr w:type="spellStart"/>
      <w:r w:rsidRPr="00F533B8">
        <w:rPr>
          <w:sz w:val="24"/>
          <w:szCs w:val="24"/>
        </w:rPr>
        <w:t>karcinogeniciteten</w:t>
      </w:r>
      <w:proofErr w:type="spellEnd"/>
      <w:r w:rsidRPr="00F533B8">
        <w:rPr>
          <w:sz w:val="24"/>
          <w:szCs w:val="24"/>
        </w:rPr>
        <w:t xml:space="preserve"> af </w:t>
      </w:r>
      <w:proofErr w:type="spellStart"/>
      <w:r w:rsidRPr="00F533B8">
        <w:rPr>
          <w:sz w:val="24"/>
          <w:szCs w:val="24"/>
        </w:rPr>
        <w:t>metronidazol</w:t>
      </w:r>
      <w:proofErr w:type="spellEnd"/>
      <w:r w:rsidRPr="00F533B8">
        <w:rPr>
          <w:sz w:val="24"/>
          <w:szCs w:val="24"/>
        </w:rPr>
        <w:t xml:space="preserve">. </w:t>
      </w:r>
    </w:p>
    <w:p w:rsidR="008F1F2E" w:rsidRPr="00F533B8" w:rsidRDefault="008F1F2E" w:rsidP="008F1F2E">
      <w:pPr>
        <w:tabs>
          <w:tab w:val="left" w:pos="851"/>
          <w:tab w:val="left" w:pos="8222"/>
        </w:tabs>
        <w:ind w:left="851"/>
        <w:rPr>
          <w:sz w:val="24"/>
          <w:szCs w:val="24"/>
          <w:lang w:eastAsia="da-DK"/>
        </w:rPr>
      </w:pPr>
      <w:proofErr w:type="spellStart"/>
      <w:r>
        <w:rPr>
          <w:rStyle w:val="q4iawc"/>
        </w:rPr>
        <w:t>Metronidazol</w:t>
      </w:r>
      <w:proofErr w:type="spellEnd"/>
      <w:r>
        <w:rPr>
          <w:rStyle w:val="q4iawc"/>
        </w:rPr>
        <w:t xml:space="preserve"> kan være skadeligt for det ufødte barn.</w:t>
      </w:r>
      <w:r>
        <w:rPr>
          <w:rStyle w:val="viiyi"/>
        </w:rPr>
        <w:t xml:space="preserve"> </w:t>
      </w:r>
      <w:r>
        <w:rPr>
          <w:rStyle w:val="q4iawc"/>
        </w:rPr>
        <w:t>Gravide kvinder bør være forsigtige, når de håndterer dette veterinærlægemiddel.</w:t>
      </w:r>
    </w:p>
    <w:p w:rsidR="008F1F2E" w:rsidRPr="00F533B8" w:rsidRDefault="008F1F2E" w:rsidP="008F1F2E">
      <w:pPr>
        <w:tabs>
          <w:tab w:val="left" w:pos="851"/>
          <w:tab w:val="left" w:pos="8222"/>
        </w:tabs>
        <w:ind w:left="851"/>
        <w:rPr>
          <w:sz w:val="24"/>
          <w:szCs w:val="24"/>
        </w:rPr>
      </w:pPr>
      <w:proofErr w:type="spellStart"/>
      <w:r w:rsidRPr="00F533B8">
        <w:rPr>
          <w:sz w:val="24"/>
          <w:szCs w:val="24"/>
        </w:rPr>
        <w:t>Spiramycin</w:t>
      </w:r>
      <w:proofErr w:type="spellEnd"/>
      <w:r w:rsidRPr="00F533B8">
        <w:rPr>
          <w:sz w:val="24"/>
          <w:szCs w:val="24"/>
        </w:rPr>
        <w:t xml:space="preserve"> </w:t>
      </w:r>
      <w:r>
        <w:rPr>
          <w:sz w:val="24"/>
          <w:szCs w:val="24"/>
        </w:rPr>
        <w:t xml:space="preserve">og </w:t>
      </w:r>
      <w:proofErr w:type="spellStart"/>
      <w:r>
        <w:rPr>
          <w:sz w:val="24"/>
          <w:szCs w:val="24"/>
        </w:rPr>
        <w:t>metronidazol</w:t>
      </w:r>
      <w:proofErr w:type="spellEnd"/>
      <w:r>
        <w:rPr>
          <w:sz w:val="24"/>
          <w:szCs w:val="24"/>
        </w:rPr>
        <w:t xml:space="preserve"> </w:t>
      </w:r>
      <w:r w:rsidRPr="00F533B8">
        <w:rPr>
          <w:sz w:val="24"/>
          <w:szCs w:val="24"/>
        </w:rPr>
        <w:t xml:space="preserve">kan i sjældne tilfælde inducere overfølsomhedsreaktioner, f.eks. </w:t>
      </w:r>
      <w:proofErr w:type="spellStart"/>
      <w:r w:rsidRPr="00F533B8">
        <w:rPr>
          <w:sz w:val="24"/>
          <w:szCs w:val="24"/>
        </w:rPr>
        <w:t>kontakt</w:t>
      </w:r>
      <w:r>
        <w:rPr>
          <w:sz w:val="24"/>
          <w:szCs w:val="24"/>
        </w:rPr>
        <w:softHyphen/>
      </w:r>
      <w:r w:rsidRPr="00F533B8">
        <w:rPr>
          <w:sz w:val="24"/>
          <w:szCs w:val="24"/>
        </w:rPr>
        <w:t>dermatitis</w:t>
      </w:r>
      <w:proofErr w:type="spellEnd"/>
      <w:r w:rsidRPr="00F533B8">
        <w:rPr>
          <w:sz w:val="24"/>
          <w:szCs w:val="24"/>
        </w:rPr>
        <w:t xml:space="preserve">. </w:t>
      </w:r>
    </w:p>
    <w:p w:rsidR="008F1F2E" w:rsidRPr="00F533B8" w:rsidRDefault="008F1F2E" w:rsidP="008F1F2E">
      <w:pPr>
        <w:tabs>
          <w:tab w:val="left" w:pos="851"/>
          <w:tab w:val="left" w:pos="8222"/>
        </w:tabs>
        <w:ind w:left="851"/>
        <w:rPr>
          <w:sz w:val="24"/>
          <w:szCs w:val="24"/>
        </w:rPr>
      </w:pPr>
      <w:r w:rsidRPr="00F533B8">
        <w:rPr>
          <w:sz w:val="24"/>
          <w:szCs w:val="24"/>
        </w:rPr>
        <w:t>Direkte kontakt med brugerens hud eller slimhinder bør undgås, på grund af risikoen for sensibilisering. Præparatet må ikke håndteres, hvis du ved, at du er overfølsom over for det aktive stof eller over for en eller flere af hjælpestofferne.</w:t>
      </w:r>
    </w:p>
    <w:p w:rsidR="008F1F2E" w:rsidRPr="00F533B8" w:rsidRDefault="008F1F2E" w:rsidP="008F1F2E">
      <w:pPr>
        <w:tabs>
          <w:tab w:val="left" w:pos="851"/>
          <w:tab w:val="left" w:pos="8222"/>
        </w:tabs>
        <w:ind w:left="851"/>
        <w:rPr>
          <w:sz w:val="24"/>
          <w:szCs w:val="24"/>
        </w:rPr>
      </w:pPr>
      <w:r w:rsidRPr="00F533B8">
        <w:rPr>
          <w:sz w:val="24"/>
          <w:szCs w:val="24"/>
        </w:rPr>
        <w:t xml:space="preserve">Der skal bæres uigennemtrængelige handsker ved administration af præparatet, for at undgå hudkontakt </w:t>
      </w:r>
      <w:r w:rsidRPr="004B21FA">
        <w:rPr>
          <w:sz w:val="24"/>
          <w:szCs w:val="24"/>
        </w:rPr>
        <w:t>og hånd til mund</w:t>
      </w:r>
      <w:r>
        <w:rPr>
          <w:sz w:val="24"/>
          <w:szCs w:val="24"/>
        </w:rPr>
        <w:t xml:space="preserve">kontakt </w:t>
      </w:r>
      <w:r w:rsidRPr="00F533B8">
        <w:rPr>
          <w:sz w:val="24"/>
          <w:szCs w:val="24"/>
        </w:rPr>
        <w:t>med præparatet.</w:t>
      </w:r>
    </w:p>
    <w:p w:rsidR="008F1F2E" w:rsidRPr="00F533B8" w:rsidRDefault="008F1F2E" w:rsidP="008F1F2E">
      <w:pPr>
        <w:tabs>
          <w:tab w:val="left" w:pos="851"/>
          <w:tab w:val="left" w:pos="8222"/>
        </w:tabs>
        <w:ind w:left="851"/>
        <w:rPr>
          <w:sz w:val="24"/>
          <w:szCs w:val="24"/>
        </w:rPr>
      </w:pPr>
      <w:proofErr w:type="spellStart"/>
      <w:r>
        <w:rPr>
          <w:rStyle w:val="q4iawc"/>
        </w:rPr>
        <w:t>Metronidazol</w:t>
      </w:r>
      <w:proofErr w:type="spellEnd"/>
      <w:r>
        <w:rPr>
          <w:rStyle w:val="q4iawc"/>
        </w:rPr>
        <w:t xml:space="preserve"> kan forårsage uønskede (neurologiske) virkninger, hvis det indtages af et barn.</w:t>
      </w:r>
      <w:r w:rsidRPr="00F533B8">
        <w:rPr>
          <w:sz w:val="24"/>
          <w:szCs w:val="24"/>
        </w:rPr>
        <w:t xml:space="preserve"> For at undgå indgift ved hændeligt uheld, især for børn, skal de ubrugte dele af tabletterne sættes tilbage i den åbne plads i blisterkortet og indsættes i æsken.</w:t>
      </w:r>
    </w:p>
    <w:p w:rsidR="008F1F2E" w:rsidRPr="00F533B8" w:rsidRDefault="008F1F2E" w:rsidP="008F1F2E">
      <w:pPr>
        <w:tabs>
          <w:tab w:val="left" w:pos="851"/>
          <w:tab w:val="left" w:pos="8222"/>
        </w:tabs>
        <w:ind w:left="851"/>
        <w:rPr>
          <w:sz w:val="24"/>
          <w:szCs w:val="24"/>
        </w:rPr>
      </w:pPr>
      <w:r w:rsidRPr="00F533B8">
        <w:rPr>
          <w:sz w:val="24"/>
          <w:szCs w:val="24"/>
        </w:rPr>
        <w:t xml:space="preserve">I tilfælde af indgift ved hændeligt uheld skal der straks søges lægehjælp, og indlægssedlen eller etiketten bør vises til lægen. </w:t>
      </w:r>
    </w:p>
    <w:p w:rsidR="006F7C85" w:rsidRPr="00F533B8" w:rsidRDefault="008F1F2E" w:rsidP="008F1F2E">
      <w:pPr>
        <w:tabs>
          <w:tab w:val="left" w:pos="851"/>
          <w:tab w:val="left" w:pos="8222"/>
        </w:tabs>
        <w:ind w:left="851"/>
        <w:rPr>
          <w:sz w:val="24"/>
          <w:szCs w:val="24"/>
        </w:rPr>
      </w:pPr>
      <w:r w:rsidRPr="00F533B8">
        <w:rPr>
          <w:sz w:val="24"/>
          <w:szCs w:val="24"/>
        </w:rPr>
        <w:t>Vask hænderne grundigt, efter tabletterne håndteres.</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b/>
          <w:sz w:val="24"/>
          <w:szCs w:val="24"/>
        </w:rPr>
      </w:pPr>
      <w:r w:rsidRPr="00F533B8">
        <w:rPr>
          <w:b/>
          <w:sz w:val="24"/>
          <w:szCs w:val="24"/>
        </w:rPr>
        <w:t>Andre forsigtighedsregler</w:t>
      </w:r>
    </w:p>
    <w:p w:rsidR="006F7C85" w:rsidRPr="00F533B8" w:rsidRDefault="006F7C85" w:rsidP="006F7C85">
      <w:pPr>
        <w:tabs>
          <w:tab w:val="left" w:pos="851"/>
          <w:tab w:val="left" w:pos="8222"/>
        </w:tabs>
        <w:ind w:left="851"/>
        <w:rPr>
          <w:sz w:val="24"/>
          <w:szCs w:val="24"/>
        </w:rPr>
      </w:pPr>
      <w:r w:rsidRPr="00F533B8">
        <w:rPr>
          <w:sz w:val="24"/>
          <w:szCs w:val="24"/>
        </w:rPr>
        <w:t>-</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4.6</w:t>
      </w:r>
      <w:r w:rsidRPr="00F533B8">
        <w:rPr>
          <w:b/>
          <w:sz w:val="24"/>
          <w:szCs w:val="24"/>
        </w:rPr>
        <w:tab/>
        <w:t>Bivirkninger</w:t>
      </w:r>
    </w:p>
    <w:p w:rsidR="008F1F2E" w:rsidRPr="00F533B8" w:rsidRDefault="008F1F2E" w:rsidP="008F1F2E">
      <w:pPr>
        <w:tabs>
          <w:tab w:val="left" w:pos="851"/>
          <w:tab w:val="left" w:pos="8222"/>
        </w:tabs>
        <w:ind w:left="851"/>
        <w:rPr>
          <w:sz w:val="24"/>
          <w:szCs w:val="24"/>
          <w:lang w:eastAsia="da-DK"/>
        </w:rPr>
      </w:pPr>
      <w:r>
        <w:rPr>
          <w:rStyle w:val="q4iawc"/>
        </w:rPr>
        <w:t>Opkastning er sjældent blevet observeret hos hunde.</w:t>
      </w:r>
      <w:r w:rsidRPr="00F533B8">
        <w:rPr>
          <w:sz w:val="24"/>
          <w:szCs w:val="24"/>
        </w:rPr>
        <w:t xml:space="preserve"> </w:t>
      </w:r>
    </w:p>
    <w:p w:rsidR="008F1F2E" w:rsidRPr="00F533B8" w:rsidRDefault="008F1F2E" w:rsidP="008F1F2E">
      <w:pPr>
        <w:tabs>
          <w:tab w:val="left" w:pos="851"/>
          <w:tab w:val="left" w:pos="8222"/>
        </w:tabs>
        <w:ind w:left="851"/>
        <w:rPr>
          <w:sz w:val="24"/>
          <w:szCs w:val="24"/>
        </w:rPr>
      </w:pPr>
      <w:r>
        <w:rPr>
          <w:rStyle w:val="q4iawc"/>
        </w:rPr>
        <w:t>Overfølsomhed kan forekomme i sjældne tilfælde.</w:t>
      </w:r>
      <w:r w:rsidRPr="00F533B8">
        <w:rPr>
          <w:sz w:val="24"/>
          <w:szCs w:val="24"/>
        </w:rPr>
        <w:t xml:space="preserve"> I tilfælde af overfølsomhedsreaktioner, skal behandlingen stoppes.</w:t>
      </w:r>
    </w:p>
    <w:p w:rsidR="008F1F2E" w:rsidRDefault="008F1F2E" w:rsidP="008F1F2E">
      <w:pPr>
        <w:tabs>
          <w:tab w:val="left" w:pos="851"/>
          <w:tab w:val="left" w:pos="8222"/>
        </w:tabs>
        <w:ind w:left="851"/>
        <w:rPr>
          <w:sz w:val="24"/>
          <w:szCs w:val="24"/>
        </w:rPr>
      </w:pPr>
      <w:proofErr w:type="spellStart"/>
      <w:r>
        <w:rPr>
          <w:rStyle w:val="q4iawc"/>
        </w:rPr>
        <w:t>Spermatogeneseforstyrrelser</w:t>
      </w:r>
      <w:proofErr w:type="spellEnd"/>
      <w:r>
        <w:rPr>
          <w:rStyle w:val="q4iawc"/>
        </w:rPr>
        <w:t xml:space="preserve"> kan forekomme i meget sjældne tilfælde</w:t>
      </w:r>
      <w:r w:rsidRPr="00F533B8">
        <w:rPr>
          <w:sz w:val="24"/>
          <w:szCs w:val="24"/>
        </w:rPr>
        <w:t>.</w:t>
      </w:r>
    </w:p>
    <w:p w:rsidR="006F7C85" w:rsidRPr="00F533B8" w:rsidRDefault="008F1F2E" w:rsidP="008F1F2E">
      <w:pPr>
        <w:tabs>
          <w:tab w:val="left" w:pos="851"/>
          <w:tab w:val="left" w:pos="8222"/>
        </w:tabs>
        <w:ind w:left="851"/>
        <w:rPr>
          <w:sz w:val="24"/>
          <w:szCs w:val="24"/>
        </w:rPr>
      </w:pPr>
      <w:r>
        <w:rPr>
          <w:rStyle w:val="q4iawc"/>
        </w:rPr>
        <w:t>Hæmaturi kan observeres i meget sjældne tilfælde.</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sz w:val="24"/>
          <w:szCs w:val="24"/>
        </w:rPr>
      </w:pPr>
      <w:r w:rsidRPr="00F533B8">
        <w:rPr>
          <w:sz w:val="24"/>
          <w:szCs w:val="24"/>
        </w:rPr>
        <w:t xml:space="preserve">Hyppigheden af bivirkninger er defineret som: </w:t>
      </w:r>
    </w:p>
    <w:p w:rsidR="006F7C85" w:rsidRPr="00F533B8" w:rsidRDefault="006F7C85" w:rsidP="006F7C85">
      <w:pPr>
        <w:pStyle w:val="Listeafsnit"/>
        <w:numPr>
          <w:ilvl w:val="0"/>
          <w:numId w:val="4"/>
        </w:numPr>
        <w:tabs>
          <w:tab w:val="left" w:pos="851"/>
          <w:tab w:val="left" w:pos="8222"/>
        </w:tabs>
        <w:ind w:left="1134" w:hanging="283"/>
        <w:rPr>
          <w:sz w:val="24"/>
          <w:szCs w:val="24"/>
        </w:rPr>
      </w:pPr>
      <w:r w:rsidRPr="00F533B8">
        <w:rPr>
          <w:sz w:val="24"/>
          <w:szCs w:val="24"/>
        </w:rPr>
        <w:t>Meget almindelig (flere end 1 ud af 10 behandlede dyr, der viser bivirkninger i løbet af en behandling)</w:t>
      </w:r>
    </w:p>
    <w:p w:rsidR="006F7C85" w:rsidRPr="00F533B8" w:rsidRDefault="006F7C85" w:rsidP="006F7C85">
      <w:pPr>
        <w:pStyle w:val="Listeafsnit"/>
        <w:numPr>
          <w:ilvl w:val="0"/>
          <w:numId w:val="4"/>
        </w:numPr>
        <w:tabs>
          <w:tab w:val="left" w:pos="851"/>
          <w:tab w:val="left" w:pos="8222"/>
        </w:tabs>
        <w:ind w:left="1134" w:hanging="283"/>
        <w:rPr>
          <w:sz w:val="24"/>
          <w:szCs w:val="24"/>
        </w:rPr>
      </w:pPr>
      <w:r w:rsidRPr="00F533B8">
        <w:rPr>
          <w:sz w:val="24"/>
          <w:szCs w:val="24"/>
        </w:rPr>
        <w:t xml:space="preserve">Almindelige (flere end 1, men færre end 10 dyr af 100 behandlede dyr) </w:t>
      </w:r>
    </w:p>
    <w:p w:rsidR="006F7C85" w:rsidRPr="00F533B8" w:rsidRDefault="006F7C85" w:rsidP="006F7C85">
      <w:pPr>
        <w:pStyle w:val="Listeafsnit"/>
        <w:numPr>
          <w:ilvl w:val="0"/>
          <w:numId w:val="4"/>
        </w:numPr>
        <w:tabs>
          <w:tab w:val="left" w:pos="851"/>
          <w:tab w:val="left" w:pos="8222"/>
        </w:tabs>
        <w:ind w:left="1134" w:hanging="283"/>
        <w:rPr>
          <w:sz w:val="24"/>
          <w:szCs w:val="24"/>
        </w:rPr>
      </w:pPr>
      <w:r w:rsidRPr="00F533B8">
        <w:rPr>
          <w:sz w:val="24"/>
          <w:szCs w:val="24"/>
        </w:rPr>
        <w:t xml:space="preserve">Ikke almindelige (flere end 1, men færre end 10 dyr af 1.000 behandlede dyr) </w:t>
      </w:r>
    </w:p>
    <w:p w:rsidR="006F7C85" w:rsidRPr="00F533B8" w:rsidRDefault="006F7C85" w:rsidP="006F7C85">
      <w:pPr>
        <w:pStyle w:val="Listeafsnit"/>
        <w:numPr>
          <w:ilvl w:val="0"/>
          <w:numId w:val="4"/>
        </w:numPr>
        <w:tabs>
          <w:tab w:val="left" w:pos="851"/>
          <w:tab w:val="left" w:pos="8222"/>
        </w:tabs>
        <w:ind w:left="1134" w:hanging="283"/>
        <w:rPr>
          <w:sz w:val="24"/>
          <w:szCs w:val="24"/>
        </w:rPr>
      </w:pPr>
      <w:r w:rsidRPr="00F533B8">
        <w:rPr>
          <w:sz w:val="24"/>
          <w:szCs w:val="24"/>
        </w:rPr>
        <w:t xml:space="preserve">Sjældne (flere end 1, men færre end 10 dyr ud af 10.000 behandlede dyr) </w:t>
      </w:r>
    </w:p>
    <w:p w:rsidR="006F7C85" w:rsidRPr="00F533B8" w:rsidRDefault="006F7C85" w:rsidP="006F7C85">
      <w:pPr>
        <w:pStyle w:val="Listeafsnit"/>
        <w:numPr>
          <w:ilvl w:val="0"/>
          <w:numId w:val="4"/>
        </w:numPr>
        <w:tabs>
          <w:tab w:val="left" w:pos="851"/>
          <w:tab w:val="left" w:pos="8222"/>
        </w:tabs>
        <w:ind w:left="1134" w:hanging="283"/>
        <w:rPr>
          <w:sz w:val="24"/>
          <w:szCs w:val="24"/>
        </w:rPr>
      </w:pPr>
      <w:r w:rsidRPr="00F533B8">
        <w:rPr>
          <w:sz w:val="24"/>
          <w:szCs w:val="24"/>
        </w:rPr>
        <w:t>Meget sjælden (færre end 1 dyr ud af 10.000 behandlede dyr, herunder isolerede rapporter)</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4.7</w:t>
      </w:r>
      <w:r w:rsidRPr="00F533B8">
        <w:rPr>
          <w:b/>
          <w:sz w:val="24"/>
          <w:szCs w:val="24"/>
        </w:rPr>
        <w:tab/>
        <w:t>Drægtighed, diegivning eller æglægning</w:t>
      </w:r>
    </w:p>
    <w:p w:rsidR="006F7C85" w:rsidRPr="00F533B8" w:rsidRDefault="006F7C85" w:rsidP="006F7C85">
      <w:pPr>
        <w:tabs>
          <w:tab w:val="left" w:pos="851"/>
          <w:tab w:val="left" w:pos="8222"/>
        </w:tabs>
        <w:ind w:left="851"/>
        <w:rPr>
          <w:sz w:val="24"/>
          <w:szCs w:val="24"/>
          <w:lang w:eastAsia="da-DK"/>
        </w:rPr>
      </w:pPr>
      <w:r w:rsidRPr="00F533B8">
        <w:rPr>
          <w:sz w:val="24"/>
          <w:szCs w:val="24"/>
        </w:rPr>
        <w:t xml:space="preserve">Det er ikke blevet fundet, at </w:t>
      </w:r>
      <w:proofErr w:type="spellStart"/>
      <w:r w:rsidRPr="00F533B8">
        <w:rPr>
          <w:sz w:val="24"/>
          <w:szCs w:val="24"/>
        </w:rPr>
        <w:t>spiramycin</w:t>
      </w:r>
      <w:proofErr w:type="spellEnd"/>
      <w:r w:rsidRPr="00F533B8">
        <w:rPr>
          <w:sz w:val="24"/>
          <w:szCs w:val="24"/>
        </w:rPr>
        <w:t xml:space="preserve"> er </w:t>
      </w:r>
      <w:proofErr w:type="spellStart"/>
      <w:r w:rsidRPr="00F533B8">
        <w:rPr>
          <w:sz w:val="24"/>
          <w:szCs w:val="24"/>
        </w:rPr>
        <w:t>teratogent</w:t>
      </w:r>
      <w:proofErr w:type="spellEnd"/>
      <w:r w:rsidRPr="00F533B8">
        <w:rPr>
          <w:sz w:val="24"/>
          <w:szCs w:val="24"/>
        </w:rPr>
        <w:t xml:space="preserve"> eller embryo- eller </w:t>
      </w:r>
      <w:proofErr w:type="spellStart"/>
      <w:r w:rsidRPr="00F533B8">
        <w:rPr>
          <w:sz w:val="24"/>
          <w:szCs w:val="24"/>
        </w:rPr>
        <w:t>føtotoksisk</w:t>
      </w:r>
      <w:proofErr w:type="spellEnd"/>
      <w:r w:rsidRPr="00F533B8">
        <w:rPr>
          <w:sz w:val="24"/>
          <w:szCs w:val="24"/>
        </w:rPr>
        <w:t xml:space="preserve">. Studier af laboratoriedyr har vist inkonsistente resultater hvad angår </w:t>
      </w:r>
      <w:proofErr w:type="spellStart"/>
      <w:r w:rsidRPr="00F533B8">
        <w:rPr>
          <w:sz w:val="24"/>
          <w:szCs w:val="24"/>
        </w:rPr>
        <w:t>teratogene</w:t>
      </w:r>
      <w:proofErr w:type="spellEnd"/>
      <w:r w:rsidRPr="00F533B8">
        <w:rPr>
          <w:sz w:val="24"/>
          <w:szCs w:val="24"/>
        </w:rPr>
        <w:t>/embryo</w:t>
      </w:r>
      <w:r>
        <w:rPr>
          <w:sz w:val="24"/>
          <w:szCs w:val="24"/>
        </w:rPr>
        <w:softHyphen/>
      </w:r>
      <w:r w:rsidRPr="00F533B8">
        <w:rPr>
          <w:sz w:val="24"/>
          <w:szCs w:val="24"/>
        </w:rPr>
        <w:t xml:space="preserve">toksiske virkninger af </w:t>
      </w:r>
      <w:proofErr w:type="spellStart"/>
      <w:r w:rsidRPr="00F533B8">
        <w:rPr>
          <w:sz w:val="24"/>
          <w:szCs w:val="24"/>
        </w:rPr>
        <w:t>metronidazol</w:t>
      </w:r>
      <w:proofErr w:type="spellEnd"/>
      <w:r w:rsidRPr="00F533B8">
        <w:rPr>
          <w:sz w:val="24"/>
          <w:szCs w:val="24"/>
        </w:rPr>
        <w:t xml:space="preserve">. Derfor frarådes anvendelsen af dette præparat under drægtigheden. </w:t>
      </w:r>
      <w:proofErr w:type="spellStart"/>
      <w:r w:rsidRPr="00F533B8">
        <w:rPr>
          <w:sz w:val="24"/>
          <w:szCs w:val="24"/>
        </w:rPr>
        <w:t>Metronidazol</w:t>
      </w:r>
      <w:proofErr w:type="spellEnd"/>
      <w:r w:rsidRPr="00F533B8">
        <w:rPr>
          <w:sz w:val="24"/>
          <w:szCs w:val="24"/>
        </w:rPr>
        <w:t xml:space="preserve"> og </w:t>
      </w:r>
      <w:proofErr w:type="spellStart"/>
      <w:r w:rsidRPr="00F533B8">
        <w:rPr>
          <w:sz w:val="24"/>
          <w:szCs w:val="24"/>
        </w:rPr>
        <w:t>spiramycin</w:t>
      </w:r>
      <w:proofErr w:type="spellEnd"/>
      <w:r w:rsidRPr="00F533B8">
        <w:rPr>
          <w:sz w:val="24"/>
          <w:szCs w:val="24"/>
        </w:rPr>
        <w:t xml:space="preserve"> udskilles i mælken, og det bør derfor ikke anvendes under </w:t>
      </w:r>
      <w:r>
        <w:rPr>
          <w:sz w:val="24"/>
          <w:szCs w:val="24"/>
        </w:rPr>
        <w:t>diegivning</w:t>
      </w:r>
      <w:r w:rsidRPr="00F533B8">
        <w:rPr>
          <w:sz w:val="24"/>
          <w:szCs w:val="24"/>
        </w:rPr>
        <w:t>.</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4.8</w:t>
      </w:r>
      <w:r w:rsidRPr="00F533B8">
        <w:rPr>
          <w:b/>
          <w:sz w:val="24"/>
          <w:szCs w:val="24"/>
        </w:rPr>
        <w:tab/>
        <w:t>Interaktion med andre lægemidler og andre former for interaktion</w:t>
      </w:r>
    </w:p>
    <w:p w:rsidR="006F7C85" w:rsidRPr="00F533B8" w:rsidRDefault="008F1F2E" w:rsidP="006F7C85">
      <w:pPr>
        <w:tabs>
          <w:tab w:val="left" w:pos="851"/>
          <w:tab w:val="left" w:pos="8222"/>
        </w:tabs>
        <w:ind w:left="851"/>
        <w:rPr>
          <w:sz w:val="24"/>
          <w:szCs w:val="24"/>
          <w:lang w:eastAsia="da-DK"/>
        </w:rPr>
      </w:pPr>
      <w:r w:rsidRPr="00F533B8">
        <w:rPr>
          <w:szCs w:val="24"/>
        </w:rPr>
        <w:t>Bør ikke anvendes samtidigt med baktericide antibiotika</w:t>
      </w:r>
      <w:r>
        <w:rPr>
          <w:szCs w:val="24"/>
        </w:rPr>
        <w:t>.</w:t>
      </w:r>
      <w:r w:rsidRPr="00F533B8">
        <w:rPr>
          <w:sz w:val="24"/>
          <w:szCs w:val="24"/>
        </w:rPr>
        <w:t xml:space="preserve"> </w:t>
      </w:r>
      <w:r w:rsidR="006F7C85" w:rsidRPr="00F533B8">
        <w:rPr>
          <w:sz w:val="24"/>
          <w:szCs w:val="24"/>
        </w:rPr>
        <w:t xml:space="preserve">Makrolider, såsom f.eks. </w:t>
      </w:r>
      <w:proofErr w:type="spellStart"/>
      <w:r w:rsidR="006F7C85" w:rsidRPr="00F533B8">
        <w:rPr>
          <w:sz w:val="24"/>
          <w:szCs w:val="24"/>
        </w:rPr>
        <w:t>spiramycin</w:t>
      </w:r>
      <w:proofErr w:type="spellEnd"/>
      <w:r w:rsidR="006F7C85" w:rsidRPr="00F533B8">
        <w:rPr>
          <w:sz w:val="24"/>
          <w:szCs w:val="24"/>
        </w:rPr>
        <w:t xml:space="preserve">, virker antagonistisk over for penicilliner og </w:t>
      </w:r>
      <w:proofErr w:type="spellStart"/>
      <w:r w:rsidR="006F7C85" w:rsidRPr="00F533B8">
        <w:rPr>
          <w:sz w:val="24"/>
          <w:szCs w:val="24"/>
        </w:rPr>
        <w:t>cefalosporiner</w:t>
      </w:r>
      <w:proofErr w:type="spellEnd"/>
      <w:r w:rsidR="006F7C85" w:rsidRPr="00F533B8">
        <w:rPr>
          <w:sz w:val="24"/>
          <w:szCs w:val="24"/>
        </w:rPr>
        <w:t>.</w:t>
      </w:r>
    </w:p>
    <w:p w:rsidR="006F7C85" w:rsidRPr="00F533B8" w:rsidRDefault="006F7C85" w:rsidP="006F7C85">
      <w:pPr>
        <w:tabs>
          <w:tab w:val="left" w:pos="851"/>
          <w:tab w:val="left" w:pos="8222"/>
        </w:tabs>
        <w:ind w:left="851"/>
        <w:rPr>
          <w:sz w:val="24"/>
          <w:szCs w:val="24"/>
        </w:rPr>
      </w:pPr>
      <w:r w:rsidRPr="00F533B8">
        <w:rPr>
          <w:sz w:val="24"/>
          <w:szCs w:val="24"/>
        </w:rPr>
        <w:t>Præparatet må ikke anvendes samtidigt med andre antibiotika i makrolid-gruppen.</w:t>
      </w:r>
    </w:p>
    <w:p w:rsidR="006F7C85" w:rsidRPr="00F533B8" w:rsidRDefault="006F7C85" w:rsidP="006F7C85">
      <w:pPr>
        <w:tabs>
          <w:tab w:val="left" w:pos="851"/>
          <w:tab w:val="left" w:pos="8222"/>
        </w:tabs>
        <w:ind w:left="851"/>
        <w:rPr>
          <w:sz w:val="24"/>
          <w:szCs w:val="24"/>
        </w:rPr>
      </w:pPr>
      <w:proofErr w:type="spellStart"/>
      <w:r w:rsidRPr="00F533B8">
        <w:rPr>
          <w:sz w:val="24"/>
          <w:szCs w:val="24"/>
        </w:rPr>
        <w:t>Metronidazol</w:t>
      </w:r>
      <w:proofErr w:type="spellEnd"/>
      <w:r w:rsidRPr="00F533B8">
        <w:rPr>
          <w:sz w:val="24"/>
          <w:szCs w:val="24"/>
        </w:rPr>
        <w:t xml:space="preserve"> kan have en hæmmende virkning på nedbrydningen af andre lægemidler i leveren, såsom </w:t>
      </w:r>
      <w:proofErr w:type="spellStart"/>
      <w:r w:rsidRPr="00F533B8">
        <w:rPr>
          <w:sz w:val="24"/>
          <w:szCs w:val="24"/>
        </w:rPr>
        <w:t>phenytoin</w:t>
      </w:r>
      <w:proofErr w:type="spellEnd"/>
      <w:r w:rsidRPr="00F533B8">
        <w:rPr>
          <w:sz w:val="24"/>
          <w:szCs w:val="24"/>
        </w:rPr>
        <w:t xml:space="preserve">, </w:t>
      </w:r>
      <w:proofErr w:type="spellStart"/>
      <w:r w:rsidRPr="00F533B8">
        <w:rPr>
          <w:sz w:val="24"/>
          <w:szCs w:val="24"/>
        </w:rPr>
        <w:t>ciclosporin</w:t>
      </w:r>
      <w:proofErr w:type="spellEnd"/>
      <w:r w:rsidRPr="00F533B8">
        <w:rPr>
          <w:sz w:val="24"/>
          <w:szCs w:val="24"/>
        </w:rPr>
        <w:t xml:space="preserve"> og </w:t>
      </w:r>
      <w:proofErr w:type="spellStart"/>
      <w:r w:rsidRPr="00F533B8">
        <w:rPr>
          <w:sz w:val="24"/>
          <w:szCs w:val="24"/>
        </w:rPr>
        <w:t>warfarin</w:t>
      </w:r>
      <w:proofErr w:type="spellEnd"/>
      <w:r w:rsidRPr="00F533B8">
        <w:rPr>
          <w:sz w:val="24"/>
          <w:szCs w:val="24"/>
        </w:rPr>
        <w:t>.</w:t>
      </w:r>
    </w:p>
    <w:p w:rsidR="006F7C85" w:rsidRPr="00F533B8" w:rsidRDefault="006F7C85" w:rsidP="006F7C85">
      <w:pPr>
        <w:tabs>
          <w:tab w:val="left" w:pos="851"/>
          <w:tab w:val="left" w:pos="8222"/>
        </w:tabs>
        <w:ind w:left="851"/>
        <w:rPr>
          <w:sz w:val="24"/>
          <w:szCs w:val="24"/>
        </w:rPr>
      </w:pPr>
      <w:proofErr w:type="spellStart"/>
      <w:r w:rsidRPr="00F533B8">
        <w:rPr>
          <w:sz w:val="24"/>
          <w:szCs w:val="24"/>
        </w:rPr>
        <w:t>Phenobarbital</w:t>
      </w:r>
      <w:proofErr w:type="spellEnd"/>
      <w:r w:rsidRPr="00F533B8">
        <w:rPr>
          <w:sz w:val="24"/>
          <w:szCs w:val="24"/>
        </w:rPr>
        <w:t xml:space="preserve"> kan nedsætte levermetabolismen af </w:t>
      </w:r>
      <w:proofErr w:type="spellStart"/>
      <w:r w:rsidRPr="00F533B8">
        <w:rPr>
          <w:sz w:val="24"/>
          <w:szCs w:val="24"/>
        </w:rPr>
        <w:t>metronidazol</w:t>
      </w:r>
      <w:proofErr w:type="spellEnd"/>
      <w:r w:rsidRPr="00F533B8">
        <w:rPr>
          <w:sz w:val="24"/>
          <w:szCs w:val="24"/>
        </w:rPr>
        <w:t xml:space="preserve">, og føre til nedsatte serumkoncentrationer af </w:t>
      </w:r>
      <w:proofErr w:type="spellStart"/>
      <w:r w:rsidRPr="00F533B8">
        <w:rPr>
          <w:sz w:val="24"/>
          <w:szCs w:val="24"/>
        </w:rPr>
        <w:t>metronidazol</w:t>
      </w:r>
      <w:proofErr w:type="spellEnd"/>
      <w:r w:rsidRPr="00F533B8">
        <w:rPr>
          <w:sz w:val="24"/>
          <w:szCs w:val="24"/>
        </w:rPr>
        <w:t>.</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4.9</w:t>
      </w:r>
      <w:r w:rsidRPr="00F533B8">
        <w:rPr>
          <w:b/>
          <w:sz w:val="24"/>
          <w:szCs w:val="24"/>
        </w:rPr>
        <w:tab/>
        <w:t>Dosering og indgivelsesmåde</w:t>
      </w:r>
    </w:p>
    <w:p w:rsidR="006F7C85" w:rsidRPr="00F533B8" w:rsidRDefault="006F7C85" w:rsidP="006F7C85">
      <w:pPr>
        <w:tabs>
          <w:tab w:val="left" w:pos="851"/>
          <w:tab w:val="left" w:pos="8222"/>
        </w:tabs>
        <w:ind w:left="851"/>
        <w:rPr>
          <w:sz w:val="24"/>
          <w:szCs w:val="24"/>
          <w:lang w:eastAsia="da-DK"/>
        </w:rPr>
      </w:pPr>
      <w:r w:rsidRPr="00F533B8">
        <w:rPr>
          <w:sz w:val="24"/>
          <w:szCs w:val="24"/>
        </w:rPr>
        <w:t>Oral a</w:t>
      </w:r>
      <w:r>
        <w:rPr>
          <w:sz w:val="24"/>
          <w:szCs w:val="24"/>
        </w:rPr>
        <w:t>nvendelse</w:t>
      </w:r>
      <w:r w:rsidRPr="00F533B8">
        <w:rPr>
          <w:sz w:val="24"/>
          <w:szCs w:val="24"/>
        </w:rPr>
        <w:t>.</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sz w:val="24"/>
          <w:szCs w:val="24"/>
        </w:rPr>
      </w:pPr>
      <w:r w:rsidRPr="00F533B8">
        <w:rPr>
          <w:sz w:val="24"/>
          <w:szCs w:val="24"/>
        </w:rPr>
        <w:t xml:space="preserve">75.000 IE </w:t>
      </w:r>
      <w:proofErr w:type="spellStart"/>
      <w:r w:rsidRPr="00F533B8">
        <w:rPr>
          <w:sz w:val="24"/>
          <w:szCs w:val="24"/>
        </w:rPr>
        <w:t>spiramycin</w:t>
      </w:r>
      <w:proofErr w:type="spellEnd"/>
      <w:r w:rsidRPr="00F533B8">
        <w:rPr>
          <w:sz w:val="24"/>
          <w:szCs w:val="24"/>
        </w:rPr>
        <w:t xml:space="preserve"> + 12,5 mg </w:t>
      </w:r>
      <w:proofErr w:type="spellStart"/>
      <w:r w:rsidRPr="00F533B8">
        <w:rPr>
          <w:sz w:val="24"/>
          <w:szCs w:val="24"/>
        </w:rPr>
        <w:t>metronidazol</w:t>
      </w:r>
      <w:proofErr w:type="spellEnd"/>
      <w:r w:rsidRPr="00F533B8">
        <w:rPr>
          <w:sz w:val="24"/>
          <w:szCs w:val="24"/>
        </w:rPr>
        <w:t xml:space="preserve"> pr. kg legemsvægt, i mere svære tilfælde 100.000 IE </w:t>
      </w:r>
      <w:proofErr w:type="spellStart"/>
      <w:r w:rsidRPr="00F533B8">
        <w:rPr>
          <w:sz w:val="24"/>
          <w:szCs w:val="24"/>
        </w:rPr>
        <w:t>spiramycin</w:t>
      </w:r>
      <w:proofErr w:type="spellEnd"/>
      <w:r w:rsidRPr="00F533B8">
        <w:rPr>
          <w:sz w:val="24"/>
          <w:szCs w:val="24"/>
        </w:rPr>
        <w:t xml:space="preserve"> + 16,7 mg </w:t>
      </w:r>
      <w:proofErr w:type="spellStart"/>
      <w:r w:rsidRPr="00F533B8">
        <w:rPr>
          <w:sz w:val="24"/>
          <w:szCs w:val="24"/>
        </w:rPr>
        <w:t>metronidazol</w:t>
      </w:r>
      <w:proofErr w:type="spellEnd"/>
      <w:r w:rsidRPr="00F533B8">
        <w:rPr>
          <w:sz w:val="24"/>
          <w:szCs w:val="24"/>
        </w:rPr>
        <w:t xml:space="preserve"> pr. kg legemsvægt, administreret dagligt i 6</w:t>
      </w:r>
      <w:r>
        <w:rPr>
          <w:sz w:val="24"/>
          <w:szCs w:val="24"/>
        </w:rPr>
        <w:t>-</w:t>
      </w:r>
      <w:r w:rsidRPr="00F533B8">
        <w:rPr>
          <w:sz w:val="24"/>
          <w:szCs w:val="24"/>
        </w:rPr>
        <w:t>10 dage, afhængigt af sygdommens sværhedsgrad.</w:t>
      </w:r>
    </w:p>
    <w:p w:rsidR="006F7C85" w:rsidRPr="00F533B8" w:rsidRDefault="006F7C85" w:rsidP="006F7C85">
      <w:pPr>
        <w:tabs>
          <w:tab w:val="left" w:pos="851"/>
          <w:tab w:val="left" w:pos="8222"/>
        </w:tabs>
        <w:ind w:left="851"/>
        <w:rPr>
          <w:sz w:val="24"/>
          <w:szCs w:val="24"/>
        </w:rPr>
      </w:pPr>
      <w:r w:rsidRPr="00F533B8">
        <w:rPr>
          <w:sz w:val="24"/>
          <w:szCs w:val="24"/>
        </w:rPr>
        <w:t xml:space="preserve">I svære tilfælde kan der startes med den højere dosis, og der kan gås tilbage til den lavere dosis i løbet af behandlingen. </w:t>
      </w:r>
    </w:p>
    <w:p w:rsidR="006F7C85" w:rsidRPr="00F533B8" w:rsidRDefault="006F7C85" w:rsidP="006F7C85">
      <w:pPr>
        <w:tabs>
          <w:tab w:val="left" w:pos="851"/>
          <w:tab w:val="left" w:pos="8222"/>
        </w:tabs>
        <w:ind w:left="851"/>
        <w:rPr>
          <w:sz w:val="24"/>
          <w:szCs w:val="24"/>
        </w:rPr>
      </w:pPr>
      <w:r w:rsidRPr="00F533B8">
        <w:rPr>
          <w:sz w:val="24"/>
          <w:szCs w:val="24"/>
        </w:rPr>
        <w:t xml:space="preserve">Den daglige dosis kan gives én gang dagligt, eller deles i to lige store dele til administration to gange dagligt. </w:t>
      </w:r>
    </w:p>
    <w:p w:rsidR="006F7C85" w:rsidRPr="00F533B8" w:rsidRDefault="006F7C85" w:rsidP="006F7C85">
      <w:pPr>
        <w:tabs>
          <w:tab w:val="left" w:pos="851"/>
          <w:tab w:val="left" w:pos="8222"/>
        </w:tabs>
        <w:ind w:left="851"/>
        <w:rPr>
          <w:sz w:val="24"/>
          <w:szCs w:val="24"/>
        </w:rPr>
      </w:pPr>
      <w:r w:rsidRPr="00F533B8">
        <w:rPr>
          <w:sz w:val="24"/>
          <w:szCs w:val="24"/>
        </w:rPr>
        <w:t xml:space="preserve">Behandlingen bør altid fortsætte i 1-2 dage efter symptomerne er væk, for at forhindre tilbagefald. Tabletterne skal administreres enten langt inde i munden (på tungeroden) eller gives indsat i små mængder føde, for at sikre, at hele tabletten indtages. </w:t>
      </w:r>
    </w:p>
    <w:p w:rsidR="006F7C85" w:rsidRPr="00F533B8" w:rsidRDefault="006F7C85" w:rsidP="006F7C85">
      <w:pPr>
        <w:tabs>
          <w:tab w:val="left" w:pos="851"/>
          <w:tab w:val="left" w:pos="8222"/>
        </w:tabs>
        <w:ind w:left="851"/>
        <w:rPr>
          <w:sz w:val="24"/>
          <w:szCs w:val="24"/>
        </w:rPr>
      </w:pPr>
      <w:r w:rsidRPr="00F533B8">
        <w:rPr>
          <w:sz w:val="24"/>
          <w:szCs w:val="24"/>
        </w:rPr>
        <w:t xml:space="preserve">For at sikre administration af den korrekte dosering, skal legemsvægten bestemmes så nøjagtigt som muligt, for at undgå underdosering. Den følgende tabel er beregnet som en guide til at levere præparatet med en standarddosishastighed på 75.000 IE </w:t>
      </w:r>
      <w:proofErr w:type="spellStart"/>
      <w:r w:rsidRPr="00F533B8">
        <w:rPr>
          <w:sz w:val="24"/>
          <w:szCs w:val="24"/>
        </w:rPr>
        <w:t>spiramycin</w:t>
      </w:r>
      <w:proofErr w:type="spellEnd"/>
      <w:r w:rsidRPr="00F533B8">
        <w:rPr>
          <w:sz w:val="24"/>
          <w:szCs w:val="24"/>
        </w:rPr>
        <w:t xml:space="preserve"> + 12,5 mg </w:t>
      </w:r>
      <w:proofErr w:type="spellStart"/>
      <w:r w:rsidRPr="00F533B8">
        <w:rPr>
          <w:sz w:val="24"/>
          <w:szCs w:val="24"/>
        </w:rPr>
        <w:t>metronidazol</w:t>
      </w:r>
      <w:proofErr w:type="spellEnd"/>
      <w:r w:rsidRPr="00F533B8">
        <w:rPr>
          <w:sz w:val="24"/>
          <w:szCs w:val="24"/>
        </w:rPr>
        <w:t xml:space="preserve"> pr. kg legemsvægt.</w:t>
      </w:r>
    </w:p>
    <w:p w:rsidR="006F7C85" w:rsidRPr="00F533B8" w:rsidRDefault="006F7C85" w:rsidP="006F7C85">
      <w:pPr>
        <w:rPr>
          <w:bCs/>
          <w:iCs/>
          <w:sz w:val="24"/>
          <w:szCs w:val="24"/>
        </w:rPr>
      </w:pPr>
    </w:p>
    <w:tbl>
      <w:tblPr>
        <w:tblW w:w="5000" w:type="pct"/>
        <w:tblLook w:val="04A0" w:firstRow="1" w:lastRow="0" w:firstColumn="1" w:lastColumn="0" w:noHBand="0" w:noVBand="1"/>
      </w:tblPr>
      <w:tblGrid>
        <w:gridCol w:w="2207"/>
        <w:gridCol w:w="2374"/>
        <w:gridCol w:w="2526"/>
        <w:gridCol w:w="2526"/>
      </w:tblGrid>
      <w:tr w:rsidR="006F7C85" w:rsidRPr="00F533B8" w:rsidTr="00AB5E79">
        <w:trPr>
          <w:trHeight w:val="721"/>
        </w:trPr>
        <w:tc>
          <w:tcPr>
            <w:tcW w:w="1145" w:type="pct"/>
            <w:tcBorders>
              <w:top w:val="nil"/>
              <w:left w:val="nil"/>
              <w:bottom w:val="single" w:sz="4" w:space="0" w:color="FFFFFF"/>
              <w:right w:val="single" w:sz="4" w:space="0" w:color="FFFFFF"/>
            </w:tcBorders>
            <w:shd w:val="clear" w:color="auto" w:fill="ECECEC"/>
            <w:vAlign w:val="center"/>
            <w:hideMark/>
          </w:tcPr>
          <w:p w:rsidR="006F7C85" w:rsidRPr="00F533B8" w:rsidRDefault="006F7C85" w:rsidP="00AB5E79">
            <w:pPr>
              <w:rPr>
                <w:b/>
                <w:bCs/>
                <w:iCs/>
                <w:sz w:val="24"/>
                <w:szCs w:val="24"/>
              </w:rPr>
            </w:pPr>
            <w:r w:rsidRPr="00F533B8">
              <w:rPr>
                <w:b/>
                <w:sz w:val="24"/>
                <w:szCs w:val="24"/>
              </w:rPr>
              <w:t>Legemsvægt</w:t>
            </w:r>
          </w:p>
        </w:tc>
        <w:tc>
          <w:tcPr>
            <w:tcW w:w="1232" w:type="pct"/>
            <w:tcBorders>
              <w:top w:val="nil"/>
              <w:left w:val="single" w:sz="4" w:space="0" w:color="FFFFFF"/>
              <w:bottom w:val="single" w:sz="4" w:space="0" w:color="FFFFFF"/>
              <w:right w:val="single" w:sz="4" w:space="0" w:color="FFFFFF"/>
            </w:tcBorders>
            <w:shd w:val="clear" w:color="auto" w:fill="ECECEC"/>
            <w:vAlign w:val="center"/>
            <w:hideMark/>
          </w:tcPr>
          <w:p w:rsidR="006F7C85" w:rsidRPr="00F533B8" w:rsidRDefault="006F7C85" w:rsidP="00AB5E79">
            <w:pPr>
              <w:jc w:val="center"/>
              <w:rPr>
                <w:b/>
                <w:bCs/>
                <w:iCs/>
                <w:sz w:val="24"/>
                <w:szCs w:val="24"/>
              </w:rPr>
            </w:pPr>
            <w:proofErr w:type="spellStart"/>
            <w:r w:rsidRPr="00F533B8">
              <w:rPr>
                <w:b/>
                <w:sz w:val="24"/>
                <w:szCs w:val="24"/>
              </w:rPr>
              <w:t>Spizobactin</w:t>
            </w:r>
            <w:proofErr w:type="spellEnd"/>
            <w:r w:rsidRPr="00F533B8">
              <w:rPr>
                <w:b/>
                <w:sz w:val="24"/>
                <w:szCs w:val="24"/>
              </w:rPr>
              <w:t xml:space="preserve"> </w:t>
            </w:r>
            <w:proofErr w:type="spellStart"/>
            <w:r>
              <w:rPr>
                <w:b/>
                <w:sz w:val="24"/>
                <w:szCs w:val="24"/>
              </w:rPr>
              <w:t>V</w:t>
            </w:r>
            <w:r w:rsidRPr="00F533B8">
              <w:rPr>
                <w:b/>
                <w:sz w:val="24"/>
                <w:szCs w:val="24"/>
              </w:rPr>
              <w:t>et</w:t>
            </w:r>
            <w:proofErr w:type="spellEnd"/>
            <w:r>
              <w:rPr>
                <w:b/>
                <w:sz w:val="24"/>
                <w:szCs w:val="24"/>
              </w:rPr>
              <w:t>.</w:t>
            </w:r>
            <w:r w:rsidRPr="00F533B8">
              <w:rPr>
                <w:b/>
                <w:bCs/>
                <w:iCs/>
                <w:sz w:val="24"/>
                <w:szCs w:val="24"/>
              </w:rPr>
              <w:br/>
            </w:r>
            <w:r w:rsidRPr="00F533B8">
              <w:rPr>
                <w:b/>
                <w:sz w:val="24"/>
                <w:szCs w:val="24"/>
              </w:rPr>
              <w:t>750.000 IE/125 mg</w:t>
            </w:r>
          </w:p>
          <w:p w:rsidR="006F7C85" w:rsidRPr="00F533B8" w:rsidRDefault="006F7C85" w:rsidP="00AB5E79">
            <w:pPr>
              <w:jc w:val="center"/>
              <w:rPr>
                <w:b/>
                <w:bCs/>
                <w:iCs/>
                <w:sz w:val="24"/>
                <w:szCs w:val="24"/>
              </w:rPr>
            </w:pPr>
            <w:r w:rsidRPr="00F533B8">
              <w:rPr>
                <w:b/>
                <w:sz w:val="24"/>
                <w:szCs w:val="24"/>
              </w:rPr>
              <w:t xml:space="preserve">til hunde </w:t>
            </w:r>
          </w:p>
        </w:tc>
        <w:tc>
          <w:tcPr>
            <w:tcW w:w="1311" w:type="pct"/>
            <w:tcBorders>
              <w:top w:val="nil"/>
              <w:left w:val="single" w:sz="4" w:space="0" w:color="FFFFFF"/>
              <w:bottom w:val="single" w:sz="4" w:space="0" w:color="FFFFFF"/>
              <w:right w:val="nil"/>
            </w:tcBorders>
            <w:shd w:val="clear" w:color="auto" w:fill="ECECEC"/>
            <w:vAlign w:val="center"/>
            <w:hideMark/>
          </w:tcPr>
          <w:p w:rsidR="006F7C85" w:rsidRPr="00F533B8" w:rsidRDefault="006F7C85" w:rsidP="00AB5E79">
            <w:pPr>
              <w:jc w:val="center"/>
              <w:rPr>
                <w:b/>
                <w:bCs/>
                <w:iCs/>
                <w:sz w:val="24"/>
                <w:szCs w:val="24"/>
              </w:rPr>
            </w:pPr>
            <w:proofErr w:type="spellStart"/>
            <w:r>
              <w:rPr>
                <w:b/>
                <w:sz w:val="24"/>
                <w:szCs w:val="24"/>
              </w:rPr>
              <w:t>Spizobactin</w:t>
            </w:r>
            <w:proofErr w:type="spellEnd"/>
            <w:r>
              <w:rPr>
                <w:b/>
                <w:sz w:val="24"/>
                <w:szCs w:val="24"/>
              </w:rPr>
              <w:t xml:space="preserve"> </w:t>
            </w:r>
            <w:proofErr w:type="spellStart"/>
            <w:r>
              <w:rPr>
                <w:b/>
                <w:sz w:val="24"/>
                <w:szCs w:val="24"/>
              </w:rPr>
              <w:t>V</w:t>
            </w:r>
            <w:r w:rsidRPr="00F533B8">
              <w:rPr>
                <w:b/>
                <w:sz w:val="24"/>
                <w:szCs w:val="24"/>
              </w:rPr>
              <w:t>et</w:t>
            </w:r>
            <w:proofErr w:type="spellEnd"/>
            <w:r>
              <w:rPr>
                <w:b/>
                <w:sz w:val="24"/>
                <w:szCs w:val="24"/>
              </w:rPr>
              <w:t>.</w:t>
            </w:r>
            <w:r w:rsidRPr="00F533B8">
              <w:rPr>
                <w:b/>
                <w:bCs/>
                <w:iCs/>
                <w:sz w:val="24"/>
                <w:szCs w:val="24"/>
              </w:rPr>
              <w:br/>
            </w:r>
            <w:r w:rsidRPr="00F533B8">
              <w:rPr>
                <w:b/>
                <w:sz w:val="24"/>
                <w:szCs w:val="24"/>
              </w:rPr>
              <w:t xml:space="preserve">1.500.000 IE/250 mg </w:t>
            </w:r>
            <w:r w:rsidRPr="00F533B8">
              <w:rPr>
                <w:b/>
                <w:bCs/>
                <w:iCs/>
                <w:sz w:val="24"/>
                <w:szCs w:val="24"/>
              </w:rPr>
              <w:br/>
            </w:r>
            <w:r w:rsidRPr="00F533B8">
              <w:rPr>
                <w:b/>
                <w:sz w:val="24"/>
                <w:szCs w:val="24"/>
              </w:rPr>
              <w:t>til hunde</w:t>
            </w:r>
          </w:p>
        </w:tc>
        <w:tc>
          <w:tcPr>
            <w:tcW w:w="1311" w:type="pct"/>
            <w:tcBorders>
              <w:top w:val="nil"/>
              <w:left w:val="single" w:sz="4" w:space="0" w:color="FFFFFF"/>
              <w:bottom w:val="single" w:sz="4" w:space="0" w:color="FFFFFF"/>
              <w:right w:val="single" w:sz="4" w:space="0" w:color="FFFFFF"/>
            </w:tcBorders>
            <w:shd w:val="clear" w:color="auto" w:fill="ECECEC"/>
            <w:vAlign w:val="center"/>
            <w:hideMark/>
          </w:tcPr>
          <w:p w:rsidR="006F7C85" w:rsidRPr="00F533B8" w:rsidRDefault="006F7C85" w:rsidP="00AB5E79">
            <w:pPr>
              <w:jc w:val="center"/>
              <w:rPr>
                <w:b/>
                <w:bCs/>
                <w:iCs/>
                <w:sz w:val="24"/>
                <w:szCs w:val="24"/>
              </w:rPr>
            </w:pPr>
            <w:proofErr w:type="spellStart"/>
            <w:r w:rsidRPr="00F533B8">
              <w:rPr>
                <w:b/>
                <w:sz w:val="24"/>
                <w:szCs w:val="24"/>
              </w:rPr>
              <w:t>Spizobactin</w:t>
            </w:r>
            <w:proofErr w:type="spellEnd"/>
            <w:r w:rsidRPr="00F533B8">
              <w:rPr>
                <w:b/>
                <w:sz w:val="24"/>
                <w:szCs w:val="24"/>
              </w:rPr>
              <w:t xml:space="preserve"> </w:t>
            </w:r>
            <w:proofErr w:type="spellStart"/>
            <w:r>
              <w:rPr>
                <w:b/>
                <w:sz w:val="24"/>
                <w:szCs w:val="24"/>
              </w:rPr>
              <w:t>V</w:t>
            </w:r>
            <w:r w:rsidRPr="00F533B8">
              <w:rPr>
                <w:b/>
                <w:sz w:val="24"/>
                <w:szCs w:val="24"/>
              </w:rPr>
              <w:t>et</w:t>
            </w:r>
            <w:proofErr w:type="spellEnd"/>
            <w:r>
              <w:rPr>
                <w:b/>
                <w:sz w:val="24"/>
                <w:szCs w:val="24"/>
              </w:rPr>
              <w:t>.</w:t>
            </w:r>
            <w:r w:rsidRPr="00F533B8">
              <w:rPr>
                <w:b/>
                <w:bCs/>
                <w:iCs/>
                <w:sz w:val="24"/>
                <w:szCs w:val="24"/>
              </w:rPr>
              <w:br/>
            </w:r>
            <w:r w:rsidRPr="00F533B8">
              <w:rPr>
                <w:b/>
                <w:sz w:val="24"/>
                <w:szCs w:val="24"/>
              </w:rPr>
              <w:t xml:space="preserve">3.000.000 IE/500 mg </w:t>
            </w:r>
            <w:r w:rsidRPr="00F533B8">
              <w:rPr>
                <w:b/>
                <w:bCs/>
                <w:iCs/>
                <w:sz w:val="24"/>
                <w:szCs w:val="24"/>
              </w:rPr>
              <w:br/>
            </w:r>
            <w:r w:rsidRPr="00F533B8">
              <w:rPr>
                <w:b/>
                <w:sz w:val="24"/>
                <w:szCs w:val="24"/>
              </w:rPr>
              <w:t>til hunde</w:t>
            </w: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2,5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vertAlign w:val="subscript"/>
                <w:lang w:eastAsia="da-DK"/>
              </w:rPr>
              <w:drawing>
                <wp:inline distT="0" distB="0" distL="0" distR="0" wp14:anchorId="40D1E74C" wp14:editId="4FA31EB5">
                  <wp:extent cx="247650" cy="247650"/>
                  <wp:effectExtent l="0" t="0" r="0" b="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5,0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3FDDE643" wp14:editId="3ED77062">
                  <wp:extent cx="247650" cy="247650"/>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vertAlign w:val="subscript"/>
                <w:lang w:eastAsia="da-DK"/>
              </w:rPr>
              <w:drawing>
                <wp:inline distT="0" distB="0" distL="0" distR="0" wp14:anchorId="69FF237C" wp14:editId="7C013B9D">
                  <wp:extent cx="247650" cy="24765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7,5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5658E1A2" wp14:editId="2AD4D766">
                  <wp:extent cx="247650" cy="24765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10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42582BD6" wp14:editId="4B968B08">
                  <wp:extent cx="247650" cy="247650"/>
                  <wp:effectExtent l="0" t="0" r="0"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69608706" wp14:editId="3728D835">
                  <wp:extent cx="247650" cy="24765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vertAlign w:val="subscript"/>
                <w:lang w:eastAsia="da-DK"/>
              </w:rPr>
              <w:drawing>
                <wp:inline distT="0" distB="0" distL="0" distR="0" wp14:anchorId="34FB39BA" wp14:editId="24E2718F">
                  <wp:extent cx="247650" cy="24765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12,5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noProof/>
                <w:sz w:val="24"/>
                <w:szCs w:val="24"/>
              </w:rPr>
            </w:pPr>
            <w:r w:rsidRPr="00F533B8">
              <w:rPr>
                <w:noProof/>
                <w:sz w:val="24"/>
                <w:szCs w:val="24"/>
                <w:lang w:eastAsia="da-DK"/>
              </w:rPr>
              <w:drawing>
                <wp:inline distT="0" distB="0" distL="0" distR="0" wp14:anchorId="1E2B3E63" wp14:editId="7C0521B8">
                  <wp:extent cx="247650" cy="247650"/>
                  <wp:effectExtent l="0" t="0" r="0" b="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vertAlign w:val="subscript"/>
                <w:lang w:eastAsia="da-DK"/>
              </w:rPr>
              <w:drawing>
                <wp:inline distT="0" distB="0" distL="0" distR="0" wp14:anchorId="6BEB942A" wp14:editId="47A00711">
                  <wp:extent cx="247650" cy="24765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tcPr>
          <w:p w:rsidR="006F7C85" w:rsidRPr="00F533B8" w:rsidRDefault="006F7C85" w:rsidP="00AB5E79">
            <w:pPr>
              <w:jc w:val="center"/>
              <w:rPr>
                <w:bCs/>
                <w:iCs/>
                <w:sz w:val="24"/>
                <w:szCs w:val="24"/>
              </w:rPr>
            </w:pP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15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613C0219" wp14:editId="56295AA3">
                  <wp:extent cx="247650" cy="24765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0B870C17" wp14:editId="56E77EE8">
                  <wp:extent cx="247650" cy="24765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09FC7F19" wp14:editId="36A49C61">
                  <wp:extent cx="247650" cy="24765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17,5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noProof/>
                <w:sz w:val="24"/>
                <w:szCs w:val="24"/>
              </w:rPr>
            </w:pPr>
            <w:r w:rsidRPr="00F533B8">
              <w:rPr>
                <w:noProof/>
                <w:sz w:val="24"/>
                <w:szCs w:val="24"/>
                <w:lang w:eastAsia="da-DK"/>
              </w:rPr>
              <w:drawing>
                <wp:inline distT="0" distB="0" distL="0" distR="0" wp14:anchorId="640FF4DA" wp14:editId="53313133">
                  <wp:extent cx="247650" cy="24765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213961D9" wp14:editId="316B8006">
                  <wp:extent cx="247650" cy="24765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tcPr>
          <w:p w:rsidR="006F7C85" w:rsidRPr="00F533B8" w:rsidRDefault="006F7C85" w:rsidP="00AB5E79">
            <w:pPr>
              <w:jc w:val="center"/>
              <w:rPr>
                <w:bCs/>
                <w:iCs/>
                <w:sz w:val="24"/>
                <w:szCs w:val="24"/>
              </w:rPr>
            </w:pP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20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sz w:val="24"/>
                <w:szCs w:val="24"/>
              </w:rPr>
            </w:pPr>
            <w:r w:rsidRPr="00F533B8">
              <w:rPr>
                <w:noProof/>
                <w:sz w:val="24"/>
                <w:szCs w:val="24"/>
                <w:lang w:eastAsia="da-DK"/>
              </w:rPr>
              <w:drawing>
                <wp:inline distT="0" distB="0" distL="0" distR="0" wp14:anchorId="041B36E2" wp14:editId="23152145">
                  <wp:extent cx="247650" cy="24765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7CAA0B23" wp14:editId="227A2AF6">
                  <wp:extent cx="247650" cy="24765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43CEF2EA" wp14:editId="7549C2C9">
                  <wp:extent cx="247650" cy="24765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sz w:val="24"/>
                <w:szCs w:val="24"/>
                <w:vertAlign w:val="subscript"/>
              </w:rPr>
            </w:pPr>
            <w:r w:rsidRPr="00F533B8">
              <w:rPr>
                <w:noProof/>
                <w:sz w:val="24"/>
                <w:szCs w:val="24"/>
                <w:lang w:eastAsia="da-DK"/>
              </w:rPr>
              <w:drawing>
                <wp:inline distT="0" distB="0" distL="0" distR="0" wp14:anchorId="29C299AC" wp14:editId="298E30AE">
                  <wp:extent cx="247650" cy="24765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25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4EEE4AD8" wp14:editId="26BA0CD3">
                  <wp:extent cx="247650" cy="24765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vertAlign w:val="subscript"/>
                <w:lang w:eastAsia="da-DK"/>
              </w:rPr>
              <w:drawing>
                <wp:inline distT="0" distB="0" distL="0" distR="0" wp14:anchorId="4A8AB1A6" wp14:editId="45CE1395">
                  <wp:extent cx="247650" cy="24765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r>
      <w:tr w:rsidR="006F7C85" w:rsidRPr="00F533B8" w:rsidTr="00AB5E79">
        <w:trPr>
          <w:trHeight w:val="302"/>
        </w:trPr>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30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sz w:val="24"/>
                <w:szCs w:val="24"/>
                <w:vertAlign w:val="subscript"/>
              </w:rPr>
            </w:pPr>
            <w:r w:rsidRPr="00F533B8">
              <w:rPr>
                <w:noProof/>
                <w:sz w:val="24"/>
                <w:szCs w:val="24"/>
                <w:lang w:eastAsia="da-DK"/>
              </w:rPr>
              <w:drawing>
                <wp:inline distT="0" distB="0" distL="0" distR="0" wp14:anchorId="0DD212A6" wp14:editId="4F2223C6">
                  <wp:extent cx="247650" cy="247650"/>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6BC348FB" wp14:editId="3DD3AE29">
                  <wp:extent cx="247650" cy="247650"/>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7CCD20CD" wp14:editId="6470445E">
                  <wp:extent cx="247650" cy="24765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35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41FBB991" wp14:editId="710ACD55">
                  <wp:extent cx="247650" cy="24765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46743807" wp14:editId="73965203">
                  <wp:extent cx="247650" cy="24765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sz w:val="24"/>
                <w:szCs w:val="24"/>
                <w:vertAlign w:val="subscript"/>
              </w:rPr>
            </w:pP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40 kg </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68D52563" wp14:editId="5408412C">
                  <wp:extent cx="247650" cy="24765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5BB918A3" wp14:editId="66F31561">
                  <wp:extent cx="247650" cy="24765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16882739" wp14:editId="0055684A">
                  <wp:extent cx="247650" cy="24765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50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rPr>
                <w:sz w:val="24"/>
                <w:szCs w:val="24"/>
              </w:rPr>
            </w:pP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678E834C" wp14:editId="614FDF17">
                  <wp:extent cx="247650" cy="24765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vertAlign w:val="subscript"/>
                <w:lang w:eastAsia="da-DK"/>
              </w:rPr>
              <w:drawing>
                <wp:inline distT="0" distB="0" distL="0" distR="0" wp14:anchorId="502E4D78" wp14:editId="1B5EE5D0">
                  <wp:extent cx="247650" cy="24765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F7C85" w:rsidRPr="00F533B8" w:rsidTr="00AB5E79">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60 kg </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rPr>
                <w:sz w:val="24"/>
                <w:szCs w:val="24"/>
              </w:rPr>
            </w:pPr>
          </w:p>
        </w:tc>
        <w:tc>
          <w:tcPr>
            <w:tcW w:w="1311"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F7C85" w:rsidRPr="00F533B8" w:rsidRDefault="006F7C85" w:rsidP="00AB5E79">
            <w:pPr>
              <w:jc w:val="center"/>
              <w:rPr>
                <w:bCs/>
                <w:sz w:val="24"/>
                <w:szCs w:val="24"/>
              </w:rPr>
            </w:pPr>
            <w:r w:rsidRPr="00F533B8">
              <w:rPr>
                <w:noProof/>
                <w:sz w:val="24"/>
                <w:szCs w:val="24"/>
                <w:lang w:eastAsia="da-DK"/>
              </w:rPr>
              <w:drawing>
                <wp:inline distT="0" distB="0" distL="0" distR="0" wp14:anchorId="22A321A6" wp14:editId="674EA2E9">
                  <wp:extent cx="247650" cy="24765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4ECCBB08" wp14:editId="1F2FFB73">
                  <wp:extent cx="247650" cy="24765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F7C85" w:rsidRPr="00F533B8" w:rsidTr="00AB5E79">
        <w:trPr>
          <w:trHeight w:val="467"/>
        </w:trPr>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70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tcPr>
          <w:p w:rsidR="006F7C85" w:rsidRPr="00F533B8" w:rsidRDefault="006F7C85" w:rsidP="00AB5E79">
            <w:pPr>
              <w:jc w:val="cente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noProof/>
                <w:sz w:val="24"/>
                <w:szCs w:val="24"/>
              </w:rPr>
            </w:pPr>
            <w:r w:rsidRPr="00F533B8">
              <w:rPr>
                <w:noProof/>
                <w:sz w:val="24"/>
                <w:szCs w:val="24"/>
                <w:lang w:eastAsia="da-DK"/>
              </w:rPr>
              <w:drawing>
                <wp:inline distT="0" distB="0" distL="0" distR="0" wp14:anchorId="0ECE2094" wp14:editId="14C49147">
                  <wp:extent cx="247650" cy="24765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54061D85" wp14:editId="09A75129">
                  <wp:extent cx="247650" cy="24765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F7C85" w:rsidRPr="00F533B8" w:rsidTr="00AB5E79">
        <w:trPr>
          <w:trHeight w:val="467"/>
        </w:trPr>
        <w:tc>
          <w:tcPr>
            <w:tcW w:w="1145" w:type="pct"/>
            <w:tcBorders>
              <w:top w:val="single" w:sz="4" w:space="0" w:color="FFFFFF"/>
              <w:left w:val="nil"/>
              <w:bottom w:val="single" w:sz="4" w:space="0" w:color="FFFFFF"/>
              <w:right w:val="single" w:sz="4" w:space="0" w:color="FFFFFF"/>
            </w:tcBorders>
            <w:shd w:val="clear" w:color="auto" w:fill="F0F0F0"/>
            <w:vAlign w:val="center"/>
            <w:hideMark/>
          </w:tcPr>
          <w:p w:rsidR="006F7C85" w:rsidRPr="00F533B8" w:rsidRDefault="006F7C85" w:rsidP="00AB5E79">
            <w:pPr>
              <w:rPr>
                <w:bCs/>
                <w:iCs/>
                <w:sz w:val="24"/>
                <w:szCs w:val="24"/>
              </w:rPr>
            </w:pPr>
            <w:r w:rsidRPr="00F533B8">
              <w:rPr>
                <w:sz w:val="24"/>
                <w:szCs w:val="24"/>
              </w:rPr>
              <w:t xml:space="preserve">  80 kg</w:t>
            </w:r>
          </w:p>
        </w:tc>
        <w:tc>
          <w:tcPr>
            <w:tcW w:w="1232"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F7C85" w:rsidRPr="00F533B8" w:rsidRDefault="006F7C85" w:rsidP="00AB5E79">
            <w:pPr>
              <w:jc w:val="cente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tcPr>
          <w:p w:rsidR="006F7C85" w:rsidRPr="00F533B8" w:rsidRDefault="006F7C85" w:rsidP="00AB5E79">
            <w:pPr>
              <w:jc w:val="center"/>
              <w:rPr>
                <w:bCs/>
                <w:iCs/>
                <w:sz w:val="24"/>
                <w:szCs w:val="24"/>
              </w:rPr>
            </w:pPr>
          </w:p>
        </w:tc>
        <w:tc>
          <w:tcPr>
            <w:tcW w:w="1311" w:type="pct"/>
            <w:tcBorders>
              <w:top w:val="single" w:sz="4" w:space="0" w:color="FFFFFF"/>
              <w:left w:val="single" w:sz="4" w:space="0" w:color="FFFFFF"/>
              <w:bottom w:val="single" w:sz="4" w:space="0" w:color="FFFFFF"/>
              <w:right w:val="nil"/>
            </w:tcBorders>
            <w:shd w:val="clear" w:color="auto" w:fill="F0F0F0"/>
            <w:vAlign w:val="center"/>
            <w:hideMark/>
          </w:tcPr>
          <w:p w:rsidR="006F7C85" w:rsidRPr="00F533B8" w:rsidRDefault="006F7C85" w:rsidP="00AB5E79">
            <w:pPr>
              <w:jc w:val="center"/>
              <w:rPr>
                <w:bCs/>
                <w:iCs/>
                <w:sz w:val="24"/>
                <w:szCs w:val="24"/>
              </w:rPr>
            </w:pPr>
            <w:r w:rsidRPr="00F533B8">
              <w:rPr>
                <w:noProof/>
                <w:sz w:val="24"/>
                <w:szCs w:val="24"/>
                <w:lang w:eastAsia="da-DK"/>
              </w:rPr>
              <w:drawing>
                <wp:inline distT="0" distB="0" distL="0" distR="0" wp14:anchorId="72E13D33" wp14:editId="45F5CD48">
                  <wp:extent cx="247650" cy="2476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noProof/>
                <w:sz w:val="24"/>
                <w:szCs w:val="24"/>
                <w:lang w:eastAsia="da-DK"/>
              </w:rPr>
              <w:drawing>
                <wp:inline distT="0" distB="0" distL="0" distR="0" wp14:anchorId="01D11176" wp14:editId="4C978839">
                  <wp:extent cx="247650" cy="24765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6F7C85" w:rsidRPr="00F533B8" w:rsidRDefault="006F7C85" w:rsidP="006F7C85">
      <w:pPr>
        <w:rPr>
          <w:bCs/>
          <w:iCs/>
          <w:sz w:val="24"/>
          <w:szCs w:val="24"/>
        </w:rPr>
      </w:pPr>
      <w:r w:rsidRPr="00F533B8">
        <w:rPr>
          <w:noProof/>
          <w:sz w:val="24"/>
          <w:szCs w:val="24"/>
          <w:lang w:eastAsia="da-DK"/>
        </w:rPr>
        <w:drawing>
          <wp:inline distT="0" distB="0" distL="0" distR="0" wp14:anchorId="6C51E0ED" wp14:editId="1C2EDC5C">
            <wp:extent cx="247650" cy="2476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sz w:val="24"/>
          <w:szCs w:val="24"/>
        </w:rPr>
        <w:t>= ¼ tablet</w:t>
      </w:r>
      <w:r w:rsidRPr="00F533B8">
        <w:rPr>
          <w:sz w:val="24"/>
          <w:szCs w:val="24"/>
        </w:rPr>
        <w:tab/>
      </w:r>
      <w:r w:rsidRPr="00F533B8">
        <w:rPr>
          <w:noProof/>
          <w:sz w:val="24"/>
          <w:szCs w:val="24"/>
          <w:lang w:eastAsia="da-DK"/>
        </w:rPr>
        <w:drawing>
          <wp:inline distT="0" distB="0" distL="0" distR="0" wp14:anchorId="4CC87D6D" wp14:editId="4280ADCB">
            <wp:extent cx="247650" cy="2476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sz w:val="24"/>
          <w:szCs w:val="24"/>
        </w:rPr>
        <w:t>= ½ tablet</w:t>
      </w:r>
      <w:r w:rsidRPr="00F533B8">
        <w:rPr>
          <w:sz w:val="24"/>
          <w:szCs w:val="24"/>
        </w:rPr>
        <w:tab/>
      </w:r>
      <w:r w:rsidRPr="00F533B8">
        <w:rPr>
          <w:noProof/>
          <w:sz w:val="24"/>
          <w:szCs w:val="24"/>
          <w:lang w:eastAsia="da-DK"/>
        </w:rPr>
        <w:drawing>
          <wp:inline distT="0" distB="0" distL="0" distR="0" wp14:anchorId="5D980D80" wp14:editId="2D4ACFA7">
            <wp:extent cx="247650" cy="247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sz w:val="24"/>
          <w:szCs w:val="24"/>
        </w:rPr>
        <w:t>= ¾ tablet</w:t>
      </w:r>
      <w:r w:rsidRPr="00F533B8">
        <w:rPr>
          <w:sz w:val="24"/>
          <w:szCs w:val="24"/>
        </w:rPr>
        <w:tab/>
      </w:r>
      <w:r w:rsidRPr="00F533B8">
        <w:rPr>
          <w:noProof/>
          <w:sz w:val="24"/>
          <w:szCs w:val="24"/>
          <w:lang w:eastAsia="da-DK"/>
        </w:rPr>
        <w:drawing>
          <wp:inline distT="0" distB="0" distL="0" distR="0" wp14:anchorId="2A0CFF94" wp14:editId="4FB5964C">
            <wp:extent cx="247650" cy="247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533B8">
        <w:rPr>
          <w:sz w:val="24"/>
          <w:szCs w:val="24"/>
        </w:rPr>
        <w:t>= 1 tablet</w:t>
      </w:r>
    </w:p>
    <w:p w:rsidR="006F7C85" w:rsidRPr="00F533B8" w:rsidRDefault="006F7C85" w:rsidP="006F7C85">
      <w:pPr>
        <w:spacing w:after="160"/>
        <w:rPr>
          <w:sz w:val="24"/>
          <w:szCs w:val="24"/>
        </w:rPr>
      </w:pPr>
    </w:p>
    <w:p w:rsidR="006F7C85" w:rsidRPr="00F533B8" w:rsidRDefault="006F7C85" w:rsidP="006F7C85">
      <w:pPr>
        <w:spacing w:after="160"/>
        <w:ind w:left="851"/>
        <w:rPr>
          <w:noProof/>
          <w:sz w:val="24"/>
          <w:szCs w:val="24"/>
        </w:rPr>
      </w:pPr>
      <w:r w:rsidRPr="00F533B8">
        <w:rPr>
          <w:sz w:val="24"/>
          <w:szCs w:val="24"/>
        </w:rPr>
        <w:t xml:space="preserve">Tabletterne kan deles i 2 eller 4 lige store dele for at sikre en akkurat dosering. Placer tabletten på en flad overflade med delekærven opad og den konvekse (afrundede) side mod overfladen. </w:t>
      </w:r>
    </w:p>
    <w:tbl>
      <w:tblPr>
        <w:tblW w:w="5000" w:type="pct"/>
        <w:tblLook w:val="04A0" w:firstRow="1" w:lastRow="0" w:firstColumn="1" w:lastColumn="0" w:noHBand="0" w:noVBand="1"/>
      </w:tblPr>
      <w:tblGrid>
        <w:gridCol w:w="4819"/>
        <w:gridCol w:w="4819"/>
      </w:tblGrid>
      <w:tr w:rsidR="006F7C85" w:rsidRPr="00F533B8" w:rsidTr="00AB5E79">
        <w:tc>
          <w:tcPr>
            <w:tcW w:w="2500" w:type="pct"/>
            <w:hideMark/>
          </w:tcPr>
          <w:p w:rsidR="006F7C85" w:rsidRPr="00F533B8" w:rsidRDefault="006F7C85" w:rsidP="00AB5E79">
            <w:pPr>
              <w:jc w:val="center"/>
              <w:rPr>
                <w:noProof/>
                <w:sz w:val="24"/>
                <w:szCs w:val="24"/>
              </w:rPr>
            </w:pPr>
            <w:r w:rsidRPr="00F533B8">
              <w:rPr>
                <w:noProof/>
                <w:sz w:val="24"/>
                <w:szCs w:val="24"/>
                <w:lang w:eastAsia="da-DK"/>
              </w:rPr>
              <w:drawing>
                <wp:inline distT="0" distB="0" distL="0" distR="0" wp14:anchorId="0453D108" wp14:editId="1E86D735">
                  <wp:extent cx="1905000" cy="16192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p>
        </w:tc>
        <w:tc>
          <w:tcPr>
            <w:tcW w:w="2500" w:type="pct"/>
          </w:tcPr>
          <w:p w:rsidR="006F7C85" w:rsidRPr="00F533B8" w:rsidRDefault="006F7C85" w:rsidP="00AB5E79">
            <w:pPr>
              <w:rPr>
                <w:noProof/>
                <w:sz w:val="24"/>
                <w:szCs w:val="24"/>
              </w:rPr>
            </w:pPr>
          </w:p>
          <w:p w:rsidR="006F7C85" w:rsidRPr="00F533B8" w:rsidRDefault="006F7C85" w:rsidP="00AB5E79">
            <w:pPr>
              <w:rPr>
                <w:noProof/>
                <w:sz w:val="24"/>
                <w:szCs w:val="24"/>
              </w:rPr>
            </w:pPr>
            <w:r w:rsidRPr="00F533B8">
              <w:rPr>
                <w:sz w:val="24"/>
                <w:szCs w:val="24"/>
              </w:rPr>
              <w:t>Halvdele: tryk ned med tommelfingrene på begge sider af tabletten.</w:t>
            </w:r>
          </w:p>
          <w:p w:rsidR="006F7C85" w:rsidRPr="00F533B8" w:rsidRDefault="006F7C85" w:rsidP="00AB5E79">
            <w:pPr>
              <w:rPr>
                <w:noProof/>
                <w:sz w:val="24"/>
                <w:szCs w:val="24"/>
              </w:rPr>
            </w:pPr>
          </w:p>
          <w:p w:rsidR="006F7C85" w:rsidRPr="00F533B8" w:rsidRDefault="006F7C85" w:rsidP="00AB5E79">
            <w:pPr>
              <w:rPr>
                <w:noProof/>
                <w:sz w:val="24"/>
                <w:szCs w:val="24"/>
              </w:rPr>
            </w:pPr>
          </w:p>
          <w:p w:rsidR="006F7C85" w:rsidRPr="00F533B8" w:rsidRDefault="006F7C85" w:rsidP="00AB5E79">
            <w:pPr>
              <w:rPr>
                <w:noProof/>
                <w:sz w:val="24"/>
                <w:szCs w:val="24"/>
              </w:rPr>
            </w:pPr>
          </w:p>
          <w:p w:rsidR="006F7C85" w:rsidRPr="00F533B8" w:rsidRDefault="006F7C85" w:rsidP="00AB5E79">
            <w:pPr>
              <w:rPr>
                <w:noProof/>
                <w:sz w:val="24"/>
                <w:szCs w:val="24"/>
              </w:rPr>
            </w:pPr>
            <w:r w:rsidRPr="00F533B8">
              <w:rPr>
                <w:sz w:val="24"/>
                <w:szCs w:val="24"/>
              </w:rPr>
              <w:t>Fire dele: tryk ned med tommelfingeren midt på tabletten.</w:t>
            </w:r>
          </w:p>
        </w:tc>
      </w:tr>
    </w:tbl>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4.10</w:t>
      </w:r>
      <w:r w:rsidRPr="00F533B8">
        <w:rPr>
          <w:b/>
          <w:sz w:val="24"/>
          <w:szCs w:val="24"/>
        </w:rPr>
        <w:tab/>
        <w:t>Overdosering</w:t>
      </w:r>
    </w:p>
    <w:p w:rsidR="006F7C85" w:rsidRPr="00F533B8" w:rsidRDefault="006F7C85" w:rsidP="006F7C85">
      <w:pPr>
        <w:tabs>
          <w:tab w:val="left" w:pos="851"/>
          <w:tab w:val="left" w:pos="8222"/>
        </w:tabs>
        <w:ind w:left="851"/>
        <w:rPr>
          <w:sz w:val="24"/>
          <w:szCs w:val="24"/>
          <w:lang w:eastAsia="da-DK"/>
        </w:rPr>
      </w:pPr>
      <w:r w:rsidRPr="00F533B8">
        <w:rPr>
          <w:sz w:val="24"/>
          <w:szCs w:val="24"/>
        </w:rPr>
        <w:t>Hvis der opstår neurologiske symptomer, skal behandlingen seponeres, og patienten skal behandles symptomatisk.</w:t>
      </w:r>
    </w:p>
    <w:p w:rsidR="008F1F2E" w:rsidRDefault="008F1F2E">
      <w:pPr>
        <w:rPr>
          <w:b/>
          <w:sz w:val="24"/>
          <w:szCs w:val="24"/>
        </w:rPr>
      </w:pPr>
    </w:p>
    <w:p w:rsidR="006F7C85" w:rsidRPr="00F533B8" w:rsidRDefault="006F7C85" w:rsidP="006F7C85">
      <w:pPr>
        <w:tabs>
          <w:tab w:val="left" w:pos="851"/>
          <w:tab w:val="left" w:pos="8222"/>
        </w:tabs>
        <w:rPr>
          <w:b/>
          <w:sz w:val="24"/>
          <w:szCs w:val="24"/>
        </w:rPr>
      </w:pPr>
      <w:r w:rsidRPr="00F533B8">
        <w:rPr>
          <w:b/>
          <w:sz w:val="24"/>
          <w:szCs w:val="24"/>
        </w:rPr>
        <w:t>4.11</w:t>
      </w:r>
      <w:r w:rsidRPr="00F533B8">
        <w:rPr>
          <w:b/>
          <w:sz w:val="24"/>
          <w:szCs w:val="24"/>
        </w:rPr>
        <w:tab/>
        <w:t>Tilbageholdelsestid</w:t>
      </w:r>
    </w:p>
    <w:p w:rsidR="006F7C85" w:rsidRPr="00F533B8" w:rsidRDefault="006F7C85" w:rsidP="006F7C85">
      <w:pPr>
        <w:tabs>
          <w:tab w:val="left" w:pos="851"/>
          <w:tab w:val="left" w:pos="8222"/>
        </w:tabs>
        <w:ind w:left="851"/>
        <w:rPr>
          <w:sz w:val="24"/>
          <w:szCs w:val="24"/>
          <w:lang w:eastAsia="da-DK"/>
        </w:rPr>
      </w:pPr>
      <w:r w:rsidRPr="00F533B8">
        <w:rPr>
          <w:sz w:val="24"/>
          <w:szCs w:val="24"/>
        </w:rPr>
        <w:t>Ikke relevant.</w:t>
      </w:r>
    </w:p>
    <w:p w:rsidR="006F7C85" w:rsidRPr="00F533B8" w:rsidRDefault="006F7C85" w:rsidP="006F7C85">
      <w:pPr>
        <w:pStyle w:val="Sidehoved"/>
        <w:tabs>
          <w:tab w:val="clear" w:pos="4819"/>
          <w:tab w:val="left" w:pos="8222"/>
        </w:tabs>
        <w:ind w:left="851"/>
        <w:rPr>
          <w:szCs w:val="24"/>
        </w:rPr>
      </w:pP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5.</w:t>
      </w:r>
      <w:r w:rsidRPr="00F533B8">
        <w:rPr>
          <w:b/>
          <w:sz w:val="24"/>
          <w:szCs w:val="24"/>
        </w:rPr>
        <w:tab/>
        <w:t>FARMAKOLOGISKE EGENSKABER</w:t>
      </w:r>
    </w:p>
    <w:p w:rsidR="006F7C85" w:rsidRPr="00F533B8" w:rsidRDefault="006F7C85" w:rsidP="006F7C85">
      <w:pPr>
        <w:tabs>
          <w:tab w:val="left" w:pos="8222"/>
        </w:tabs>
        <w:ind w:left="851"/>
        <w:rPr>
          <w:sz w:val="24"/>
          <w:szCs w:val="24"/>
        </w:rPr>
      </w:pPr>
    </w:p>
    <w:p w:rsidR="008F1F2E" w:rsidRPr="00F533B8" w:rsidRDefault="006F7C85" w:rsidP="008F1F2E">
      <w:pPr>
        <w:tabs>
          <w:tab w:val="left" w:pos="8222"/>
        </w:tabs>
        <w:ind w:left="851"/>
        <w:rPr>
          <w:sz w:val="24"/>
          <w:szCs w:val="24"/>
          <w:lang w:eastAsia="da-DK"/>
        </w:rPr>
      </w:pPr>
      <w:proofErr w:type="spellStart"/>
      <w:r w:rsidRPr="00F533B8">
        <w:rPr>
          <w:sz w:val="24"/>
          <w:szCs w:val="24"/>
        </w:rPr>
        <w:t>Farmakoterapeutisk</w:t>
      </w:r>
      <w:proofErr w:type="spellEnd"/>
      <w:r w:rsidRPr="00F533B8">
        <w:rPr>
          <w:sz w:val="24"/>
          <w:szCs w:val="24"/>
        </w:rPr>
        <w:t xml:space="preserve"> gruppe: </w:t>
      </w:r>
      <w:proofErr w:type="spellStart"/>
      <w:r w:rsidR="008F1F2E" w:rsidRPr="00F533B8">
        <w:rPr>
          <w:sz w:val="24"/>
          <w:szCs w:val="24"/>
        </w:rPr>
        <w:t>Antibakterica</w:t>
      </w:r>
      <w:proofErr w:type="spellEnd"/>
      <w:r w:rsidR="008F1F2E" w:rsidRPr="00F533B8">
        <w:rPr>
          <w:sz w:val="24"/>
          <w:szCs w:val="24"/>
        </w:rPr>
        <w:t xml:space="preserve"> til systemisk brug, </w:t>
      </w:r>
      <w:proofErr w:type="spellStart"/>
      <w:r w:rsidR="008F1F2E" w:rsidRPr="00F533B8">
        <w:rPr>
          <w:sz w:val="24"/>
          <w:szCs w:val="24"/>
        </w:rPr>
        <w:t>spiramycin</w:t>
      </w:r>
      <w:proofErr w:type="spellEnd"/>
      <w:r w:rsidR="008F1F2E" w:rsidRPr="00F533B8">
        <w:rPr>
          <w:sz w:val="24"/>
          <w:szCs w:val="24"/>
        </w:rPr>
        <w:t xml:space="preserve"> og </w:t>
      </w:r>
      <w:proofErr w:type="spellStart"/>
      <w:r w:rsidR="008F1F2E" w:rsidRPr="00F533B8">
        <w:rPr>
          <w:sz w:val="24"/>
          <w:szCs w:val="24"/>
        </w:rPr>
        <w:t>metronidazol</w:t>
      </w:r>
      <w:proofErr w:type="spellEnd"/>
    </w:p>
    <w:p w:rsidR="008F1F2E" w:rsidRPr="00F533B8" w:rsidRDefault="008F1F2E" w:rsidP="008F1F2E">
      <w:pPr>
        <w:tabs>
          <w:tab w:val="left" w:pos="8222"/>
        </w:tabs>
        <w:ind w:left="851"/>
        <w:rPr>
          <w:sz w:val="24"/>
          <w:szCs w:val="24"/>
        </w:rPr>
      </w:pPr>
      <w:proofErr w:type="spellStart"/>
      <w:r w:rsidRPr="00F533B8">
        <w:rPr>
          <w:sz w:val="24"/>
          <w:szCs w:val="24"/>
        </w:rPr>
        <w:t>ATCvet</w:t>
      </w:r>
      <w:proofErr w:type="spellEnd"/>
      <w:r w:rsidRPr="00F533B8">
        <w:rPr>
          <w:sz w:val="24"/>
          <w:szCs w:val="24"/>
        </w:rPr>
        <w:t>-kode: QJ01RA04</w:t>
      </w:r>
    </w:p>
    <w:p w:rsidR="006F7C85" w:rsidRPr="00F533B8" w:rsidRDefault="006F7C85" w:rsidP="006F7C85">
      <w:pPr>
        <w:tabs>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5.1</w:t>
      </w:r>
      <w:r w:rsidRPr="00F533B8">
        <w:rPr>
          <w:b/>
          <w:sz w:val="24"/>
          <w:szCs w:val="24"/>
        </w:rPr>
        <w:tab/>
      </w:r>
      <w:proofErr w:type="spellStart"/>
      <w:r w:rsidRPr="00F533B8">
        <w:rPr>
          <w:b/>
          <w:sz w:val="24"/>
          <w:szCs w:val="24"/>
        </w:rPr>
        <w:t>Farmakodynamiske</w:t>
      </w:r>
      <w:proofErr w:type="spellEnd"/>
      <w:r w:rsidRPr="00F533B8">
        <w:rPr>
          <w:b/>
          <w:sz w:val="24"/>
          <w:szCs w:val="24"/>
        </w:rPr>
        <w:t xml:space="preserve"> egenskaber</w:t>
      </w:r>
    </w:p>
    <w:p w:rsidR="006F7C85" w:rsidRPr="00F533B8" w:rsidRDefault="006F7C85" w:rsidP="006F7C85">
      <w:pPr>
        <w:tabs>
          <w:tab w:val="left" w:pos="851"/>
          <w:tab w:val="left" w:pos="8222"/>
        </w:tabs>
        <w:ind w:left="851"/>
        <w:rPr>
          <w:sz w:val="24"/>
          <w:szCs w:val="24"/>
          <w:lang w:eastAsia="da-DK"/>
        </w:rPr>
      </w:pPr>
      <w:proofErr w:type="spellStart"/>
      <w:r w:rsidRPr="00F533B8">
        <w:rPr>
          <w:sz w:val="24"/>
          <w:szCs w:val="24"/>
        </w:rPr>
        <w:t>Spiramycin</w:t>
      </w:r>
      <w:proofErr w:type="spellEnd"/>
      <w:r w:rsidRPr="00F533B8">
        <w:rPr>
          <w:sz w:val="24"/>
          <w:szCs w:val="24"/>
        </w:rPr>
        <w:t xml:space="preserve"> er et antibiotikum i </w:t>
      </w:r>
      <w:proofErr w:type="spellStart"/>
      <w:r w:rsidRPr="00F533B8">
        <w:rPr>
          <w:sz w:val="24"/>
          <w:szCs w:val="24"/>
        </w:rPr>
        <w:t>makrolidgruppen</w:t>
      </w:r>
      <w:proofErr w:type="spellEnd"/>
      <w:r w:rsidRPr="00F533B8">
        <w:rPr>
          <w:sz w:val="24"/>
          <w:szCs w:val="24"/>
        </w:rPr>
        <w:t xml:space="preserve">. Det virker markant </w:t>
      </w:r>
      <w:proofErr w:type="spellStart"/>
      <w:r w:rsidRPr="00F533B8">
        <w:rPr>
          <w:sz w:val="24"/>
          <w:szCs w:val="24"/>
        </w:rPr>
        <w:t>bakteriostatisk</w:t>
      </w:r>
      <w:proofErr w:type="spellEnd"/>
      <w:r w:rsidRPr="00F533B8">
        <w:rPr>
          <w:sz w:val="24"/>
          <w:szCs w:val="24"/>
        </w:rPr>
        <w:t xml:space="preserve"> ved at hæmme proteinsyntesen (og påvirke translationsreaktionen på ribosomet). Dets aktivitetsspektrum omfatter primært grampositive bakterier. Tre forskellige mekanismer udgør størstedelen af den bakterielle resistens mod virkningen af makrolider (1) </w:t>
      </w:r>
      <w:proofErr w:type="spellStart"/>
      <w:r w:rsidRPr="00F533B8">
        <w:rPr>
          <w:sz w:val="24"/>
          <w:szCs w:val="24"/>
        </w:rPr>
        <w:t>rRNA-methylering</w:t>
      </w:r>
      <w:proofErr w:type="spellEnd"/>
      <w:r w:rsidRPr="00F533B8">
        <w:rPr>
          <w:sz w:val="24"/>
          <w:szCs w:val="24"/>
        </w:rPr>
        <w:t xml:space="preserve">, (2) aktiv </w:t>
      </w:r>
      <w:proofErr w:type="spellStart"/>
      <w:r w:rsidRPr="00F533B8">
        <w:rPr>
          <w:sz w:val="24"/>
          <w:szCs w:val="24"/>
        </w:rPr>
        <w:t>effluks</w:t>
      </w:r>
      <w:proofErr w:type="spellEnd"/>
      <w:r w:rsidRPr="00F533B8">
        <w:rPr>
          <w:sz w:val="24"/>
          <w:szCs w:val="24"/>
        </w:rPr>
        <w:t xml:space="preserve"> og (3) enzymatisk inaktivering. De første to mekanismer er de hyppigste, og generne, der koder for disse mekanismer, befinder sig ofte på de mobile elementer. </w:t>
      </w:r>
      <w:proofErr w:type="spellStart"/>
      <w:r w:rsidRPr="00F533B8">
        <w:rPr>
          <w:sz w:val="24"/>
          <w:szCs w:val="24"/>
        </w:rPr>
        <w:t>rRNA-methylering</w:t>
      </w:r>
      <w:proofErr w:type="spellEnd"/>
      <w:r w:rsidRPr="00F533B8">
        <w:rPr>
          <w:sz w:val="24"/>
          <w:szCs w:val="24"/>
        </w:rPr>
        <w:t xml:space="preserve">, kodet af </w:t>
      </w:r>
      <w:proofErr w:type="spellStart"/>
      <w:r w:rsidRPr="00F533B8">
        <w:rPr>
          <w:sz w:val="24"/>
          <w:szCs w:val="24"/>
        </w:rPr>
        <w:t>erythromycinresistent</w:t>
      </w:r>
      <w:proofErr w:type="spellEnd"/>
      <w:r w:rsidRPr="00F533B8">
        <w:rPr>
          <w:sz w:val="24"/>
          <w:szCs w:val="24"/>
        </w:rPr>
        <w:t xml:space="preserve"> </w:t>
      </w:r>
      <w:proofErr w:type="spellStart"/>
      <w:r w:rsidRPr="00F533B8">
        <w:rPr>
          <w:sz w:val="24"/>
          <w:szCs w:val="24"/>
        </w:rPr>
        <w:t>methylase</w:t>
      </w:r>
      <w:proofErr w:type="spellEnd"/>
      <w:r w:rsidRPr="00F533B8">
        <w:rPr>
          <w:sz w:val="24"/>
          <w:szCs w:val="24"/>
        </w:rPr>
        <w:t xml:space="preserve"> (erm)-gener, hvilket fører til krydsresistent mod makrolider, lincosamider og </w:t>
      </w:r>
      <w:proofErr w:type="spellStart"/>
      <w:r w:rsidRPr="00F533B8">
        <w:rPr>
          <w:sz w:val="24"/>
          <w:szCs w:val="24"/>
        </w:rPr>
        <w:t>streptogramin</w:t>
      </w:r>
      <w:proofErr w:type="spellEnd"/>
      <w:r w:rsidRPr="00F533B8">
        <w:rPr>
          <w:sz w:val="24"/>
          <w:szCs w:val="24"/>
        </w:rPr>
        <w:t xml:space="preserve"> B (MLSB-resistens).</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sz w:val="24"/>
          <w:szCs w:val="24"/>
        </w:rPr>
      </w:pPr>
      <w:proofErr w:type="spellStart"/>
      <w:r w:rsidRPr="00F533B8">
        <w:rPr>
          <w:sz w:val="24"/>
          <w:szCs w:val="24"/>
        </w:rPr>
        <w:t>Metronidazol</w:t>
      </w:r>
      <w:proofErr w:type="spellEnd"/>
      <w:r w:rsidRPr="00F533B8">
        <w:rPr>
          <w:sz w:val="24"/>
          <w:szCs w:val="24"/>
        </w:rPr>
        <w:t xml:space="preserve"> er et </w:t>
      </w:r>
      <w:proofErr w:type="spellStart"/>
      <w:r w:rsidRPr="00F533B8">
        <w:rPr>
          <w:sz w:val="24"/>
          <w:szCs w:val="24"/>
        </w:rPr>
        <w:t>imidazolderivat</w:t>
      </w:r>
      <w:proofErr w:type="spellEnd"/>
      <w:r w:rsidRPr="00F533B8">
        <w:rPr>
          <w:sz w:val="24"/>
          <w:szCs w:val="24"/>
        </w:rPr>
        <w:t xml:space="preserve">, og virker mod repræsentationer af </w:t>
      </w:r>
      <w:proofErr w:type="spellStart"/>
      <w:r w:rsidRPr="00F533B8">
        <w:rPr>
          <w:sz w:val="24"/>
          <w:szCs w:val="24"/>
        </w:rPr>
        <w:t>protozoa</w:t>
      </w:r>
      <w:proofErr w:type="spellEnd"/>
      <w:r w:rsidRPr="00F533B8">
        <w:rPr>
          <w:sz w:val="24"/>
          <w:szCs w:val="24"/>
        </w:rPr>
        <w:t xml:space="preserve"> (flagellater og amøber) og mod grampositive og gramnegative </w:t>
      </w:r>
      <w:proofErr w:type="spellStart"/>
      <w:r w:rsidRPr="00F533B8">
        <w:rPr>
          <w:sz w:val="24"/>
          <w:szCs w:val="24"/>
        </w:rPr>
        <w:t>anaerober</w:t>
      </w:r>
      <w:proofErr w:type="spellEnd"/>
      <w:r w:rsidRPr="00F533B8">
        <w:rPr>
          <w:sz w:val="24"/>
          <w:szCs w:val="24"/>
        </w:rPr>
        <w:t>.</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sz w:val="24"/>
          <w:szCs w:val="24"/>
        </w:rPr>
      </w:pPr>
      <w:r w:rsidRPr="00F533B8">
        <w:rPr>
          <w:sz w:val="24"/>
          <w:szCs w:val="24"/>
        </w:rPr>
        <w:t xml:space="preserve">Kombinationen af </w:t>
      </w:r>
      <w:proofErr w:type="spellStart"/>
      <w:r w:rsidRPr="00F533B8">
        <w:rPr>
          <w:sz w:val="24"/>
          <w:szCs w:val="24"/>
        </w:rPr>
        <w:t>spiramycin</w:t>
      </w:r>
      <w:proofErr w:type="spellEnd"/>
      <w:r w:rsidRPr="00F533B8">
        <w:rPr>
          <w:sz w:val="24"/>
          <w:szCs w:val="24"/>
        </w:rPr>
        <w:t xml:space="preserve"> og </w:t>
      </w:r>
      <w:proofErr w:type="spellStart"/>
      <w:r w:rsidRPr="00F533B8">
        <w:rPr>
          <w:sz w:val="24"/>
          <w:szCs w:val="24"/>
        </w:rPr>
        <w:t>metronidazol</w:t>
      </w:r>
      <w:proofErr w:type="spellEnd"/>
      <w:r w:rsidRPr="00F533B8">
        <w:rPr>
          <w:sz w:val="24"/>
          <w:szCs w:val="24"/>
        </w:rPr>
        <w:t xml:space="preserve"> udvider spektret på grund af de komplementære antibakterielle mønster af de to lægemidler. Der er blevet påvist </w:t>
      </w:r>
      <w:proofErr w:type="spellStart"/>
      <w:r w:rsidRPr="00F533B8">
        <w:rPr>
          <w:sz w:val="24"/>
          <w:szCs w:val="24"/>
        </w:rPr>
        <w:t>synergistiske</w:t>
      </w:r>
      <w:proofErr w:type="spellEnd"/>
      <w:r w:rsidRPr="00F533B8">
        <w:rPr>
          <w:sz w:val="24"/>
          <w:szCs w:val="24"/>
        </w:rPr>
        <w:t xml:space="preserve"> virkninger hos nogle </w:t>
      </w:r>
      <w:proofErr w:type="spellStart"/>
      <w:r w:rsidRPr="00F533B8">
        <w:rPr>
          <w:sz w:val="24"/>
          <w:szCs w:val="24"/>
        </w:rPr>
        <w:t>patogener</w:t>
      </w:r>
      <w:proofErr w:type="spellEnd"/>
      <w:r w:rsidRPr="00F533B8">
        <w:rPr>
          <w:sz w:val="24"/>
          <w:szCs w:val="24"/>
        </w:rPr>
        <w:t xml:space="preserve"> i in </w:t>
      </w:r>
      <w:proofErr w:type="spellStart"/>
      <w:r w:rsidRPr="00F533B8">
        <w:rPr>
          <w:sz w:val="24"/>
          <w:szCs w:val="24"/>
        </w:rPr>
        <w:t>vitro</w:t>
      </w:r>
      <w:proofErr w:type="spellEnd"/>
      <w:r w:rsidRPr="00F533B8">
        <w:rPr>
          <w:sz w:val="24"/>
          <w:szCs w:val="24"/>
        </w:rPr>
        <w:t>-studier, og ved eksperimentelle infektioner af laboratoriedyr.</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10045A">
        <w:rPr>
          <w:b/>
          <w:sz w:val="24"/>
          <w:szCs w:val="24"/>
        </w:rPr>
        <w:t>5.2</w:t>
      </w:r>
      <w:r w:rsidRPr="0010045A">
        <w:rPr>
          <w:b/>
          <w:sz w:val="24"/>
          <w:szCs w:val="24"/>
        </w:rPr>
        <w:tab/>
      </w:r>
      <w:proofErr w:type="spellStart"/>
      <w:r w:rsidRPr="0010045A">
        <w:rPr>
          <w:b/>
          <w:sz w:val="24"/>
          <w:szCs w:val="24"/>
        </w:rPr>
        <w:t>Farmakokinetiske</w:t>
      </w:r>
      <w:proofErr w:type="spellEnd"/>
      <w:r w:rsidRPr="0010045A">
        <w:rPr>
          <w:b/>
          <w:sz w:val="24"/>
          <w:szCs w:val="24"/>
        </w:rPr>
        <w:t xml:space="preserve"> egenskaber</w:t>
      </w:r>
    </w:p>
    <w:p w:rsidR="006F7C85" w:rsidRPr="00F533B8" w:rsidRDefault="006F7C85" w:rsidP="006F7C85">
      <w:pPr>
        <w:tabs>
          <w:tab w:val="left" w:pos="851"/>
          <w:tab w:val="left" w:pos="8222"/>
        </w:tabs>
        <w:ind w:left="851"/>
        <w:rPr>
          <w:sz w:val="24"/>
          <w:szCs w:val="24"/>
          <w:lang w:eastAsia="da-DK"/>
        </w:rPr>
      </w:pPr>
      <w:r w:rsidRPr="00F533B8">
        <w:rPr>
          <w:sz w:val="24"/>
          <w:szCs w:val="24"/>
        </w:rPr>
        <w:t xml:space="preserve">Efter oral administration opnås maksimale plasmaniveauer af </w:t>
      </w:r>
      <w:proofErr w:type="spellStart"/>
      <w:r w:rsidRPr="00F533B8">
        <w:rPr>
          <w:sz w:val="24"/>
          <w:szCs w:val="24"/>
        </w:rPr>
        <w:t>spiramycin</w:t>
      </w:r>
      <w:proofErr w:type="spellEnd"/>
      <w:r w:rsidRPr="00F533B8">
        <w:rPr>
          <w:sz w:val="24"/>
          <w:szCs w:val="24"/>
        </w:rPr>
        <w:t xml:space="preserve">-I (primær komponent for </w:t>
      </w:r>
      <w:proofErr w:type="spellStart"/>
      <w:r w:rsidRPr="00F533B8">
        <w:rPr>
          <w:sz w:val="24"/>
          <w:szCs w:val="24"/>
        </w:rPr>
        <w:t>spiramycin</w:t>
      </w:r>
      <w:proofErr w:type="spellEnd"/>
      <w:r w:rsidRPr="00F533B8">
        <w:rPr>
          <w:sz w:val="24"/>
          <w:szCs w:val="24"/>
        </w:rPr>
        <w:t xml:space="preserve">) på 4,4 µg/ml i løbet af 1,3 timer. </w:t>
      </w:r>
      <w:proofErr w:type="spellStart"/>
      <w:r w:rsidRPr="00F533B8">
        <w:rPr>
          <w:sz w:val="24"/>
          <w:szCs w:val="24"/>
        </w:rPr>
        <w:t>Spiramycin</w:t>
      </w:r>
      <w:proofErr w:type="spellEnd"/>
      <w:r w:rsidRPr="00F533B8">
        <w:rPr>
          <w:sz w:val="24"/>
          <w:szCs w:val="24"/>
        </w:rPr>
        <w:t xml:space="preserve"> når hurtigt høje vævsniveauer, der er 10</w:t>
      </w:r>
      <w:r>
        <w:rPr>
          <w:sz w:val="24"/>
          <w:szCs w:val="24"/>
        </w:rPr>
        <w:t>-</w:t>
      </w:r>
      <w:r w:rsidRPr="00F533B8">
        <w:rPr>
          <w:sz w:val="24"/>
          <w:szCs w:val="24"/>
        </w:rPr>
        <w:t xml:space="preserve">15 gange højere end i plasma. Koncentrationerne i slimhinder og spyt er særligt høje. Efter en enkelt oral dosis af </w:t>
      </w:r>
      <w:proofErr w:type="spellStart"/>
      <w:r w:rsidRPr="00F533B8">
        <w:rPr>
          <w:sz w:val="24"/>
          <w:szCs w:val="24"/>
        </w:rPr>
        <w:t>spiramycin</w:t>
      </w:r>
      <w:proofErr w:type="spellEnd"/>
      <w:r w:rsidRPr="00F533B8">
        <w:rPr>
          <w:sz w:val="24"/>
          <w:szCs w:val="24"/>
        </w:rPr>
        <w:t xml:space="preserve">, er </w:t>
      </w:r>
      <w:proofErr w:type="spellStart"/>
      <w:r w:rsidRPr="00F533B8">
        <w:rPr>
          <w:sz w:val="24"/>
          <w:szCs w:val="24"/>
        </w:rPr>
        <w:t>spiramycinkoncentrationen</w:t>
      </w:r>
      <w:proofErr w:type="spellEnd"/>
      <w:r w:rsidRPr="00F533B8">
        <w:rPr>
          <w:sz w:val="24"/>
          <w:szCs w:val="24"/>
        </w:rPr>
        <w:t xml:space="preserve"> til stede i omkring 30-40 timer. </w:t>
      </w:r>
    </w:p>
    <w:p w:rsidR="006F7C85" w:rsidRPr="00F533B8" w:rsidRDefault="006F7C85" w:rsidP="006F7C85">
      <w:pPr>
        <w:tabs>
          <w:tab w:val="left" w:pos="851"/>
          <w:tab w:val="left" w:pos="8222"/>
        </w:tabs>
        <w:ind w:left="851"/>
        <w:rPr>
          <w:sz w:val="24"/>
          <w:szCs w:val="24"/>
        </w:rPr>
      </w:pPr>
      <w:proofErr w:type="spellStart"/>
      <w:r w:rsidRPr="00F533B8">
        <w:rPr>
          <w:sz w:val="24"/>
          <w:szCs w:val="24"/>
        </w:rPr>
        <w:t>Spiramycin</w:t>
      </w:r>
      <w:proofErr w:type="spellEnd"/>
      <w:r w:rsidRPr="00F533B8">
        <w:rPr>
          <w:sz w:val="24"/>
          <w:szCs w:val="24"/>
        </w:rPr>
        <w:t xml:space="preserve"> elimineres via galden i hunde. Den terminale halveringstid er omkring 8,6 timer.</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sz w:val="24"/>
          <w:szCs w:val="24"/>
        </w:rPr>
      </w:pPr>
      <w:r w:rsidRPr="00F533B8">
        <w:rPr>
          <w:sz w:val="24"/>
          <w:szCs w:val="24"/>
        </w:rPr>
        <w:t xml:space="preserve">Efter oral administration opnås maksimale plasmakoncentrationer af </w:t>
      </w:r>
      <w:proofErr w:type="spellStart"/>
      <w:r w:rsidRPr="00F533B8">
        <w:rPr>
          <w:sz w:val="24"/>
          <w:szCs w:val="24"/>
        </w:rPr>
        <w:t>metronidazol</w:t>
      </w:r>
      <w:proofErr w:type="spellEnd"/>
      <w:r w:rsidRPr="00F533B8">
        <w:rPr>
          <w:sz w:val="24"/>
          <w:szCs w:val="24"/>
        </w:rPr>
        <w:t xml:space="preserve"> på 18 µg/ml i løbet af 1,4 timer. Efter oral indtagelse diffunderer </w:t>
      </w:r>
      <w:proofErr w:type="spellStart"/>
      <w:r w:rsidRPr="00F533B8">
        <w:rPr>
          <w:sz w:val="24"/>
          <w:szCs w:val="24"/>
        </w:rPr>
        <w:t>metronidazol</w:t>
      </w:r>
      <w:proofErr w:type="spellEnd"/>
      <w:r w:rsidRPr="00F533B8">
        <w:rPr>
          <w:sz w:val="24"/>
          <w:szCs w:val="24"/>
        </w:rPr>
        <w:t xml:space="preserve"> hurtigt og fuldstændigt til alt kropsvæv. Efter 24 timer kan der stadig d</w:t>
      </w:r>
      <w:r>
        <w:rPr>
          <w:sz w:val="24"/>
          <w:szCs w:val="24"/>
        </w:rPr>
        <w:t xml:space="preserve">etekteres et niveau i blodet på </w:t>
      </w:r>
      <w:r w:rsidRPr="00F533B8">
        <w:rPr>
          <w:sz w:val="24"/>
          <w:szCs w:val="24"/>
        </w:rPr>
        <w:t>&gt; 0,5 µg/ml hos de fleste hunde. Udskillelsen er via urinen. Den terminale halveringstid er omkring 5,3 timer.</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5.3</w:t>
      </w:r>
      <w:r w:rsidRPr="00F533B8">
        <w:rPr>
          <w:b/>
          <w:sz w:val="24"/>
          <w:szCs w:val="24"/>
        </w:rPr>
        <w:tab/>
        <w:t>Miljømæssige forhold</w:t>
      </w:r>
    </w:p>
    <w:p w:rsidR="006F7C85" w:rsidRPr="00F533B8" w:rsidRDefault="006F7C85" w:rsidP="006F7C85">
      <w:pPr>
        <w:tabs>
          <w:tab w:val="left" w:pos="851"/>
          <w:tab w:val="left" w:pos="8222"/>
        </w:tabs>
        <w:ind w:left="851"/>
        <w:rPr>
          <w:sz w:val="24"/>
          <w:szCs w:val="24"/>
        </w:rPr>
      </w:pPr>
      <w:r w:rsidRPr="00F533B8">
        <w:rPr>
          <w:sz w:val="24"/>
          <w:szCs w:val="24"/>
        </w:rPr>
        <w:t>-</w:t>
      </w:r>
    </w:p>
    <w:p w:rsidR="006F7C85" w:rsidRPr="00F533B8" w:rsidRDefault="006F7C85" w:rsidP="006F7C85">
      <w:pPr>
        <w:tabs>
          <w:tab w:val="left" w:pos="8222"/>
        </w:tabs>
        <w:ind w:left="851"/>
        <w:rPr>
          <w:sz w:val="24"/>
          <w:szCs w:val="24"/>
        </w:rPr>
      </w:pPr>
    </w:p>
    <w:p w:rsidR="006F7C85" w:rsidRDefault="006F7C85" w:rsidP="006F7C85">
      <w:pPr>
        <w:rPr>
          <w:sz w:val="24"/>
          <w:szCs w:val="24"/>
        </w:rPr>
      </w:pPr>
      <w:r>
        <w:rPr>
          <w:sz w:val="24"/>
          <w:szCs w:val="24"/>
        </w:rPr>
        <w:br w:type="page"/>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6.</w:t>
      </w:r>
      <w:r w:rsidRPr="00F533B8">
        <w:rPr>
          <w:b/>
          <w:sz w:val="24"/>
          <w:szCs w:val="24"/>
        </w:rPr>
        <w:tab/>
        <w:t>FARMACEUTISKE OPLYSNINGER</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6.1</w:t>
      </w:r>
      <w:r w:rsidRPr="00F533B8">
        <w:rPr>
          <w:b/>
          <w:sz w:val="24"/>
          <w:szCs w:val="24"/>
        </w:rPr>
        <w:tab/>
        <w:t>Hjælpestoffer</w:t>
      </w:r>
    </w:p>
    <w:p w:rsidR="006F7C85" w:rsidRPr="00F533B8" w:rsidRDefault="006F7C85" w:rsidP="006F7C85">
      <w:pPr>
        <w:tabs>
          <w:tab w:val="left" w:pos="851"/>
          <w:tab w:val="left" w:pos="8222"/>
        </w:tabs>
        <w:ind w:left="851"/>
        <w:rPr>
          <w:sz w:val="24"/>
          <w:szCs w:val="24"/>
          <w:lang w:eastAsia="da-DK"/>
        </w:rPr>
      </w:pPr>
      <w:r w:rsidRPr="00F533B8">
        <w:rPr>
          <w:sz w:val="24"/>
          <w:szCs w:val="24"/>
        </w:rPr>
        <w:t xml:space="preserve">Stivelse, </w:t>
      </w:r>
      <w:proofErr w:type="spellStart"/>
      <w:r w:rsidRPr="00F533B8">
        <w:rPr>
          <w:sz w:val="24"/>
          <w:szCs w:val="24"/>
        </w:rPr>
        <w:t>pregelatineret</w:t>
      </w:r>
      <w:proofErr w:type="spellEnd"/>
    </w:p>
    <w:p w:rsidR="006F7C85" w:rsidRPr="00F533B8" w:rsidRDefault="006F7C85" w:rsidP="006F7C85">
      <w:pPr>
        <w:tabs>
          <w:tab w:val="left" w:pos="851"/>
          <w:tab w:val="left" w:pos="8222"/>
        </w:tabs>
        <w:ind w:left="851"/>
        <w:rPr>
          <w:sz w:val="24"/>
          <w:szCs w:val="24"/>
        </w:rPr>
      </w:pPr>
      <w:r w:rsidRPr="00F533B8">
        <w:rPr>
          <w:sz w:val="24"/>
          <w:szCs w:val="24"/>
        </w:rPr>
        <w:t>Cellulose, mikrokrystallinsk</w:t>
      </w:r>
    </w:p>
    <w:p w:rsidR="006F7C85" w:rsidRPr="00F533B8" w:rsidRDefault="006F7C85" w:rsidP="006F7C85">
      <w:pPr>
        <w:tabs>
          <w:tab w:val="left" w:pos="851"/>
          <w:tab w:val="left" w:pos="8222"/>
        </w:tabs>
        <w:ind w:left="851"/>
        <w:rPr>
          <w:sz w:val="24"/>
          <w:szCs w:val="24"/>
        </w:rPr>
      </w:pPr>
      <w:proofErr w:type="spellStart"/>
      <w:r w:rsidRPr="00F533B8">
        <w:rPr>
          <w:sz w:val="24"/>
          <w:szCs w:val="24"/>
        </w:rPr>
        <w:t>Lactosemonohydrat</w:t>
      </w:r>
      <w:proofErr w:type="spellEnd"/>
    </w:p>
    <w:p w:rsidR="006F7C85" w:rsidRPr="00F533B8" w:rsidRDefault="006F7C85" w:rsidP="006F7C85">
      <w:pPr>
        <w:tabs>
          <w:tab w:val="left" w:pos="851"/>
          <w:tab w:val="left" w:pos="8222"/>
        </w:tabs>
        <w:ind w:left="851"/>
        <w:rPr>
          <w:sz w:val="24"/>
          <w:szCs w:val="24"/>
        </w:rPr>
      </w:pPr>
      <w:proofErr w:type="spellStart"/>
      <w:r w:rsidRPr="00F533B8">
        <w:rPr>
          <w:sz w:val="24"/>
          <w:szCs w:val="24"/>
        </w:rPr>
        <w:t>Hydroxypropylcellulose</w:t>
      </w:r>
      <w:proofErr w:type="spellEnd"/>
    </w:p>
    <w:p w:rsidR="006F7C85" w:rsidRPr="00F533B8" w:rsidRDefault="006F7C85" w:rsidP="006F7C85">
      <w:pPr>
        <w:tabs>
          <w:tab w:val="left" w:pos="851"/>
          <w:tab w:val="left" w:pos="8222"/>
        </w:tabs>
        <w:ind w:left="851"/>
        <w:rPr>
          <w:sz w:val="24"/>
          <w:szCs w:val="24"/>
        </w:rPr>
      </w:pPr>
      <w:r w:rsidRPr="00F533B8">
        <w:rPr>
          <w:sz w:val="24"/>
          <w:szCs w:val="24"/>
        </w:rPr>
        <w:t>Gær (tørt)</w:t>
      </w:r>
    </w:p>
    <w:p w:rsidR="006F7C85" w:rsidRPr="00F533B8" w:rsidRDefault="006F7C85" w:rsidP="006F7C85">
      <w:pPr>
        <w:tabs>
          <w:tab w:val="left" w:pos="851"/>
          <w:tab w:val="left" w:pos="8222"/>
        </w:tabs>
        <w:ind w:left="851"/>
        <w:rPr>
          <w:sz w:val="24"/>
          <w:szCs w:val="24"/>
        </w:rPr>
      </w:pPr>
      <w:r w:rsidRPr="00F533B8">
        <w:rPr>
          <w:sz w:val="24"/>
          <w:szCs w:val="24"/>
        </w:rPr>
        <w:t>Kyllingesmag</w:t>
      </w:r>
    </w:p>
    <w:p w:rsidR="006F7C85" w:rsidRPr="00F533B8" w:rsidRDefault="006F7C85" w:rsidP="006F7C85">
      <w:pPr>
        <w:tabs>
          <w:tab w:val="left" w:pos="851"/>
          <w:tab w:val="left" w:pos="8222"/>
        </w:tabs>
        <w:ind w:left="851"/>
        <w:rPr>
          <w:sz w:val="24"/>
          <w:szCs w:val="24"/>
        </w:rPr>
      </w:pPr>
      <w:proofErr w:type="spellStart"/>
      <w:r w:rsidRPr="00F533B8">
        <w:rPr>
          <w:sz w:val="24"/>
          <w:szCs w:val="24"/>
        </w:rPr>
        <w:t>Silica</w:t>
      </w:r>
      <w:proofErr w:type="spellEnd"/>
      <w:r w:rsidRPr="00F533B8">
        <w:rPr>
          <w:sz w:val="24"/>
          <w:szCs w:val="24"/>
        </w:rPr>
        <w:t>, kolloid vandfri</w:t>
      </w:r>
    </w:p>
    <w:p w:rsidR="006F7C85" w:rsidRPr="00F533B8" w:rsidRDefault="006F7C85" w:rsidP="006F7C85">
      <w:pPr>
        <w:tabs>
          <w:tab w:val="left" w:pos="851"/>
          <w:tab w:val="left" w:pos="8222"/>
        </w:tabs>
        <w:ind w:left="851"/>
        <w:rPr>
          <w:sz w:val="24"/>
          <w:szCs w:val="24"/>
        </w:rPr>
      </w:pPr>
      <w:proofErr w:type="spellStart"/>
      <w:r w:rsidRPr="00F533B8">
        <w:rPr>
          <w:sz w:val="24"/>
          <w:szCs w:val="24"/>
        </w:rPr>
        <w:t>Magnesiumstearat</w:t>
      </w:r>
      <w:proofErr w:type="spellEnd"/>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6.2</w:t>
      </w:r>
      <w:r w:rsidRPr="00F533B8">
        <w:rPr>
          <w:b/>
          <w:sz w:val="24"/>
          <w:szCs w:val="24"/>
        </w:rPr>
        <w:tab/>
        <w:t>Uforligeligheder</w:t>
      </w:r>
    </w:p>
    <w:p w:rsidR="006F7C85" w:rsidRPr="00F533B8" w:rsidRDefault="006F7C85" w:rsidP="006F7C85">
      <w:pPr>
        <w:tabs>
          <w:tab w:val="left" w:pos="851"/>
          <w:tab w:val="left" w:pos="8222"/>
        </w:tabs>
        <w:ind w:left="851"/>
        <w:rPr>
          <w:sz w:val="24"/>
          <w:szCs w:val="24"/>
          <w:lang w:eastAsia="da-DK"/>
        </w:rPr>
      </w:pPr>
      <w:r w:rsidRPr="00F533B8">
        <w:rPr>
          <w:sz w:val="24"/>
          <w:szCs w:val="24"/>
        </w:rPr>
        <w:t>Ikke relevant.</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6.3</w:t>
      </w:r>
      <w:r w:rsidRPr="00F533B8">
        <w:rPr>
          <w:b/>
          <w:sz w:val="24"/>
          <w:szCs w:val="24"/>
        </w:rPr>
        <w:tab/>
        <w:t>Opbevaringstid</w:t>
      </w:r>
    </w:p>
    <w:p w:rsidR="006F7C85" w:rsidRPr="00F533B8" w:rsidRDefault="006F7C85" w:rsidP="006F7C85">
      <w:pPr>
        <w:tabs>
          <w:tab w:val="left" w:pos="851"/>
          <w:tab w:val="left" w:pos="8222"/>
        </w:tabs>
        <w:ind w:left="851"/>
        <w:rPr>
          <w:sz w:val="24"/>
          <w:szCs w:val="24"/>
          <w:lang w:eastAsia="da-DK"/>
        </w:rPr>
      </w:pPr>
      <w:r>
        <w:rPr>
          <w:sz w:val="24"/>
          <w:szCs w:val="24"/>
        </w:rPr>
        <w:t>I</w:t>
      </w:r>
      <w:r w:rsidRPr="00F533B8">
        <w:rPr>
          <w:sz w:val="24"/>
          <w:szCs w:val="24"/>
        </w:rPr>
        <w:t xml:space="preserve"> salgspakning: 18 måneder</w:t>
      </w:r>
    </w:p>
    <w:p w:rsidR="006F7C85" w:rsidRPr="00F533B8" w:rsidRDefault="006F7C85" w:rsidP="006F7C85">
      <w:pPr>
        <w:tabs>
          <w:tab w:val="left" w:pos="851"/>
          <w:tab w:val="left" w:pos="8222"/>
        </w:tabs>
        <w:ind w:left="851"/>
        <w:rPr>
          <w:sz w:val="24"/>
          <w:szCs w:val="24"/>
        </w:rPr>
      </w:pPr>
      <w:r>
        <w:rPr>
          <w:sz w:val="24"/>
          <w:szCs w:val="24"/>
        </w:rPr>
        <w:t>F</w:t>
      </w:r>
      <w:r w:rsidRPr="00F533B8">
        <w:rPr>
          <w:sz w:val="24"/>
          <w:szCs w:val="24"/>
        </w:rPr>
        <w:t>or delte tabletter efter første åbning af den indre emballage: 3 dage.</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6.4</w:t>
      </w:r>
      <w:r w:rsidRPr="00F533B8">
        <w:rPr>
          <w:b/>
          <w:sz w:val="24"/>
          <w:szCs w:val="24"/>
        </w:rPr>
        <w:tab/>
        <w:t>Særlige opbevaringsforhold</w:t>
      </w:r>
    </w:p>
    <w:p w:rsidR="006F7C85" w:rsidRPr="00F533B8" w:rsidRDefault="006F7C85" w:rsidP="006F7C85">
      <w:pPr>
        <w:tabs>
          <w:tab w:val="left" w:pos="851"/>
          <w:tab w:val="left" w:pos="8222"/>
        </w:tabs>
        <w:ind w:left="851"/>
        <w:rPr>
          <w:sz w:val="24"/>
          <w:szCs w:val="24"/>
          <w:lang w:eastAsia="da-DK"/>
        </w:rPr>
      </w:pPr>
      <w:r w:rsidRPr="00F533B8">
        <w:rPr>
          <w:sz w:val="24"/>
          <w:szCs w:val="24"/>
        </w:rPr>
        <w:t>Må ikke opbevares over 30 °C.</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222"/>
        </w:tabs>
        <w:ind w:left="851" w:hanging="851"/>
        <w:rPr>
          <w:b/>
          <w:sz w:val="24"/>
          <w:szCs w:val="24"/>
        </w:rPr>
      </w:pPr>
      <w:r w:rsidRPr="00F533B8">
        <w:rPr>
          <w:b/>
          <w:sz w:val="24"/>
          <w:szCs w:val="24"/>
        </w:rPr>
        <w:t>6.5</w:t>
      </w:r>
      <w:r w:rsidRPr="00F533B8">
        <w:rPr>
          <w:b/>
          <w:sz w:val="24"/>
          <w:szCs w:val="24"/>
        </w:rPr>
        <w:tab/>
        <w:t>Emballage</w:t>
      </w:r>
    </w:p>
    <w:p w:rsidR="006F7C85" w:rsidRPr="00F533B8" w:rsidRDefault="006F7C85" w:rsidP="006F7C85">
      <w:pPr>
        <w:tabs>
          <w:tab w:val="left" w:pos="851"/>
          <w:tab w:val="left" w:pos="8222"/>
        </w:tabs>
        <w:ind w:left="851"/>
        <w:rPr>
          <w:sz w:val="24"/>
          <w:szCs w:val="24"/>
          <w:lang w:eastAsia="da-DK"/>
        </w:rPr>
      </w:pPr>
      <w:r w:rsidRPr="00F533B8">
        <w:rPr>
          <w:sz w:val="24"/>
          <w:szCs w:val="24"/>
        </w:rPr>
        <w:t>Aluminium - PVC/PE/PVDC-blisterkort</w:t>
      </w:r>
    </w:p>
    <w:p w:rsidR="008F1F2E" w:rsidRDefault="008F1F2E" w:rsidP="006F7C85">
      <w:pPr>
        <w:tabs>
          <w:tab w:val="left" w:pos="851"/>
          <w:tab w:val="left" w:pos="8222"/>
        </w:tabs>
        <w:ind w:left="851"/>
        <w:rPr>
          <w:sz w:val="24"/>
          <w:szCs w:val="24"/>
        </w:rPr>
      </w:pPr>
    </w:p>
    <w:p w:rsidR="00084A16" w:rsidRDefault="00084A16" w:rsidP="00084A16">
      <w:pPr>
        <w:tabs>
          <w:tab w:val="left" w:pos="851"/>
          <w:tab w:val="left" w:pos="8222"/>
        </w:tabs>
        <w:ind w:left="851"/>
        <w:rPr>
          <w:sz w:val="24"/>
          <w:szCs w:val="24"/>
        </w:rPr>
      </w:pPr>
      <w:r>
        <w:rPr>
          <w:rStyle w:val="q4iawc"/>
        </w:rPr>
        <w:t>Pakningsstørrelser</w:t>
      </w:r>
      <w:r>
        <w:rPr>
          <w:sz w:val="24"/>
          <w:szCs w:val="24"/>
        </w:rPr>
        <w:t>:</w:t>
      </w:r>
    </w:p>
    <w:p w:rsidR="00084A16" w:rsidRPr="00F533B8" w:rsidRDefault="00084A16" w:rsidP="00084A16">
      <w:pPr>
        <w:tabs>
          <w:tab w:val="left" w:pos="851"/>
          <w:tab w:val="left" w:pos="8222"/>
        </w:tabs>
        <w:ind w:left="851"/>
        <w:rPr>
          <w:sz w:val="24"/>
          <w:szCs w:val="24"/>
        </w:rPr>
      </w:pPr>
      <w:r w:rsidRPr="00F533B8">
        <w:rPr>
          <w:sz w:val="24"/>
          <w:szCs w:val="24"/>
        </w:rPr>
        <w:t>Kartonæske med 1, 2</w:t>
      </w:r>
      <w:r>
        <w:rPr>
          <w:sz w:val="24"/>
          <w:szCs w:val="24"/>
        </w:rPr>
        <w:t>,</w:t>
      </w:r>
      <w:r w:rsidRPr="00F533B8">
        <w:rPr>
          <w:sz w:val="24"/>
          <w:szCs w:val="24"/>
        </w:rPr>
        <w:t xml:space="preserve"> 3 </w:t>
      </w:r>
      <w:r>
        <w:rPr>
          <w:sz w:val="24"/>
          <w:szCs w:val="24"/>
        </w:rPr>
        <w:t xml:space="preserve">eller 10 </w:t>
      </w:r>
      <w:r w:rsidRPr="00F533B8">
        <w:rPr>
          <w:sz w:val="24"/>
          <w:szCs w:val="24"/>
        </w:rPr>
        <w:t>blisterkort med 10 tabletter</w:t>
      </w:r>
    </w:p>
    <w:p w:rsidR="00084A16" w:rsidRPr="00F533B8" w:rsidRDefault="00084A16" w:rsidP="00084A16">
      <w:pPr>
        <w:tabs>
          <w:tab w:val="left" w:pos="851"/>
          <w:tab w:val="left" w:pos="8222"/>
        </w:tabs>
        <w:ind w:left="851"/>
        <w:rPr>
          <w:sz w:val="24"/>
          <w:szCs w:val="24"/>
        </w:rPr>
      </w:pPr>
      <w:r w:rsidRPr="00F533B8">
        <w:rPr>
          <w:sz w:val="24"/>
          <w:szCs w:val="24"/>
        </w:rPr>
        <w:t xml:space="preserve">Kartonæske indeholdende 10 separate kartonæsker, der hver indeholder 1 blisterkort med 10 tabletter. </w:t>
      </w:r>
    </w:p>
    <w:p w:rsidR="008F1F2E" w:rsidRDefault="008F1F2E"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rPr>
          <w:sz w:val="24"/>
          <w:szCs w:val="24"/>
        </w:rPr>
      </w:pPr>
      <w:r w:rsidRPr="00F533B8">
        <w:rPr>
          <w:sz w:val="24"/>
          <w:szCs w:val="24"/>
        </w:rPr>
        <w:t>Ikke alle pakningsstørrelser er nødvendigvis markedsført.</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hanging="851"/>
        <w:rPr>
          <w:b/>
          <w:sz w:val="24"/>
          <w:szCs w:val="24"/>
        </w:rPr>
      </w:pPr>
      <w:r w:rsidRPr="00F533B8">
        <w:rPr>
          <w:b/>
          <w:sz w:val="24"/>
          <w:szCs w:val="24"/>
        </w:rPr>
        <w:t>6.6</w:t>
      </w:r>
      <w:r w:rsidRPr="00F533B8">
        <w:rPr>
          <w:b/>
          <w:sz w:val="24"/>
          <w:szCs w:val="24"/>
        </w:rPr>
        <w:tab/>
        <w:t>Særlige forholdsregler ved bortskaffelse af rester af lægemidlet eller affald</w:t>
      </w:r>
    </w:p>
    <w:p w:rsidR="006F7C85" w:rsidRPr="00F533B8" w:rsidRDefault="006F7C85" w:rsidP="006F7C85">
      <w:pPr>
        <w:tabs>
          <w:tab w:val="left" w:pos="851"/>
          <w:tab w:val="left" w:pos="8222"/>
        </w:tabs>
        <w:ind w:left="851"/>
        <w:rPr>
          <w:sz w:val="24"/>
          <w:szCs w:val="24"/>
          <w:lang w:eastAsia="da-DK"/>
        </w:rPr>
      </w:pPr>
      <w:r w:rsidRPr="00F533B8">
        <w:rPr>
          <w:sz w:val="24"/>
          <w:szCs w:val="24"/>
        </w:rPr>
        <w:t>Ikke anvendte veterinærlægemidler, samt affald heraf bør destrueres i henhold til lokale retningslinjer.</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hanging="851"/>
        <w:rPr>
          <w:b/>
          <w:sz w:val="24"/>
          <w:szCs w:val="24"/>
        </w:rPr>
      </w:pPr>
      <w:r w:rsidRPr="00F533B8">
        <w:rPr>
          <w:b/>
          <w:sz w:val="24"/>
          <w:szCs w:val="24"/>
        </w:rPr>
        <w:t>7.</w:t>
      </w:r>
      <w:r w:rsidRPr="00F533B8">
        <w:rPr>
          <w:b/>
          <w:sz w:val="24"/>
          <w:szCs w:val="24"/>
        </w:rPr>
        <w:tab/>
        <w:t>INDEHAVER AF MARKEDSFØRINGSTILLADELSEN</w:t>
      </w:r>
    </w:p>
    <w:p w:rsidR="006F7C85" w:rsidRPr="00F533B8" w:rsidRDefault="006F7C85" w:rsidP="006F7C85">
      <w:pPr>
        <w:tabs>
          <w:tab w:val="left" w:pos="851"/>
          <w:tab w:val="left" w:pos="8222"/>
        </w:tabs>
        <w:ind w:left="851"/>
        <w:rPr>
          <w:sz w:val="24"/>
          <w:szCs w:val="24"/>
          <w:lang w:eastAsia="da-DK"/>
        </w:rPr>
      </w:pPr>
      <w:r w:rsidRPr="00F533B8">
        <w:rPr>
          <w:sz w:val="24"/>
          <w:szCs w:val="24"/>
        </w:rPr>
        <w:t xml:space="preserve">Le </w:t>
      </w:r>
      <w:proofErr w:type="spellStart"/>
      <w:r w:rsidRPr="00F533B8">
        <w:rPr>
          <w:sz w:val="24"/>
          <w:szCs w:val="24"/>
        </w:rPr>
        <w:t>Vet</w:t>
      </w:r>
      <w:proofErr w:type="spellEnd"/>
      <w:r w:rsidRPr="00F533B8">
        <w:rPr>
          <w:sz w:val="24"/>
          <w:szCs w:val="24"/>
        </w:rPr>
        <w:t xml:space="preserve"> </w:t>
      </w:r>
      <w:proofErr w:type="spellStart"/>
      <w:r w:rsidRPr="00F533B8">
        <w:rPr>
          <w:sz w:val="24"/>
          <w:szCs w:val="24"/>
        </w:rPr>
        <w:t>Beheer</w:t>
      </w:r>
      <w:proofErr w:type="spellEnd"/>
      <w:r w:rsidRPr="00F533B8">
        <w:rPr>
          <w:sz w:val="24"/>
          <w:szCs w:val="24"/>
        </w:rPr>
        <w:t xml:space="preserve"> B.V.</w:t>
      </w:r>
    </w:p>
    <w:p w:rsidR="006F7C85" w:rsidRPr="00E12008" w:rsidRDefault="006F7C85" w:rsidP="006F7C85">
      <w:pPr>
        <w:tabs>
          <w:tab w:val="left" w:pos="851"/>
          <w:tab w:val="left" w:pos="8222"/>
        </w:tabs>
        <w:ind w:left="851"/>
        <w:rPr>
          <w:sz w:val="24"/>
          <w:szCs w:val="24"/>
          <w:lang w:val="en-US"/>
        </w:rPr>
      </w:pPr>
      <w:proofErr w:type="spellStart"/>
      <w:r w:rsidRPr="00E12008">
        <w:rPr>
          <w:sz w:val="24"/>
          <w:szCs w:val="24"/>
          <w:lang w:val="en-US"/>
        </w:rPr>
        <w:t>Wilgenweg</w:t>
      </w:r>
      <w:proofErr w:type="spellEnd"/>
      <w:r w:rsidRPr="00E12008">
        <w:rPr>
          <w:sz w:val="24"/>
          <w:szCs w:val="24"/>
          <w:lang w:val="en-US"/>
        </w:rPr>
        <w:t xml:space="preserve"> 7</w:t>
      </w:r>
    </w:p>
    <w:p w:rsidR="006F7C85" w:rsidRPr="00E12008" w:rsidRDefault="006F7C85" w:rsidP="006F7C85">
      <w:pPr>
        <w:tabs>
          <w:tab w:val="left" w:pos="851"/>
          <w:tab w:val="left" w:pos="8222"/>
        </w:tabs>
        <w:ind w:left="851"/>
        <w:rPr>
          <w:sz w:val="24"/>
          <w:szCs w:val="24"/>
          <w:lang w:val="en-US"/>
        </w:rPr>
      </w:pPr>
      <w:r w:rsidRPr="00E12008">
        <w:rPr>
          <w:sz w:val="24"/>
          <w:szCs w:val="24"/>
          <w:lang w:val="en-US"/>
        </w:rPr>
        <w:t xml:space="preserve">3421 TV </w:t>
      </w:r>
      <w:proofErr w:type="spellStart"/>
      <w:r w:rsidRPr="00E12008">
        <w:rPr>
          <w:sz w:val="24"/>
          <w:szCs w:val="24"/>
          <w:lang w:val="en-US"/>
        </w:rPr>
        <w:t>Oudewater</w:t>
      </w:r>
      <w:proofErr w:type="spellEnd"/>
    </w:p>
    <w:p w:rsidR="006F7C85" w:rsidRPr="00E12008" w:rsidRDefault="006F7C85" w:rsidP="006F7C85">
      <w:pPr>
        <w:tabs>
          <w:tab w:val="left" w:pos="851"/>
          <w:tab w:val="left" w:pos="8222"/>
        </w:tabs>
        <w:ind w:left="851"/>
        <w:rPr>
          <w:sz w:val="24"/>
          <w:szCs w:val="24"/>
          <w:lang w:val="en-US"/>
        </w:rPr>
      </w:pPr>
      <w:r w:rsidRPr="00E12008">
        <w:rPr>
          <w:sz w:val="24"/>
          <w:szCs w:val="24"/>
          <w:lang w:val="en-US"/>
        </w:rPr>
        <w:t>Holland</w:t>
      </w:r>
    </w:p>
    <w:p w:rsidR="006F7C85" w:rsidRPr="00E12008" w:rsidRDefault="006F7C85" w:rsidP="006F7C85">
      <w:pPr>
        <w:tabs>
          <w:tab w:val="left" w:pos="851"/>
          <w:tab w:val="left" w:pos="8222"/>
        </w:tabs>
        <w:ind w:left="851"/>
        <w:rPr>
          <w:sz w:val="24"/>
          <w:szCs w:val="24"/>
          <w:lang w:val="en-US"/>
        </w:rPr>
      </w:pPr>
    </w:p>
    <w:p w:rsidR="006F7C85" w:rsidRPr="00E12008" w:rsidRDefault="006F7C85" w:rsidP="006F7C85">
      <w:pPr>
        <w:tabs>
          <w:tab w:val="left" w:pos="851"/>
          <w:tab w:val="left" w:pos="8222"/>
        </w:tabs>
        <w:ind w:left="851"/>
        <w:rPr>
          <w:b/>
          <w:sz w:val="24"/>
          <w:szCs w:val="24"/>
          <w:lang w:val="en-US"/>
        </w:rPr>
      </w:pPr>
      <w:proofErr w:type="spellStart"/>
      <w:r w:rsidRPr="00E12008">
        <w:rPr>
          <w:b/>
          <w:sz w:val="24"/>
          <w:szCs w:val="24"/>
          <w:lang w:val="en-US"/>
        </w:rPr>
        <w:t>Repræsentant</w:t>
      </w:r>
      <w:proofErr w:type="spellEnd"/>
    </w:p>
    <w:p w:rsidR="006F7C85" w:rsidRPr="00F533B8" w:rsidRDefault="006F7C85" w:rsidP="006F7C85">
      <w:pPr>
        <w:tabs>
          <w:tab w:val="left" w:pos="851"/>
          <w:tab w:val="left" w:pos="8222"/>
        </w:tabs>
        <w:ind w:left="851"/>
        <w:rPr>
          <w:sz w:val="24"/>
          <w:szCs w:val="24"/>
          <w:lang w:val="en-US"/>
        </w:rPr>
      </w:pPr>
      <w:proofErr w:type="spellStart"/>
      <w:r w:rsidRPr="00F533B8">
        <w:rPr>
          <w:sz w:val="24"/>
          <w:szCs w:val="24"/>
          <w:lang w:val="en-US"/>
        </w:rPr>
        <w:t>Dechra</w:t>
      </w:r>
      <w:proofErr w:type="spellEnd"/>
      <w:r w:rsidRPr="00F533B8">
        <w:rPr>
          <w:sz w:val="24"/>
          <w:szCs w:val="24"/>
          <w:lang w:val="en-US"/>
        </w:rPr>
        <w:t xml:space="preserve"> Veterinary Products A/S</w:t>
      </w:r>
    </w:p>
    <w:p w:rsidR="006F7C85" w:rsidRPr="00E12008" w:rsidRDefault="006F7C85" w:rsidP="006F7C85">
      <w:pPr>
        <w:tabs>
          <w:tab w:val="left" w:pos="851"/>
          <w:tab w:val="left" w:pos="8222"/>
        </w:tabs>
        <w:ind w:left="851"/>
        <w:rPr>
          <w:sz w:val="24"/>
          <w:szCs w:val="24"/>
        </w:rPr>
      </w:pPr>
      <w:proofErr w:type="spellStart"/>
      <w:r w:rsidRPr="00E12008">
        <w:rPr>
          <w:sz w:val="24"/>
          <w:szCs w:val="24"/>
        </w:rPr>
        <w:t>Mekuvej</w:t>
      </w:r>
      <w:proofErr w:type="spellEnd"/>
      <w:r w:rsidRPr="00E12008">
        <w:rPr>
          <w:sz w:val="24"/>
          <w:szCs w:val="24"/>
        </w:rPr>
        <w:t xml:space="preserve"> 9</w:t>
      </w:r>
    </w:p>
    <w:p w:rsidR="006F7C85" w:rsidRPr="00F533B8" w:rsidRDefault="006F7C85" w:rsidP="006F7C85">
      <w:pPr>
        <w:tabs>
          <w:tab w:val="left" w:pos="851"/>
          <w:tab w:val="left" w:pos="8222"/>
        </w:tabs>
        <w:ind w:left="851"/>
        <w:rPr>
          <w:sz w:val="24"/>
          <w:szCs w:val="24"/>
        </w:rPr>
      </w:pPr>
      <w:r w:rsidRPr="00F533B8">
        <w:rPr>
          <w:sz w:val="24"/>
          <w:szCs w:val="24"/>
        </w:rPr>
        <w:t>7171 Uldum</w:t>
      </w:r>
    </w:p>
    <w:p w:rsidR="006F7C85" w:rsidRPr="00F533B8" w:rsidRDefault="006F7C85" w:rsidP="006F7C85">
      <w:pPr>
        <w:tabs>
          <w:tab w:val="left" w:pos="851"/>
          <w:tab w:val="left" w:pos="8222"/>
        </w:tabs>
        <w:ind w:left="851"/>
        <w:rPr>
          <w:sz w:val="24"/>
          <w:szCs w:val="24"/>
        </w:rPr>
      </w:pPr>
    </w:p>
    <w:p w:rsidR="008F1F2E" w:rsidRDefault="008F1F2E">
      <w:pPr>
        <w:rPr>
          <w:b/>
          <w:sz w:val="24"/>
          <w:szCs w:val="24"/>
        </w:rPr>
      </w:pPr>
      <w:r>
        <w:rPr>
          <w:b/>
          <w:sz w:val="24"/>
          <w:szCs w:val="24"/>
        </w:rPr>
        <w:br w:type="page"/>
      </w:r>
    </w:p>
    <w:p w:rsidR="006F7C85" w:rsidRPr="00F533B8" w:rsidRDefault="006F7C85" w:rsidP="006F7C85">
      <w:pPr>
        <w:tabs>
          <w:tab w:val="left" w:pos="8222"/>
        </w:tabs>
        <w:ind w:left="851" w:hanging="851"/>
        <w:rPr>
          <w:b/>
          <w:sz w:val="24"/>
          <w:szCs w:val="24"/>
        </w:rPr>
      </w:pPr>
      <w:r w:rsidRPr="00F533B8">
        <w:rPr>
          <w:b/>
          <w:sz w:val="24"/>
          <w:szCs w:val="24"/>
        </w:rPr>
        <w:t>8.</w:t>
      </w:r>
      <w:r w:rsidRPr="00F533B8">
        <w:rPr>
          <w:b/>
          <w:sz w:val="24"/>
          <w:szCs w:val="24"/>
        </w:rPr>
        <w:tab/>
        <w:t>MARKEDSFØRINGSTILLADELSESNUMMER (NUMRE)</w:t>
      </w:r>
    </w:p>
    <w:p w:rsidR="006F7C85" w:rsidRPr="00F533B8" w:rsidRDefault="006F7C85" w:rsidP="006F7C85">
      <w:pPr>
        <w:tabs>
          <w:tab w:val="left" w:pos="851"/>
          <w:tab w:val="left" w:pos="3261"/>
          <w:tab w:val="left" w:pos="8222"/>
        </w:tabs>
        <w:ind w:left="851"/>
        <w:rPr>
          <w:sz w:val="24"/>
          <w:szCs w:val="24"/>
        </w:rPr>
      </w:pPr>
      <w:r w:rsidRPr="00F533B8">
        <w:rPr>
          <w:sz w:val="24"/>
          <w:szCs w:val="24"/>
        </w:rPr>
        <w:t xml:space="preserve">750.000 IE/125 mg: </w:t>
      </w:r>
      <w:r w:rsidRPr="00F533B8">
        <w:rPr>
          <w:sz w:val="24"/>
          <w:szCs w:val="24"/>
        </w:rPr>
        <w:tab/>
        <w:t>58351</w:t>
      </w:r>
    </w:p>
    <w:p w:rsidR="006F7C85" w:rsidRPr="00F533B8" w:rsidRDefault="006F7C85" w:rsidP="006F7C85">
      <w:pPr>
        <w:tabs>
          <w:tab w:val="left" w:pos="851"/>
          <w:tab w:val="left" w:pos="3261"/>
          <w:tab w:val="left" w:pos="8222"/>
        </w:tabs>
        <w:ind w:left="851"/>
        <w:rPr>
          <w:sz w:val="24"/>
          <w:szCs w:val="24"/>
        </w:rPr>
      </w:pPr>
      <w:r w:rsidRPr="00F533B8">
        <w:rPr>
          <w:sz w:val="24"/>
          <w:szCs w:val="24"/>
        </w:rPr>
        <w:t xml:space="preserve">1.500.000 IE/250 mg: </w:t>
      </w:r>
      <w:r w:rsidRPr="00F533B8">
        <w:rPr>
          <w:sz w:val="24"/>
          <w:szCs w:val="24"/>
        </w:rPr>
        <w:tab/>
        <w:t>58352</w:t>
      </w:r>
    </w:p>
    <w:p w:rsidR="006F7C85" w:rsidRPr="00F533B8" w:rsidRDefault="006F7C85" w:rsidP="006F7C85">
      <w:pPr>
        <w:tabs>
          <w:tab w:val="left" w:pos="851"/>
          <w:tab w:val="left" w:pos="3261"/>
          <w:tab w:val="left" w:pos="8222"/>
        </w:tabs>
        <w:ind w:left="851"/>
        <w:rPr>
          <w:sz w:val="24"/>
          <w:szCs w:val="24"/>
        </w:rPr>
      </w:pPr>
      <w:r w:rsidRPr="00F533B8">
        <w:rPr>
          <w:sz w:val="24"/>
          <w:szCs w:val="24"/>
        </w:rPr>
        <w:t xml:space="preserve">3.000.000 IE/125 mg: </w:t>
      </w:r>
      <w:r w:rsidRPr="00F533B8">
        <w:rPr>
          <w:sz w:val="24"/>
          <w:szCs w:val="24"/>
        </w:rPr>
        <w:tab/>
        <w:t>58353</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9.</w:t>
      </w:r>
      <w:r w:rsidRPr="00F533B8">
        <w:rPr>
          <w:b/>
          <w:sz w:val="24"/>
          <w:szCs w:val="24"/>
        </w:rPr>
        <w:tab/>
        <w:t>DATO FOR FØRSTE MARKEDSFØRINGSTILLADELSE</w:t>
      </w:r>
    </w:p>
    <w:p w:rsidR="006F7C85" w:rsidRPr="00F533B8" w:rsidRDefault="006F7C85" w:rsidP="006F7C85">
      <w:pPr>
        <w:tabs>
          <w:tab w:val="left" w:pos="851"/>
          <w:tab w:val="left" w:pos="8222"/>
        </w:tabs>
        <w:ind w:left="851"/>
        <w:rPr>
          <w:sz w:val="24"/>
          <w:szCs w:val="24"/>
        </w:rPr>
      </w:pPr>
      <w:r>
        <w:rPr>
          <w:sz w:val="24"/>
          <w:szCs w:val="24"/>
        </w:rPr>
        <w:t>6. oktober 2017</w:t>
      </w:r>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ind w:left="851" w:hanging="851"/>
        <w:rPr>
          <w:b/>
          <w:sz w:val="24"/>
          <w:szCs w:val="24"/>
        </w:rPr>
      </w:pPr>
      <w:r w:rsidRPr="00F533B8">
        <w:rPr>
          <w:b/>
          <w:sz w:val="24"/>
          <w:szCs w:val="24"/>
        </w:rPr>
        <w:t>10.</w:t>
      </w:r>
      <w:r w:rsidRPr="00F533B8">
        <w:rPr>
          <w:b/>
          <w:sz w:val="24"/>
          <w:szCs w:val="24"/>
        </w:rPr>
        <w:tab/>
        <w:t>DATO FOR ÆNDRING AF TEKSTEN</w:t>
      </w:r>
    </w:p>
    <w:p w:rsidR="006F7C85" w:rsidRPr="00F533B8" w:rsidRDefault="008F1F2E" w:rsidP="006F7C85">
      <w:pPr>
        <w:tabs>
          <w:tab w:val="left" w:pos="851"/>
          <w:tab w:val="left" w:pos="8222"/>
        </w:tabs>
        <w:ind w:left="851"/>
        <w:rPr>
          <w:sz w:val="24"/>
          <w:szCs w:val="24"/>
        </w:rPr>
      </w:pPr>
      <w:r>
        <w:rPr>
          <w:sz w:val="24"/>
          <w:szCs w:val="24"/>
        </w:rPr>
        <w:t>1</w:t>
      </w:r>
      <w:r w:rsidR="00084A16">
        <w:rPr>
          <w:sz w:val="24"/>
          <w:szCs w:val="24"/>
        </w:rPr>
        <w:t>5</w:t>
      </w:r>
      <w:r>
        <w:rPr>
          <w:sz w:val="24"/>
          <w:szCs w:val="24"/>
        </w:rPr>
        <w:t xml:space="preserve">. </w:t>
      </w:r>
      <w:r w:rsidR="00084A16">
        <w:rPr>
          <w:sz w:val="24"/>
          <w:szCs w:val="24"/>
        </w:rPr>
        <w:t xml:space="preserve">juli </w:t>
      </w:r>
      <w:r>
        <w:rPr>
          <w:sz w:val="24"/>
          <w:szCs w:val="24"/>
        </w:rPr>
        <w:t>202</w:t>
      </w:r>
      <w:r w:rsidR="00084A16">
        <w:rPr>
          <w:sz w:val="24"/>
          <w:szCs w:val="24"/>
        </w:rPr>
        <w:t>4</w:t>
      </w:r>
      <w:bookmarkStart w:id="0" w:name="_GoBack"/>
      <w:bookmarkEnd w:id="0"/>
    </w:p>
    <w:p w:rsidR="006F7C85" w:rsidRPr="00F533B8" w:rsidRDefault="006F7C85" w:rsidP="006F7C85">
      <w:pPr>
        <w:tabs>
          <w:tab w:val="left" w:pos="851"/>
          <w:tab w:val="left" w:pos="8222"/>
        </w:tabs>
        <w:ind w:left="851"/>
        <w:rPr>
          <w:sz w:val="24"/>
          <w:szCs w:val="24"/>
        </w:rPr>
      </w:pPr>
    </w:p>
    <w:p w:rsidR="006F7C85" w:rsidRPr="00F533B8" w:rsidRDefault="006F7C85" w:rsidP="006F7C85">
      <w:pPr>
        <w:tabs>
          <w:tab w:val="left" w:pos="851"/>
          <w:tab w:val="left" w:pos="8222"/>
        </w:tabs>
        <w:rPr>
          <w:b/>
          <w:sz w:val="24"/>
          <w:szCs w:val="24"/>
        </w:rPr>
      </w:pPr>
      <w:r w:rsidRPr="00F533B8">
        <w:rPr>
          <w:b/>
          <w:sz w:val="24"/>
          <w:szCs w:val="24"/>
        </w:rPr>
        <w:t>11.</w:t>
      </w:r>
      <w:r w:rsidRPr="00F533B8">
        <w:rPr>
          <w:b/>
          <w:sz w:val="24"/>
          <w:szCs w:val="24"/>
        </w:rPr>
        <w:tab/>
        <w:t>UDLEVERINGSBESTEMMELSE</w:t>
      </w:r>
    </w:p>
    <w:p w:rsidR="006F7C85" w:rsidRPr="00F533B8" w:rsidRDefault="006F7C85" w:rsidP="006F7C85">
      <w:pPr>
        <w:pStyle w:val="Sidehoved"/>
        <w:tabs>
          <w:tab w:val="clear" w:pos="4819"/>
          <w:tab w:val="left" w:pos="851"/>
          <w:tab w:val="left" w:pos="8222"/>
        </w:tabs>
        <w:ind w:left="851"/>
        <w:rPr>
          <w:szCs w:val="24"/>
        </w:rPr>
      </w:pPr>
      <w:r w:rsidRPr="00F533B8">
        <w:rPr>
          <w:szCs w:val="24"/>
        </w:rPr>
        <w:t>B</w:t>
      </w:r>
    </w:p>
    <w:p w:rsidR="006F7C85" w:rsidRPr="005D2E79" w:rsidRDefault="006F7C85" w:rsidP="006F7C85"/>
    <w:p w:rsidR="0003527F" w:rsidRPr="006F7C85" w:rsidRDefault="0003527F" w:rsidP="006F7C85"/>
    <w:sectPr w:rsidR="0003527F" w:rsidRPr="006F7C85" w:rsidSect="00C479BF">
      <w:headerReference w:type="default"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85" w:rsidRDefault="006F7C85">
      <w:r>
        <w:separator/>
      </w:r>
    </w:p>
  </w:endnote>
  <w:endnote w:type="continuationSeparator" w:id="0">
    <w:p w:rsidR="006F7C85" w:rsidRDefault="006F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1F2E">
      <w:rPr>
        <w:i/>
        <w:noProof/>
        <w:snapToGrid w:val="0"/>
        <w:sz w:val="18"/>
      </w:rPr>
      <w:t>Spizobactin Vet., tyggetabletter 750.000 IE-125 mg, 1.500.000 IE-250 mg og 3.000.000 IE-500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1F2E">
      <w:rPr>
        <w:i/>
        <w:noProof/>
        <w:snapToGrid w:val="0"/>
        <w:sz w:val="18"/>
      </w:rPr>
      <w:t>Spizobactin Vet., tyggetabletter 750.000 IE-125 mg, 1.500.000 IE-250 mg og 3.000.000 IE-500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85" w:rsidRDefault="006F7C85">
      <w:r>
        <w:separator/>
      </w:r>
    </w:p>
  </w:footnote>
  <w:footnote w:type="continuationSeparator" w:id="0">
    <w:p w:rsidR="006F7C85" w:rsidRDefault="006F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DBB435A"/>
    <w:multiLevelType w:val="hybridMultilevel"/>
    <w:tmpl w:val="2D743BD8"/>
    <w:lvl w:ilvl="0" w:tplc="C25CD72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85"/>
    <w:rsid w:val="0003527F"/>
    <w:rsid w:val="00065C7D"/>
    <w:rsid w:val="00084A16"/>
    <w:rsid w:val="000C6CD4"/>
    <w:rsid w:val="001577E4"/>
    <w:rsid w:val="001858CA"/>
    <w:rsid w:val="001C4AEF"/>
    <w:rsid w:val="001D3CC5"/>
    <w:rsid w:val="00322BDE"/>
    <w:rsid w:val="00406EE7"/>
    <w:rsid w:val="00407013"/>
    <w:rsid w:val="004A62CC"/>
    <w:rsid w:val="004B4FB3"/>
    <w:rsid w:val="00565A74"/>
    <w:rsid w:val="005B0036"/>
    <w:rsid w:val="005F5831"/>
    <w:rsid w:val="00662012"/>
    <w:rsid w:val="00666B01"/>
    <w:rsid w:val="006A7CC7"/>
    <w:rsid w:val="006B1539"/>
    <w:rsid w:val="006D4B41"/>
    <w:rsid w:val="006F5621"/>
    <w:rsid w:val="006F721C"/>
    <w:rsid w:val="006F7C85"/>
    <w:rsid w:val="007E2A00"/>
    <w:rsid w:val="008010F2"/>
    <w:rsid w:val="008F1F2E"/>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62BF5"/>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22AC5"/>
  <w15:chartTrackingRefBased/>
  <w15:docId w15:val="{B0F2499C-EDC4-47A4-8BD2-961245E3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6F7C85"/>
    <w:pPr>
      <w:ind w:left="720"/>
      <w:contextualSpacing/>
    </w:pPr>
  </w:style>
  <w:style w:type="character" w:customStyle="1" w:styleId="viiyi">
    <w:name w:val="viiyi"/>
    <w:basedOn w:val="Standardskrifttypeiafsnit"/>
    <w:rsid w:val="008F1F2E"/>
  </w:style>
  <w:style w:type="character" w:customStyle="1" w:styleId="q4iawc">
    <w:name w:val="q4iawc"/>
    <w:basedOn w:val="Standardskrifttypeiafsnit"/>
    <w:rsid w:val="008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9964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2024022516 SPC punkt 6.5</dc:description>
  <cp:lastModifiedBy>Nanna Helene Lillelund</cp:lastModifiedBy>
  <cp:revision>2</cp:revision>
  <dcterms:created xsi:type="dcterms:W3CDTF">2024-07-15T11:37:00Z</dcterms:created>
  <dcterms:modified xsi:type="dcterms:W3CDTF">2024-07-15T11:37:00Z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