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48F" w:rsidRDefault="0005548F" w:rsidP="0005548F">
      <w:pPr>
        <w:tabs>
          <w:tab w:val="left" w:pos="6804"/>
        </w:tabs>
        <w:rPr>
          <w:b/>
        </w:rPr>
      </w:pPr>
      <w:bookmarkStart w:id="0" w:name="_GoBack"/>
      <w:bookmarkEnd w:id="0"/>
      <w:r>
        <w:rPr>
          <w:noProof/>
          <w:sz w:val="24"/>
          <w:szCs w:val="24"/>
          <w:lang w:eastAsia="da-DK"/>
        </w:rPr>
        <w:drawing>
          <wp:inline distT="0" distB="0" distL="0" distR="0" wp14:anchorId="1D7E2408" wp14:editId="0B390E8B">
            <wp:extent cx="2428875" cy="685800"/>
            <wp:effectExtent l="0" t="0" r="9525" b="0"/>
            <wp:docPr id="2" name="Billede 2" descr="cid:image001.jpg@01D1601C.B3FB0B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id:image001.jpg@01D1601C.B3FB0BA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05548F" w:rsidRDefault="0005548F" w:rsidP="0005548F">
      <w:pPr>
        <w:tabs>
          <w:tab w:val="left" w:pos="6804"/>
        </w:tabs>
        <w:rPr>
          <w:b/>
        </w:rPr>
      </w:pPr>
    </w:p>
    <w:p w:rsidR="0005548F" w:rsidRPr="00C7489D" w:rsidRDefault="0005548F" w:rsidP="0005548F">
      <w:pPr>
        <w:tabs>
          <w:tab w:val="left" w:pos="6804"/>
        </w:tabs>
        <w:jc w:val="right"/>
        <w:rPr>
          <w:b/>
          <w:sz w:val="24"/>
          <w:szCs w:val="24"/>
        </w:rPr>
      </w:pPr>
      <w:r>
        <w:rPr>
          <w:b/>
        </w:rPr>
        <w:t>2</w:t>
      </w:r>
      <w:r w:rsidR="004F26FC">
        <w:rPr>
          <w:b/>
        </w:rPr>
        <w:t>6</w:t>
      </w:r>
      <w:r>
        <w:rPr>
          <w:b/>
        </w:rPr>
        <w:t xml:space="preserve">. </w:t>
      </w:r>
      <w:r w:rsidR="004F26FC">
        <w:rPr>
          <w:b/>
        </w:rPr>
        <w:t>marts 2025</w:t>
      </w:r>
    </w:p>
    <w:p w:rsidR="0005548F" w:rsidRDefault="0005548F" w:rsidP="0005548F">
      <w:pPr>
        <w:tabs>
          <w:tab w:val="left" w:pos="8222"/>
        </w:tabs>
        <w:rPr>
          <w:sz w:val="24"/>
          <w:szCs w:val="24"/>
        </w:rPr>
      </w:pPr>
    </w:p>
    <w:p w:rsidR="0005548F" w:rsidRDefault="0005548F" w:rsidP="0005548F">
      <w:pPr>
        <w:tabs>
          <w:tab w:val="left" w:pos="8222"/>
        </w:tabs>
        <w:rPr>
          <w:sz w:val="24"/>
          <w:szCs w:val="24"/>
        </w:rPr>
      </w:pPr>
    </w:p>
    <w:p w:rsidR="0005548F" w:rsidRDefault="0005548F" w:rsidP="0005548F">
      <w:pPr>
        <w:tabs>
          <w:tab w:val="left" w:pos="8222"/>
        </w:tabs>
        <w:jc w:val="center"/>
        <w:rPr>
          <w:b/>
          <w:sz w:val="24"/>
          <w:szCs w:val="24"/>
        </w:rPr>
      </w:pPr>
      <w:r>
        <w:rPr>
          <w:b/>
          <w:sz w:val="24"/>
          <w:szCs w:val="24"/>
        </w:rPr>
        <w:t>PRODUKTRESUMÉ</w:t>
      </w:r>
    </w:p>
    <w:p w:rsidR="0005548F" w:rsidRDefault="0005548F" w:rsidP="0005548F">
      <w:pPr>
        <w:tabs>
          <w:tab w:val="left" w:pos="8222"/>
        </w:tabs>
        <w:jc w:val="center"/>
        <w:rPr>
          <w:b/>
          <w:sz w:val="24"/>
          <w:szCs w:val="24"/>
        </w:rPr>
      </w:pPr>
    </w:p>
    <w:p w:rsidR="0005548F" w:rsidRDefault="0005548F" w:rsidP="0005548F">
      <w:pPr>
        <w:tabs>
          <w:tab w:val="left" w:pos="8222"/>
        </w:tabs>
        <w:jc w:val="center"/>
        <w:rPr>
          <w:b/>
          <w:sz w:val="24"/>
          <w:szCs w:val="24"/>
        </w:rPr>
      </w:pPr>
      <w:r>
        <w:rPr>
          <w:b/>
          <w:sz w:val="24"/>
          <w:szCs w:val="24"/>
        </w:rPr>
        <w:t>for</w:t>
      </w:r>
    </w:p>
    <w:p w:rsidR="0005548F" w:rsidRDefault="0005548F" w:rsidP="0005548F">
      <w:pPr>
        <w:tabs>
          <w:tab w:val="left" w:pos="8222"/>
        </w:tabs>
        <w:jc w:val="center"/>
        <w:rPr>
          <w:b/>
          <w:sz w:val="24"/>
          <w:szCs w:val="24"/>
        </w:rPr>
      </w:pPr>
    </w:p>
    <w:p w:rsidR="0005548F" w:rsidRDefault="0005548F" w:rsidP="0005548F">
      <w:pPr>
        <w:tabs>
          <w:tab w:val="left" w:pos="8222"/>
        </w:tabs>
        <w:jc w:val="center"/>
        <w:rPr>
          <w:b/>
          <w:sz w:val="24"/>
          <w:szCs w:val="24"/>
        </w:rPr>
      </w:pPr>
      <w:proofErr w:type="spellStart"/>
      <w:r>
        <w:rPr>
          <w:b/>
          <w:sz w:val="24"/>
          <w:szCs w:val="24"/>
        </w:rPr>
        <w:t>Sporimune</w:t>
      </w:r>
      <w:proofErr w:type="spellEnd"/>
      <w:r>
        <w:rPr>
          <w:b/>
          <w:sz w:val="24"/>
          <w:szCs w:val="24"/>
        </w:rPr>
        <w:t xml:space="preserve"> </w:t>
      </w:r>
      <w:proofErr w:type="spellStart"/>
      <w:r>
        <w:rPr>
          <w:b/>
          <w:sz w:val="24"/>
          <w:szCs w:val="24"/>
        </w:rPr>
        <w:t>Vet</w:t>
      </w:r>
      <w:proofErr w:type="spellEnd"/>
      <w:r>
        <w:rPr>
          <w:b/>
          <w:sz w:val="24"/>
          <w:szCs w:val="24"/>
        </w:rPr>
        <w:t>., oral opløsning</w:t>
      </w:r>
    </w:p>
    <w:p w:rsidR="0005548F" w:rsidRDefault="0005548F" w:rsidP="0005548F">
      <w:pPr>
        <w:tabs>
          <w:tab w:val="left" w:pos="8222"/>
        </w:tabs>
        <w:jc w:val="both"/>
        <w:rPr>
          <w:sz w:val="24"/>
          <w:szCs w:val="24"/>
        </w:rPr>
      </w:pPr>
    </w:p>
    <w:p w:rsidR="0005548F" w:rsidRPr="00D6751B" w:rsidRDefault="0005548F" w:rsidP="0005548F">
      <w:pPr>
        <w:ind w:left="851" w:hanging="851"/>
        <w:jc w:val="both"/>
        <w:rPr>
          <w:sz w:val="24"/>
          <w:szCs w:val="24"/>
        </w:rPr>
      </w:pPr>
    </w:p>
    <w:p w:rsidR="0005548F" w:rsidRPr="00D6751B" w:rsidRDefault="0005548F" w:rsidP="0005548F">
      <w:pPr>
        <w:ind w:left="851" w:hanging="851"/>
        <w:rPr>
          <w:b/>
          <w:sz w:val="24"/>
          <w:szCs w:val="24"/>
        </w:rPr>
      </w:pPr>
      <w:r w:rsidRPr="00D6751B">
        <w:rPr>
          <w:b/>
          <w:sz w:val="24"/>
          <w:szCs w:val="24"/>
        </w:rPr>
        <w:t>0.</w:t>
      </w:r>
      <w:r w:rsidRPr="00D6751B">
        <w:rPr>
          <w:b/>
          <w:sz w:val="24"/>
          <w:szCs w:val="24"/>
        </w:rPr>
        <w:tab/>
        <w:t>D.SP.NR</w:t>
      </w:r>
      <w:r>
        <w:rPr>
          <w:b/>
          <w:sz w:val="24"/>
          <w:szCs w:val="24"/>
        </w:rPr>
        <w:t>.</w:t>
      </w:r>
    </w:p>
    <w:p w:rsidR="0005548F" w:rsidRPr="00D6751B" w:rsidRDefault="0005548F" w:rsidP="0005548F">
      <w:pPr>
        <w:ind w:left="851" w:hanging="851"/>
        <w:jc w:val="both"/>
        <w:rPr>
          <w:sz w:val="24"/>
          <w:szCs w:val="24"/>
        </w:rPr>
      </w:pPr>
      <w:r>
        <w:rPr>
          <w:sz w:val="24"/>
          <w:szCs w:val="24"/>
        </w:rPr>
        <w:tab/>
      </w:r>
      <w:r w:rsidRPr="00D6751B">
        <w:rPr>
          <w:sz w:val="24"/>
          <w:szCs w:val="24"/>
        </w:rPr>
        <w:t>28391</w:t>
      </w:r>
    </w:p>
    <w:p w:rsidR="0005548F" w:rsidRPr="00D6751B" w:rsidRDefault="0005548F" w:rsidP="0005548F">
      <w:pPr>
        <w:ind w:left="851" w:hanging="851"/>
        <w:jc w:val="both"/>
        <w:rPr>
          <w:sz w:val="24"/>
          <w:szCs w:val="24"/>
        </w:rPr>
      </w:pPr>
    </w:p>
    <w:p w:rsidR="0005548F" w:rsidRPr="00D6751B" w:rsidRDefault="0005548F" w:rsidP="0005548F">
      <w:pPr>
        <w:ind w:left="851" w:hanging="851"/>
        <w:rPr>
          <w:b/>
          <w:sz w:val="24"/>
          <w:szCs w:val="24"/>
        </w:rPr>
      </w:pPr>
      <w:r w:rsidRPr="00D6751B">
        <w:rPr>
          <w:b/>
          <w:sz w:val="24"/>
          <w:szCs w:val="24"/>
        </w:rPr>
        <w:t>1.</w:t>
      </w:r>
      <w:r w:rsidRPr="00D6751B">
        <w:rPr>
          <w:b/>
          <w:sz w:val="24"/>
          <w:szCs w:val="24"/>
        </w:rPr>
        <w:tab/>
        <w:t>VETERINÆRLÆGEMIDLETS NAVN</w:t>
      </w:r>
    </w:p>
    <w:p w:rsidR="00B74220" w:rsidRDefault="0005548F" w:rsidP="0005548F">
      <w:pPr>
        <w:ind w:left="851" w:hanging="851"/>
        <w:jc w:val="both"/>
        <w:rPr>
          <w:sz w:val="24"/>
          <w:szCs w:val="24"/>
        </w:rPr>
      </w:pPr>
      <w:r>
        <w:rPr>
          <w:sz w:val="24"/>
          <w:szCs w:val="24"/>
        </w:rPr>
        <w:tab/>
      </w:r>
    </w:p>
    <w:p w:rsidR="00B74220" w:rsidRDefault="00B74220" w:rsidP="00B74220">
      <w:pPr>
        <w:tabs>
          <w:tab w:val="left" w:pos="8222"/>
        </w:tabs>
        <w:ind w:firstLine="851"/>
        <w:rPr>
          <w:bCs/>
          <w:sz w:val="22"/>
          <w:szCs w:val="22"/>
        </w:rPr>
      </w:pPr>
      <w:proofErr w:type="spellStart"/>
      <w:r>
        <w:rPr>
          <w:bCs/>
          <w:szCs w:val="22"/>
        </w:rPr>
        <w:t>Sporimune</w:t>
      </w:r>
      <w:proofErr w:type="spellEnd"/>
      <w:r>
        <w:rPr>
          <w:bCs/>
          <w:szCs w:val="22"/>
        </w:rPr>
        <w:t xml:space="preserve"> </w:t>
      </w:r>
      <w:proofErr w:type="spellStart"/>
      <w:r w:rsidR="00AA1865">
        <w:rPr>
          <w:bCs/>
          <w:szCs w:val="22"/>
        </w:rPr>
        <w:t>V</w:t>
      </w:r>
      <w:r>
        <w:rPr>
          <w:bCs/>
          <w:szCs w:val="22"/>
        </w:rPr>
        <w:t>et</w:t>
      </w:r>
      <w:proofErr w:type="spellEnd"/>
      <w:r>
        <w:rPr>
          <w:bCs/>
          <w:szCs w:val="22"/>
        </w:rPr>
        <w:t xml:space="preserve">. </w:t>
      </w:r>
    </w:p>
    <w:p w:rsidR="00B74220" w:rsidRDefault="00B74220" w:rsidP="00B74220">
      <w:pPr>
        <w:tabs>
          <w:tab w:val="left" w:pos="8222"/>
        </w:tabs>
        <w:rPr>
          <w:szCs w:val="22"/>
        </w:rPr>
      </w:pPr>
    </w:p>
    <w:p w:rsidR="00B74220" w:rsidRDefault="00B74220" w:rsidP="00B74220">
      <w:pPr>
        <w:tabs>
          <w:tab w:val="left" w:pos="8222"/>
        </w:tabs>
        <w:ind w:firstLine="851"/>
        <w:rPr>
          <w:szCs w:val="22"/>
        </w:rPr>
      </w:pPr>
      <w:r>
        <w:rPr>
          <w:szCs w:val="22"/>
        </w:rPr>
        <w:t xml:space="preserve">Lægemiddelform: Oral opløsning </w:t>
      </w:r>
    </w:p>
    <w:p w:rsidR="00B74220" w:rsidRDefault="00B74220" w:rsidP="00B74220">
      <w:pPr>
        <w:tabs>
          <w:tab w:val="left" w:pos="8222"/>
        </w:tabs>
        <w:ind w:firstLine="851"/>
        <w:rPr>
          <w:bCs/>
          <w:szCs w:val="22"/>
        </w:rPr>
      </w:pPr>
      <w:r>
        <w:rPr>
          <w:bCs/>
          <w:szCs w:val="22"/>
        </w:rPr>
        <w:t xml:space="preserve">Styrke: </w:t>
      </w:r>
      <w:r>
        <w:rPr>
          <w:szCs w:val="22"/>
        </w:rPr>
        <w:t xml:space="preserve">50 mg/ml </w:t>
      </w:r>
    </w:p>
    <w:p w:rsidR="00B74220" w:rsidRDefault="00B74220" w:rsidP="00B74220">
      <w:pPr>
        <w:tabs>
          <w:tab w:val="left" w:pos="1304"/>
        </w:tabs>
        <w:rPr>
          <w:szCs w:val="22"/>
        </w:rPr>
      </w:pPr>
    </w:p>
    <w:p w:rsidR="00B74220" w:rsidRDefault="00B74220" w:rsidP="00B74220">
      <w:pPr>
        <w:pStyle w:val="Style1"/>
        <w:ind w:left="851" w:hanging="851"/>
      </w:pPr>
      <w:r>
        <w:t>2.</w:t>
      </w:r>
      <w:r>
        <w:tab/>
        <w:t>KVALITATIV OG KVANTITATIV SAMMENSÆTNING</w:t>
      </w:r>
    </w:p>
    <w:p w:rsidR="00B74220" w:rsidRDefault="00B74220" w:rsidP="00B74220">
      <w:pPr>
        <w:tabs>
          <w:tab w:val="left" w:pos="1304"/>
        </w:tabs>
        <w:rPr>
          <w:szCs w:val="22"/>
        </w:rPr>
      </w:pPr>
    </w:p>
    <w:p w:rsidR="00B74220" w:rsidRDefault="00B74220" w:rsidP="00B74220">
      <w:pPr>
        <w:ind w:firstLine="851"/>
        <w:rPr>
          <w:szCs w:val="22"/>
        </w:rPr>
      </w:pPr>
      <w:r>
        <w:rPr>
          <w:szCs w:val="22"/>
        </w:rPr>
        <w:t>Hver ml indeholder:</w:t>
      </w:r>
    </w:p>
    <w:p w:rsidR="00B74220" w:rsidRDefault="00B74220" w:rsidP="00B74220">
      <w:pPr>
        <w:tabs>
          <w:tab w:val="left" w:pos="1304"/>
        </w:tabs>
        <w:ind w:firstLine="851"/>
        <w:rPr>
          <w:b/>
          <w:szCs w:val="22"/>
        </w:rPr>
      </w:pPr>
    </w:p>
    <w:p w:rsidR="00B74220" w:rsidRDefault="00B74220" w:rsidP="00B74220">
      <w:pPr>
        <w:tabs>
          <w:tab w:val="left" w:pos="1304"/>
        </w:tabs>
        <w:ind w:firstLine="851"/>
        <w:rPr>
          <w:b/>
          <w:szCs w:val="22"/>
        </w:rPr>
      </w:pPr>
      <w:r>
        <w:rPr>
          <w:b/>
          <w:szCs w:val="22"/>
        </w:rPr>
        <w:t>Aktivt stof:</w:t>
      </w:r>
    </w:p>
    <w:p w:rsidR="00B74220" w:rsidRDefault="00B74220" w:rsidP="00B74220">
      <w:pPr>
        <w:tabs>
          <w:tab w:val="left" w:pos="1304"/>
        </w:tabs>
        <w:ind w:firstLine="851"/>
        <w:rPr>
          <w:iCs/>
          <w:szCs w:val="22"/>
        </w:rPr>
      </w:pPr>
      <w:proofErr w:type="spellStart"/>
      <w:r>
        <w:rPr>
          <w:iCs/>
          <w:szCs w:val="22"/>
        </w:rPr>
        <w:t>Ciclosporin</w:t>
      </w:r>
      <w:proofErr w:type="spellEnd"/>
      <w:r>
        <w:rPr>
          <w:iCs/>
          <w:szCs w:val="22"/>
        </w:rPr>
        <w:tab/>
      </w:r>
      <w:r>
        <w:rPr>
          <w:iCs/>
          <w:szCs w:val="22"/>
        </w:rPr>
        <w:tab/>
      </w:r>
      <w:r>
        <w:rPr>
          <w:iCs/>
          <w:szCs w:val="22"/>
        </w:rPr>
        <w:tab/>
        <w:t>50 mg</w:t>
      </w:r>
    </w:p>
    <w:p w:rsidR="00B74220" w:rsidRDefault="00B74220" w:rsidP="00B74220">
      <w:pPr>
        <w:tabs>
          <w:tab w:val="left" w:pos="1304"/>
        </w:tabs>
        <w:ind w:firstLine="851"/>
        <w:rPr>
          <w:szCs w:val="22"/>
        </w:rPr>
      </w:pPr>
    </w:p>
    <w:p w:rsidR="00B74220" w:rsidRDefault="00B74220" w:rsidP="00B74220">
      <w:pPr>
        <w:tabs>
          <w:tab w:val="left" w:pos="1304"/>
        </w:tabs>
        <w:ind w:firstLine="851"/>
        <w:rPr>
          <w:szCs w:val="22"/>
        </w:rPr>
      </w:pPr>
      <w:r>
        <w:rPr>
          <w:b/>
          <w:szCs w:val="22"/>
        </w:rPr>
        <w:t>Hjælpestoffer:</w:t>
      </w:r>
    </w:p>
    <w:tbl>
      <w:tblPr>
        <w:tblW w:w="935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4819"/>
      </w:tblGrid>
      <w:tr w:rsidR="00B74220" w:rsidTr="00B74220">
        <w:tc>
          <w:tcPr>
            <w:tcW w:w="4536" w:type="dxa"/>
            <w:tcBorders>
              <w:top w:val="single" w:sz="4" w:space="0" w:color="000000"/>
              <w:left w:val="single" w:sz="4" w:space="0" w:color="000000"/>
              <w:bottom w:val="single" w:sz="4" w:space="0" w:color="000000"/>
              <w:right w:val="single" w:sz="4" w:space="0" w:color="000000"/>
            </w:tcBorders>
            <w:vAlign w:val="center"/>
            <w:hideMark/>
          </w:tcPr>
          <w:p w:rsidR="00B74220" w:rsidRDefault="00B74220">
            <w:pPr>
              <w:spacing w:before="60" w:after="60"/>
              <w:rPr>
                <w:b/>
                <w:bCs/>
                <w:iCs/>
                <w:szCs w:val="22"/>
              </w:rPr>
            </w:pPr>
            <w:r>
              <w:rPr>
                <w:b/>
                <w:bCs/>
                <w:iCs/>
                <w:szCs w:val="22"/>
              </w:rPr>
              <w:t>Kvalitativ sammensætning af hjælpestoffer og andre bestanddele</w:t>
            </w:r>
          </w:p>
        </w:tc>
        <w:tc>
          <w:tcPr>
            <w:tcW w:w="4819" w:type="dxa"/>
            <w:tcBorders>
              <w:top w:val="single" w:sz="4" w:space="0" w:color="000000"/>
              <w:left w:val="single" w:sz="4" w:space="0" w:color="000000"/>
              <w:bottom w:val="single" w:sz="4" w:space="0" w:color="000000"/>
              <w:right w:val="single" w:sz="4" w:space="0" w:color="000000"/>
            </w:tcBorders>
            <w:vAlign w:val="center"/>
            <w:hideMark/>
          </w:tcPr>
          <w:p w:rsidR="00B74220" w:rsidRDefault="00B74220">
            <w:pPr>
              <w:spacing w:before="60" w:after="60"/>
              <w:rPr>
                <w:b/>
                <w:bCs/>
                <w:iCs/>
                <w:szCs w:val="22"/>
              </w:rPr>
            </w:pPr>
            <w:r>
              <w:rPr>
                <w:b/>
                <w:bCs/>
                <w:iCs/>
                <w:szCs w:val="22"/>
              </w:rPr>
              <w:t>Kvantitativ sammensætning, hvis oplysningen er vigtig for korrekt administration af veterinærlægemidlet</w:t>
            </w:r>
          </w:p>
        </w:tc>
      </w:tr>
      <w:tr w:rsidR="00B74220" w:rsidTr="00B74220">
        <w:tc>
          <w:tcPr>
            <w:tcW w:w="4536" w:type="dxa"/>
            <w:tcBorders>
              <w:top w:val="single" w:sz="4" w:space="0" w:color="000000"/>
              <w:left w:val="single" w:sz="4" w:space="0" w:color="000000"/>
              <w:bottom w:val="single" w:sz="4" w:space="0" w:color="000000"/>
              <w:right w:val="single" w:sz="4" w:space="0" w:color="000000"/>
            </w:tcBorders>
            <w:hideMark/>
          </w:tcPr>
          <w:p w:rsidR="00B74220" w:rsidRDefault="00B74220">
            <w:pPr>
              <w:spacing w:before="60" w:after="60"/>
              <w:ind w:left="567" w:hanging="567"/>
              <w:rPr>
                <w:iCs/>
                <w:szCs w:val="22"/>
              </w:rPr>
            </w:pPr>
            <w:proofErr w:type="spellStart"/>
            <w:r>
              <w:rPr>
                <w:szCs w:val="22"/>
              </w:rPr>
              <w:t>Ethanol</w:t>
            </w:r>
            <w:proofErr w:type="spellEnd"/>
            <w:r>
              <w:rPr>
                <w:szCs w:val="22"/>
              </w:rPr>
              <w:t>, vandfri (E-1510)</w:t>
            </w:r>
          </w:p>
        </w:tc>
        <w:tc>
          <w:tcPr>
            <w:tcW w:w="4819" w:type="dxa"/>
            <w:tcBorders>
              <w:top w:val="single" w:sz="4" w:space="0" w:color="000000"/>
              <w:left w:val="single" w:sz="4" w:space="0" w:color="000000"/>
              <w:bottom w:val="single" w:sz="4" w:space="0" w:color="000000"/>
              <w:right w:val="single" w:sz="4" w:space="0" w:color="000000"/>
            </w:tcBorders>
            <w:vAlign w:val="center"/>
            <w:hideMark/>
          </w:tcPr>
          <w:p w:rsidR="00B74220" w:rsidRDefault="00B74220">
            <w:pPr>
              <w:spacing w:before="60" w:after="60"/>
              <w:rPr>
                <w:iCs/>
                <w:szCs w:val="22"/>
              </w:rPr>
            </w:pPr>
            <w:r>
              <w:rPr>
                <w:iCs/>
                <w:szCs w:val="22"/>
              </w:rPr>
              <w:t>100 mg</w:t>
            </w:r>
          </w:p>
        </w:tc>
      </w:tr>
      <w:tr w:rsidR="00B74220" w:rsidTr="00B74220">
        <w:tc>
          <w:tcPr>
            <w:tcW w:w="4536" w:type="dxa"/>
            <w:tcBorders>
              <w:top w:val="single" w:sz="4" w:space="0" w:color="000000"/>
              <w:left w:val="single" w:sz="4" w:space="0" w:color="000000"/>
              <w:bottom w:val="single" w:sz="4" w:space="0" w:color="000000"/>
              <w:right w:val="single" w:sz="4" w:space="0" w:color="000000"/>
            </w:tcBorders>
            <w:hideMark/>
          </w:tcPr>
          <w:p w:rsidR="00B74220" w:rsidRDefault="00B74220">
            <w:pPr>
              <w:spacing w:before="60" w:after="60"/>
              <w:rPr>
                <w:iCs/>
                <w:szCs w:val="22"/>
                <w:lang w:val="en-US"/>
              </w:rPr>
            </w:pPr>
            <w:r>
              <w:rPr>
                <w:szCs w:val="22"/>
                <w:lang w:val="en-US"/>
              </w:rPr>
              <w:t>all-</w:t>
            </w:r>
            <w:proofErr w:type="spellStart"/>
            <w:r>
              <w:rPr>
                <w:szCs w:val="22"/>
                <w:lang w:val="en-US"/>
              </w:rPr>
              <w:t>rac</w:t>
            </w:r>
            <w:proofErr w:type="spellEnd"/>
            <w:r>
              <w:rPr>
                <w:szCs w:val="22"/>
                <w:lang w:val="en-US"/>
              </w:rPr>
              <w:t>-alpha-</w:t>
            </w:r>
            <w:proofErr w:type="spellStart"/>
            <w:r>
              <w:rPr>
                <w:szCs w:val="22"/>
                <w:lang w:val="en-US"/>
              </w:rPr>
              <w:t>Tocopherylacetat</w:t>
            </w:r>
            <w:proofErr w:type="spellEnd"/>
            <w:r>
              <w:rPr>
                <w:szCs w:val="22"/>
                <w:lang w:val="en-US"/>
              </w:rPr>
              <w:t xml:space="preserve"> (E-307)</w:t>
            </w:r>
          </w:p>
        </w:tc>
        <w:tc>
          <w:tcPr>
            <w:tcW w:w="4819" w:type="dxa"/>
            <w:tcBorders>
              <w:top w:val="single" w:sz="4" w:space="0" w:color="000000"/>
              <w:left w:val="single" w:sz="4" w:space="0" w:color="000000"/>
              <w:bottom w:val="single" w:sz="4" w:space="0" w:color="000000"/>
              <w:right w:val="single" w:sz="4" w:space="0" w:color="000000"/>
            </w:tcBorders>
            <w:vAlign w:val="center"/>
            <w:hideMark/>
          </w:tcPr>
          <w:p w:rsidR="00B74220" w:rsidRDefault="00B74220">
            <w:pPr>
              <w:spacing w:before="60" w:after="60"/>
              <w:rPr>
                <w:iCs/>
                <w:szCs w:val="22"/>
                <w:lang w:val="en-US"/>
              </w:rPr>
            </w:pPr>
            <w:r>
              <w:rPr>
                <w:iCs/>
                <w:szCs w:val="22"/>
                <w:lang w:val="en-US"/>
              </w:rPr>
              <w:t>1,00 mg</w:t>
            </w:r>
          </w:p>
        </w:tc>
      </w:tr>
      <w:tr w:rsidR="00B74220" w:rsidTr="00B74220">
        <w:tc>
          <w:tcPr>
            <w:tcW w:w="4536" w:type="dxa"/>
            <w:tcBorders>
              <w:top w:val="single" w:sz="4" w:space="0" w:color="000000"/>
              <w:left w:val="single" w:sz="4" w:space="0" w:color="000000"/>
              <w:bottom w:val="single" w:sz="4" w:space="0" w:color="000000"/>
              <w:right w:val="single" w:sz="4" w:space="0" w:color="000000"/>
            </w:tcBorders>
            <w:hideMark/>
          </w:tcPr>
          <w:p w:rsidR="00B74220" w:rsidRDefault="00B74220">
            <w:pPr>
              <w:spacing w:before="60" w:after="60"/>
              <w:rPr>
                <w:iCs/>
                <w:szCs w:val="22"/>
              </w:rPr>
            </w:pPr>
            <w:proofErr w:type="spellStart"/>
            <w:r>
              <w:rPr>
                <w:szCs w:val="22"/>
                <w:lang w:val="en-US"/>
              </w:rPr>
              <w:t>Diethylenglycolmonoethylether</w:t>
            </w:r>
            <w:proofErr w:type="spellEnd"/>
          </w:p>
        </w:tc>
        <w:tc>
          <w:tcPr>
            <w:tcW w:w="4819" w:type="dxa"/>
            <w:tcBorders>
              <w:top w:val="single" w:sz="4" w:space="0" w:color="000000"/>
              <w:left w:val="single" w:sz="4" w:space="0" w:color="000000"/>
              <w:bottom w:val="single" w:sz="4" w:space="0" w:color="000000"/>
              <w:right w:val="single" w:sz="4" w:space="0" w:color="000000"/>
            </w:tcBorders>
            <w:vAlign w:val="center"/>
          </w:tcPr>
          <w:p w:rsidR="00B74220" w:rsidRDefault="00B74220">
            <w:pPr>
              <w:spacing w:before="60" w:after="60"/>
              <w:rPr>
                <w:iCs/>
                <w:szCs w:val="22"/>
              </w:rPr>
            </w:pPr>
          </w:p>
        </w:tc>
      </w:tr>
      <w:tr w:rsidR="00B74220" w:rsidTr="00B74220">
        <w:tc>
          <w:tcPr>
            <w:tcW w:w="4536" w:type="dxa"/>
            <w:tcBorders>
              <w:top w:val="single" w:sz="4" w:space="0" w:color="000000"/>
              <w:left w:val="single" w:sz="4" w:space="0" w:color="000000"/>
              <w:bottom w:val="single" w:sz="4" w:space="0" w:color="000000"/>
              <w:right w:val="single" w:sz="4" w:space="0" w:color="000000"/>
            </w:tcBorders>
            <w:hideMark/>
          </w:tcPr>
          <w:p w:rsidR="00B74220" w:rsidRDefault="00B74220">
            <w:pPr>
              <w:spacing w:before="60" w:after="60"/>
              <w:ind w:left="567" w:hanging="567"/>
              <w:rPr>
                <w:b/>
                <w:bCs/>
                <w:iCs/>
                <w:szCs w:val="22"/>
              </w:rPr>
            </w:pPr>
            <w:proofErr w:type="spellStart"/>
            <w:r>
              <w:rPr>
                <w:szCs w:val="22"/>
                <w:lang w:val="en-US"/>
              </w:rPr>
              <w:t>Oleylmacrogolglycerider</w:t>
            </w:r>
            <w:proofErr w:type="spellEnd"/>
          </w:p>
        </w:tc>
        <w:tc>
          <w:tcPr>
            <w:tcW w:w="4819" w:type="dxa"/>
            <w:tcBorders>
              <w:top w:val="single" w:sz="4" w:space="0" w:color="000000"/>
              <w:left w:val="single" w:sz="4" w:space="0" w:color="000000"/>
              <w:bottom w:val="single" w:sz="4" w:space="0" w:color="000000"/>
              <w:right w:val="single" w:sz="4" w:space="0" w:color="000000"/>
            </w:tcBorders>
            <w:vAlign w:val="center"/>
          </w:tcPr>
          <w:p w:rsidR="00B74220" w:rsidRDefault="00B74220">
            <w:pPr>
              <w:spacing w:before="60" w:after="60"/>
              <w:rPr>
                <w:iCs/>
                <w:szCs w:val="22"/>
              </w:rPr>
            </w:pPr>
          </w:p>
        </w:tc>
      </w:tr>
      <w:tr w:rsidR="00B74220" w:rsidTr="00B74220">
        <w:tc>
          <w:tcPr>
            <w:tcW w:w="4536" w:type="dxa"/>
            <w:tcBorders>
              <w:top w:val="single" w:sz="4" w:space="0" w:color="000000"/>
              <w:left w:val="single" w:sz="4" w:space="0" w:color="000000"/>
              <w:bottom w:val="single" w:sz="4" w:space="0" w:color="000000"/>
              <w:right w:val="single" w:sz="4" w:space="0" w:color="000000"/>
            </w:tcBorders>
            <w:hideMark/>
          </w:tcPr>
          <w:p w:rsidR="00B74220" w:rsidRDefault="00B74220">
            <w:pPr>
              <w:spacing w:before="60" w:after="60"/>
              <w:rPr>
                <w:iCs/>
                <w:szCs w:val="22"/>
              </w:rPr>
            </w:pPr>
            <w:proofErr w:type="spellStart"/>
            <w:r>
              <w:rPr>
                <w:szCs w:val="22"/>
                <w:lang w:val="en-US"/>
              </w:rPr>
              <w:t>Ricinusolie</w:t>
            </w:r>
            <w:proofErr w:type="spellEnd"/>
            <w:r>
              <w:rPr>
                <w:szCs w:val="22"/>
                <w:lang w:val="en-US"/>
              </w:rPr>
              <w:t xml:space="preserve">, </w:t>
            </w:r>
            <w:proofErr w:type="spellStart"/>
            <w:r>
              <w:rPr>
                <w:szCs w:val="22"/>
                <w:lang w:val="en-US"/>
              </w:rPr>
              <w:t>polyoxyleret</w:t>
            </w:r>
            <w:proofErr w:type="spellEnd"/>
            <w:r>
              <w:rPr>
                <w:szCs w:val="22"/>
                <w:lang w:val="en-US"/>
              </w:rPr>
              <w:t xml:space="preserve">, </w:t>
            </w:r>
            <w:proofErr w:type="spellStart"/>
            <w:r>
              <w:rPr>
                <w:szCs w:val="22"/>
                <w:lang w:val="en-US"/>
              </w:rPr>
              <w:t>hydrogeneret</w:t>
            </w:r>
            <w:proofErr w:type="spellEnd"/>
          </w:p>
        </w:tc>
        <w:tc>
          <w:tcPr>
            <w:tcW w:w="4819" w:type="dxa"/>
            <w:tcBorders>
              <w:top w:val="single" w:sz="4" w:space="0" w:color="000000"/>
              <w:left w:val="single" w:sz="4" w:space="0" w:color="000000"/>
              <w:bottom w:val="single" w:sz="4" w:space="0" w:color="000000"/>
              <w:right w:val="single" w:sz="4" w:space="0" w:color="000000"/>
            </w:tcBorders>
            <w:vAlign w:val="center"/>
          </w:tcPr>
          <w:p w:rsidR="00B74220" w:rsidRDefault="00B74220">
            <w:pPr>
              <w:spacing w:before="60" w:after="60"/>
              <w:rPr>
                <w:iCs/>
                <w:szCs w:val="22"/>
              </w:rPr>
            </w:pPr>
          </w:p>
        </w:tc>
      </w:tr>
    </w:tbl>
    <w:p w:rsidR="00B74220" w:rsidRDefault="00B74220" w:rsidP="00B74220">
      <w:pPr>
        <w:tabs>
          <w:tab w:val="left" w:pos="1304"/>
        </w:tabs>
        <w:rPr>
          <w:sz w:val="22"/>
          <w:szCs w:val="22"/>
        </w:rPr>
      </w:pPr>
    </w:p>
    <w:p w:rsidR="00B74220" w:rsidRDefault="00B74220" w:rsidP="00B74220">
      <w:pPr>
        <w:ind w:left="851"/>
        <w:jc w:val="both"/>
        <w:rPr>
          <w:szCs w:val="22"/>
        </w:rPr>
      </w:pPr>
      <w:r>
        <w:rPr>
          <w:szCs w:val="22"/>
        </w:rPr>
        <w:t>Farveløs til gullig olieret opløsning</w:t>
      </w:r>
    </w:p>
    <w:p w:rsidR="00B74220" w:rsidRDefault="00B74220" w:rsidP="00B74220">
      <w:pPr>
        <w:tabs>
          <w:tab w:val="left" w:pos="1304"/>
        </w:tabs>
        <w:rPr>
          <w:szCs w:val="22"/>
        </w:rPr>
      </w:pPr>
    </w:p>
    <w:p w:rsidR="00B74220" w:rsidRDefault="00B74220" w:rsidP="00B74220">
      <w:pPr>
        <w:tabs>
          <w:tab w:val="left" w:pos="1304"/>
        </w:tabs>
        <w:rPr>
          <w:szCs w:val="22"/>
        </w:rPr>
      </w:pPr>
    </w:p>
    <w:p w:rsidR="00B74220" w:rsidRDefault="00B74220" w:rsidP="00B74220">
      <w:pPr>
        <w:pStyle w:val="Style1"/>
        <w:ind w:left="851" w:hanging="851"/>
      </w:pPr>
      <w:r>
        <w:t>3.</w:t>
      </w:r>
      <w:r>
        <w:tab/>
        <w:t>KLINISKE OPLYSNINGER</w:t>
      </w:r>
    </w:p>
    <w:p w:rsidR="00B74220" w:rsidRDefault="00B74220" w:rsidP="00B74220">
      <w:pPr>
        <w:tabs>
          <w:tab w:val="left" w:pos="1304"/>
        </w:tabs>
        <w:rPr>
          <w:szCs w:val="22"/>
        </w:rPr>
      </w:pPr>
    </w:p>
    <w:p w:rsidR="00B74220" w:rsidRDefault="00B74220" w:rsidP="00B74220">
      <w:pPr>
        <w:pStyle w:val="Style1"/>
        <w:ind w:left="851" w:hanging="851"/>
      </w:pPr>
      <w:r>
        <w:t>3.1</w:t>
      </w:r>
      <w:r>
        <w:tab/>
        <w:t>Dyrearter, som lægemidlet er beregnet til</w:t>
      </w:r>
    </w:p>
    <w:p w:rsidR="00B74220" w:rsidRDefault="00B74220" w:rsidP="00B74220">
      <w:pPr>
        <w:tabs>
          <w:tab w:val="left" w:pos="1304"/>
        </w:tabs>
        <w:rPr>
          <w:szCs w:val="22"/>
        </w:rPr>
      </w:pPr>
    </w:p>
    <w:p w:rsidR="00B74220" w:rsidRDefault="00B74220" w:rsidP="00B74220">
      <w:pPr>
        <w:tabs>
          <w:tab w:val="left" w:pos="1304"/>
        </w:tabs>
        <w:ind w:firstLine="851"/>
        <w:rPr>
          <w:szCs w:val="22"/>
        </w:rPr>
      </w:pPr>
      <w:r>
        <w:rPr>
          <w:szCs w:val="22"/>
        </w:rPr>
        <w:t>Hund og kat.</w:t>
      </w:r>
    </w:p>
    <w:p w:rsidR="00B74220" w:rsidRDefault="00B74220" w:rsidP="00B74220">
      <w:pPr>
        <w:tabs>
          <w:tab w:val="left" w:pos="1304"/>
        </w:tabs>
        <w:rPr>
          <w:szCs w:val="22"/>
        </w:rPr>
      </w:pPr>
    </w:p>
    <w:p w:rsidR="00B74220" w:rsidRDefault="00B74220" w:rsidP="00B74220">
      <w:pPr>
        <w:pStyle w:val="Style1"/>
        <w:ind w:left="851" w:hanging="851"/>
      </w:pPr>
      <w:r>
        <w:t>3.2</w:t>
      </w:r>
      <w:r>
        <w:tab/>
        <w:t>Terapeutiske indikationer for hver dyreart, som lægemidlet er beregnet til</w:t>
      </w:r>
    </w:p>
    <w:p w:rsidR="00B74220" w:rsidRDefault="00B74220" w:rsidP="00B74220">
      <w:pPr>
        <w:tabs>
          <w:tab w:val="left" w:pos="1304"/>
        </w:tabs>
        <w:rPr>
          <w:szCs w:val="22"/>
        </w:rPr>
      </w:pPr>
    </w:p>
    <w:p w:rsidR="00B74220" w:rsidRDefault="00B74220" w:rsidP="00B74220">
      <w:pPr>
        <w:pStyle w:val="Sidehoved"/>
        <w:tabs>
          <w:tab w:val="left" w:pos="1304"/>
        </w:tabs>
        <w:ind w:left="851"/>
        <w:rPr>
          <w:sz w:val="22"/>
          <w:szCs w:val="22"/>
        </w:rPr>
      </w:pPr>
      <w:r>
        <w:rPr>
          <w:sz w:val="22"/>
          <w:szCs w:val="22"/>
        </w:rPr>
        <w:t xml:space="preserve">Behandling af kroniske manifestationer af </w:t>
      </w:r>
      <w:proofErr w:type="spellStart"/>
      <w:r>
        <w:rPr>
          <w:sz w:val="22"/>
          <w:szCs w:val="22"/>
        </w:rPr>
        <w:t>atopisk</w:t>
      </w:r>
      <w:proofErr w:type="spellEnd"/>
      <w:r>
        <w:rPr>
          <w:sz w:val="22"/>
          <w:szCs w:val="22"/>
        </w:rPr>
        <w:t xml:space="preserve"> </w:t>
      </w:r>
      <w:proofErr w:type="spellStart"/>
      <w:r>
        <w:rPr>
          <w:sz w:val="22"/>
          <w:szCs w:val="22"/>
        </w:rPr>
        <w:t>dermatitis</w:t>
      </w:r>
      <w:proofErr w:type="spellEnd"/>
      <w:r>
        <w:rPr>
          <w:sz w:val="22"/>
          <w:szCs w:val="22"/>
        </w:rPr>
        <w:t xml:space="preserve"> hos hunde.</w:t>
      </w:r>
    </w:p>
    <w:p w:rsidR="00B74220" w:rsidRDefault="00B74220" w:rsidP="00B74220">
      <w:pPr>
        <w:pStyle w:val="Sidehoved"/>
        <w:tabs>
          <w:tab w:val="left" w:pos="1304"/>
        </w:tabs>
        <w:ind w:firstLine="851"/>
        <w:rPr>
          <w:sz w:val="22"/>
          <w:szCs w:val="22"/>
        </w:rPr>
      </w:pPr>
      <w:r>
        <w:rPr>
          <w:sz w:val="22"/>
          <w:szCs w:val="22"/>
        </w:rPr>
        <w:t xml:space="preserve">Symptomatisk behandling af kronisk, allergisk </w:t>
      </w:r>
      <w:proofErr w:type="spellStart"/>
      <w:r>
        <w:rPr>
          <w:sz w:val="22"/>
          <w:szCs w:val="22"/>
        </w:rPr>
        <w:t>dermatitis</w:t>
      </w:r>
      <w:proofErr w:type="spellEnd"/>
      <w:r>
        <w:rPr>
          <w:sz w:val="22"/>
          <w:szCs w:val="22"/>
        </w:rPr>
        <w:t xml:space="preserve"> hos katte.</w:t>
      </w:r>
    </w:p>
    <w:p w:rsidR="00B74220" w:rsidRDefault="00B74220" w:rsidP="00B74220">
      <w:pPr>
        <w:tabs>
          <w:tab w:val="left" w:pos="1304"/>
        </w:tabs>
        <w:rPr>
          <w:sz w:val="22"/>
          <w:szCs w:val="22"/>
        </w:rPr>
      </w:pPr>
    </w:p>
    <w:p w:rsidR="00B74220" w:rsidRDefault="00B74220" w:rsidP="00B74220">
      <w:pPr>
        <w:pStyle w:val="Style1"/>
        <w:ind w:left="851" w:hanging="851"/>
      </w:pPr>
      <w:r>
        <w:t>3.3</w:t>
      </w:r>
      <w:r>
        <w:tab/>
        <w:t>Kontraindikationer</w:t>
      </w:r>
    </w:p>
    <w:p w:rsidR="00B74220" w:rsidRDefault="00B74220" w:rsidP="00B74220">
      <w:pPr>
        <w:tabs>
          <w:tab w:val="left" w:pos="1304"/>
        </w:tabs>
        <w:rPr>
          <w:szCs w:val="22"/>
        </w:rPr>
      </w:pPr>
    </w:p>
    <w:p w:rsidR="00B74220" w:rsidRDefault="00B74220" w:rsidP="00B74220">
      <w:pPr>
        <w:tabs>
          <w:tab w:val="left" w:pos="1304"/>
        </w:tabs>
        <w:ind w:left="851"/>
        <w:rPr>
          <w:szCs w:val="22"/>
        </w:rPr>
      </w:pPr>
      <w:r>
        <w:rPr>
          <w:szCs w:val="22"/>
        </w:rPr>
        <w:t>Må ikke anvendes til hunde, der er under 6 måneder gamle eller som vejer under 2 kg.</w:t>
      </w:r>
    </w:p>
    <w:p w:rsidR="00B74220" w:rsidRDefault="00B74220" w:rsidP="00B74220">
      <w:pPr>
        <w:tabs>
          <w:tab w:val="left" w:pos="1304"/>
        </w:tabs>
        <w:ind w:left="851"/>
        <w:rPr>
          <w:szCs w:val="22"/>
        </w:rPr>
      </w:pPr>
      <w:r>
        <w:rPr>
          <w:szCs w:val="22"/>
        </w:rPr>
        <w:t>Må ikke anvendes, hvis der tidligere er set maligne lidelser eller hvor der er tale om progressive maligne lidelser.</w:t>
      </w:r>
    </w:p>
    <w:p w:rsidR="00B74220" w:rsidRDefault="00B74220" w:rsidP="00B74220">
      <w:pPr>
        <w:tabs>
          <w:tab w:val="left" w:pos="1304"/>
        </w:tabs>
        <w:ind w:left="851"/>
        <w:rPr>
          <w:szCs w:val="22"/>
        </w:rPr>
      </w:pPr>
      <w:r>
        <w:rPr>
          <w:szCs w:val="22"/>
        </w:rPr>
        <w:t xml:space="preserve">Må ikke anvendes til katte, der er smittet med </w:t>
      </w:r>
      <w:proofErr w:type="spellStart"/>
      <w:r>
        <w:rPr>
          <w:szCs w:val="22"/>
        </w:rPr>
        <w:t>FeLV</w:t>
      </w:r>
      <w:proofErr w:type="spellEnd"/>
      <w:r>
        <w:rPr>
          <w:szCs w:val="22"/>
        </w:rPr>
        <w:t xml:space="preserve"> eller FIV.</w:t>
      </w:r>
    </w:p>
    <w:p w:rsidR="00B74220" w:rsidRDefault="00B74220" w:rsidP="00B74220">
      <w:pPr>
        <w:tabs>
          <w:tab w:val="left" w:pos="1304"/>
        </w:tabs>
        <w:ind w:left="851"/>
        <w:rPr>
          <w:szCs w:val="22"/>
        </w:rPr>
      </w:pPr>
      <w:r>
        <w:rPr>
          <w:szCs w:val="22"/>
        </w:rPr>
        <w:t>Må ikke anvendes i tilfælde af overfølsomhed over for det aktive stof eller over for et eller flere af hjælpestofferne.</w:t>
      </w:r>
    </w:p>
    <w:p w:rsidR="00B74220" w:rsidRDefault="00B74220" w:rsidP="00B74220">
      <w:pPr>
        <w:tabs>
          <w:tab w:val="left" w:pos="1304"/>
        </w:tabs>
        <w:ind w:left="851"/>
        <w:rPr>
          <w:szCs w:val="22"/>
        </w:rPr>
      </w:pPr>
      <w:r>
        <w:rPr>
          <w:szCs w:val="22"/>
        </w:rPr>
        <w:t xml:space="preserve">Vaccinér ikke med levende vaccine hverken under behandlingen med </w:t>
      </w:r>
      <w:proofErr w:type="spellStart"/>
      <w:r>
        <w:rPr>
          <w:szCs w:val="22"/>
        </w:rPr>
        <w:t>ciclosporin</w:t>
      </w:r>
      <w:proofErr w:type="spellEnd"/>
      <w:r>
        <w:rPr>
          <w:szCs w:val="22"/>
        </w:rPr>
        <w:t xml:space="preserve"> eller inden for 2 ugers interval før eller efter denne (se også pkt. 3.5 ”Særlige forholdsregler vedrørende brugen” og pkt. 3.8 ”Interaktion med andre lægemidler og andre former for interaktion”).</w:t>
      </w:r>
    </w:p>
    <w:p w:rsidR="00B74220" w:rsidRDefault="00B74220" w:rsidP="00B74220">
      <w:pPr>
        <w:pStyle w:val="Style1"/>
      </w:pPr>
    </w:p>
    <w:p w:rsidR="00B74220" w:rsidRDefault="00B74220" w:rsidP="00B74220">
      <w:pPr>
        <w:pStyle w:val="Style1"/>
        <w:ind w:left="851" w:hanging="851"/>
      </w:pPr>
      <w:r>
        <w:t>3.4</w:t>
      </w:r>
      <w:r>
        <w:tab/>
        <w:t>Særlige advarsler</w:t>
      </w:r>
    </w:p>
    <w:p w:rsidR="00B74220" w:rsidRDefault="00B74220" w:rsidP="00B74220">
      <w:pPr>
        <w:ind w:left="851" w:hanging="851"/>
        <w:rPr>
          <w:szCs w:val="22"/>
        </w:rPr>
      </w:pPr>
    </w:p>
    <w:p w:rsidR="00B74220" w:rsidRDefault="00B74220" w:rsidP="00B74220">
      <w:pPr>
        <w:ind w:left="851"/>
        <w:rPr>
          <w:szCs w:val="22"/>
        </w:rPr>
      </w:pPr>
      <w:r>
        <w:rPr>
          <w:szCs w:val="22"/>
        </w:rPr>
        <w:t xml:space="preserve">Det bør overvejes at bruge andre tiltag og/eller behandlinger til at kontrollere moderat til svær </w:t>
      </w:r>
      <w:proofErr w:type="spellStart"/>
      <w:r>
        <w:rPr>
          <w:szCs w:val="22"/>
        </w:rPr>
        <w:t>pruritus</w:t>
      </w:r>
      <w:proofErr w:type="spellEnd"/>
      <w:r>
        <w:rPr>
          <w:szCs w:val="22"/>
        </w:rPr>
        <w:t xml:space="preserve">, når man påbegynder behandling med </w:t>
      </w:r>
      <w:proofErr w:type="spellStart"/>
      <w:r>
        <w:rPr>
          <w:szCs w:val="22"/>
        </w:rPr>
        <w:t>ciclosporin</w:t>
      </w:r>
      <w:proofErr w:type="spellEnd"/>
      <w:r>
        <w:rPr>
          <w:szCs w:val="22"/>
        </w:rPr>
        <w:t>.</w:t>
      </w:r>
    </w:p>
    <w:p w:rsidR="00B74220" w:rsidRDefault="00B74220" w:rsidP="00B74220">
      <w:pPr>
        <w:tabs>
          <w:tab w:val="left" w:pos="1304"/>
        </w:tabs>
        <w:ind w:left="851"/>
        <w:rPr>
          <w:szCs w:val="22"/>
        </w:rPr>
      </w:pPr>
    </w:p>
    <w:p w:rsidR="00B74220" w:rsidRDefault="00B74220" w:rsidP="00B74220">
      <w:pPr>
        <w:pStyle w:val="Style1"/>
        <w:ind w:left="851" w:hanging="851"/>
      </w:pPr>
      <w:r>
        <w:t>3.5</w:t>
      </w:r>
      <w:r>
        <w:tab/>
        <w:t>Særlige forholdsregler vedrørende brugen</w:t>
      </w:r>
    </w:p>
    <w:p w:rsidR="00B74220" w:rsidRDefault="00B74220" w:rsidP="00B74220">
      <w:pPr>
        <w:tabs>
          <w:tab w:val="left" w:pos="1304"/>
        </w:tabs>
        <w:rPr>
          <w:szCs w:val="22"/>
        </w:rPr>
      </w:pPr>
    </w:p>
    <w:p w:rsidR="00B74220" w:rsidRDefault="00B74220" w:rsidP="00B74220">
      <w:pPr>
        <w:tabs>
          <w:tab w:val="left" w:pos="1304"/>
        </w:tabs>
        <w:ind w:left="851"/>
        <w:rPr>
          <w:szCs w:val="22"/>
          <w:u w:val="single"/>
        </w:rPr>
      </w:pPr>
      <w:r>
        <w:rPr>
          <w:szCs w:val="22"/>
          <w:u w:val="single"/>
        </w:rPr>
        <w:t>Særlige forholdsregler vedrørende sikker brug hos de dyrearter, som lægemidlet er beregnet til:</w:t>
      </w:r>
    </w:p>
    <w:p w:rsidR="00B74220" w:rsidRDefault="00B74220" w:rsidP="00B74220">
      <w:pPr>
        <w:tabs>
          <w:tab w:val="left" w:pos="1304"/>
        </w:tabs>
        <w:ind w:left="851"/>
        <w:rPr>
          <w:szCs w:val="22"/>
        </w:rPr>
      </w:pPr>
    </w:p>
    <w:p w:rsidR="00B74220" w:rsidRDefault="00B74220" w:rsidP="00B74220">
      <w:pPr>
        <w:tabs>
          <w:tab w:val="left" w:pos="1304"/>
        </w:tabs>
        <w:ind w:left="851"/>
        <w:rPr>
          <w:szCs w:val="22"/>
        </w:rPr>
      </w:pPr>
      <w:r>
        <w:rPr>
          <w:szCs w:val="22"/>
        </w:rPr>
        <w:t xml:space="preserve">Kliniske symptomer på </w:t>
      </w:r>
      <w:proofErr w:type="spellStart"/>
      <w:r>
        <w:rPr>
          <w:szCs w:val="22"/>
        </w:rPr>
        <w:t>atopisk</w:t>
      </w:r>
      <w:proofErr w:type="spellEnd"/>
      <w:r>
        <w:rPr>
          <w:szCs w:val="22"/>
        </w:rPr>
        <w:t xml:space="preserve"> </w:t>
      </w:r>
      <w:proofErr w:type="spellStart"/>
      <w:r>
        <w:rPr>
          <w:szCs w:val="22"/>
        </w:rPr>
        <w:t>dermatitis</w:t>
      </w:r>
      <w:proofErr w:type="spellEnd"/>
      <w:r>
        <w:rPr>
          <w:szCs w:val="22"/>
        </w:rPr>
        <w:t xml:space="preserve"> hos hunde og allergisk </w:t>
      </w:r>
      <w:proofErr w:type="spellStart"/>
      <w:r>
        <w:rPr>
          <w:szCs w:val="22"/>
        </w:rPr>
        <w:t>dermatitis</w:t>
      </w:r>
      <w:proofErr w:type="spellEnd"/>
      <w:r>
        <w:rPr>
          <w:szCs w:val="22"/>
        </w:rPr>
        <w:t xml:space="preserve"> hos katte, såsom </w:t>
      </w:r>
      <w:proofErr w:type="spellStart"/>
      <w:r>
        <w:rPr>
          <w:szCs w:val="22"/>
        </w:rPr>
        <w:t>pruritus</w:t>
      </w:r>
      <w:proofErr w:type="spellEnd"/>
      <w:r>
        <w:rPr>
          <w:szCs w:val="22"/>
        </w:rPr>
        <w:t xml:space="preserve"> og hudinflammation, er ikke specifikke for denne sygdom. Derfor skal andre årsager til </w:t>
      </w:r>
      <w:proofErr w:type="spellStart"/>
      <w:r>
        <w:rPr>
          <w:szCs w:val="22"/>
        </w:rPr>
        <w:t>dermatitis</w:t>
      </w:r>
      <w:proofErr w:type="spellEnd"/>
      <w:r>
        <w:rPr>
          <w:szCs w:val="22"/>
        </w:rPr>
        <w:t xml:space="preserve">, såsom </w:t>
      </w:r>
      <w:proofErr w:type="spellStart"/>
      <w:r>
        <w:rPr>
          <w:szCs w:val="22"/>
        </w:rPr>
        <w:t>ektoparasitære</w:t>
      </w:r>
      <w:proofErr w:type="spellEnd"/>
      <w:r>
        <w:rPr>
          <w:szCs w:val="22"/>
        </w:rPr>
        <w:t xml:space="preserve"> </w:t>
      </w:r>
      <w:proofErr w:type="spellStart"/>
      <w:r>
        <w:rPr>
          <w:szCs w:val="22"/>
        </w:rPr>
        <w:t>infestationer</w:t>
      </w:r>
      <w:proofErr w:type="spellEnd"/>
      <w:r>
        <w:rPr>
          <w:szCs w:val="22"/>
        </w:rPr>
        <w:t xml:space="preserve">, andre allergier, som forårsager dermatologiske symptomer (f.eks. allergisk </w:t>
      </w:r>
      <w:proofErr w:type="spellStart"/>
      <w:r>
        <w:rPr>
          <w:szCs w:val="22"/>
        </w:rPr>
        <w:t>dermatitis</w:t>
      </w:r>
      <w:proofErr w:type="spellEnd"/>
      <w:r>
        <w:rPr>
          <w:szCs w:val="22"/>
        </w:rPr>
        <w:t xml:space="preserve"> pga. lopper eller fødevareallergi), eller bakterie- og svampeinfektioner vurderes og elimineres, hvor det er muligt. Det er god praksis at behandle loppeangreb før og under behandling af </w:t>
      </w:r>
      <w:proofErr w:type="spellStart"/>
      <w:r>
        <w:rPr>
          <w:szCs w:val="22"/>
        </w:rPr>
        <w:t>atopisk</w:t>
      </w:r>
      <w:proofErr w:type="spellEnd"/>
      <w:r>
        <w:rPr>
          <w:szCs w:val="22"/>
        </w:rPr>
        <w:t xml:space="preserve"> og allergisk </w:t>
      </w:r>
      <w:proofErr w:type="spellStart"/>
      <w:r>
        <w:rPr>
          <w:szCs w:val="22"/>
        </w:rPr>
        <w:t>dermatitis</w:t>
      </w:r>
      <w:proofErr w:type="spellEnd"/>
      <w:r>
        <w:rPr>
          <w:szCs w:val="22"/>
        </w:rPr>
        <w:t xml:space="preserve">. </w:t>
      </w:r>
    </w:p>
    <w:p w:rsidR="00B74220" w:rsidRDefault="00B74220" w:rsidP="00B74220">
      <w:pPr>
        <w:tabs>
          <w:tab w:val="left" w:pos="1304"/>
        </w:tabs>
        <w:ind w:left="851"/>
        <w:rPr>
          <w:szCs w:val="22"/>
        </w:rPr>
      </w:pPr>
    </w:p>
    <w:p w:rsidR="00B74220" w:rsidRDefault="00B74220" w:rsidP="00B74220">
      <w:pPr>
        <w:tabs>
          <w:tab w:val="left" w:pos="1304"/>
        </w:tabs>
        <w:ind w:left="851"/>
        <w:rPr>
          <w:szCs w:val="22"/>
        </w:rPr>
      </w:pPr>
      <w:r>
        <w:rPr>
          <w:szCs w:val="22"/>
        </w:rPr>
        <w:t>Der bør foretages en fuldstændig klinisk undersøgelse før behandlingen.</w:t>
      </w:r>
    </w:p>
    <w:p w:rsidR="00B74220" w:rsidRDefault="00B74220" w:rsidP="00B74220">
      <w:pPr>
        <w:tabs>
          <w:tab w:val="left" w:pos="1304"/>
        </w:tabs>
        <w:ind w:left="851"/>
        <w:rPr>
          <w:szCs w:val="22"/>
        </w:rPr>
      </w:pPr>
      <w:r>
        <w:rPr>
          <w:szCs w:val="22"/>
        </w:rPr>
        <w:t>Alle infektioner bør behandles rigtigt, før påbegyndelse af behandling. Infektioner, der opstår under behandlingen, er ikke nødvendigvis en grund til at stoppe behandlingen med lægemidlet, medmindre infektionen er alvorlig.</w:t>
      </w:r>
    </w:p>
    <w:p w:rsidR="00B74220" w:rsidRDefault="00B74220" w:rsidP="00B74220">
      <w:pPr>
        <w:tabs>
          <w:tab w:val="left" w:pos="1304"/>
        </w:tabs>
        <w:ind w:left="851"/>
        <w:rPr>
          <w:szCs w:val="22"/>
        </w:rPr>
      </w:pPr>
    </w:p>
    <w:p w:rsidR="00B74220" w:rsidRDefault="00B74220" w:rsidP="00B74220">
      <w:pPr>
        <w:tabs>
          <w:tab w:val="left" w:pos="1304"/>
        </w:tabs>
        <w:ind w:left="851"/>
        <w:rPr>
          <w:szCs w:val="22"/>
        </w:rPr>
      </w:pPr>
      <w:r>
        <w:rPr>
          <w:szCs w:val="22"/>
        </w:rPr>
        <w:t>Særlig opmærksomhed bør udvises ved vaccination. Behandling med veterinærlægemidlet kan påvirke vaccinationens effekt. Ved brug af inaktiverede vacciner anbefales det ikke at vaccinere under behandlingen eller inden for 2 ugers interval før eller efter administration af veterinærlægemidlet. Vedrørende brug af levende vacciner, se også pkt. 3.3.</w:t>
      </w:r>
    </w:p>
    <w:p w:rsidR="00B74220" w:rsidRDefault="00B74220" w:rsidP="00B74220">
      <w:pPr>
        <w:tabs>
          <w:tab w:val="left" w:pos="1304"/>
        </w:tabs>
        <w:ind w:left="851"/>
        <w:rPr>
          <w:szCs w:val="22"/>
        </w:rPr>
      </w:pPr>
    </w:p>
    <w:p w:rsidR="00B74220" w:rsidRDefault="00B74220" w:rsidP="00B74220">
      <w:pPr>
        <w:tabs>
          <w:tab w:val="left" w:pos="1304"/>
        </w:tabs>
        <w:ind w:left="851"/>
        <w:rPr>
          <w:szCs w:val="22"/>
        </w:rPr>
      </w:pPr>
      <w:r>
        <w:rPr>
          <w:szCs w:val="22"/>
        </w:rPr>
        <w:t xml:space="preserve">Det anbefales ikke samtidigt at anvende andre </w:t>
      </w:r>
      <w:proofErr w:type="spellStart"/>
      <w:r>
        <w:rPr>
          <w:szCs w:val="22"/>
        </w:rPr>
        <w:t>immunosuppressive</w:t>
      </w:r>
      <w:proofErr w:type="spellEnd"/>
      <w:r>
        <w:rPr>
          <w:szCs w:val="22"/>
        </w:rPr>
        <w:t xml:space="preserve"> stoffer.</w:t>
      </w:r>
    </w:p>
    <w:p w:rsidR="00B74220" w:rsidRDefault="00B74220" w:rsidP="00B74220">
      <w:pPr>
        <w:tabs>
          <w:tab w:val="left" w:pos="1304"/>
        </w:tabs>
        <w:rPr>
          <w:szCs w:val="22"/>
        </w:rPr>
      </w:pPr>
    </w:p>
    <w:p w:rsidR="00B74220" w:rsidRDefault="00B74220" w:rsidP="00B74220">
      <w:pPr>
        <w:tabs>
          <w:tab w:val="left" w:pos="1304"/>
        </w:tabs>
        <w:ind w:left="851"/>
        <w:rPr>
          <w:szCs w:val="22"/>
        </w:rPr>
      </w:pPr>
      <w:r>
        <w:rPr>
          <w:szCs w:val="22"/>
        </w:rPr>
        <w:t xml:space="preserve">Hos laboratoriedyr er </w:t>
      </w:r>
      <w:proofErr w:type="spellStart"/>
      <w:r>
        <w:rPr>
          <w:szCs w:val="22"/>
        </w:rPr>
        <w:t>ciclosporin</w:t>
      </w:r>
      <w:proofErr w:type="spellEnd"/>
      <w:r>
        <w:rPr>
          <w:szCs w:val="22"/>
        </w:rPr>
        <w:t xml:space="preserve"> tilbøjelig til at påvirke de cirkulerende insulinkoncentrationer og til at medføre forøget </w:t>
      </w:r>
      <w:proofErr w:type="spellStart"/>
      <w:r>
        <w:rPr>
          <w:szCs w:val="22"/>
        </w:rPr>
        <w:t>glykæmi</w:t>
      </w:r>
      <w:proofErr w:type="spellEnd"/>
      <w:r>
        <w:rPr>
          <w:szCs w:val="22"/>
        </w:rPr>
        <w:t xml:space="preserve">. Hvis der ses tegn, der tyder på diabetes mellitus, skal behandlingens virkning på </w:t>
      </w:r>
      <w:proofErr w:type="spellStart"/>
      <w:r>
        <w:rPr>
          <w:szCs w:val="22"/>
        </w:rPr>
        <w:t>glykæmien</w:t>
      </w:r>
      <w:proofErr w:type="spellEnd"/>
      <w:r>
        <w:rPr>
          <w:szCs w:val="22"/>
        </w:rPr>
        <w:t xml:space="preserve"> monitoreres. Ved tegn på diabetes mellitus efter anvendelse af veterinærlægemidlet, f.eks. </w:t>
      </w:r>
      <w:proofErr w:type="spellStart"/>
      <w:r>
        <w:rPr>
          <w:szCs w:val="22"/>
        </w:rPr>
        <w:t>polyuri</w:t>
      </w:r>
      <w:proofErr w:type="spellEnd"/>
      <w:r>
        <w:rPr>
          <w:szCs w:val="22"/>
        </w:rPr>
        <w:t xml:space="preserve"> eller polydipsi, skal dosis nedtrappes eller standses, og man skal søge hjælp hos dyrlægen. </w:t>
      </w:r>
      <w:proofErr w:type="spellStart"/>
      <w:r>
        <w:rPr>
          <w:szCs w:val="22"/>
        </w:rPr>
        <w:t>Ciclosporin</w:t>
      </w:r>
      <w:proofErr w:type="spellEnd"/>
      <w:r>
        <w:rPr>
          <w:szCs w:val="22"/>
        </w:rPr>
        <w:t xml:space="preserve"> bør ikke anvendes til diabetiske dyr.</w:t>
      </w:r>
    </w:p>
    <w:p w:rsidR="00B74220" w:rsidRDefault="00B74220" w:rsidP="00B74220">
      <w:pPr>
        <w:tabs>
          <w:tab w:val="left" w:pos="1304"/>
        </w:tabs>
        <w:ind w:left="851"/>
        <w:rPr>
          <w:szCs w:val="22"/>
        </w:rPr>
      </w:pPr>
    </w:p>
    <w:p w:rsidR="00B74220" w:rsidRDefault="00B74220" w:rsidP="00B74220">
      <w:pPr>
        <w:tabs>
          <w:tab w:val="left" w:pos="1304"/>
        </w:tabs>
        <w:ind w:left="851"/>
        <w:rPr>
          <w:szCs w:val="22"/>
        </w:rPr>
      </w:pPr>
      <w:r>
        <w:rPr>
          <w:szCs w:val="22"/>
        </w:rPr>
        <w:lastRenderedPageBreak/>
        <w:t xml:space="preserve">Selv om </w:t>
      </w:r>
      <w:proofErr w:type="spellStart"/>
      <w:r>
        <w:rPr>
          <w:szCs w:val="22"/>
        </w:rPr>
        <w:t>ciclosporin</w:t>
      </w:r>
      <w:proofErr w:type="spellEnd"/>
      <w:r>
        <w:rPr>
          <w:szCs w:val="22"/>
        </w:rPr>
        <w:t xml:space="preserve"> ikke inducerer tumorer, hæmmer det T-lymfocytter, og behandling med </w:t>
      </w:r>
      <w:proofErr w:type="spellStart"/>
      <w:r>
        <w:rPr>
          <w:szCs w:val="22"/>
        </w:rPr>
        <w:t>ciclosporin</w:t>
      </w:r>
      <w:proofErr w:type="spellEnd"/>
      <w:r>
        <w:rPr>
          <w:szCs w:val="22"/>
        </w:rPr>
        <w:t xml:space="preserve"> kan derfor føre til øget forekomst af klinisk </w:t>
      </w:r>
      <w:proofErr w:type="spellStart"/>
      <w:r>
        <w:rPr>
          <w:szCs w:val="22"/>
        </w:rPr>
        <w:t>malignitet</w:t>
      </w:r>
      <w:proofErr w:type="spellEnd"/>
      <w:r>
        <w:rPr>
          <w:szCs w:val="22"/>
        </w:rPr>
        <w:t xml:space="preserve"> pga. nedsat antitumor immunrespons. Man skal opveje den potentielt øgede risiko for tumorprogression med de kliniske fordele. Hvis man ser </w:t>
      </w:r>
      <w:proofErr w:type="spellStart"/>
      <w:r>
        <w:rPr>
          <w:szCs w:val="22"/>
        </w:rPr>
        <w:t>lymfadenopati</w:t>
      </w:r>
      <w:proofErr w:type="spellEnd"/>
      <w:r>
        <w:rPr>
          <w:szCs w:val="22"/>
        </w:rPr>
        <w:t xml:space="preserve"> hos dyr, som behandles med </w:t>
      </w:r>
      <w:proofErr w:type="spellStart"/>
      <w:r>
        <w:rPr>
          <w:szCs w:val="22"/>
        </w:rPr>
        <w:t>ciclosporin</w:t>
      </w:r>
      <w:proofErr w:type="spellEnd"/>
      <w:r>
        <w:rPr>
          <w:szCs w:val="22"/>
        </w:rPr>
        <w:t>, anbefales yderligere klinisk udredning, og behandlingen standses hvis nødvendigt.</w:t>
      </w:r>
    </w:p>
    <w:p w:rsidR="00B74220" w:rsidRDefault="00B74220" w:rsidP="00B74220">
      <w:pPr>
        <w:tabs>
          <w:tab w:val="left" w:pos="1304"/>
        </w:tabs>
        <w:ind w:left="851"/>
        <w:rPr>
          <w:szCs w:val="22"/>
        </w:rPr>
      </w:pPr>
    </w:p>
    <w:p w:rsidR="00B74220" w:rsidRDefault="00B74220" w:rsidP="00B74220">
      <w:pPr>
        <w:tabs>
          <w:tab w:val="left" w:pos="1304"/>
        </w:tabs>
        <w:ind w:left="851"/>
        <w:rPr>
          <w:szCs w:val="22"/>
          <w:u w:val="single"/>
        </w:rPr>
      </w:pPr>
      <w:r>
        <w:rPr>
          <w:szCs w:val="22"/>
          <w:u w:val="single"/>
        </w:rPr>
        <w:t>Hunde</w:t>
      </w:r>
    </w:p>
    <w:p w:rsidR="00B74220" w:rsidRDefault="00B74220" w:rsidP="00B74220">
      <w:pPr>
        <w:tabs>
          <w:tab w:val="left" w:pos="1304"/>
        </w:tabs>
        <w:ind w:left="851"/>
        <w:rPr>
          <w:szCs w:val="22"/>
        </w:rPr>
      </w:pPr>
      <w:proofErr w:type="spellStart"/>
      <w:r>
        <w:rPr>
          <w:szCs w:val="22"/>
        </w:rPr>
        <w:t>Kreatininværdierne</w:t>
      </w:r>
      <w:proofErr w:type="spellEnd"/>
      <w:r>
        <w:rPr>
          <w:szCs w:val="22"/>
        </w:rPr>
        <w:t xml:space="preserve"> hos hunde med svært nedsat nyrefunktion bør overvåges nøje.</w:t>
      </w:r>
    </w:p>
    <w:p w:rsidR="00B74220" w:rsidRDefault="00B74220" w:rsidP="00B74220">
      <w:pPr>
        <w:tabs>
          <w:tab w:val="left" w:pos="1304"/>
        </w:tabs>
        <w:ind w:left="851"/>
        <w:rPr>
          <w:szCs w:val="22"/>
        </w:rPr>
      </w:pPr>
    </w:p>
    <w:p w:rsidR="00B74220" w:rsidRDefault="00B74220" w:rsidP="00B74220">
      <w:pPr>
        <w:tabs>
          <w:tab w:val="left" w:pos="1304"/>
        </w:tabs>
        <w:ind w:left="851"/>
        <w:rPr>
          <w:szCs w:val="22"/>
          <w:u w:val="single"/>
        </w:rPr>
      </w:pPr>
      <w:r>
        <w:rPr>
          <w:szCs w:val="22"/>
          <w:u w:val="single"/>
        </w:rPr>
        <w:t>Katte</w:t>
      </w:r>
    </w:p>
    <w:p w:rsidR="00B74220" w:rsidRDefault="00B74220" w:rsidP="00B74220">
      <w:pPr>
        <w:tabs>
          <w:tab w:val="left" w:pos="1304"/>
        </w:tabs>
        <w:ind w:left="851"/>
        <w:rPr>
          <w:szCs w:val="22"/>
        </w:rPr>
      </w:pPr>
      <w:r>
        <w:rPr>
          <w:szCs w:val="22"/>
        </w:rPr>
        <w:t xml:space="preserve">Allergisk </w:t>
      </w:r>
      <w:proofErr w:type="spellStart"/>
      <w:r>
        <w:rPr>
          <w:szCs w:val="22"/>
        </w:rPr>
        <w:t>dermatitis</w:t>
      </w:r>
      <w:proofErr w:type="spellEnd"/>
      <w:r>
        <w:rPr>
          <w:szCs w:val="22"/>
        </w:rPr>
        <w:t xml:space="preserve"> hos katte kan have </w:t>
      </w:r>
      <w:proofErr w:type="spellStart"/>
      <w:r>
        <w:rPr>
          <w:szCs w:val="22"/>
        </w:rPr>
        <w:t>forskelllige</w:t>
      </w:r>
      <w:proofErr w:type="spellEnd"/>
      <w:r>
        <w:rPr>
          <w:szCs w:val="22"/>
        </w:rPr>
        <w:t xml:space="preserve"> manifestationer, inklusive </w:t>
      </w:r>
      <w:proofErr w:type="spellStart"/>
      <w:r>
        <w:rPr>
          <w:szCs w:val="22"/>
        </w:rPr>
        <w:t>eosinofilt</w:t>
      </w:r>
      <w:proofErr w:type="spellEnd"/>
      <w:r>
        <w:rPr>
          <w:szCs w:val="22"/>
        </w:rPr>
        <w:t xml:space="preserve"> </w:t>
      </w:r>
      <w:proofErr w:type="spellStart"/>
      <w:r>
        <w:rPr>
          <w:szCs w:val="22"/>
        </w:rPr>
        <w:t>plaque</w:t>
      </w:r>
      <w:proofErr w:type="spellEnd"/>
      <w:r>
        <w:rPr>
          <w:szCs w:val="22"/>
        </w:rPr>
        <w:t xml:space="preserve">, </w:t>
      </w:r>
      <w:proofErr w:type="spellStart"/>
      <w:r>
        <w:rPr>
          <w:szCs w:val="22"/>
        </w:rPr>
        <w:t>ekskoriation</w:t>
      </w:r>
      <w:proofErr w:type="spellEnd"/>
      <w:r>
        <w:rPr>
          <w:szCs w:val="22"/>
        </w:rPr>
        <w:t xml:space="preserve"> på hoved og hals, symmetrisk hårtab og/eller </w:t>
      </w:r>
      <w:proofErr w:type="spellStart"/>
      <w:r>
        <w:rPr>
          <w:szCs w:val="22"/>
        </w:rPr>
        <w:t>miliær</w:t>
      </w:r>
      <w:proofErr w:type="spellEnd"/>
      <w:r>
        <w:rPr>
          <w:szCs w:val="22"/>
        </w:rPr>
        <w:t xml:space="preserve"> </w:t>
      </w:r>
      <w:proofErr w:type="spellStart"/>
      <w:r>
        <w:rPr>
          <w:szCs w:val="22"/>
        </w:rPr>
        <w:t>dermatitis</w:t>
      </w:r>
      <w:proofErr w:type="spellEnd"/>
      <w:r>
        <w:rPr>
          <w:szCs w:val="22"/>
        </w:rPr>
        <w:t xml:space="preserve">. </w:t>
      </w:r>
    </w:p>
    <w:p w:rsidR="00B74220" w:rsidRDefault="00B74220" w:rsidP="00B74220">
      <w:pPr>
        <w:tabs>
          <w:tab w:val="left" w:pos="1304"/>
        </w:tabs>
        <w:ind w:left="851"/>
        <w:rPr>
          <w:szCs w:val="22"/>
        </w:rPr>
      </w:pPr>
    </w:p>
    <w:p w:rsidR="00B74220" w:rsidRDefault="00B74220" w:rsidP="00B74220">
      <w:pPr>
        <w:tabs>
          <w:tab w:val="left" w:pos="1304"/>
        </w:tabs>
        <w:ind w:left="851"/>
        <w:rPr>
          <w:szCs w:val="22"/>
        </w:rPr>
      </w:pPr>
      <w:r>
        <w:rPr>
          <w:szCs w:val="22"/>
        </w:rPr>
        <w:t xml:space="preserve">Man skal vurdere kattes immunstatus over for </w:t>
      </w:r>
      <w:proofErr w:type="spellStart"/>
      <w:r>
        <w:rPr>
          <w:szCs w:val="22"/>
        </w:rPr>
        <w:t>FeLV</w:t>
      </w:r>
      <w:proofErr w:type="spellEnd"/>
      <w:r>
        <w:rPr>
          <w:szCs w:val="22"/>
        </w:rPr>
        <w:t>- og FIV-infektioner før behandling.</w:t>
      </w:r>
    </w:p>
    <w:p w:rsidR="00B74220" w:rsidRDefault="00B74220" w:rsidP="00B74220">
      <w:pPr>
        <w:tabs>
          <w:tab w:val="left" w:pos="1304"/>
        </w:tabs>
        <w:rPr>
          <w:szCs w:val="22"/>
        </w:rPr>
      </w:pPr>
    </w:p>
    <w:p w:rsidR="00B74220" w:rsidRDefault="00B74220" w:rsidP="00B74220">
      <w:pPr>
        <w:tabs>
          <w:tab w:val="left" w:pos="1304"/>
        </w:tabs>
        <w:ind w:left="851"/>
        <w:rPr>
          <w:szCs w:val="22"/>
        </w:rPr>
      </w:pPr>
      <w:r>
        <w:rPr>
          <w:szCs w:val="22"/>
        </w:rPr>
        <w:t xml:space="preserve">Katte, der er </w:t>
      </w:r>
      <w:proofErr w:type="spellStart"/>
      <w:r>
        <w:rPr>
          <w:szCs w:val="22"/>
        </w:rPr>
        <w:t>seronegative</w:t>
      </w:r>
      <w:proofErr w:type="spellEnd"/>
      <w:r>
        <w:rPr>
          <w:szCs w:val="22"/>
        </w:rPr>
        <w:t xml:space="preserve"> for </w:t>
      </w:r>
      <w:r>
        <w:rPr>
          <w:i/>
          <w:szCs w:val="22"/>
        </w:rPr>
        <w:t xml:space="preserve">T. </w:t>
      </w:r>
      <w:proofErr w:type="spellStart"/>
      <w:r>
        <w:rPr>
          <w:i/>
          <w:szCs w:val="22"/>
        </w:rPr>
        <w:t>gondii</w:t>
      </w:r>
      <w:proofErr w:type="spellEnd"/>
      <w:r>
        <w:rPr>
          <w:szCs w:val="22"/>
        </w:rPr>
        <w:t xml:space="preserve">, kan risikere at udvikle klinisk </w:t>
      </w:r>
      <w:proofErr w:type="spellStart"/>
      <w:r>
        <w:rPr>
          <w:szCs w:val="22"/>
        </w:rPr>
        <w:t>toxoplasmose</w:t>
      </w:r>
      <w:proofErr w:type="spellEnd"/>
      <w:r>
        <w:rPr>
          <w:szCs w:val="22"/>
        </w:rPr>
        <w:t xml:space="preserve">, hvis de bliver smittet, mens de er under behandling. I sjældne tilfælde kan dette være dødeligt. Potentiel eksponering af </w:t>
      </w:r>
      <w:proofErr w:type="spellStart"/>
      <w:r>
        <w:rPr>
          <w:szCs w:val="22"/>
        </w:rPr>
        <w:t>seronegative</w:t>
      </w:r>
      <w:proofErr w:type="spellEnd"/>
      <w:r>
        <w:rPr>
          <w:szCs w:val="22"/>
        </w:rPr>
        <w:t xml:space="preserve"> katte eller katte, der mistænkes for at være </w:t>
      </w:r>
      <w:proofErr w:type="spellStart"/>
      <w:r>
        <w:rPr>
          <w:szCs w:val="22"/>
        </w:rPr>
        <w:t>seronegative</w:t>
      </w:r>
      <w:proofErr w:type="spellEnd"/>
      <w:r>
        <w:rPr>
          <w:szCs w:val="22"/>
        </w:rPr>
        <w:t xml:space="preserve"> over for </w:t>
      </w:r>
      <w:proofErr w:type="spellStart"/>
      <w:r>
        <w:rPr>
          <w:i/>
          <w:szCs w:val="22"/>
        </w:rPr>
        <w:t>Toxoplasma</w:t>
      </w:r>
      <w:proofErr w:type="spellEnd"/>
      <w:r>
        <w:rPr>
          <w:szCs w:val="22"/>
        </w:rPr>
        <w:t xml:space="preserve">, bør derfor minimeres (f.eks. ved at holde dem inden døre, undgå at de spiser råt kød eller ådsler). I en kontrolleret laboratorieundersøgelse har </w:t>
      </w:r>
      <w:proofErr w:type="spellStart"/>
      <w:r>
        <w:rPr>
          <w:szCs w:val="22"/>
        </w:rPr>
        <w:t>ciclosporin</w:t>
      </w:r>
      <w:proofErr w:type="spellEnd"/>
      <w:r>
        <w:rPr>
          <w:szCs w:val="22"/>
        </w:rPr>
        <w:t xml:space="preserve"> vist sig ikke at øge </w:t>
      </w:r>
      <w:r>
        <w:rPr>
          <w:i/>
          <w:szCs w:val="22"/>
        </w:rPr>
        <w:t xml:space="preserve">T. </w:t>
      </w:r>
      <w:proofErr w:type="spellStart"/>
      <w:r>
        <w:rPr>
          <w:i/>
          <w:szCs w:val="22"/>
        </w:rPr>
        <w:t>gondii</w:t>
      </w:r>
      <w:proofErr w:type="spellEnd"/>
      <w:r>
        <w:rPr>
          <w:szCs w:val="22"/>
        </w:rPr>
        <w:t xml:space="preserve"> afstødning af </w:t>
      </w:r>
      <w:proofErr w:type="spellStart"/>
      <w:r>
        <w:rPr>
          <w:szCs w:val="22"/>
        </w:rPr>
        <w:t>oocytter</w:t>
      </w:r>
      <w:proofErr w:type="spellEnd"/>
      <w:r>
        <w:rPr>
          <w:szCs w:val="22"/>
        </w:rPr>
        <w:t xml:space="preserve">. I tilfælde af klinisk </w:t>
      </w:r>
      <w:proofErr w:type="spellStart"/>
      <w:r>
        <w:rPr>
          <w:szCs w:val="22"/>
        </w:rPr>
        <w:t>toxoplasmose</w:t>
      </w:r>
      <w:proofErr w:type="spellEnd"/>
      <w:r>
        <w:rPr>
          <w:szCs w:val="22"/>
        </w:rPr>
        <w:t xml:space="preserve"> eller anden alvorlig systemisk sygdom skal behandlingen med </w:t>
      </w:r>
      <w:proofErr w:type="spellStart"/>
      <w:r>
        <w:rPr>
          <w:szCs w:val="22"/>
        </w:rPr>
        <w:t>ciclosporin</w:t>
      </w:r>
      <w:proofErr w:type="spellEnd"/>
      <w:r>
        <w:rPr>
          <w:szCs w:val="22"/>
        </w:rPr>
        <w:t xml:space="preserve"> stoppes, og passende behandling skal indledes.</w:t>
      </w:r>
    </w:p>
    <w:p w:rsidR="00B74220" w:rsidRDefault="00B74220" w:rsidP="00B74220">
      <w:pPr>
        <w:tabs>
          <w:tab w:val="left" w:pos="1304"/>
        </w:tabs>
        <w:ind w:left="851"/>
        <w:rPr>
          <w:szCs w:val="22"/>
        </w:rPr>
      </w:pPr>
    </w:p>
    <w:p w:rsidR="00B74220" w:rsidRDefault="00B74220" w:rsidP="00B74220">
      <w:pPr>
        <w:tabs>
          <w:tab w:val="left" w:pos="1304"/>
        </w:tabs>
        <w:ind w:left="851"/>
        <w:rPr>
          <w:szCs w:val="22"/>
        </w:rPr>
      </w:pPr>
      <w:r>
        <w:rPr>
          <w:szCs w:val="22"/>
        </w:rPr>
        <w:t xml:space="preserve">Kliniske studier hos katte har vist, at der kan forekomme nedsat appetit og vægttab under behandling med </w:t>
      </w:r>
      <w:proofErr w:type="spellStart"/>
      <w:r>
        <w:rPr>
          <w:szCs w:val="22"/>
        </w:rPr>
        <w:t>ciclosporin</w:t>
      </w:r>
      <w:proofErr w:type="spellEnd"/>
      <w:r>
        <w:rPr>
          <w:szCs w:val="22"/>
        </w:rPr>
        <w:t xml:space="preserve">. Overvågning af kropsvægten anbefales. En betydelig reduktion i kropsvægt kan resultere i </w:t>
      </w:r>
      <w:proofErr w:type="spellStart"/>
      <w:r>
        <w:rPr>
          <w:szCs w:val="22"/>
        </w:rPr>
        <w:t>hepatisk</w:t>
      </w:r>
      <w:proofErr w:type="spellEnd"/>
      <w:r>
        <w:rPr>
          <w:szCs w:val="22"/>
        </w:rPr>
        <w:t xml:space="preserve"> lipidose. Hvis der opstår et vedvarende, progressivt vægttab under behandlingen, anbefales det, at man afbryder behandlingen, indtil årsagen er identificeret.</w:t>
      </w:r>
    </w:p>
    <w:p w:rsidR="00B74220" w:rsidRDefault="00B74220" w:rsidP="00B74220">
      <w:pPr>
        <w:tabs>
          <w:tab w:val="left" w:pos="1304"/>
        </w:tabs>
        <w:ind w:left="851"/>
        <w:rPr>
          <w:szCs w:val="22"/>
        </w:rPr>
      </w:pPr>
      <w:r>
        <w:rPr>
          <w:szCs w:val="22"/>
        </w:rPr>
        <w:t xml:space="preserve">Effekten og sikkerheden af </w:t>
      </w:r>
      <w:proofErr w:type="spellStart"/>
      <w:r>
        <w:rPr>
          <w:szCs w:val="22"/>
        </w:rPr>
        <w:t>ciclosporin</w:t>
      </w:r>
      <w:proofErr w:type="spellEnd"/>
      <w:r>
        <w:rPr>
          <w:szCs w:val="22"/>
        </w:rPr>
        <w:t xml:space="preserve"> er hverken blevet vurderet hos katte under 6 måneder, eller som vejer mindre end 2,3 kg.</w:t>
      </w:r>
    </w:p>
    <w:p w:rsidR="00B74220" w:rsidRDefault="00B74220" w:rsidP="00B74220">
      <w:pPr>
        <w:tabs>
          <w:tab w:val="left" w:pos="1304"/>
        </w:tabs>
        <w:ind w:left="851"/>
        <w:rPr>
          <w:szCs w:val="22"/>
        </w:rPr>
      </w:pPr>
    </w:p>
    <w:p w:rsidR="00B74220" w:rsidRDefault="00B74220" w:rsidP="00B74220">
      <w:pPr>
        <w:tabs>
          <w:tab w:val="left" w:pos="1304"/>
        </w:tabs>
        <w:ind w:left="851"/>
        <w:rPr>
          <w:szCs w:val="22"/>
          <w:u w:val="single"/>
        </w:rPr>
      </w:pPr>
      <w:r>
        <w:rPr>
          <w:szCs w:val="22"/>
          <w:u w:val="single"/>
        </w:rPr>
        <w:t>Særlige forholdsregler for personer, der administrerer veterinærlægemidlet til dyr:</w:t>
      </w:r>
    </w:p>
    <w:p w:rsidR="00B74220" w:rsidRDefault="00B74220" w:rsidP="00B74220">
      <w:pPr>
        <w:tabs>
          <w:tab w:val="left" w:pos="1304"/>
        </w:tabs>
        <w:ind w:left="851"/>
        <w:rPr>
          <w:szCs w:val="22"/>
        </w:rPr>
      </w:pPr>
    </w:p>
    <w:p w:rsidR="00B74220" w:rsidRDefault="00B74220" w:rsidP="00B74220">
      <w:pPr>
        <w:tabs>
          <w:tab w:val="left" w:pos="1304"/>
        </w:tabs>
        <w:ind w:left="851"/>
        <w:rPr>
          <w:szCs w:val="22"/>
        </w:rPr>
      </w:pPr>
      <w:r>
        <w:rPr>
          <w:szCs w:val="22"/>
        </w:rPr>
        <w:t xml:space="preserve">Utilsigtet indtagelse ved hændeligt uheld af dette veterinærlægemiddel kan føre til kvalme og/eller opkastning. Veterinærlægemidlet skal bruges og opbevares utilgængeligt for børn for at undgå utilsigtet indtagelse ved hændeligt uheld. Fyldte sprøjter må ikke efterlades uden opsyn, hvis der er børn til stede. Al </w:t>
      </w:r>
      <w:proofErr w:type="spellStart"/>
      <w:r>
        <w:rPr>
          <w:szCs w:val="22"/>
        </w:rPr>
        <w:t>uspist</w:t>
      </w:r>
      <w:proofErr w:type="spellEnd"/>
      <w:r>
        <w:rPr>
          <w:szCs w:val="22"/>
        </w:rPr>
        <w:t xml:space="preserve"> medicineret kattemad skal straks bortskaffes, og skålen skal vaskes grundigt. I tilfælde af utilsigtet indtagelse ved hændeligt uheld, især af et barn, skal der straks søges lægehjælp, og indlægssedlen eller etiketten bør vises til lægen.</w:t>
      </w:r>
    </w:p>
    <w:p w:rsidR="00B74220" w:rsidRDefault="00B74220" w:rsidP="00B74220">
      <w:pPr>
        <w:tabs>
          <w:tab w:val="left" w:pos="1304"/>
        </w:tabs>
        <w:ind w:left="851"/>
        <w:rPr>
          <w:szCs w:val="22"/>
        </w:rPr>
      </w:pPr>
      <w:proofErr w:type="spellStart"/>
      <w:r>
        <w:rPr>
          <w:szCs w:val="22"/>
        </w:rPr>
        <w:t>Ciclosporin</w:t>
      </w:r>
      <w:proofErr w:type="spellEnd"/>
      <w:r>
        <w:rPr>
          <w:szCs w:val="22"/>
        </w:rPr>
        <w:t xml:space="preserve"> kan udløse overfølsomhedsreaktioner (allergi).</w:t>
      </w:r>
    </w:p>
    <w:p w:rsidR="00B74220" w:rsidRDefault="00B74220" w:rsidP="00B74220">
      <w:pPr>
        <w:tabs>
          <w:tab w:val="left" w:pos="1304"/>
        </w:tabs>
        <w:ind w:left="851"/>
        <w:rPr>
          <w:szCs w:val="22"/>
        </w:rPr>
      </w:pPr>
      <w:r>
        <w:rPr>
          <w:szCs w:val="22"/>
        </w:rPr>
        <w:t xml:space="preserve">Ved overfølsomhed over for </w:t>
      </w:r>
      <w:proofErr w:type="spellStart"/>
      <w:r>
        <w:rPr>
          <w:szCs w:val="22"/>
        </w:rPr>
        <w:t>ciclosporin</w:t>
      </w:r>
      <w:proofErr w:type="spellEnd"/>
      <w:r>
        <w:rPr>
          <w:szCs w:val="22"/>
        </w:rPr>
        <w:t xml:space="preserve"> bør kontakt med veterinærlægemidlet undgås.</w:t>
      </w:r>
    </w:p>
    <w:p w:rsidR="00B74220" w:rsidRDefault="00B74220" w:rsidP="00B74220">
      <w:pPr>
        <w:tabs>
          <w:tab w:val="left" w:pos="1304"/>
        </w:tabs>
        <w:ind w:left="851"/>
        <w:rPr>
          <w:szCs w:val="22"/>
        </w:rPr>
      </w:pPr>
      <w:r>
        <w:rPr>
          <w:szCs w:val="22"/>
        </w:rPr>
        <w:t>Irritation af øjnene er ikke sandsynligt. Som en forsigtighedsregel skal der undgås kontakt med øjne. Hvis der forekommer kontakt skylles grundigt med rent vand. Vask hænder og alt eksponeret hud efter brug.</w:t>
      </w:r>
    </w:p>
    <w:p w:rsidR="00B74220" w:rsidRDefault="00B74220" w:rsidP="00B74220">
      <w:pPr>
        <w:tabs>
          <w:tab w:val="left" w:pos="1304"/>
        </w:tabs>
        <w:ind w:left="851"/>
        <w:rPr>
          <w:szCs w:val="22"/>
        </w:rPr>
      </w:pPr>
    </w:p>
    <w:p w:rsidR="00B74220" w:rsidRDefault="00B74220" w:rsidP="00B74220">
      <w:pPr>
        <w:tabs>
          <w:tab w:val="left" w:pos="1304"/>
        </w:tabs>
        <w:ind w:left="851"/>
        <w:rPr>
          <w:szCs w:val="22"/>
          <w:u w:val="single"/>
        </w:rPr>
      </w:pPr>
      <w:r>
        <w:rPr>
          <w:szCs w:val="22"/>
          <w:u w:val="single"/>
        </w:rPr>
        <w:t>Særlige forholdsregler vedrørende beskyttelse af miljøet:</w:t>
      </w:r>
    </w:p>
    <w:p w:rsidR="00B74220" w:rsidRDefault="00B74220" w:rsidP="00B74220">
      <w:pPr>
        <w:tabs>
          <w:tab w:val="left" w:pos="1304"/>
        </w:tabs>
        <w:ind w:left="851"/>
        <w:rPr>
          <w:szCs w:val="22"/>
        </w:rPr>
      </w:pPr>
    </w:p>
    <w:p w:rsidR="00B74220" w:rsidRDefault="00B74220" w:rsidP="00B74220">
      <w:pPr>
        <w:tabs>
          <w:tab w:val="left" w:pos="1304"/>
        </w:tabs>
        <w:ind w:left="851"/>
        <w:rPr>
          <w:szCs w:val="22"/>
        </w:rPr>
      </w:pPr>
      <w:r>
        <w:rPr>
          <w:szCs w:val="22"/>
        </w:rPr>
        <w:t>Ikke relevant.</w:t>
      </w:r>
    </w:p>
    <w:p w:rsidR="00B74220" w:rsidRDefault="00B74220" w:rsidP="00B74220">
      <w:pPr>
        <w:tabs>
          <w:tab w:val="left" w:pos="1304"/>
        </w:tabs>
        <w:ind w:left="851"/>
        <w:rPr>
          <w:szCs w:val="22"/>
        </w:rPr>
      </w:pPr>
    </w:p>
    <w:p w:rsidR="00B74220" w:rsidRDefault="00B74220" w:rsidP="00B74220">
      <w:pPr>
        <w:tabs>
          <w:tab w:val="left" w:pos="1304"/>
        </w:tabs>
        <w:ind w:left="851"/>
        <w:rPr>
          <w:szCs w:val="22"/>
        </w:rPr>
      </w:pPr>
      <w:r>
        <w:rPr>
          <w:szCs w:val="22"/>
          <w:u w:val="single"/>
        </w:rPr>
        <w:t>Andre forholdsregler</w:t>
      </w:r>
      <w:r>
        <w:t>:</w:t>
      </w:r>
    </w:p>
    <w:p w:rsidR="00B74220" w:rsidRDefault="00B74220" w:rsidP="00B74220">
      <w:pPr>
        <w:tabs>
          <w:tab w:val="left" w:pos="1304"/>
        </w:tabs>
        <w:ind w:left="851"/>
        <w:rPr>
          <w:szCs w:val="22"/>
        </w:rPr>
      </w:pPr>
      <w:r>
        <w:rPr>
          <w:szCs w:val="22"/>
        </w:rPr>
        <w:t>Ingen.</w:t>
      </w:r>
    </w:p>
    <w:p w:rsidR="00B74220" w:rsidRDefault="00B74220" w:rsidP="00B74220">
      <w:pPr>
        <w:tabs>
          <w:tab w:val="left" w:pos="1304"/>
        </w:tabs>
        <w:rPr>
          <w:szCs w:val="22"/>
        </w:rPr>
      </w:pPr>
    </w:p>
    <w:p w:rsidR="00B74220" w:rsidRDefault="00B74220" w:rsidP="00B74220">
      <w:pPr>
        <w:pStyle w:val="Style1"/>
        <w:ind w:left="851" w:hanging="851"/>
      </w:pPr>
      <w:r>
        <w:lastRenderedPageBreak/>
        <w:t>3.6</w:t>
      </w:r>
      <w:r>
        <w:tab/>
        <w:t>Bivirkninger</w:t>
      </w:r>
    </w:p>
    <w:p w:rsidR="00B74220" w:rsidRDefault="00B74220" w:rsidP="00B74220">
      <w:pPr>
        <w:tabs>
          <w:tab w:val="left" w:pos="1304"/>
        </w:tabs>
        <w:rPr>
          <w:szCs w:val="22"/>
        </w:rPr>
      </w:pPr>
    </w:p>
    <w:p w:rsidR="00B74220" w:rsidRDefault="00B74220" w:rsidP="00B74220">
      <w:pPr>
        <w:tabs>
          <w:tab w:val="left" w:pos="1304"/>
        </w:tabs>
        <w:ind w:firstLine="851"/>
        <w:rPr>
          <w:szCs w:val="22"/>
        </w:rPr>
      </w:pPr>
      <w:r>
        <w:rPr>
          <w:szCs w:val="22"/>
        </w:rPr>
        <w:t>Hunde:</w:t>
      </w:r>
    </w:p>
    <w:p w:rsidR="00B74220" w:rsidRDefault="00B74220" w:rsidP="00B74220">
      <w:pPr>
        <w:tabs>
          <w:tab w:val="left" w:pos="1304"/>
        </w:tabs>
        <w:rPr>
          <w:szCs w:val="22"/>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8"/>
        <w:gridCol w:w="4815"/>
      </w:tblGrid>
      <w:tr w:rsidR="00B74220" w:rsidTr="00B74220">
        <w:tc>
          <w:tcPr>
            <w:tcW w:w="2259" w:type="pct"/>
            <w:tcBorders>
              <w:top w:val="single" w:sz="4" w:space="0" w:color="auto"/>
              <w:left w:val="single" w:sz="4" w:space="0" w:color="auto"/>
              <w:bottom w:val="single" w:sz="4" w:space="0" w:color="auto"/>
              <w:right w:val="single" w:sz="4" w:space="0" w:color="auto"/>
            </w:tcBorders>
            <w:hideMark/>
          </w:tcPr>
          <w:p w:rsidR="00B74220" w:rsidRDefault="00B74220">
            <w:pPr>
              <w:spacing w:before="60" w:after="60"/>
              <w:rPr>
                <w:szCs w:val="22"/>
              </w:rPr>
            </w:pPr>
            <w:r>
              <w:rPr>
                <w:szCs w:val="22"/>
              </w:rPr>
              <w:t>Meget almindelig</w:t>
            </w:r>
          </w:p>
          <w:p w:rsidR="00B74220" w:rsidRDefault="00B74220">
            <w:pPr>
              <w:spacing w:before="60" w:after="60"/>
              <w:rPr>
                <w:szCs w:val="22"/>
              </w:rPr>
            </w:pPr>
            <w:r>
              <w:rPr>
                <w:szCs w:val="22"/>
              </w:rPr>
              <w:t>(&gt; 1 dyr ud af 10 behandlede dyr):</w:t>
            </w:r>
          </w:p>
        </w:tc>
        <w:tc>
          <w:tcPr>
            <w:tcW w:w="2741" w:type="pct"/>
            <w:tcBorders>
              <w:top w:val="single" w:sz="4" w:space="0" w:color="auto"/>
              <w:left w:val="single" w:sz="4" w:space="0" w:color="auto"/>
              <w:bottom w:val="single" w:sz="4" w:space="0" w:color="auto"/>
              <w:right w:val="single" w:sz="4" w:space="0" w:color="auto"/>
            </w:tcBorders>
            <w:hideMark/>
          </w:tcPr>
          <w:p w:rsidR="00B74220" w:rsidRDefault="00B74220">
            <w:pPr>
              <w:spacing w:before="60" w:after="60"/>
              <w:rPr>
                <w:iCs/>
                <w:szCs w:val="22"/>
              </w:rPr>
            </w:pPr>
            <w:r>
              <w:rPr>
                <w:iCs/>
              </w:rPr>
              <w:t>Forstyrrelser af fordøjelsessystemet (f.eks. Opkastning, Løs fæces, Slimet fæces</w:t>
            </w:r>
            <w:r>
              <w:rPr>
                <w:szCs w:val="22"/>
              </w:rPr>
              <w:t xml:space="preserve"> og </w:t>
            </w:r>
            <w:proofErr w:type="gramStart"/>
            <w:r>
              <w:rPr>
                <w:szCs w:val="22"/>
              </w:rPr>
              <w:t>Diarré</w:t>
            </w:r>
            <w:r>
              <w:rPr>
                <w:iCs/>
              </w:rPr>
              <w:t>)</w:t>
            </w:r>
            <w:r>
              <w:rPr>
                <w:iCs/>
                <w:vertAlign w:val="superscript"/>
              </w:rPr>
              <w:t>a</w:t>
            </w:r>
            <w:proofErr w:type="gramEnd"/>
          </w:p>
        </w:tc>
      </w:tr>
      <w:tr w:rsidR="00B74220" w:rsidTr="00B74220">
        <w:tc>
          <w:tcPr>
            <w:tcW w:w="2259" w:type="pct"/>
            <w:tcBorders>
              <w:top w:val="single" w:sz="4" w:space="0" w:color="auto"/>
              <w:left w:val="single" w:sz="4" w:space="0" w:color="auto"/>
              <w:bottom w:val="single" w:sz="4" w:space="0" w:color="auto"/>
              <w:right w:val="single" w:sz="4" w:space="0" w:color="auto"/>
            </w:tcBorders>
            <w:hideMark/>
          </w:tcPr>
          <w:p w:rsidR="00B74220" w:rsidRDefault="00B74220">
            <w:pPr>
              <w:spacing w:before="60" w:after="60"/>
              <w:rPr>
                <w:szCs w:val="22"/>
              </w:rPr>
            </w:pPr>
            <w:r>
              <w:t>Ikke almindelig</w:t>
            </w:r>
          </w:p>
          <w:p w:rsidR="00B74220" w:rsidRDefault="00B74220">
            <w:pPr>
              <w:spacing w:before="60" w:after="60"/>
              <w:rPr>
                <w:szCs w:val="22"/>
                <w:highlight w:val="yellow"/>
              </w:rPr>
            </w:pPr>
            <w:r>
              <w:t>(1 til 10 dyr ud af 1.000 behandlede dyr):</w:t>
            </w:r>
          </w:p>
        </w:tc>
        <w:tc>
          <w:tcPr>
            <w:tcW w:w="2741" w:type="pct"/>
            <w:tcBorders>
              <w:top w:val="single" w:sz="4" w:space="0" w:color="auto"/>
              <w:left w:val="single" w:sz="4" w:space="0" w:color="auto"/>
              <w:bottom w:val="single" w:sz="4" w:space="0" w:color="auto"/>
              <w:right w:val="single" w:sz="4" w:space="0" w:color="auto"/>
            </w:tcBorders>
            <w:hideMark/>
          </w:tcPr>
          <w:p w:rsidR="00B74220" w:rsidRDefault="00B74220">
            <w:pPr>
              <w:spacing w:before="60" w:after="60"/>
              <w:rPr>
                <w:iCs/>
                <w:vertAlign w:val="superscript"/>
              </w:rPr>
            </w:pPr>
            <w:proofErr w:type="spellStart"/>
            <w:r>
              <w:rPr>
                <w:iCs/>
              </w:rPr>
              <w:t>Sløvhed</w:t>
            </w:r>
            <w:r>
              <w:rPr>
                <w:iCs/>
                <w:vertAlign w:val="superscript"/>
              </w:rPr>
              <w:t>c</w:t>
            </w:r>
            <w:proofErr w:type="spellEnd"/>
            <w:r>
              <w:rPr>
                <w:iCs/>
              </w:rPr>
              <w:t xml:space="preserve">, </w:t>
            </w:r>
            <w:proofErr w:type="spellStart"/>
            <w:r>
              <w:rPr>
                <w:iCs/>
              </w:rPr>
              <w:t>Anoreksi</w:t>
            </w:r>
            <w:r>
              <w:rPr>
                <w:iCs/>
                <w:vertAlign w:val="superscript"/>
              </w:rPr>
              <w:t>c</w:t>
            </w:r>
            <w:proofErr w:type="spellEnd"/>
          </w:p>
          <w:p w:rsidR="00B74220" w:rsidRDefault="00B74220">
            <w:pPr>
              <w:spacing w:before="60" w:after="60"/>
              <w:rPr>
                <w:iCs/>
                <w:vertAlign w:val="superscript"/>
              </w:rPr>
            </w:pPr>
            <w:proofErr w:type="spellStart"/>
            <w:r>
              <w:rPr>
                <w:iCs/>
              </w:rPr>
              <w:t>Hyperaktivitet</w:t>
            </w:r>
            <w:r>
              <w:rPr>
                <w:iCs/>
                <w:vertAlign w:val="superscript"/>
              </w:rPr>
              <w:t>c</w:t>
            </w:r>
            <w:proofErr w:type="spellEnd"/>
          </w:p>
          <w:p w:rsidR="00B74220" w:rsidRDefault="00B74220">
            <w:pPr>
              <w:spacing w:before="60" w:after="60"/>
              <w:rPr>
                <w:iCs/>
                <w:vertAlign w:val="superscript"/>
              </w:rPr>
            </w:pPr>
            <w:proofErr w:type="spellStart"/>
            <w:r>
              <w:rPr>
                <w:iCs/>
              </w:rPr>
              <w:t>Hyperplasi</w:t>
            </w:r>
            <w:proofErr w:type="spellEnd"/>
            <w:r>
              <w:rPr>
                <w:iCs/>
              </w:rPr>
              <w:t xml:space="preserve"> af </w:t>
            </w:r>
            <w:proofErr w:type="spellStart"/>
            <w:proofErr w:type="gramStart"/>
            <w:r>
              <w:rPr>
                <w:iCs/>
              </w:rPr>
              <w:t>gummerne</w:t>
            </w:r>
            <w:r>
              <w:rPr>
                <w:iCs/>
                <w:vertAlign w:val="superscript"/>
              </w:rPr>
              <w:t>b,c</w:t>
            </w:r>
            <w:proofErr w:type="spellEnd"/>
            <w:proofErr w:type="gramEnd"/>
          </w:p>
          <w:p w:rsidR="00B74220" w:rsidRDefault="00B74220">
            <w:pPr>
              <w:spacing w:before="60" w:after="60"/>
              <w:rPr>
                <w:iCs/>
                <w:vertAlign w:val="superscript"/>
              </w:rPr>
            </w:pPr>
            <w:r>
              <w:rPr>
                <w:iCs/>
              </w:rPr>
              <w:t xml:space="preserve">Hudlæsioner (f.eks. </w:t>
            </w:r>
            <w:r>
              <w:rPr>
                <w:szCs w:val="22"/>
              </w:rPr>
              <w:t xml:space="preserve">Vorteformede læsioner, </w:t>
            </w:r>
            <w:proofErr w:type="gramStart"/>
            <w:r>
              <w:rPr>
                <w:szCs w:val="22"/>
              </w:rPr>
              <w:t>Pelsforandringer</w:t>
            </w:r>
            <w:r>
              <w:rPr>
                <w:iCs/>
              </w:rPr>
              <w:t>)</w:t>
            </w:r>
            <w:r>
              <w:rPr>
                <w:iCs/>
                <w:vertAlign w:val="superscript"/>
              </w:rPr>
              <w:t>c</w:t>
            </w:r>
            <w:proofErr w:type="gramEnd"/>
          </w:p>
          <w:p w:rsidR="00B74220" w:rsidRDefault="00B74220">
            <w:pPr>
              <w:spacing w:before="60" w:after="60"/>
              <w:rPr>
                <w:iCs/>
                <w:vertAlign w:val="superscript"/>
              </w:rPr>
            </w:pPr>
            <w:r>
              <w:rPr>
                <w:iCs/>
              </w:rPr>
              <w:t xml:space="preserve">Rødme af </w:t>
            </w:r>
            <w:proofErr w:type="spellStart"/>
            <w:r>
              <w:rPr>
                <w:iCs/>
              </w:rPr>
              <w:t>øreflip</w:t>
            </w:r>
            <w:r>
              <w:rPr>
                <w:iCs/>
                <w:vertAlign w:val="superscript"/>
              </w:rPr>
              <w:t>c</w:t>
            </w:r>
            <w:proofErr w:type="spellEnd"/>
            <w:r>
              <w:rPr>
                <w:iCs/>
              </w:rPr>
              <w:t xml:space="preserve">, Hævelse af </w:t>
            </w:r>
            <w:proofErr w:type="spellStart"/>
            <w:r>
              <w:rPr>
                <w:iCs/>
              </w:rPr>
              <w:t>øreflip</w:t>
            </w:r>
            <w:r>
              <w:rPr>
                <w:iCs/>
                <w:vertAlign w:val="superscript"/>
              </w:rPr>
              <w:t>c</w:t>
            </w:r>
            <w:proofErr w:type="spellEnd"/>
          </w:p>
          <w:p w:rsidR="00B74220" w:rsidRDefault="00B74220">
            <w:pPr>
              <w:spacing w:before="60" w:after="60"/>
              <w:rPr>
                <w:iCs/>
                <w:szCs w:val="22"/>
                <w:lang w:val="fr-FR"/>
              </w:rPr>
            </w:pPr>
            <w:r>
              <w:rPr>
                <w:iCs/>
                <w:lang w:val="fr-FR"/>
              </w:rPr>
              <w:t>Muskelsvaghed</w:t>
            </w:r>
            <w:r>
              <w:rPr>
                <w:iCs/>
                <w:vertAlign w:val="superscript"/>
                <w:lang w:val="fr-FR"/>
              </w:rPr>
              <w:t>c</w:t>
            </w:r>
            <w:r>
              <w:rPr>
                <w:iCs/>
                <w:lang w:val="fr-FR"/>
              </w:rPr>
              <w:t>, Kramper</w:t>
            </w:r>
            <w:r>
              <w:rPr>
                <w:iCs/>
                <w:vertAlign w:val="superscript"/>
                <w:lang w:val="fr-FR"/>
              </w:rPr>
              <w:t>c</w:t>
            </w:r>
          </w:p>
        </w:tc>
      </w:tr>
      <w:tr w:rsidR="00B74220" w:rsidTr="00B74220">
        <w:tc>
          <w:tcPr>
            <w:tcW w:w="2259" w:type="pct"/>
            <w:tcBorders>
              <w:top w:val="single" w:sz="4" w:space="0" w:color="auto"/>
              <w:left w:val="single" w:sz="4" w:space="0" w:color="auto"/>
              <w:bottom w:val="single" w:sz="4" w:space="0" w:color="auto"/>
              <w:right w:val="single" w:sz="4" w:space="0" w:color="auto"/>
            </w:tcBorders>
            <w:hideMark/>
          </w:tcPr>
          <w:p w:rsidR="00B74220" w:rsidRDefault="00B74220">
            <w:pPr>
              <w:spacing w:before="60" w:after="60"/>
              <w:rPr>
                <w:szCs w:val="22"/>
              </w:rPr>
            </w:pPr>
            <w:r>
              <w:t>Meget sjælden</w:t>
            </w:r>
          </w:p>
          <w:p w:rsidR="00B74220" w:rsidRDefault="00B74220">
            <w:pPr>
              <w:spacing w:before="60" w:after="60"/>
              <w:rPr>
                <w:szCs w:val="22"/>
                <w:highlight w:val="yellow"/>
              </w:rPr>
            </w:pPr>
            <w:r>
              <w:t>(&lt; 1 dyr ud af 10.000 behandlede dyr, herunder enkeltstående indberetninger):</w:t>
            </w:r>
          </w:p>
        </w:tc>
        <w:tc>
          <w:tcPr>
            <w:tcW w:w="2741" w:type="pct"/>
            <w:tcBorders>
              <w:top w:val="single" w:sz="4" w:space="0" w:color="auto"/>
              <w:left w:val="single" w:sz="4" w:space="0" w:color="auto"/>
              <w:bottom w:val="single" w:sz="4" w:space="0" w:color="auto"/>
              <w:right w:val="single" w:sz="4" w:space="0" w:color="auto"/>
            </w:tcBorders>
            <w:hideMark/>
          </w:tcPr>
          <w:p w:rsidR="00B74220" w:rsidRDefault="00B74220">
            <w:pPr>
              <w:spacing w:before="60" w:after="60"/>
              <w:rPr>
                <w:iCs/>
                <w:szCs w:val="22"/>
              </w:rPr>
            </w:pPr>
            <w:r>
              <w:rPr>
                <w:iCs/>
              </w:rPr>
              <w:t xml:space="preserve">Diabetes </w:t>
            </w:r>
            <w:proofErr w:type="spellStart"/>
            <w:r>
              <w:rPr>
                <w:iCs/>
              </w:rPr>
              <w:t>Mellitus</w:t>
            </w:r>
            <w:r>
              <w:rPr>
                <w:iCs/>
                <w:vertAlign w:val="superscript"/>
              </w:rPr>
              <w:t>d</w:t>
            </w:r>
            <w:proofErr w:type="spellEnd"/>
          </w:p>
        </w:tc>
      </w:tr>
    </w:tbl>
    <w:p w:rsidR="00B74220" w:rsidRDefault="00B74220" w:rsidP="00B74220">
      <w:pPr>
        <w:ind w:left="851"/>
        <w:rPr>
          <w:sz w:val="22"/>
        </w:rPr>
      </w:pPr>
      <w:r>
        <w:rPr>
          <w:vertAlign w:val="superscript"/>
        </w:rPr>
        <w:t>a</w:t>
      </w:r>
      <w:r>
        <w:t xml:space="preserve"> </w:t>
      </w:r>
      <w:r>
        <w:rPr>
          <w:szCs w:val="22"/>
        </w:rPr>
        <w:t xml:space="preserve">Lette og forbigående og kræver sædvanligvis ikke </w:t>
      </w:r>
      <w:proofErr w:type="spellStart"/>
      <w:r>
        <w:rPr>
          <w:szCs w:val="22"/>
        </w:rPr>
        <w:t>seponering</w:t>
      </w:r>
      <w:proofErr w:type="spellEnd"/>
      <w:r>
        <w:rPr>
          <w:szCs w:val="22"/>
        </w:rPr>
        <w:t xml:space="preserve"> af behandlingen</w:t>
      </w:r>
      <w:r>
        <w:t xml:space="preserve">. </w:t>
      </w:r>
    </w:p>
    <w:p w:rsidR="00B74220" w:rsidRDefault="00B74220" w:rsidP="00B74220">
      <w:pPr>
        <w:ind w:left="851"/>
      </w:pPr>
      <w:r>
        <w:rPr>
          <w:vertAlign w:val="superscript"/>
        </w:rPr>
        <w:t>b</w:t>
      </w:r>
      <w:r>
        <w:t xml:space="preserve"> Let til moderat.</w:t>
      </w:r>
    </w:p>
    <w:p w:rsidR="00B74220" w:rsidRDefault="00B74220" w:rsidP="00B74220">
      <w:pPr>
        <w:ind w:left="851"/>
      </w:pPr>
      <w:r>
        <w:rPr>
          <w:vertAlign w:val="superscript"/>
        </w:rPr>
        <w:t>c</w:t>
      </w:r>
      <w:r>
        <w:t xml:space="preserve"> </w:t>
      </w:r>
      <w:r>
        <w:rPr>
          <w:szCs w:val="22"/>
        </w:rPr>
        <w:t>Disse virkninger forsvinder sædvanligvis spontant, når behandlingen seponeres</w:t>
      </w:r>
      <w:r>
        <w:t>.</w:t>
      </w:r>
    </w:p>
    <w:p w:rsidR="00B74220" w:rsidRDefault="00B74220" w:rsidP="00B74220">
      <w:pPr>
        <w:ind w:left="851"/>
        <w:rPr>
          <w:lang w:val="en-US"/>
        </w:rPr>
      </w:pPr>
      <w:r>
        <w:rPr>
          <w:vertAlign w:val="superscript"/>
          <w:lang w:val="en-US"/>
        </w:rPr>
        <w:t>d</w:t>
      </w:r>
      <w:r>
        <w:rPr>
          <w:lang w:val="en-US"/>
        </w:rPr>
        <w:t xml:space="preserve"> </w:t>
      </w:r>
      <w:proofErr w:type="spellStart"/>
      <w:r>
        <w:rPr>
          <w:szCs w:val="22"/>
          <w:lang w:val="en-US"/>
        </w:rPr>
        <w:t>Mest</w:t>
      </w:r>
      <w:proofErr w:type="spellEnd"/>
      <w:r>
        <w:rPr>
          <w:szCs w:val="22"/>
          <w:lang w:val="en-US"/>
        </w:rPr>
        <w:t xml:space="preserve"> hos West Highland White Terriers</w:t>
      </w:r>
      <w:r>
        <w:rPr>
          <w:lang w:val="en-US"/>
        </w:rPr>
        <w:t>.</w:t>
      </w:r>
    </w:p>
    <w:p w:rsidR="00B74220" w:rsidRDefault="00B74220" w:rsidP="00B74220">
      <w:pPr>
        <w:ind w:left="851"/>
        <w:rPr>
          <w:lang w:val="en-US"/>
        </w:rPr>
      </w:pPr>
    </w:p>
    <w:p w:rsidR="00B74220" w:rsidRDefault="00B74220" w:rsidP="00B74220">
      <w:pPr>
        <w:ind w:left="851"/>
      </w:pPr>
      <w:r>
        <w:t xml:space="preserve">Vedrørende </w:t>
      </w:r>
      <w:proofErr w:type="spellStart"/>
      <w:r>
        <w:t>malignitet</w:t>
      </w:r>
      <w:proofErr w:type="spellEnd"/>
      <w:r>
        <w:t>, se pkt. 3.3 ”Kontraindikationer” og 3.5 ”Særlige forholdsregler vedrørende brugen”.</w:t>
      </w:r>
    </w:p>
    <w:p w:rsidR="00B74220" w:rsidRDefault="00B74220" w:rsidP="00B74220">
      <w:pPr>
        <w:ind w:left="851"/>
      </w:pPr>
    </w:p>
    <w:p w:rsidR="00B74220" w:rsidRDefault="00B74220" w:rsidP="00B74220">
      <w:pPr>
        <w:tabs>
          <w:tab w:val="left" w:pos="1304"/>
        </w:tabs>
        <w:ind w:left="851"/>
        <w:rPr>
          <w:szCs w:val="22"/>
        </w:rPr>
      </w:pPr>
      <w:r>
        <w:rPr>
          <w:szCs w:val="22"/>
        </w:rPr>
        <w:t>Katte:</w:t>
      </w:r>
    </w:p>
    <w:p w:rsidR="00B74220" w:rsidRDefault="00B74220" w:rsidP="00B74220">
      <w:pPr>
        <w:tabs>
          <w:tab w:val="left" w:pos="1304"/>
        </w:tabs>
        <w:rPr>
          <w:szCs w:val="22"/>
        </w:rPr>
      </w:pPr>
    </w:p>
    <w:tbl>
      <w:tblPr>
        <w:tblW w:w="4559"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4809"/>
      </w:tblGrid>
      <w:tr w:rsidR="00B74220" w:rsidTr="00B74220">
        <w:tc>
          <w:tcPr>
            <w:tcW w:w="2261" w:type="pct"/>
            <w:tcBorders>
              <w:top w:val="single" w:sz="4" w:space="0" w:color="auto"/>
              <w:left w:val="single" w:sz="4" w:space="0" w:color="auto"/>
              <w:bottom w:val="single" w:sz="4" w:space="0" w:color="auto"/>
              <w:right w:val="single" w:sz="4" w:space="0" w:color="auto"/>
            </w:tcBorders>
            <w:hideMark/>
          </w:tcPr>
          <w:p w:rsidR="00B74220" w:rsidRDefault="00B74220">
            <w:pPr>
              <w:spacing w:before="60" w:after="60"/>
              <w:rPr>
                <w:szCs w:val="22"/>
              </w:rPr>
            </w:pPr>
            <w:r>
              <w:t>Meget almindelig</w:t>
            </w:r>
          </w:p>
          <w:p w:rsidR="00B74220" w:rsidRDefault="00B74220">
            <w:pPr>
              <w:spacing w:before="60" w:after="60"/>
              <w:rPr>
                <w:highlight w:val="yellow"/>
              </w:rPr>
            </w:pPr>
            <w:r>
              <w:t>(&gt; 1 dyr ud af 10 behandlede dyr):</w:t>
            </w:r>
          </w:p>
        </w:tc>
        <w:tc>
          <w:tcPr>
            <w:tcW w:w="2739" w:type="pct"/>
            <w:tcBorders>
              <w:top w:val="single" w:sz="4" w:space="0" w:color="auto"/>
              <w:left w:val="single" w:sz="4" w:space="0" w:color="auto"/>
              <w:bottom w:val="single" w:sz="4" w:space="0" w:color="auto"/>
              <w:right w:val="single" w:sz="4" w:space="0" w:color="auto"/>
            </w:tcBorders>
            <w:hideMark/>
          </w:tcPr>
          <w:p w:rsidR="00B74220" w:rsidRDefault="00B74220">
            <w:pPr>
              <w:spacing w:before="60" w:after="60"/>
              <w:rPr>
                <w:iCs/>
                <w:vertAlign w:val="superscript"/>
              </w:rPr>
            </w:pPr>
            <w:r>
              <w:rPr>
                <w:iCs/>
              </w:rPr>
              <w:t xml:space="preserve">Forstyrrelser af fordøjelsessystemet (f.eks. Opkastning, </w:t>
            </w:r>
            <w:proofErr w:type="gramStart"/>
            <w:r>
              <w:rPr>
                <w:szCs w:val="22"/>
              </w:rPr>
              <w:t>Diarré</w:t>
            </w:r>
            <w:r>
              <w:rPr>
                <w:iCs/>
              </w:rPr>
              <w:t>)</w:t>
            </w:r>
            <w:r>
              <w:rPr>
                <w:iCs/>
                <w:vertAlign w:val="superscript"/>
              </w:rPr>
              <w:t>a</w:t>
            </w:r>
            <w:proofErr w:type="gramEnd"/>
          </w:p>
        </w:tc>
      </w:tr>
      <w:tr w:rsidR="00B74220" w:rsidTr="00B74220">
        <w:tc>
          <w:tcPr>
            <w:tcW w:w="2261" w:type="pct"/>
            <w:tcBorders>
              <w:top w:val="single" w:sz="4" w:space="0" w:color="auto"/>
              <w:left w:val="single" w:sz="4" w:space="0" w:color="auto"/>
              <w:bottom w:val="single" w:sz="4" w:space="0" w:color="auto"/>
              <w:right w:val="single" w:sz="4" w:space="0" w:color="auto"/>
            </w:tcBorders>
            <w:hideMark/>
          </w:tcPr>
          <w:p w:rsidR="00B74220" w:rsidRDefault="00B74220">
            <w:pPr>
              <w:spacing w:before="60" w:after="60"/>
              <w:rPr>
                <w:szCs w:val="22"/>
              </w:rPr>
            </w:pPr>
            <w:r>
              <w:t>Almindelig</w:t>
            </w:r>
          </w:p>
          <w:p w:rsidR="00B74220" w:rsidRDefault="00B74220">
            <w:pPr>
              <w:spacing w:before="60" w:after="60"/>
              <w:rPr>
                <w:highlight w:val="yellow"/>
              </w:rPr>
            </w:pPr>
            <w:r>
              <w:t>(1 til 10 dyr ud af 100 behandlede dyr):</w:t>
            </w:r>
          </w:p>
        </w:tc>
        <w:tc>
          <w:tcPr>
            <w:tcW w:w="2739" w:type="pct"/>
            <w:tcBorders>
              <w:top w:val="single" w:sz="4" w:space="0" w:color="auto"/>
              <w:left w:val="single" w:sz="4" w:space="0" w:color="auto"/>
              <w:bottom w:val="single" w:sz="4" w:space="0" w:color="auto"/>
              <w:right w:val="single" w:sz="4" w:space="0" w:color="auto"/>
            </w:tcBorders>
            <w:hideMark/>
          </w:tcPr>
          <w:p w:rsidR="00B74220" w:rsidRDefault="00B74220">
            <w:pPr>
              <w:spacing w:before="60" w:after="60"/>
              <w:rPr>
                <w:iCs/>
                <w:vertAlign w:val="superscript"/>
              </w:rPr>
            </w:pPr>
            <w:proofErr w:type="spellStart"/>
            <w:r>
              <w:rPr>
                <w:iCs/>
              </w:rPr>
              <w:t>Sløvhed</w:t>
            </w:r>
            <w:r>
              <w:rPr>
                <w:iCs/>
                <w:vertAlign w:val="superscript"/>
              </w:rPr>
              <w:t>b</w:t>
            </w:r>
            <w:proofErr w:type="spellEnd"/>
            <w:r>
              <w:rPr>
                <w:iCs/>
              </w:rPr>
              <w:t xml:space="preserve">, </w:t>
            </w:r>
            <w:proofErr w:type="spellStart"/>
            <w:r>
              <w:rPr>
                <w:iCs/>
              </w:rPr>
              <w:t>Anoreksi</w:t>
            </w:r>
            <w:r>
              <w:rPr>
                <w:iCs/>
                <w:vertAlign w:val="superscript"/>
              </w:rPr>
              <w:t>b</w:t>
            </w:r>
            <w:proofErr w:type="spellEnd"/>
            <w:r>
              <w:rPr>
                <w:iCs/>
              </w:rPr>
              <w:t xml:space="preserve">, </w:t>
            </w:r>
            <w:proofErr w:type="spellStart"/>
            <w:r>
              <w:rPr>
                <w:iCs/>
              </w:rPr>
              <w:t>Vægttab</w:t>
            </w:r>
            <w:r>
              <w:rPr>
                <w:iCs/>
                <w:vertAlign w:val="superscript"/>
              </w:rPr>
              <w:t>b</w:t>
            </w:r>
            <w:proofErr w:type="spellEnd"/>
          </w:p>
          <w:p w:rsidR="00B74220" w:rsidRDefault="00B74220">
            <w:pPr>
              <w:spacing w:before="60" w:after="60"/>
              <w:rPr>
                <w:iCs/>
                <w:vertAlign w:val="superscript"/>
              </w:rPr>
            </w:pPr>
            <w:proofErr w:type="spellStart"/>
            <w:r>
              <w:rPr>
                <w:iCs/>
              </w:rPr>
              <w:t>Hypersalivation</w:t>
            </w:r>
            <w:r>
              <w:rPr>
                <w:iCs/>
                <w:vertAlign w:val="superscript"/>
              </w:rPr>
              <w:t>b</w:t>
            </w:r>
            <w:proofErr w:type="spellEnd"/>
          </w:p>
          <w:p w:rsidR="00B74220" w:rsidRDefault="00B74220">
            <w:pPr>
              <w:spacing w:before="60" w:after="60"/>
              <w:rPr>
                <w:iCs/>
                <w:vertAlign w:val="superscript"/>
              </w:rPr>
            </w:pPr>
            <w:proofErr w:type="spellStart"/>
            <w:r>
              <w:rPr>
                <w:iCs/>
              </w:rPr>
              <w:t>Lymfopeni</w:t>
            </w:r>
            <w:r>
              <w:rPr>
                <w:iCs/>
                <w:vertAlign w:val="superscript"/>
              </w:rPr>
              <w:t>b</w:t>
            </w:r>
            <w:proofErr w:type="spellEnd"/>
          </w:p>
        </w:tc>
      </w:tr>
    </w:tbl>
    <w:p w:rsidR="00B74220" w:rsidRDefault="00B74220" w:rsidP="00B74220">
      <w:pPr>
        <w:ind w:left="851"/>
        <w:rPr>
          <w:sz w:val="22"/>
        </w:rPr>
      </w:pPr>
      <w:r>
        <w:rPr>
          <w:vertAlign w:val="superscript"/>
        </w:rPr>
        <w:t>a</w:t>
      </w:r>
      <w:r>
        <w:t xml:space="preserve"> </w:t>
      </w:r>
      <w:r>
        <w:rPr>
          <w:szCs w:val="22"/>
        </w:rPr>
        <w:t>Disse er generelt milde og forbigående og kræver ikke ophør af behandlingen</w:t>
      </w:r>
      <w:r>
        <w:t>.</w:t>
      </w:r>
    </w:p>
    <w:p w:rsidR="00B74220" w:rsidRDefault="00B74220" w:rsidP="00B74220">
      <w:pPr>
        <w:tabs>
          <w:tab w:val="left" w:pos="1304"/>
        </w:tabs>
        <w:ind w:left="851"/>
      </w:pPr>
      <w:r>
        <w:rPr>
          <w:vertAlign w:val="superscript"/>
        </w:rPr>
        <w:t>b</w:t>
      </w:r>
      <w:r>
        <w:t xml:space="preserve"> </w:t>
      </w:r>
      <w:r>
        <w:rPr>
          <w:szCs w:val="22"/>
        </w:rPr>
        <w:t>Disse bivirkninger forsvinder som regel spontant, efter behandlingen er stoppet eller efter nedsættelse af doseringshyppigheden</w:t>
      </w:r>
      <w:r>
        <w:t>.</w:t>
      </w:r>
    </w:p>
    <w:p w:rsidR="00B74220" w:rsidRDefault="00B74220" w:rsidP="00B74220">
      <w:pPr>
        <w:ind w:left="851"/>
      </w:pPr>
    </w:p>
    <w:p w:rsidR="00B74220" w:rsidRDefault="00B74220" w:rsidP="00B74220">
      <w:pPr>
        <w:ind w:left="851"/>
      </w:pPr>
      <w:r>
        <w:rPr>
          <w:szCs w:val="22"/>
        </w:rPr>
        <w:t>Bivirkninger kan være alvorlige hos enkelte dyr.</w:t>
      </w:r>
    </w:p>
    <w:p w:rsidR="00B74220" w:rsidRDefault="00B74220" w:rsidP="00B74220">
      <w:pPr>
        <w:ind w:left="851"/>
      </w:pPr>
    </w:p>
    <w:p w:rsidR="00B74220" w:rsidRDefault="00B74220" w:rsidP="00B74220">
      <w:pPr>
        <w:tabs>
          <w:tab w:val="left" w:pos="1304"/>
        </w:tabs>
        <w:ind w:left="851"/>
      </w:pPr>
      <w:r>
        <w:t xml:space="preserve">Vedrørende </w:t>
      </w:r>
      <w:proofErr w:type="spellStart"/>
      <w:r>
        <w:t>malignitet</w:t>
      </w:r>
      <w:proofErr w:type="spellEnd"/>
      <w:r>
        <w:t xml:space="preserve">, se pkt. 3.3 ”Kontraindikationer” og 3.5 ”Særlige forholdsregler vedrørende brugen”. </w:t>
      </w:r>
    </w:p>
    <w:p w:rsidR="00B74220" w:rsidRDefault="00B74220" w:rsidP="00B74220">
      <w:pPr>
        <w:tabs>
          <w:tab w:val="left" w:pos="1304"/>
        </w:tabs>
        <w:ind w:left="851"/>
        <w:rPr>
          <w:szCs w:val="22"/>
        </w:rPr>
      </w:pPr>
    </w:p>
    <w:p w:rsidR="00B74220" w:rsidRDefault="00B74220" w:rsidP="00B74220">
      <w:pPr>
        <w:tabs>
          <w:tab w:val="left" w:pos="1304"/>
        </w:tabs>
        <w:ind w:left="851"/>
        <w:rPr>
          <w:szCs w:val="22"/>
        </w:rPr>
      </w:pPr>
      <w:bookmarkStart w:id="1" w:name="_Hlk66891708"/>
      <w:r>
        <w:rPr>
          <w:szCs w:val="22"/>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bookmarkEnd w:id="1"/>
    <w:p w:rsidR="00B74220" w:rsidRDefault="00B74220" w:rsidP="00B74220">
      <w:pPr>
        <w:tabs>
          <w:tab w:val="left" w:pos="1304"/>
        </w:tabs>
        <w:rPr>
          <w:szCs w:val="22"/>
        </w:rPr>
      </w:pPr>
    </w:p>
    <w:p w:rsidR="00B74220" w:rsidRDefault="00B74220" w:rsidP="00B74220">
      <w:pPr>
        <w:pStyle w:val="Style1"/>
        <w:ind w:left="851" w:hanging="851"/>
      </w:pPr>
      <w:r>
        <w:t>3.7</w:t>
      </w:r>
      <w:r>
        <w:tab/>
        <w:t>Anvendelse under drægtighed, laktation eller æglægning</w:t>
      </w:r>
    </w:p>
    <w:p w:rsidR="00B74220" w:rsidRDefault="00B74220" w:rsidP="00B74220">
      <w:pPr>
        <w:tabs>
          <w:tab w:val="left" w:pos="1304"/>
        </w:tabs>
        <w:rPr>
          <w:szCs w:val="22"/>
        </w:rPr>
      </w:pPr>
    </w:p>
    <w:p w:rsidR="00B74220" w:rsidRDefault="00B74220" w:rsidP="00B74220">
      <w:pPr>
        <w:tabs>
          <w:tab w:val="left" w:pos="1304"/>
        </w:tabs>
        <w:ind w:left="851"/>
      </w:pPr>
      <w:r>
        <w:rPr>
          <w:szCs w:val="22"/>
          <w:u w:val="single"/>
        </w:rPr>
        <w:lastRenderedPageBreak/>
        <w:t>Drægtighed, laktation og fertilitet</w:t>
      </w:r>
      <w:r>
        <w:t>:</w:t>
      </w:r>
    </w:p>
    <w:p w:rsidR="00B74220" w:rsidRDefault="00B74220" w:rsidP="00B74220">
      <w:pPr>
        <w:tabs>
          <w:tab w:val="left" w:pos="1304"/>
        </w:tabs>
        <w:ind w:left="851"/>
        <w:rPr>
          <w:szCs w:val="22"/>
        </w:rPr>
      </w:pPr>
      <w:r>
        <w:rPr>
          <w:szCs w:val="22"/>
        </w:rPr>
        <w:t>Veterinærlægemidlets sikkerhed under drægtighed, laktation eller til avlshankatte eller avlshunde er ikke fastlagt.</w:t>
      </w:r>
    </w:p>
    <w:p w:rsidR="00B74220" w:rsidRDefault="00B74220" w:rsidP="00B74220">
      <w:pPr>
        <w:tabs>
          <w:tab w:val="left" w:pos="1304"/>
        </w:tabs>
        <w:ind w:left="851"/>
        <w:rPr>
          <w:szCs w:val="22"/>
        </w:rPr>
      </w:pPr>
    </w:p>
    <w:p w:rsidR="00B74220" w:rsidRDefault="00B74220" w:rsidP="00B74220">
      <w:pPr>
        <w:tabs>
          <w:tab w:val="left" w:pos="1304"/>
        </w:tabs>
        <w:ind w:left="851"/>
        <w:rPr>
          <w:szCs w:val="22"/>
        </w:rPr>
      </w:pPr>
      <w:r>
        <w:rPr>
          <w:szCs w:val="22"/>
        </w:rPr>
        <w:t>Da der ikke foreligger sådanne undersøgelser med dyrearterne, kan anvendelse til avlskatte eller avlshunde kun anbefales i overensstemmelse med den ansvarlige dyrlæges vurdering af benefit/</w:t>
      </w:r>
      <w:proofErr w:type="spellStart"/>
      <w:r>
        <w:rPr>
          <w:szCs w:val="22"/>
        </w:rPr>
        <w:t>risk</w:t>
      </w:r>
      <w:proofErr w:type="spellEnd"/>
      <w:r>
        <w:rPr>
          <w:szCs w:val="22"/>
        </w:rPr>
        <w:t xml:space="preserve">-forholdet. Ved doser som inducerer </w:t>
      </w:r>
      <w:proofErr w:type="spellStart"/>
      <w:r>
        <w:rPr>
          <w:szCs w:val="22"/>
        </w:rPr>
        <w:t>maternel</w:t>
      </w:r>
      <w:proofErr w:type="spellEnd"/>
      <w:r>
        <w:rPr>
          <w:szCs w:val="22"/>
        </w:rPr>
        <w:t xml:space="preserve"> toksicitet hos laboratoriedyr (rotte: 30 mg/kg kropsvægt og kanin: 100 mg/kg kropsvægt) udviste </w:t>
      </w:r>
      <w:proofErr w:type="spellStart"/>
      <w:r>
        <w:rPr>
          <w:szCs w:val="22"/>
        </w:rPr>
        <w:t>ciclosporin</w:t>
      </w:r>
      <w:proofErr w:type="spellEnd"/>
      <w:r>
        <w:rPr>
          <w:szCs w:val="22"/>
        </w:rPr>
        <w:t xml:space="preserve"> embryo- og </w:t>
      </w:r>
      <w:proofErr w:type="spellStart"/>
      <w:r>
        <w:rPr>
          <w:szCs w:val="22"/>
        </w:rPr>
        <w:t>føtotoksicitet</w:t>
      </w:r>
      <w:proofErr w:type="spellEnd"/>
      <w:r>
        <w:rPr>
          <w:szCs w:val="22"/>
        </w:rPr>
        <w:t xml:space="preserve">, som indikeret ved øget præ- og </w:t>
      </w:r>
      <w:proofErr w:type="spellStart"/>
      <w:r>
        <w:rPr>
          <w:szCs w:val="22"/>
        </w:rPr>
        <w:t>postnatal</w:t>
      </w:r>
      <w:proofErr w:type="spellEnd"/>
      <w:r>
        <w:rPr>
          <w:szCs w:val="22"/>
        </w:rPr>
        <w:t xml:space="preserve"> mortalitet og nedsat fostervægt kombineret med manglende skeletudvikling. I det veltolererede dosisinterval (rotte: op til 17 mg/kg kropsvægt og kanin: op til 30 mg/kg kropsvægt) havde </w:t>
      </w:r>
      <w:proofErr w:type="spellStart"/>
      <w:r>
        <w:rPr>
          <w:szCs w:val="22"/>
        </w:rPr>
        <w:t>ciclosporin</w:t>
      </w:r>
      <w:proofErr w:type="spellEnd"/>
      <w:r>
        <w:rPr>
          <w:szCs w:val="22"/>
        </w:rPr>
        <w:t xml:space="preserve"> hverken embryoletal eller </w:t>
      </w:r>
      <w:proofErr w:type="spellStart"/>
      <w:r>
        <w:rPr>
          <w:szCs w:val="22"/>
        </w:rPr>
        <w:t>teratogen</w:t>
      </w:r>
      <w:proofErr w:type="spellEnd"/>
      <w:r>
        <w:rPr>
          <w:szCs w:val="22"/>
        </w:rPr>
        <w:t xml:space="preserve"> virkning. </w:t>
      </w:r>
    </w:p>
    <w:p w:rsidR="00B74220" w:rsidRDefault="00B74220" w:rsidP="00B74220">
      <w:pPr>
        <w:tabs>
          <w:tab w:val="left" w:pos="1304"/>
        </w:tabs>
        <w:ind w:left="851"/>
        <w:rPr>
          <w:szCs w:val="22"/>
        </w:rPr>
      </w:pPr>
      <w:proofErr w:type="spellStart"/>
      <w:r>
        <w:rPr>
          <w:szCs w:val="22"/>
        </w:rPr>
        <w:t>Ciclosporin</w:t>
      </w:r>
      <w:proofErr w:type="spellEnd"/>
      <w:r>
        <w:rPr>
          <w:szCs w:val="22"/>
        </w:rPr>
        <w:t xml:space="preserve"> passerer placentabarrieren og udskilles i mælken.</w:t>
      </w:r>
    </w:p>
    <w:p w:rsidR="00B74220" w:rsidRDefault="00B74220" w:rsidP="00B74220">
      <w:pPr>
        <w:tabs>
          <w:tab w:val="left" w:pos="1304"/>
        </w:tabs>
        <w:ind w:left="851"/>
        <w:rPr>
          <w:szCs w:val="22"/>
        </w:rPr>
      </w:pPr>
      <w:r>
        <w:rPr>
          <w:szCs w:val="22"/>
        </w:rPr>
        <w:t>Anvendelse frarådes under laktation.</w:t>
      </w:r>
    </w:p>
    <w:p w:rsidR="00B74220" w:rsidRDefault="00B74220" w:rsidP="00B74220">
      <w:pPr>
        <w:tabs>
          <w:tab w:val="left" w:pos="1304"/>
        </w:tabs>
        <w:rPr>
          <w:szCs w:val="22"/>
        </w:rPr>
      </w:pPr>
    </w:p>
    <w:p w:rsidR="00B74220" w:rsidRDefault="00B74220" w:rsidP="00B74220">
      <w:pPr>
        <w:pStyle w:val="Style1"/>
        <w:ind w:left="851" w:hanging="851"/>
      </w:pPr>
      <w:r>
        <w:t>3.8</w:t>
      </w:r>
      <w:r>
        <w:tab/>
        <w:t>Interaktion med andre lægemidler og andre former for interaktion</w:t>
      </w:r>
    </w:p>
    <w:p w:rsidR="00B74220" w:rsidRDefault="00B74220" w:rsidP="00B74220">
      <w:pPr>
        <w:tabs>
          <w:tab w:val="left" w:pos="1304"/>
        </w:tabs>
        <w:rPr>
          <w:szCs w:val="22"/>
        </w:rPr>
      </w:pPr>
    </w:p>
    <w:p w:rsidR="00B74220" w:rsidRDefault="00B74220" w:rsidP="00B74220">
      <w:pPr>
        <w:tabs>
          <w:tab w:val="left" w:pos="1304"/>
        </w:tabs>
        <w:ind w:left="851"/>
        <w:rPr>
          <w:szCs w:val="22"/>
        </w:rPr>
      </w:pPr>
      <w:r>
        <w:rPr>
          <w:szCs w:val="22"/>
        </w:rPr>
        <w:t xml:space="preserve">Forskellige stoffer er kendt for </w:t>
      </w:r>
      <w:proofErr w:type="spellStart"/>
      <w:r>
        <w:rPr>
          <w:szCs w:val="22"/>
        </w:rPr>
        <w:t>kompetitivt</w:t>
      </w:r>
      <w:proofErr w:type="spellEnd"/>
      <w:r>
        <w:rPr>
          <w:szCs w:val="22"/>
        </w:rPr>
        <w:t xml:space="preserve"> at hæmme eller inducere de enzymer, der medvirker til </w:t>
      </w:r>
      <w:proofErr w:type="spellStart"/>
      <w:r>
        <w:rPr>
          <w:szCs w:val="22"/>
        </w:rPr>
        <w:t>metaboliseringen</w:t>
      </w:r>
      <w:proofErr w:type="spellEnd"/>
      <w:r>
        <w:rPr>
          <w:szCs w:val="22"/>
        </w:rPr>
        <w:t xml:space="preserve"> af </w:t>
      </w:r>
      <w:proofErr w:type="spellStart"/>
      <w:r>
        <w:rPr>
          <w:szCs w:val="22"/>
        </w:rPr>
        <w:t>ciclosporin</w:t>
      </w:r>
      <w:proofErr w:type="spellEnd"/>
      <w:r>
        <w:rPr>
          <w:szCs w:val="22"/>
        </w:rPr>
        <w:t xml:space="preserve">, især </w:t>
      </w:r>
      <w:proofErr w:type="spellStart"/>
      <w:r>
        <w:rPr>
          <w:szCs w:val="22"/>
        </w:rPr>
        <w:t>cytokrom</w:t>
      </w:r>
      <w:proofErr w:type="spellEnd"/>
      <w:r>
        <w:rPr>
          <w:szCs w:val="22"/>
        </w:rPr>
        <w:t xml:space="preserve"> P450 (CYP 3A 4). I visse klinisk velbegrundede tilfælde kan der således være behov for en justering af dosis af veterinærlægemidlet. </w:t>
      </w:r>
      <w:proofErr w:type="spellStart"/>
      <w:r>
        <w:rPr>
          <w:szCs w:val="22"/>
        </w:rPr>
        <w:t>Ketoconazol</w:t>
      </w:r>
      <w:proofErr w:type="spellEnd"/>
      <w:r>
        <w:rPr>
          <w:szCs w:val="22"/>
        </w:rPr>
        <w:t xml:space="preserve"> vides at øge </w:t>
      </w:r>
      <w:proofErr w:type="spellStart"/>
      <w:r>
        <w:rPr>
          <w:szCs w:val="22"/>
        </w:rPr>
        <w:t>ciclosporin</w:t>
      </w:r>
      <w:proofErr w:type="spellEnd"/>
      <w:r>
        <w:rPr>
          <w:szCs w:val="22"/>
        </w:rPr>
        <w:t xml:space="preserve">-koncentrationen i blodet hos katte og hunde, hvilket anses for at være af klinisk betydning. Dyrlægen bør, som en praktisk foranstaltning, ved samtidig brug af </w:t>
      </w:r>
      <w:proofErr w:type="spellStart"/>
      <w:r>
        <w:rPr>
          <w:szCs w:val="22"/>
        </w:rPr>
        <w:t>ketoconazol</w:t>
      </w:r>
      <w:proofErr w:type="spellEnd"/>
      <w:r>
        <w:rPr>
          <w:szCs w:val="22"/>
        </w:rPr>
        <w:t xml:space="preserve"> og </w:t>
      </w:r>
      <w:proofErr w:type="spellStart"/>
      <w:r>
        <w:rPr>
          <w:szCs w:val="22"/>
        </w:rPr>
        <w:t>ciclosporin</w:t>
      </w:r>
      <w:proofErr w:type="spellEnd"/>
      <w:r>
        <w:rPr>
          <w:szCs w:val="22"/>
        </w:rPr>
        <w:t>, overveje at fordoble behandlingsintervallet, dersom dyret er sat på en daglig behandlingsplan.</w:t>
      </w:r>
    </w:p>
    <w:p w:rsidR="00B74220" w:rsidRDefault="00B74220" w:rsidP="00B74220">
      <w:pPr>
        <w:tabs>
          <w:tab w:val="left" w:pos="1304"/>
        </w:tabs>
        <w:ind w:left="851"/>
        <w:rPr>
          <w:szCs w:val="22"/>
        </w:rPr>
      </w:pPr>
      <w:r>
        <w:rPr>
          <w:szCs w:val="22"/>
        </w:rPr>
        <w:t xml:space="preserve">Makrolider som </w:t>
      </w:r>
      <w:proofErr w:type="spellStart"/>
      <w:r>
        <w:rPr>
          <w:szCs w:val="22"/>
        </w:rPr>
        <w:t>erythromycin</w:t>
      </w:r>
      <w:proofErr w:type="spellEnd"/>
      <w:r>
        <w:rPr>
          <w:szCs w:val="22"/>
        </w:rPr>
        <w:t xml:space="preserve"> kan forøge plasmaniveauet af </w:t>
      </w:r>
      <w:proofErr w:type="spellStart"/>
      <w:r>
        <w:rPr>
          <w:szCs w:val="22"/>
        </w:rPr>
        <w:t>ciclosporin</w:t>
      </w:r>
      <w:proofErr w:type="spellEnd"/>
      <w:r>
        <w:rPr>
          <w:szCs w:val="22"/>
        </w:rPr>
        <w:t xml:space="preserve"> op til 2 gange.</w:t>
      </w:r>
    </w:p>
    <w:p w:rsidR="00B74220" w:rsidRDefault="00B74220" w:rsidP="00B74220">
      <w:pPr>
        <w:tabs>
          <w:tab w:val="left" w:pos="1304"/>
        </w:tabs>
        <w:ind w:left="851"/>
        <w:rPr>
          <w:szCs w:val="22"/>
        </w:rPr>
      </w:pPr>
      <w:r>
        <w:rPr>
          <w:szCs w:val="22"/>
        </w:rPr>
        <w:t xml:space="preserve">Visse </w:t>
      </w:r>
      <w:proofErr w:type="spellStart"/>
      <w:r>
        <w:rPr>
          <w:szCs w:val="22"/>
        </w:rPr>
        <w:t>cytokrom</w:t>
      </w:r>
      <w:proofErr w:type="spellEnd"/>
      <w:r>
        <w:rPr>
          <w:szCs w:val="22"/>
        </w:rPr>
        <w:t xml:space="preserve"> P450-induktorer, </w:t>
      </w:r>
      <w:proofErr w:type="spellStart"/>
      <w:r>
        <w:rPr>
          <w:szCs w:val="22"/>
        </w:rPr>
        <w:t>antikonvulsiva</w:t>
      </w:r>
      <w:proofErr w:type="spellEnd"/>
      <w:r>
        <w:rPr>
          <w:szCs w:val="22"/>
        </w:rPr>
        <w:t xml:space="preserve"> og antibiotika (f.eks. </w:t>
      </w:r>
      <w:proofErr w:type="spellStart"/>
      <w:r>
        <w:rPr>
          <w:szCs w:val="22"/>
        </w:rPr>
        <w:t>trimethoprim</w:t>
      </w:r>
      <w:proofErr w:type="spellEnd"/>
      <w:r>
        <w:rPr>
          <w:szCs w:val="22"/>
        </w:rPr>
        <w:t>/</w:t>
      </w:r>
      <w:proofErr w:type="spellStart"/>
      <w:r>
        <w:rPr>
          <w:szCs w:val="22"/>
        </w:rPr>
        <w:t>sulfadimidin</w:t>
      </w:r>
      <w:proofErr w:type="spellEnd"/>
      <w:r>
        <w:rPr>
          <w:szCs w:val="22"/>
        </w:rPr>
        <w:t xml:space="preserve">) kan sænke plasmakoncentrationen af </w:t>
      </w:r>
      <w:proofErr w:type="spellStart"/>
      <w:r>
        <w:rPr>
          <w:szCs w:val="22"/>
        </w:rPr>
        <w:t>ciclosporin</w:t>
      </w:r>
      <w:proofErr w:type="spellEnd"/>
      <w:r>
        <w:rPr>
          <w:szCs w:val="22"/>
        </w:rPr>
        <w:t>.</w:t>
      </w:r>
    </w:p>
    <w:p w:rsidR="00B74220" w:rsidRDefault="00B74220" w:rsidP="00B74220">
      <w:pPr>
        <w:tabs>
          <w:tab w:val="left" w:pos="1304"/>
        </w:tabs>
        <w:ind w:left="851"/>
        <w:rPr>
          <w:szCs w:val="22"/>
        </w:rPr>
      </w:pPr>
      <w:proofErr w:type="spellStart"/>
      <w:r>
        <w:rPr>
          <w:szCs w:val="22"/>
        </w:rPr>
        <w:t>Ciclosporin</w:t>
      </w:r>
      <w:proofErr w:type="spellEnd"/>
      <w:r>
        <w:rPr>
          <w:szCs w:val="22"/>
        </w:rPr>
        <w:t xml:space="preserve"> er et substrat og en inhibitor for MDR1 P-</w:t>
      </w:r>
      <w:proofErr w:type="spellStart"/>
      <w:r>
        <w:rPr>
          <w:szCs w:val="22"/>
        </w:rPr>
        <w:t>glykoprotein</w:t>
      </w:r>
      <w:proofErr w:type="spellEnd"/>
      <w:r>
        <w:rPr>
          <w:szCs w:val="22"/>
        </w:rPr>
        <w:t xml:space="preserve">-transporteren. Derfor kan samtidig indgift af </w:t>
      </w:r>
      <w:proofErr w:type="spellStart"/>
      <w:r>
        <w:rPr>
          <w:szCs w:val="22"/>
        </w:rPr>
        <w:t>ciclosporin</w:t>
      </w:r>
      <w:proofErr w:type="spellEnd"/>
      <w:r>
        <w:rPr>
          <w:szCs w:val="22"/>
        </w:rPr>
        <w:t xml:space="preserve"> og P-</w:t>
      </w:r>
      <w:proofErr w:type="spellStart"/>
      <w:r>
        <w:rPr>
          <w:szCs w:val="22"/>
        </w:rPr>
        <w:t>glykoproteinsubstrater</w:t>
      </w:r>
      <w:proofErr w:type="spellEnd"/>
      <w:r>
        <w:rPr>
          <w:szCs w:val="22"/>
        </w:rPr>
        <w:t xml:space="preserve"> såsom makrocykliske laktoner (f.eks. </w:t>
      </w:r>
      <w:proofErr w:type="spellStart"/>
      <w:r>
        <w:rPr>
          <w:szCs w:val="22"/>
        </w:rPr>
        <w:t>ivermectin</w:t>
      </w:r>
      <w:proofErr w:type="spellEnd"/>
      <w:r>
        <w:rPr>
          <w:szCs w:val="22"/>
        </w:rPr>
        <w:t xml:space="preserve"> og </w:t>
      </w:r>
      <w:proofErr w:type="spellStart"/>
      <w:r>
        <w:rPr>
          <w:szCs w:val="22"/>
        </w:rPr>
        <w:t>milbemycin</w:t>
      </w:r>
      <w:proofErr w:type="spellEnd"/>
      <w:r>
        <w:rPr>
          <w:szCs w:val="22"/>
        </w:rPr>
        <w:t xml:space="preserve">) nedsætte disse stoffers transport ud af blod-hjernebarrieren, som muligvis kan resultere i tegn på CNS-toksicitet. I kliniske studier med katte, der blev behandlet med </w:t>
      </w:r>
      <w:proofErr w:type="spellStart"/>
      <w:r>
        <w:rPr>
          <w:szCs w:val="22"/>
        </w:rPr>
        <w:t>ciclosporin</w:t>
      </w:r>
      <w:proofErr w:type="spellEnd"/>
      <w:r>
        <w:rPr>
          <w:szCs w:val="22"/>
        </w:rPr>
        <w:t xml:space="preserve"> og </w:t>
      </w:r>
      <w:proofErr w:type="spellStart"/>
      <w:r>
        <w:rPr>
          <w:szCs w:val="22"/>
        </w:rPr>
        <w:t>selamectin</w:t>
      </w:r>
      <w:proofErr w:type="spellEnd"/>
      <w:r>
        <w:rPr>
          <w:szCs w:val="22"/>
        </w:rPr>
        <w:t xml:space="preserve"> eller </w:t>
      </w:r>
      <w:proofErr w:type="spellStart"/>
      <w:r>
        <w:rPr>
          <w:szCs w:val="22"/>
        </w:rPr>
        <w:t>milbemycin</w:t>
      </w:r>
      <w:proofErr w:type="spellEnd"/>
      <w:r>
        <w:rPr>
          <w:szCs w:val="22"/>
        </w:rPr>
        <w:t xml:space="preserve">, så der ikke ud til at være nogen forbindelse mellem den samtidige brug af disse lægemidler og </w:t>
      </w:r>
      <w:proofErr w:type="spellStart"/>
      <w:r>
        <w:rPr>
          <w:szCs w:val="22"/>
        </w:rPr>
        <w:t>neurotoksicitet</w:t>
      </w:r>
      <w:proofErr w:type="spellEnd"/>
      <w:r>
        <w:rPr>
          <w:szCs w:val="22"/>
        </w:rPr>
        <w:t>.</w:t>
      </w:r>
    </w:p>
    <w:p w:rsidR="00B74220" w:rsidRDefault="00B74220" w:rsidP="00B74220">
      <w:pPr>
        <w:tabs>
          <w:tab w:val="left" w:pos="1304"/>
        </w:tabs>
        <w:ind w:left="851"/>
        <w:rPr>
          <w:szCs w:val="22"/>
        </w:rPr>
      </w:pPr>
      <w:proofErr w:type="spellStart"/>
      <w:r>
        <w:rPr>
          <w:szCs w:val="22"/>
        </w:rPr>
        <w:t>Ciclosporin</w:t>
      </w:r>
      <w:proofErr w:type="spellEnd"/>
      <w:r>
        <w:rPr>
          <w:szCs w:val="22"/>
        </w:rPr>
        <w:t xml:space="preserve"> kan forøge </w:t>
      </w:r>
      <w:proofErr w:type="spellStart"/>
      <w:r>
        <w:rPr>
          <w:szCs w:val="22"/>
        </w:rPr>
        <w:t>nefrotoksiciteten</w:t>
      </w:r>
      <w:proofErr w:type="spellEnd"/>
      <w:r>
        <w:rPr>
          <w:szCs w:val="22"/>
        </w:rPr>
        <w:t xml:space="preserve"> af </w:t>
      </w:r>
      <w:proofErr w:type="spellStart"/>
      <w:r>
        <w:rPr>
          <w:szCs w:val="22"/>
        </w:rPr>
        <w:t>aminoglykosidantibiotika</w:t>
      </w:r>
      <w:proofErr w:type="spellEnd"/>
      <w:r>
        <w:rPr>
          <w:szCs w:val="22"/>
        </w:rPr>
        <w:t xml:space="preserve"> og </w:t>
      </w:r>
      <w:proofErr w:type="spellStart"/>
      <w:r>
        <w:rPr>
          <w:szCs w:val="22"/>
        </w:rPr>
        <w:t>trimethoprim</w:t>
      </w:r>
      <w:proofErr w:type="spellEnd"/>
      <w:r>
        <w:rPr>
          <w:szCs w:val="22"/>
        </w:rPr>
        <w:t xml:space="preserve">. Samtidig brug af </w:t>
      </w:r>
      <w:proofErr w:type="spellStart"/>
      <w:r>
        <w:rPr>
          <w:szCs w:val="22"/>
        </w:rPr>
        <w:t>ciclosporin</w:t>
      </w:r>
      <w:proofErr w:type="spellEnd"/>
      <w:r>
        <w:rPr>
          <w:szCs w:val="22"/>
        </w:rPr>
        <w:t xml:space="preserve"> og disse aktive stoffer anbefales ikke.</w:t>
      </w:r>
    </w:p>
    <w:p w:rsidR="00B74220" w:rsidRDefault="00B74220" w:rsidP="00B74220">
      <w:pPr>
        <w:tabs>
          <w:tab w:val="left" w:pos="1304"/>
        </w:tabs>
        <w:ind w:left="851"/>
        <w:rPr>
          <w:szCs w:val="22"/>
        </w:rPr>
      </w:pPr>
      <w:r>
        <w:rPr>
          <w:szCs w:val="22"/>
        </w:rPr>
        <w:t>Der bør udvises særlig opmærksomhed med hensyn til vaccination (se pkt. 3.3 og pkt. 3.5).</w:t>
      </w:r>
    </w:p>
    <w:p w:rsidR="00B74220" w:rsidRDefault="00B74220" w:rsidP="00B74220">
      <w:pPr>
        <w:tabs>
          <w:tab w:val="left" w:pos="1304"/>
        </w:tabs>
        <w:ind w:left="851"/>
        <w:rPr>
          <w:szCs w:val="22"/>
        </w:rPr>
      </w:pPr>
      <w:r>
        <w:rPr>
          <w:szCs w:val="22"/>
        </w:rPr>
        <w:t xml:space="preserve">Samtidig </w:t>
      </w:r>
      <w:proofErr w:type="spellStart"/>
      <w:r>
        <w:rPr>
          <w:szCs w:val="22"/>
        </w:rPr>
        <w:t>administrationbrug</w:t>
      </w:r>
      <w:proofErr w:type="spellEnd"/>
      <w:r>
        <w:rPr>
          <w:szCs w:val="22"/>
        </w:rPr>
        <w:t xml:space="preserve"> af </w:t>
      </w:r>
      <w:proofErr w:type="spellStart"/>
      <w:r>
        <w:rPr>
          <w:szCs w:val="22"/>
        </w:rPr>
        <w:t>immunosuppressive</w:t>
      </w:r>
      <w:proofErr w:type="spellEnd"/>
      <w:r>
        <w:rPr>
          <w:szCs w:val="22"/>
        </w:rPr>
        <w:t xml:space="preserve"> stoffer: se pkt. 3.5.</w:t>
      </w:r>
    </w:p>
    <w:p w:rsidR="00B74220" w:rsidRDefault="00B74220" w:rsidP="00B74220">
      <w:pPr>
        <w:tabs>
          <w:tab w:val="left" w:pos="1304"/>
        </w:tabs>
        <w:rPr>
          <w:szCs w:val="22"/>
        </w:rPr>
      </w:pPr>
    </w:p>
    <w:p w:rsidR="00B74220" w:rsidRDefault="00B74220" w:rsidP="00B74220">
      <w:pPr>
        <w:pStyle w:val="Style1"/>
        <w:ind w:left="851" w:hanging="851"/>
      </w:pPr>
      <w:r>
        <w:t>3.9</w:t>
      </w:r>
      <w:r>
        <w:tab/>
        <w:t>Administrationsveje og dosering</w:t>
      </w:r>
    </w:p>
    <w:p w:rsidR="00B74220" w:rsidRDefault="00B74220" w:rsidP="00B74220">
      <w:pPr>
        <w:tabs>
          <w:tab w:val="left" w:pos="1304"/>
        </w:tabs>
        <w:rPr>
          <w:szCs w:val="22"/>
        </w:rPr>
      </w:pPr>
    </w:p>
    <w:p w:rsidR="00B74220" w:rsidRDefault="00B74220" w:rsidP="00B74220">
      <w:pPr>
        <w:tabs>
          <w:tab w:val="left" w:pos="1304"/>
        </w:tabs>
        <w:ind w:left="851"/>
        <w:rPr>
          <w:bCs/>
          <w:szCs w:val="22"/>
        </w:rPr>
      </w:pPr>
      <w:r>
        <w:rPr>
          <w:bCs/>
          <w:szCs w:val="22"/>
        </w:rPr>
        <w:t>Oral anvendelse.</w:t>
      </w:r>
    </w:p>
    <w:p w:rsidR="00B74220" w:rsidRDefault="00B74220" w:rsidP="00B74220">
      <w:pPr>
        <w:tabs>
          <w:tab w:val="left" w:pos="1304"/>
        </w:tabs>
        <w:ind w:left="851"/>
        <w:rPr>
          <w:bCs/>
          <w:szCs w:val="22"/>
        </w:rPr>
      </w:pPr>
      <w:r>
        <w:rPr>
          <w:bCs/>
          <w:szCs w:val="22"/>
        </w:rPr>
        <w:t xml:space="preserve">Før behandlingen påbegyndes, skal man evaluere alle andre behandlingsmuligheder. </w:t>
      </w:r>
    </w:p>
    <w:p w:rsidR="00B74220" w:rsidRDefault="00B74220" w:rsidP="00B74220">
      <w:pPr>
        <w:tabs>
          <w:tab w:val="left" w:pos="1304"/>
        </w:tabs>
        <w:ind w:left="851"/>
        <w:rPr>
          <w:bCs/>
          <w:szCs w:val="22"/>
        </w:rPr>
      </w:pPr>
      <w:r>
        <w:rPr>
          <w:bCs/>
          <w:szCs w:val="22"/>
        </w:rPr>
        <w:t>For at sikre korrekt dosering bør legemsvægten beregnes så nøjagtigt som muligt.</w:t>
      </w:r>
    </w:p>
    <w:p w:rsidR="00B74220" w:rsidRDefault="00B74220" w:rsidP="00B74220">
      <w:pPr>
        <w:tabs>
          <w:tab w:val="left" w:pos="1304"/>
        </w:tabs>
        <w:ind w:left="851"/>
        <w:rPr>
          <w:bCs/>
          <w:szCs w:val="22"/>
        </w:rPr>
      </w:pPr>
      <w:r>
        <w:rPr>
          <w:bCs/>
          <w:szCs w:val="22"/>
        </w:rPr>
        <w:t>Ved første anvendelse: Udskift det oprindelige skruelåg på flasken med det skruelåg, der medfølger separat. Fyld doseringssprøjten ved at trække i stemplet, indtil der når den graduering, som svarer til dyrets kropsvægt. Efter administration af veterinærlægemidlet skrues låget godt fast på flasken. Vask målesprøjten med vand og lad den tørre.</w:t>
      </w:r>
    </w:p>
    <w:p w:rsidR="00B74220" w:rsidRDefault="00B74220" w:rsidP="00B74220">
      <w:pPr>
        <w:tabs>
          <w:tab w:val="left" w:pos="1304"/>
        </w:tabs>
        <w:ind w:left="851"/>
        <w:rPr>
          <w:bCs/>
          <w:szCs w:val="22"/>
        </w:rPr>
      </w:pPr>
    </w:p>
    <w:p w:rsidR="00B74220" w:rsidRDefault="00B74220" w:rsidP="00B74220">
      <w:pPr>
        <w:tabs>
          <w:tab w:val="left" w:pos="1304"/>
        </w:tabs>
        <w:ind w:left="851"/>
        <w:rPr>
          <w:bCs/>
          <w:szCs w:val="22"/>
          <w:u w:val="single"/>
        </w:rPr>
      </w:pPr>
      <w:r>
        <w:rPr>
          <w:bCs/>
          <w:szCs w:val="22"/>
          <w:u w:val="single"/>
        </w:rPr>
        <w:t>Dosering og administrationsmåde</w:t>
      </w:r>
    </w:p>
    <w:p w:rsidR="00B74220" w:rsidRDefault="00B74220" w:rsidP="00B74220">
      <w:pPr>
        <w:tabs>
          <w:tab w:val="left" w:pos="1304"/>
        </w:tabs>
        <w:ind w:left="851"/>
        <w:rPr>
          <w:bCs/>
          <w:szCs w:val="22"/>
          <w:u w:val="single"/>
        </w:rPr>
      </w:pPr>
      <w:r>
        <w:rPr>
          <w:bCs/>
          <w:szCs w:val="22"/>
          <w:u w:val="single"/>
        </w:rPr>
        <w:t>Hunde</w:t>
      </w:r>
    </w:p>
    <w:p w:rsidR="00B74220" w:rsidRDefault="00B74220" w:rsidP="00B74220">
      <w:pPr>
        <w:tabs>
          <w:tab w:val="left" w:pos="1304"/>
        </w:tabs>
        <w:ind w:left="851"/>
        <w:rPr>
          <w:bCs/>
          <w:szCs w:val="22"/>
        </w:rPr>
      </w:pPr>
      <w:r>
        <w:rPr>
          <w:bCs/>
          <w:szCs w:val="22"/>
        </w:rPr>
        <w:t xml:space="preserve">Anbefalet gennemsnitlig dosis af </w:t>
      </w:r>
      <w:proofErr w:type="spellStart"/>
      <w:r>
        <w:rPr>
          <w:bCs/>
          <w:szCs w:val="22"/>
        </w:rPr>
        <w:t>ciclosporin</w:t>
      </w:r>
      <w:proofErr w:type="spellEnd"/>
      <w:r>
        <w:rPr>
          <w:bCs/>
          <w:szCs w:val="22"/>
        </w:rPr>
        <w:t xml:space="preserve"> er 5 mg/kg kropsvægt (0,25 ml oral opløsning pr. 2,5 kg kropsvægt). Veterinærlægemidlet bør gives mindst 2 timer før eller efter fodring.</w:t>
      </w:r>
    </w:p>
    <w:p w:rsidR="00B74220" w:rsidRDefault="00B74220" w:rsidP="00B74220">
      <w:pPr>
        <w:tabs>
          <w:tab w:val="left" w:pos="1304"/>
        </w:tabs>
        <w:ind w:left="851"/>
        <w:rPr>
          <w:bCs/>
          <w:szCs w:val="22"/>
        </w:rPr>
      </w:pPr>
      <w:r>
        <w:rPr>
          <w:bCs/>
          <w:szCs w:val="22"/>
        </w:rPr>
        <w:lastRenderedPageBreak/>
        <w:t xml:space="preserve">Veterinærlægemidlet bør administreres direkte i hundens mund bagerst på tungen ved brug af den medfølgende, graduerede doseringssprøjte. (1 ml oral opløsning indeholder 50 mg </w:t>
      </w:r>
      <w:proofErr w:type="spellStart"/>
      <w:r>
        <w:rPr>
          <w:bCs/>
          <w:szCs w:val="22"/>
        </w:rPr>
        <w:t>ciclosporin</w:t>
      </w:r>
      <w:proofErr w:type="spellEnd"/>
      <w:r>
        <w:rPr>
          <w:bCs/>
          <w:szCs w:val="22"/>
        </w:rPr>
        <w:t>), og hele dosen skal gives.</w:t>
      </w:r>
    </w:p>
    <w:p w:rsidR="00B74220" w:rsidRDefault="00B74220" w:rsidP="00B74220">
      <w:pPr>
        <w:tabs>
          <w:tab w:val="left" w:pos="1304"/>
        </w:tabs>
        <w:rPr>
          <w:bCs/>
          <w:szCs w:val="22"/>
        </w:rPr>
      </w:pPr>
    </w:p>
    <w:p w:rsidR="00B74220" w:rsidRDefault="00B74220" w:rsidP="00B74220">
      <w:pPr>
        <w:tabs>
          <w:tab w:val="left" w:pos="1304"/>
        </w:tabs>
        <w:ind w:left="851"/>
        <w:rPr>
          <w:bCs/>
          <w:szCs w:val="22"/>
          <w:u w:val="single"/>
        </w:rPr>
      </w:pPr>
      <w:r>
        <w:rPr>
          <w:bCs/>
          <w:szCs w:val="22"/>
          <w:u w:val="single"/>
        </w:rPr>
        <w:t>Katte</w:t>
      </w:r>
    </w:p>
    <w:p w:rsidR="00B74220" w:rsidRDefault="00B74220" w:rsidP="00B74220">
      <w:pPr>
        <w:tabs>
          <w:tab w:val="left" w:pos="1304"/>
        </w:tabs>
        <w:ind w:left="851"/>
        <w:rPr>
          <w:bCs/>
          <w:szCs w:val="22"/>
        </w:rPr>
      </w:pPr>
      <w:r>
        <w:rPr>
          <w:bCs/>
          <w:szCs w:val="22"/>
        </w:rPr>
        <w:t xml:space="preserve">Den anbefalede dosis af </w:t>
      </w:r>
      <w:proofErr w:type="spellStart"/>
      <w:r>
        <w:rPr>
          <w:bCs/>
          <w:szCs w:val="22"/>
        </w:rPr>
        <w:t>ciclosporin</w:t>
      </w:r>
      <w:proofErr w:type="spellEnd"/>
      <w:r>
        <w:rPr>
          <w:bCs/>
          <w:szCs w:val="22"/>
        </w:rPr>
        <w:t xml:space="preserve"> er 7 mg/kg kropsvægt (0,14 ml oral opløsning per kg) og bør i starten indgives dagligt. Hyppigheden af indgivelsen bør efterfølgende reduceres, afhængigt af respons. Veterinærlægemidlet kan enten blandes i maden eller gives direkte i munden. Hvis det gives sammen med mad, skal opløsningen blandes med halvdelen af den normale mængde mad ved brug af den medfølgende, graduerede doseringssprøjte. (1 ml oral opløsning indeholder 50 mg </w:t>
      </w:r>
      <w:proofErr w:type="spellStart"/>
      <w:r>
        <w:rPr>
          <w:bCs/>
          <w:szCs w:val="22"/>
        </w:rPr>
        <w:t>ciclosporin</w:t>
      </w:r>
      <w:proofErr w:type="spellEnd"/>
      <w:r>
        <w:rPr>
          <w:bCs/>
          <w:szCs w:val="22"/>
        </w:rPr>
        <w:t>), helst efter en tilstrækkelig lang fasteperiode for at sikre, at katten spiser det hele. Når al den medicinerede mad er spist, kan man give resten af maden.</w:t>
      </w:r>
    </w:p>
    <w:p w:rsidR="00B74220" w:rsidRDefault="00B74220" w:rsidP="00B74220">
      <w:pPr>
        <w:tabs>
          <w:tab w:val="left" w:pos="1304"/>
        </w:tabs>
        <w:ind w:left="851"/>
        <w:rPr>
          <w:bCs/>
          <w:szCs w:val="22"/>
        </w:rPr>
      </w:pPr>
      <w:r>
        <w:rPr>
          <w:bCs/>
          <w:szCs w:val="22"/>
        </w:rPr>
        <w:t>Hvis katten ikke accepterer veterinærlægemidlet iblandet maden, skal det gives ved at føre sprøjten direkte ind i kattens mund og give den fulde dosis. Hvis katten kun spiser noget af veterinærlægemidlet iblandet maden, må man først fortsætte med at indgive veterinærlægemidlet direkte i munden med den graduerede doseringssprøjte dagen efter.</w:t>
      </w:r>
    </w:p>
    <w:p w:rsidR="00B74220" w:rsidRDefault="00B74220" w:rsidP="00B74220">
      <w:pPr>
        <w:tabs>
          <w:tab w:val="left" w:pos="1304"/>
        </w:tabs>
        <w:ind w:left="851"/>
        <w:rPr>
          <w:bCs/>
          <w:szCs w:val="22"/>
        </w:rPr>
      </w:pPr>
    </w:p>
    <w:p w:rsidR="00B74220" w:rsidRDefault="00B74220" w:rsidP="00B74220">
      <w:pPr>
        <w:tabs>
          <w:tab w:val="left" w:pos="1304"/>
        </w:tabs>
        <w:ind w:left="851"/>
        <w:rPr>
          <w:bCs/>
          <w:szCs w:val="22"/>
          <w:u w:val="single"/>
        </w:rPr>
      </w:pPr>
      <w:r>
        <w:rPr>
          <w:bCs/>
          <w:szCs w:val="22"/>
          <w:u w:val="single"/>
        </w:rPr>
        <w:t>Varighed og hyppighed af indgivelse</w:t>
      </w:r>
    </w:p>
    <w:p w:rsidR="00B74220" w:rsidRDefault="00B74220" w:rsidP="00B74220">
      <w:pPr>
        <w:tabs>
          <w:tab w:val="left" w:pos="1304"/>
        </w:tabs>
        <w:ind w:left="851"/>
        <w:rPr>
          <w:bCs/>
          <w:szCs w:val="22"/>
        </w:rPr>
      </w:pPr>
      <w:r>
        <w:rPr>
          <w:bCs/>
          <w:szCs w:val="22"/>
        </w:rPr>
        <w:t xml:space="preserve">Veterinærlægemidlet skal indledningsvist gives dagligt, indtil der observeres en tilfredsstillende klinisk bedring (vurderes ved intensiteten af </w:t>
      </w:r>
      <w:proofErr w:type="spellStart"/>
      <w:r>
        <w:rPr>
          <w:bCs/>
          <w:szCs w:val="22"/>
        </w:rPr>
        <w:t>pruritus</w:t>
      </w:r>
      <w:proofErr w:type="spellEnd"/>
      <w:r>
        <w:rPr>
          <w:bCs/>
          <w:szCs w:val="22"/>
        </w:rPr>
        <w:t xml:space="preserve"> og sværhedsgraden af læsioner - </w:t>
      </w:r>
      <w:proofErr w:type="spellStart"/>
      <w:r>
        <w:rPr>
          <w:bCs/>
          <w:szCs w:val="22"/>
        </w:rPr>
        <w:t>ekskoriation</w:t>
      </w:r>
      <w:proofErr w:type="spellEnd"/>
      <w:r>
        <w:rPr>
          <w:bCs/>
          <w:szCs w:val="22"/>
        </w:rPr>
        <w:t xml:space="preserve">, </w:t>
      </w:r>
      <w:proofErr w:type="spellStart"/>
      <w:r>
        <w:rPr>
          <w:bCs/>
          <w:szCs w:val="22"/>
        </w:rPr>
        <w:t>miliær</w:t>
      </w:r>
      <w:proofErr w:type="spellEnd"/>
      <w:r>
        <w:rPr>
          <w:bCs/>
          <w:szCs w:val="22"/>
        </w:rPr>
        <w:t xml:space="preserve"> </w:t>
      </w:r>
      <w:proofErr w:type="spellStart"/>
      <w:r>
        <w:rPr>
          <w:bCs/>
          <w:szCs w:val="22"/>
        </w:rPr>
        <w:t>dermatitis</w:t>
      </w:r>
      <w:proofErr w:type="spellEnd"/>
      <w:r>
        <w:rPr>
          <w:bCs/>
          <w:szCs w:val="22"/>
        </w:rPr>
        <w:t xml:space="preserve">, </w:t>
      </w:r>
      <w:proofErr w:type="spellStart"/>
      <w:r>
        <w:rPr>
          <w:bCs/>
          <w:szCs w:val="22"/>
        </w:rPr>
        <w:t>eosinofilt</w:t>
      </w:r>
      <w:proofErr w:type="spellEnd"/>
      <w:r>
        <w:rPr>
          <w:bCs/>
          <w:szCs w:val="22"/>
        </w:rPr>
        <w:t xml:space="preserve"> </w:t>
      </w:r>
      <w:proofErr w:type="spellStart"/>
      <w:r>
        <w:rPr>
          <w:bCs/>
          <w:szCs w:val="22"/>
        </w:rPr>
        <w:t>plaque</w:t>
      </w:r>
      <w:proofErr w:type="spellEnd"/>
      <w:r>
        <w:rPr>
          <w:bCs/>
          <w:szCs w:val="22"/>
        </w:rPr>
        <w:t xml:space="preserve"> og/eller selvfremkaldt hårtab). Dette vil normalt være tilfældet i løbet af 4-8 uger. Hvis der ikke opnås et respons i løbet af de første 8 uger, skal behandlingen stoppes.</w:t>
      </w:r>
    </w:p>
    <w:p w:rsidR="00B74220" w:rsidRDefault="00B74220" w:rsidP="00B74220">
      <w:pPr>
        <w:tabs>
          <w:tab w:val="left" w:pos="1304"/>
        </w:tabs>
        <w:ind w:left="851"/>
        <w:rPr>
          <w:bCs/>
          <w:szCs w:val="22"/>
        </w:rPr>
      </w:pPr>
      <w:r>
        <w:rPr>
          <w:bCs/>
          <w:szCs w:val="22"/>
        </w:rPr>
        <w:t xml:space="preserve">Når de kliniske symptomer på </w:t>
      </w:r>
      <w:proofErr w:type="spellStart"/>
      <w:r>
        <w:rPr>
          <w:bCs/>
          <w:szCs w:val="22"/>
        </w:rPr>
        <w:t>atopisk</w:t>
      </w:r>
      <w:proofErr w:type="spellEnd"/>
      <w:r>
        <w:rPr>
          <w:bCs/>
          <w:szCs w:val="22"/>
        </w:rPr>
        <w:t xml:space="preserve">/allergisk </w:t>
      </w:r>
      <w:proofErr w:type="spellStart"/>
      <w:r>
        <w:rPr>
          <w:bCs/>
          <w:szCs w:val="22"/>
        </w:rPr>
        <w:t>dermatitis</w:t>
      </w:r>
      <w:proofErr w:type="spellEnd"/>
      <w:r>
        <w:rPr>
          <w:bCs/>
          <w:szCs w:val="22"/>
        </w:rPr>
        <w:t xml:space="preserve"> er kontrolleret på tilfredsstillende vis, kan præparatet gives hver anden dag som en vedligeholdelsesdosis. Dyrlægen bør udføre en klinisk vurdering med regelmæssige mellemrum, og justere indgiftshyppigheden i henhold til det opnåede kliniske respons.</w:t>
      </w:r>
    </w:p>
    <w:p w:rsidR="00B74220" w:rsidRDefault="00B74220" w:rsidP="00B74220">
      <w:pPr>
        <w:tabs>
          <w:tab w:val="left" w:pos="1304"/>
        </w:tabs>
        <w:ind w:left="851"/>
        <w:rPr>
          <w:bCs/>
          <w:szCs w:val="22"/>
        </w:rPr>
      </w:pPr>
      <w:r>
        <w:rPr>
          <w:bCs/>
          <w:szCs w:val="22"/>
        </w:rPr>
        <w:t>I nogle tilfælde, når de kliniske symptomer kontrolleres med dosering hver anden dag, kan dyrlægen beslutte, at veterinærlægemidlet kan gives hver 3. eller 4. dag. Man skal anvende den laveste effektive doseringshyppighed, som bevarer remission af de kliniske symptomer.</w:t>
      </w:r>
    </w:p>
    <w:p w:rsidR="00B74220" w:rsidRDefault="00B74220" w:rsidP="00B74220">
      <w:pPr>
        <w:tabs>
          <w:tab w:val="left" w:pos="1304"/>
        </w:tabs>
        <w:ind w:left="851"/>
        <w:rPr>
          <w:bCs/>
          <w:szCs w:val="22"/>
        </w:rPr>
      </w:pPr>
      <w:r>
        <w:rPr>
          <w:bCs/>
          <w:szCs w:val="22"/>
        </w:rPr>
        <w:t>Samtidig behandling (f.eks. medicineret shampoo, fedtsyrer) kan overvejes, før doseringsintervallet reduceres. Patienter skal reevalueres med jævne mellemrum, og man skal overveje andre behandlingsmuligheder.</w:t>
      </w:r>
    </w:p>
    <w:p w:rsidR="00B74220" w:rsidRDefault="00B74220" w:rsidP="00B74220">
      <w:pPr>
        <w:tabs>
          <w:tab w:val="left" w:pos="1304"/>
        </w:tabs>
        <w:ind w:left="851"/>
        <w:rPr>
          <w:bCs/>
          <w:szCs w:val="22"/>
        </w:rPr>
      </w:pPr>
      <w:r>
        <w:rPr>
          <w:bCs/>
          <w:szCs w:val="22"/>
        </w:rPr>
        <w:t>Behandlingen kan stoppes, når de kliniske symptomer er under kontrol. Hvis de kliniske symptomer dukker op igen, bør behandlingen genoptages med en daglig dosering, og i visse tilfælde kan gentagne behandlingsforløb være påkrævet.</w:t>
      </w:r>
    </w:p>
    <w:p w:rsidR="00B74220" w:rsidRDefault="00B74220" w:rsidP="00B74220">
      <w:pPr>
        <w:pStyle w:val="Style1"/>
      </w:pPr>
    </w:p>
    <w:p w:rsidR="00B74220" w:rsidRDefault="00B74220" w:rsidP="00B74220">
      <w:pPr>
        <w:pStyle w:val="Style1"/>
        <w:ind w:left="851" w:hanging="851"/>
      </w:pPr>
      <w:r>
        <w:t>3.10</w:t>
      </w:r>
      <w:r>
        <w:tab/>
        <w:t>Symptomer på overdosering (og, hvis relevant, nødforanstaltninger og modgift)</w:t>
      </w:r>
    </w:p>
    <w:p w:rsidR="00B74220" w:rsidRDefault="00B74220" w:rsidP="00B74220">
      <w:pPr>
        <w:tabs>
          <w:tab w:val="left" w:pos="1304"/>
        </w:tabs>
        <w:rPr>
          <w:szCs w:val="22"/>
        </w:rPr>
      </w:pPr>
    </w:p>
    <w:p w:rsidR="00B74220" w:rsidRDefault="00B74220" w:rsidP="00B74220">
      <w:pPr>
        <w:tabs>
          <w:tab w:val="left" w:pos="1304"/>
        </w:tabs>
        <w:ind w:left="851"/>
        <w:rPr>
          <w:szCs w:val="22"/>
        </w:rPr>
      </w:pPr>
      <w:r>
        <w:rPr>
          <w:szCs w:val="22"/>
        </w:rPr>
        <w:t xml:space="preserve">Der findes ingen specifik </w:t>
      </w:r>
      <w:proofErr w:type="spellStart"/>
      <w:r>
        <w:rPr>
          <w:szCs w:val="22"/>
        </w:rPr>
        <w:t>antidot</w:t>
      </w:r>
      <w:proofErr w:type="spellEnd"/>
      <w:r>
        <w:rPr>
          <w:szCs w:val="22"/>
        </w:rPr>
        <w:t xml:space="preserve"> og ved tegn på overdosering bør dyret behandles symptomatisk.</w:t>
      </w:r>
    </w:p>
    <w:p w:rsidR="00B74220" w:rsidRDefault="00B74220" w:rsidP="00B74220">
      <w:pPr>
        <w:tabs>
          <w:tab w:val="left" w:pos="1304"/>
        </w:tabs>
        <w:ind w:left="851"/>
        <w:rPr>
          <w:szCs w:val="22"/>
        </w:rPr>
      </w:pPr>
    </w:p>
    <w:p w:rsidR="00B74220" w:rsidRDefault="00B74220" w:rsidP="00B74220">
      <w:pPr>
        <w:tabs>
          <w:tab w:val="left" w:pos="1304"/>
        </w:tabs>
        <w:ind w:left="851"/>
        <w:rPr>
          <w:szCs w:val="22"/>
          <w:u w:val="single"/>
        </w:rPr>
      </w:pPr>
      <w:r>
        <w:rPr>
          <w:szCs w:val="22"/>
          <w:u w:val="single"/>
        </w:rPr>
        <w:t>Hunde:</w:t>
      </w:r>
    </w:p>
    <w:p w:rsidR="00B74220" w:rsidRDefault="00B74220" w:rsidP="00B74220">
      <w:pPr>
        <w:tabs>
          <w:tab w:val="left" w:pos="1304"/>
        </w:tabs>
        <w:ind w:left="851"/>
        <w:rPr>
          <w:szCs w:val="22"/>
        </w:rPr>
      </w:pPr>
      <w:r>
        <w:rPr>
          <w:szCs w:val="22"/>
        </w:rPr>
        <w:t>Ingen bivirkninger, ud over dem, der blev set ved den anbefalede behandling, er observeret hos hunde efter en enkelt oral dosis på op til 5 gange den anbefalede.</w:t>
      </w:r>
    </w:p>
    <w:p w:rsidR="00B74220" w:rsidRDefault="00B74220" w:rsidP="00B74220">
      <w:pPr>
        <w:tabs>
          <w:tab w:val="left" w:pos="1304"/>
        </w:tabs>
        <w:ind w:left="851"/>
        <w:rPr>
          <w:szCs w:val="22"/>
        </w:rPr>
      </w:pPr>
      <w:r>
        <w:rPr>
          <w:szCs w:val="22"/>
        </w:rPr>
        <w:t xml:space="preserve">Ud over hvad der blev set ved den anbefalede dosering, sås følgende bivirkninger efter overdosering i 3 måneder eller mere af en dosis på 4 gange den anbefalede, gennemsnitlige dosering: </w:t>
      </w:r>
      <w:proofErr w:type="spellStart"/>
      <w:r>
        <w:rPr>
          <w:szCs w:val="22"/>
        </w:rPr>
        <w:t>hyperkeratotiske</w:t>
      </w:r>
      <w:proofErr w:type="spellEnd"/>
      <w:r>
        <w:rPr>
          <w:szCs w:val="22"/>
        </w:rPr>
        <w:t xml:space="preserve"> områder især på det ydre øre, </w:t>
      </w:r>
      <w:proofErr w:type="spellStart"/>
      <w:r>
        <w:rPr>
          <w:szCs w:val="22"/>
        </w:rPr>
        <w:t>calluslignende</w:t>
      </w:r>
      <w:proofErr w:type="spellEnd"/>
      <w:r>
        <w:rPr>
          <w:szCs w:val="22"/>
        </w:rPr>
        <w:t xml:space="preserve"> læsioner på trædepuderne, vægttab eller nedsat tilvækst, </w:t>
      </w:r>
      <w:proofErr w:type="spellStart"/>
      <w:r>
        <w:rPr>
          <w:szCs w:val="22"/>
        </w:rPr>
        <w:t>hypertrikose</w:t>
      </w:r>
      <w:proofErr w:type="spellEnd"/>
      <w:r>
        <w:rPr>
          <w:szCs w:val="22"/>
        </w:rPr>
        <w:t xml:space="preserve">, øget sedimenteringshastighed af erytrocytter, nedsatte </w:t>
      </w:r>
      <w:proofErr w:type="spellStart"/>
      <w:r>
        <w:rPr>
          <w:szCs w:val="22"/>
        </w:rPr>
        <w:t>eosinofilværdier</w:t>
      </w:r>
      <w:proofErr w:type="spellEnd"/>
      <w:r>
        <w:rPr>
          <w:szCs w:val="22"/>
        </w:rPr>
        <w:t>. Hyppigheden og graden af disse bivirkninger er dosisafhængige.</w:t>
      </w:r>
    </w:p>
    <w:p w:rsidR="00B74220" w:rsidRDefault="00B74220" w:rsidP="00B74220">
      <w:pPr>
        <w:tabs>
          <w:tab w:val="left" w:pos="1304"/>
        </w:tabs>
        <w:ind w:left="851"/>
        <w:rPr>
          <w:szCs w:val="22"/>
        </w:rPr>
      </w:pPr>
      <w:r>
        <w:rPr>
          <w:szCs w:val="22"/>
        </w:rPr>
        <w:t>Bivirkningerne er reversible inden for 2 måneder efter behandlingens ophør.</w:t>
      </w:r>
    </w:p>
    <w:p w:rsidR="00B74220" w:rsidRDefault="00B74220" w:rsidP="00B74220">
      <w:pPr>
        <w:tabs>
          <w:tab w:val="left" w:pos="1304"/>
        </w:tabs>
        <w:ind w:left="851"/>
        <w:rPr>
          <w:szCs w:val="22"/>
        </w:rPr>
      </w:pPr>
    </w:p>
    <w:p w:rsidR="00B74220" w:rsidRDefault="00B74220" w:rsidP="00B74220">
      <w:pPr>
        <w:tabs>
          <w:tab w:val="left" w:pos="1304"/>
        </w:tabs>
        <w:ind w:left="851"/>
        <w:rPr>
          <w:szCs w:val="22"/>
          <w:u w:val="single"/>
        </w:rPr>
      </w:pPr>
      <w:r>
        <w:rPr>
          <w:szCs w:val="22"/>
          <w:u w:val="single"/>
        </w:rPr>
        <w:t>Katte:</w:t>
      </w:r>
    </w:p>
    <w:p w:rsidR="00B74220" w:rsidRDefault="00B74220" w:rsidP="00B74220">
      <w:pPr>
        <w:tabs>
          <w:tab w:val="left" w:pos="1304"/>
        </w:tabs>
        <w:ind w:left="851"/>
        <w:rPr>
          <w:szCs w:val="22"/>
        </w:rPr>
      </w:pPr>
      <w:r>
        <w:rPr>
          <w:szCs w:val="22"/>
        </w:rPr>
        <w:t xml:space="preserve">Følgende uønskede hændelser blev set i tilfælde med gentagen indgivelse af det aktive stof i 56 dage ved 24 mg/kg (mere end 3gange den anbefalede dosis) eller i 6 måneder ved op til 40 mg/kg (mere end 5gange den anbefalede dosis): løs/blød fæces, opkastning, mild til moderat stigning i absolut lymfocyttal, </w:t>
      </w:r>
      <w:proofErr w:type="spellStart"/>
      <w:r>
        <w:rPr>
          <w:szCs w:val="22"/>
        </w:rPr>
        <w:t>fibrinogen</w:t>
      </w:r>
      <w:proofErr w:type="spellEnd"/>
      <w:r>
        <w:rPr>
          <w:szCs w:val="22"/>
        </w:rPr>
        <w:t xml:space="preserve">, aktiveret partiel </w:t>
      </w:r>
      <w:proofErr w:type="spellStart"/>
      <w:r>
        <w:rPr>
          <w:szCs w:val="22"/>
        </w:rPr>
        <w:t>thromboplastintid</w:t>
      </w:r>
      <w:proofErr w:type="spellEnd"/>
      <w:r>
        <w:rPr>
          <w:szCs w:val="22"/>
        </w:rPr>
        <w:t xml:space="preserve"> (APTT), let stigning i blodsukker og reversibel </w:t>
      </w:r>
      <w:proofErr w:type="spellStart"/>
      <w:r>
        <w:rPr>
          <w:szCs w:val="22"/>
        </w:rPr>
        <w:t>gingival</w:t>
      </w:r>
      <w:proofErr w:type="spellEnd"/>
      <w:r>
        <w:rPr>
          <w:szCs w:val="22"/>
        </w:rPr>
        <w:t xml:space="preserve"> hypertrofi. Hyppigheden og sværhedsgraden af disse symptomer var generelt dosis- og tidsbetingede. Når 3gange den anbefalede dosis indgives dagligt i næsten 6 måneder, kan der i meget sjældne tilfælde opstå ændringer i </w:t>
      </w:r>
      <w:proofErr w:type="spellStart"/>
      <w:r>
        <w:rPr>
          <w:szCs w:val="22"/>
        </w:rPr>
        <w:t>EKG’et</w:t>
      </w:r>
      <w:proofErr w:type="spellEnd"/>
      <w:r>
        <w:rPr>
          <w:szCs w:val="22"/>
        </w:rPr>
        <w:t xml:space="preserve"> (ledningsforstyrrelser). De er forbigående og ikke forbundet med kliniske tegn. Anoreksi, tab af hudplasticitet, lidt eller manglende fæces samt tynde og lukkede øjenlåg kan ses sporadisk ved 5 gange den anbefalede dosis. Sporadisk ses også tilfælde ved denne dosis, hvor katten er ude af stand til at rejse sig.</w:t>
      </w:r>
    </w:p>
    <w:p w:rsidR="00B74220" w:rsidRDefault="00B74220" w:rsidP="00B74220">
      <w:pPr>
        <w:tabs>
          <w:tab w:val="left" w:pos="1304"/>
        </w:tabs>
        <w:rPr>
          <w:szCs w:val="22"/>
        </w:rPr>
      </w:pPr>
    </w:p>
    <w:p w:rsidR="00B74220" w:rsidRDefault="00B74220" w:rsidP="00B74220">
      <w:pPr>
        <w:pStyle w:val="Style1"/>
        <w:ind w:left="851" w:hanging="851"/>
      </w:pPr>
      <w:r>
        <w:t>3.11</w:t>
      </w:r>
      <w:r>
        <w:tab/>
        <w:t>Særlige begrænsninger og betingelser for anvendelse, herunder begrænsninger for anvendelsen af antimikrobielle og antiparasitære veterinærlægemidler for at begrænse risikoen for udvikling af resistens</w:t>
      </w:r>
    </w:p>
    <w:p w:rsidR="00B74220" w:rsidRDefault="00B74220" w:rsidP="00B74220">
      <w:pPr>
        <w:tabs>
          <w:tab w:val="left" w:pos="1304"/>
        </w:tabs>
        <w:rPr>
          <w:szCs w:val="22"/>
        </w:rPr>
      </w:pPr>
    </w:p>
    <w:p w:rsidR="00B74220" w:rsidRDefault="00B74220" w:rsidP="00B74220">
      <w:pPr>
        <w:tabs>
          <w:tab w:val="left" w:pos="1304"/>
        </w:tabs>
        <w:rPr>
          <w:szCs w:val="22"/>
        </w:rPr>
      </w:pPr>
    </w:p>
    <w:p w:rsidR="00B74220" w:rsidRDefault="00B74220" w:rsidP="00B74220">
      <w:pPr>
        <w:pStyle w:val="Style1"/>
        <w:ind w:left="851" w:hanging="851"/>
      </w:pPr>
      <w:r>
        <w:t>3.12</w:t>
      </w:r>
      <w:r>
        <w:tab/>
        <w:t>Tilbageholdelsestid(er)</w:t>
      </w:r>
    </w:p>
    <w:p w:rsidR="00B74220" w:rsidRDefault="00B74220" w:rsidP="00B74220">
      <w:pPr>
        <w:tabs>
          <w:tab w:val="left" w:pos="1304"/>
        </w:tabs>
        <w:rPr>
          <w:szCs w:val="22"/>
        </w:rPr>
      </w:pPr>
    </w:p>
    <w:p w:rsidR="00B74220" w:rsidRDefault="00B74220" w:rsidP="00B74220">
      <w:pPr>
        <w:tabs>
          <w:tab w:val="left" w:pos="1304"/>
        </w:tabs>
        <w:ind w:firstLine="851"/>
        <w:rPr>
          <w:szCs w:val="22"/>
        </w:rPr>
      </w:pPr>
      <w:r>
        <w:rPr>
          <w:szCs w:val="22"/>
        </w:rPr>
        <w:t>Ikke relevant.</w:t>
      </w:r>
    </w:p>
    <w:p w:rsidR="00B74220" w:rsidRDefault="00B74220" w:rsidP="00B74220">
      <w:pPr>
        <w:tabs>
          <w:tab w:val="left" w:pos="1304"/>
        </w:tabs>
        <w:rPr>
          <w:szCs w:val="22"/>
        </w:rPr>
      </w:pPr>
    </w:p>
    <w:p w:rsidR="00B74220" w:rsidRDefault="00B74220" w:rsidP="00B74220">
      <w:pPr>
        <w:tabs>
          <w:tab w:val="left" w:pos="1304"/>
        </w:tabs>
        <w:rPr>
          <w:szCs w:val="22"/>
        </w:rPr>
      </w:pPr>
    </w:p>
    <w:p w:rsidR="00B74220" w:rsidRDefault="00B74220" w:rsidP="00B74220">
      <w:pPr>
        <w:pStyle w:val="Style1"/>
        <w:ind w:left="851" w:hanging="851"/>
      </w:pPr>
      <w:r>
        <w:t>4.</w:t>
      </w:r>
      <w:r>
        <w:tab/>
        <w:t>FARMAKOLOGISKE OPLYSNINGER</w:t>
      </w:r>
    </w:p>
    <w:p w:rsidR="00B74220" w:rsidRDefault="00B74220" w:rsidP="00B74220">
      <w:pPr>
        <w:ind w:left="851" w:hanging="851"/>
        <w:jc w:val="both"/>
        <w:rPr>
          <w:szCs w:val="22"/>
        </w:rPr>
      </w:pPr>
    </w:p>
    <w:p w:rsidR="00B74220" w:rsidRDefault="00B74220" w:rsidP="00B74220">
      <w:pPr>
        <w:pStyle w:val="Style1"/>
        <w:ind w:left="851" w:hanging="851"/>
      </w:pPr>
      <w:r>
        <w:t>4.1</w:t>
      </w:r>
      <w:r>
        <w:tab/>
      </w:r>
      <w:proofErr w:type="spellStart"/>
      <w:r>
        <w:t>ATCvet</w:t>
      </w:r>
      <w:proofErr w:type="spellEnd"/>
      <w:r>
        <w:t>-kode:</w:t>
      </w:r>
    </w:p>
    <w:p w:rsidR="00B74220" w:rsidRDefault="00B74220" w:rsidP="00B74220">
      <w:pPr>
        <w:tabs>
          <w:tab w:val="left" w:pos="1304"/>
        </w:tabs>
        <w:ind w:firstLine="851"/>
        <w:rPr>
          <w:szCs w:val="22"/>
        </w:rPr>
      </w:pPr>
      <w:r>
        <w:rPr>
          <w:szCs w:val="22"/>
        </w:rPr>
        <w:t>QL04AD01</w:t>
      </w:r>
    </w:p>
    <w:p w:rsidR="00B74220" w:rsidRDefault="00B74220" w:rsidP="00B74220">
      <w:pPr>
        <w:tabs>
          <w:tab w:val="left" w:pos="1304"/>
        </w:tabs>
        <w:rPr>
          <w:szCs w:val="22"/>
        </w:rPr>
      </w:pPr>
    </w:p>
    <w:p w:rsidR="00B74220" w:rsidRDefault="00B74220" w:rsidP="00B74220">
      <w:pPr>
        <w:pStyle w:val="Style1"/>
        <w:ind w:left="851" w:hanging="851"/>
      </w:pPr>
      <w:r>
        <w:t>4.2</w:t>
      </w:r>
      <w:r>
        <w:tab/>
      </w:r>
      <w:proofErr w:type="spellStart"/>
      <w:r>
        <w:t>Farmakodynamiske</w:t>
      </w:r>
      <w:proofErr w:type="spellEnd"/>
      <w:r>
        <w:t xml:space="preserve"> oplysninger</w:t>
      </w:r>
    </w:p>
    <w:p w:rsidR="00B74220" w:rsidRDefault="00B74220" w:rsidP="00B74220">
      <w:pPr>
        <w:tabs>
          <w:tab w:val="left" w:pos="1304"/>
        </w:tabs>
        <w:rPr>
          <w:szCs w:val="22"/>
        </w:rPr>
      </w:pPr>
    </w:p>
    <w:p w:rsidR="00B74220" w:rsidRDefault="00B74220" w:rsidP="008162CB">
      <w:pPr>
        <w:tabs>
          <w:tab w:val="left" w:pos="1304"/>
        </w:tabs>
        <w:ind w:left="851"/>
        <w:rPr>
          <w:szCs w:val="22"/>
        </w:rPr>
      </w:pPr>
      <w:proofErr w:type="spellStart"/>
      <w:r>
        <w:rPr>
          <w:szCs w:val="22"/>
        </w:rPr>
        <w:t>Ciclosporin</w:t>
      </w:r>
      <w:proofErr w:type="spellEnd"/>
      <w:r>
        <w:rPr>
          <w:szCs w:val="22"/>
        </w:rPr>
        <w:t xml:space="preserve"> (også kaldet </w:t>
      </w:r>
      <w:proofErr w:type="spellStart"/>
      <w:r>
        <w:rPr>
          <w:szCs w:val="22"/>
        </w:rPr>
        <w:t>cyclosporin</w:t>
      </w:r>
      <w:proofErr w:type="spellEnd"/>
      <w:r>
        <w:rPr>
          <w:szCs w:val="22"/>
        </w:rPr>
        <w:t xml:space="preserve">, </w:t>
      </w:r>
      <w:proofErr w:type="spellStart"/>
      <w:r>
        <w:rPr>
          <w:szCs w:val="22"/>
        </w:rPr>
        <w:t>cyclosporine</w:t>
      </w:r>
      <w:proofErr w:type="spellEnd"/>
      <w:r>
        <w:rPr>
          <w:szCs w:val="22"/>
        </w:rPr>
        <w:t xml:space="preserve">, </w:t>
      </w:r>
      <w:proofErr w:type="spellStart"/>
      <w:r>
        <w:rPr>
          <w:szCs w:val="22"/>
        </w:rPr>
        <w:t>cyclosporine</w:t>
      </w:r>
      <w:proofErr w:type="spellEnd"/>
      <w:r>
        <w:rPr>
          <w:szCs w:val="22"/>
        </w:rPr>
        <w:t xml:space="preserve"> A, </w:t>
      </w:r>
      <w:proofErr w:type="spellStart"/>
      <w:r>
        <w:rPr>
          <w:szCs w:val="22"/>
        </w:rPr>
        <w:t>CsA</w:t>
      </w:r>
      <w:proofErr w:type="spellEnd"/>
      <w:r>
        <w:rPr>
          <w:szCs w:val="22"/>
        </w:rPr>
        <w:t xml:space="preserve">) er en selektiv </w:t>
      </w:r>
      <w:proofErr w:type="spellStart"/>
      <w:r>
        <w:rPr>
          <w:szCs w:val="22"/>
        </w:rPr>
        <w:t>immunosuppressor</w:t>
      </w:r>
      <w:proofErr w:type="spellEnd"/>
      <w:r>
        <w:rPr>
          <w:szCs w:val="22"/>
        </w:rPr>
        <w:t>. Det er et cyklisk polypeptid bestående af 11 aminosyrer, har en molekylvægt på 1203 Dalton og virker specifikt og reversibelt på T-lymfocytter.</w:t>
      </w:r>
    </w:p>
    <w:p w:rsidR="00B74220" w:rsidRDefault="00B74220" w:rsidP="008162CB">
      <w:pPr>
        <w:tabs>
          <w:tab w:val="left" w:pos="1304"/>
        </w:tabs>
        <w:ind w:left="851"/>
        <w:rPr>
          <w:szCs w:val="22"/>
        </w:rPr>
      </w:pPr>
      <w:proofErr w:type="spellStart"/>
      <w:r>
        <w:rPr>
          <w:szCs w:val="22"/>
        </w:rPr>
        <w:t>Ciclosporin</w:t>
      </w:r>
      <w:proofErr w:type="spellEnd"/>
      <w:r>
        <w:rPr>
          <w:szCs w:val="22"/>
        </w:rPr>
        <w:t xml:space="preserve"> udøver en antiinflammatorisk og </w:t>
      </w:r>
      <w:proofErr w:type="spellStart"/>
      <w:r>
        <w:rPr>
          <w:szCs w:val="22"/>
        </w:rPr>
        <w:t>antipruritisk</w:t>
      </w:r>
      <w:proofErr w:type="spellEnd"/>
      <w:r>
        <w:rPr>
          <w:szCs w:val="22"/>
        </w:rPr>
        <w:t xml:space="preserve"> virkning ved behandlingen af allergisk eller </w:t>
      </w:r>
      <w:proofErr w:type="spellStart"/>
      <w:r>
        <w:rPr>
          <w:szCs w:val="22"/>
        </w:rPr>
        <w:t>atopisk</w:t>
      </w:r>
      <w:proofErr w:type="spellEnd"/>
      <w:r>
        <w:rPr>
          <w:szCs w:val="22"/>
        </w:rPr>
        <w:t xml:space="preserve"> </w:t>
      </w:r>
      <w:proofErr w:type="spellStart"/>
      <w:r>
        <w:rPr>
          <w:szCs w:val="22"/>
        </w:rPr>
        <w:t>dermatitis</w:t>
      </w:r>
      <w:proofErr w:type="spellEnd"/>
      <w:r>
        <w:rPr>
          <w:szCs w:val="22"/>
        </w:rPr>
        <w:t xml:space="preserve">. </w:t>
      </w:r>
      <w:proofErr w:type="spellStart"/>
      <w:r>
        <w:rPr>
          <w:szCs w:val="22"/>
        </w:rPr>
        <w:t>Ciclosporin</w:t>
      </w:r>
      <w:proofErr w:type="spellEnd"/>
      <w:r>
        <w:rPr>
          <w:szCs w:val="22"/>
        </w:rPr>
        <w:t xml:space="preserve"> har vist sig fortrinsvis at hæmme aktiveringen af T-lymfocytter efter antigen stimulering, ved at nedsætte produktionen af IL-2 og andre T-celleafledte cytokiner. </w:t>
      </w:r>
      <w:proofErr w:type="spellStart"/>
      <w:r>
        <w:rPr>
          <w:szCs w:val="22"/>
        </w:rPr>
        <w:t>Ciclosporin</w:t>
      </w:r>
      <w:proofErr w:type="spellEnd"/>
      <w:r>
        <w:rPr>
          <w:szCs w:val="22"/>
        </w:rPr>
        <w:t xml:space="preserve"> kan også hæmme den antigen-aktiverende funktion som hudens immunsystem har. Ligeledes blokerer det for mobilisering og aktivering af </w:t>
      </w:r>
      <w:proofErr w:type="spellStart"/>
      <w:r>
        <w:rPr>
          <w:szCs w:val="22"/>
        </w:rPr>
        <w:t>eosinofile</w:t>
      </w:r>
      <w:proofErr w:type="spellEnd"/>
      <w:r>
        <w:rPr>
          <w:szCs w:val="22"/>
        </w:rPr>
        <w:t xml:space="preserve"> celler, </w:t>
      </w:r>
      <w:proofErr w:type="spellStart"/>
      <w:r>
        <w:rPr>
          <w:szCs w:val="22"/>
        </w:rPr>
        <w:t>keratinocytternes</w:t>
      </w:r>
      <w:proofErr w:type="spellEnd"/>
      <w:r>
        <w:rPr>
          <w:szCs w:val="22"/>
        </w:rPr>
        <w:t xml:space="preserve"> cytokinproduktion, de Langerhanske cellers funktion, </w:t>
      </w:r>
      <w:proofErr w:type="spellStart"/>
      <w:r>
        <w:rPr>
          <w:szCs w:val="22"/>
        </w:rPr>
        <w:t>degranuleringen</w:t>
      </w:r>
      <w:proofErr w:type="spellEnd"/>
      <w:r>
        <w:rPr>
          <w:szCs w:val="22"/>
        </w:rPr>
        <w:t xml:space="preserve"> af mastceller og hermed frigivelsen af histamin og proinflammatoriske cytokiner.</w:t>
      </w:r>
    </w:p>
    <w:p w:rsidR="00B74220" w:rsidRDefault="00B74220" w:rsidP="008162CB">
      <w:pPr>
        <w:tabs>
          <w:tab w:val="left" w:pos="1304"/>
        </w:tabs>
        <w:ind w:left="851"/>
        <w:rPr>
          <w:szCs w:val="22"/>
        </w:rPr>
      </w:pPr>
      <w:proofErr w:type="spellStart"/>
      <w:r>
        <w:rPr>
          <w:szCs w:val="22"/>
        </w:rPr>
        <w:t>Ciclosporin</w:t>
      </w:r>
      <w:proofErr w:type="spellEnd"/>
      <w:r>
        <w:rPr>
          <w:szCs w:val="22"/>
        </w:rPr>
        <w:t xml:space="preserve"> undertrykker ikke </w:t>
      </w:r>
      <w:proofErr w:type="spellStart"/>
      <w:r>
        <w:rPr>
          <w:szCs w:val="22"/>
        </w:rPr>
        <w:t>hæmatopoiesen</w:t>
      </w:r>
      <w:proofErr w:type="spellEnd"/>
      <w:r>
        <w:rPr>
          <w:szCs w:val="22"/>
        </w:rPr>
        <w:t xml:space="preserve"> og har ingen virkning på de fagocyterende cellers funktion.</w:t>
      </w:r>
    </w:p>
    <w:p w:rsidR="00B74220" w:rsidRDefault="00B74220" w:rsidP="00B74220">
      <w:pPr>
        <w:tabs>
          <w:tab w:val="left" w:pos="1304"/>
        </w:tabs>
        <w:rPr>
          <w:szCs w:val="22"/>
        </w:rPr>
      </w:pPr>
    </w:p>
    <w:p w:rsidR="00B74220" w:rsidRDefault="00B74220" w:rsidP="008162CB">
      <w:pPr>
        <w:pStyle w:val="Style1"/>
        <w:ind w:left="851" w:hanging="851"/>
      </w:pPr>
      <w:r>
        <w:t>4.3</w:t>
      </w:r>
      <w:r>
        <w:tab/>
      </w:r>
      <w:proofErr w:type="spellStart"/>
      <w:r>
        <w:t>Farmakokinetiske</w:t>
      </w:r>
      <w:proofErr w:type="spellEnd"/>
      <w:r>
        <w:t xml:space="preserve"> oplysninger</w:t>
      </w:r>
    </w:p>
    <w:p w:rsidR="00B74220" w:rsidRDefault="00B74220" w:rsidP="00B74220">
      <w:pPr>
        <w:tabs>
          <w:tab w:val="left" w:pos="1304"/>
        </w:tabs>
        <w:rPr>
          <w:szCs w:val="22"/>
        </w:rPr>
      </w:pPr>
    </w:p>
    <w:p w:rsidR="00B74220" w:rsidRDefault="00B74220" w:rsidP="008162CB">
      <w:pPr>
        <w:tabs>
          <w:tab w:val="left" w:pos="1304"/>
        </w:tabs>
        <w:ind w:left="851"/>
        <w:rPr>
          <w:szCs w:val="22"/>
          <w:u w:val="single"/>
        </w:rPr>
      </w:pPr>
      <w:r>
        <w:rPr>
          <w:szCs w:val="22"/>
          <w:u w:val="single"/>
        </w:rPr>
        <w:t>Absorption</w:t>
      </w:r>
    </w:p>
    <w:p w:rsidR="00B74220" w:rsidRDefault="00B74220" w:rsidP="008162CB">
      <w:pPr>
        <w:tabs>
          <w:tab w:val="left" w:pos="1304"/>
        </w:tabs>
        <w:ind w:left="851"/>
        <w:rPr>
          <w:i/>
          <w:iCs/>
          <w:szCs w:val="22"/>
        </w:rPr>
      </w:pPr>
      <w:r>
        <w:rPr>
          <w:i/>
          <w:iCs/>
          <w:szCs w:val="22"/>
        </w:rPr>
        <w:t>Hunde</w:t>
      </w:r>
    </w:p>
    <w:p w:rsidR="00B74220" w:rsidRDefault="00B74220" w:rsidP="008162CB">
      <w:pPr>
        <w:tabs>
          <w:tab w:val="left" w:pos="1304"/>
        </w:tabs>
        <w:ind w:left="851"/>
        <w:rPr>
          <w:szCs w:val="22"/>
        </w:rPr>
      </w:pPr>
      <w:r>
        <w:rPr>
          <w:szCs w:val="22"/>
        </w:rPr>
        <w:t xml:space="preserve">Biotilgængeligheden af </w:t>
      </w:r>
      <w:proofErr w:type="spellStart"/>
      <w:r>
        <w:rPr>
          <w:szCs w:val="22"/>
        </w:rPr>
        <w:t>ciclosporin</w:t>
      </w:r>
      <w:proofErr w:type="spellEnd"/>
      <w:r>
        <w:rPr>
          <w:szCs w:val="22"/>
        </w:rPr>
        <w:t xml:space="preserve"> er ca. 35 %. Maksimal plasmakoncentration nås inden for 1 time. Biotilgængeligheden er større og i mindre grad udsat for individuelle variationer, hvis </w:t>
      </w:r>
      <w:proofErr w:type="spellStart"/>
      <w:r>
        <w:rPr>
          <w:szCs w:val="22"/>
        </w:rPr>
        <w:t>ciclosporin</w:t>
      </w:r>
      <w:proofErr w:type="spellEnd"/>
      <w:r>
        <w:rPr>
          <w:szCs w:val="22"/>
        </w:rPr>
        <w:t xml:space="preserve"> indgives til fastende dyr, i stedet for ved fodring.</w:t>
      </w:r>
    </w:p>
    <w:p w:rsidR="00B74220" w:rsidRDefault="00B74220" w:rsidP="008162CB">
      <w:pPr>
        <w:tabs>
          <w:tab w:val="left" w:pos="1304"/>
        </w:tabs>
        <w:ind w:left="851"/>
        <w:rPr>
          <w:szCs w:val="22"/>
        </w:rPr>
      </w:pPr>
    </w:p>
    <w:p w:rsidR="00B74220" w:rsidRDefault="00B74220" w:rsidP="008162CB">
      <w:pPr>
        <w:tabs>
          <w:tab w:val="left" w:pos="1304"/>
        </w:tabs>
        <w:ind w:left="851"/>
        <w:rPr>
          <w:i/>
          <w:iCs/>
          <w:szCs w:val="22"/>
        </w:rPr>
      </w:pPr>
      <w:r>
        <w:rPr>
          <w:i/>
          <w:iCs/>
          <w:szCs w:val="22"/>
        </w:rPr>
        <w:t>Katte</w:t>
      </w:r>
    </w:p>
    <w:p w:rsidR="00B74220" w:rsidRDefault="00B74220" w:rsidP="008162CB">
      <w:pPr>
        <w:tabs>
          <w:tab w:val="left" w:pos="1304"/>
        </w:tabs>
        <w:ind w:left="851"/>
        <w:rPr>
          <w:szCs w:val="22"/>
        </w:rPr>
      </w:pPr>
      <w:r>
        <w:rPr>
          <w:szCs w:val="22"/>
        </w:rPr>
        <w:lastRenderedPageBreak/>
        <w:t xml:space="preserve">Biotilgængeligheden af </w:t>
      </w:r>
      <w:proofErr w:type="spellStart"/>
      <w:r>
        <w:rPr>
          <w:szCs w:val="22"/>
        </w:rPr>
        <w:t>ciclosporin</w:t>
      </w:r>
      <w:proofErr w:type="spellEnd"/>
      <w:r>
        <w:rPr>
          <w:szCs w:val="22"/>
        </w:rPr>
        <w:t xml:space="preserve"> indgivet til katte, som havde fastet i 24 timer (blandet med en smule foder) eller lige efter fordring, var henholdsvis 29 % og 23 %. Den maksimale plasmakoncentration opnås som regel inden for 1 til 2 timer, når det gives til katte, der har fastet. Efter oral indgift af </w:t>
      </w:r>
      <w:proofErr w:type="spellStart"/>
      <w:r>
        <w:rPr>
          <w:szCs w:val="22"/>
        </w:rPr>
        <w:t>ciclosporin</w:t>
      </w:r>
      <w:proofErr w:type="spellEnd"/>
      <w:r>
        <w:rPr>
          <w:szCs w:val="22"/>
        </w:rPr>
        <w:t xml:space="preserve"> via maden til katte, der har fastet, blev den maksimale plasmakoncentration opnået inden for 1,5 til 5 timer. Absorption kan forlænges med flere timer, hvis det gives efter fordring. På trods af forskelle i lægemidlets farmakokinetik når det blandes i maden eller gives direkte i munden på katte, der er blevet fodret, er det blevet vist, at man opnår det samme kliniske respons.</w:t>
      </w:r>
    </w:p>
    <w:p w:rsidR="00B74220" w:rsidRDefault="00B74220" w:rsidP="008162CB">
      <w:pPr>
        <w:tabs>
          <w:tab w:val="left" w:pos="1304"/>
        </w:tabs>
        <w:ind w:left="851"/>
        <w:rPr>
          <w:szCs w:val="22"/>
        </w:rPr>
      </w:pPr>
    </w:p>
    <w:p w:rsidR="00B74220" w:rsidRDefault="00B74220" w:rsidP="008162CB">
      <w:pPr>
        <w:tabs>
          <w:tab w:val="left" w:pos="1304"/>
        </w:tabs>
        <w:ind w:left="851"/>
        <w:rPr>
          <w:szCs w:val="22"/>
          <w:u w:val="single"/>
        </w:rPr>
      </w:pPr>
      <w:r>
        <w:rPr>
          <w:szCs w:val="22"/>
          <w:u w:val="single"/>
        </w:rPr>
        <w:t>Fordeling</w:t>
      </w:r>
    </w:p>
    <w:p w:rsidR="00B74220" w:rsidRDefault="00B74220" w:rsidP="008162CB">
      <w:pPr>
        <w:tabs>
          <w:tab w:val="left" w:pos="1304"/>
        </w:tabs>
        <w:ind w:left="851"/>
        <w:rPr>
          <w:i/>
          <w:iCs/>
          <w:szCs w:val="22"/>
        </w:rPr>
      </w:pPr>
      <w:r>
        <w:rPr>
          <w:i/>
          <w:iCs/>
          <w:szCs w:val="22"/>
        </w:rPr>
        <w:t>Hunde</w:t>
      </w:r>
    </w:p>
    <w:p w:rsidR="00B74220" w:rsidRDefault="00B74220" w:rsidP="008162CB">
      <w:pPr>
        <w:tabs>
          <w:tab w:val="left" w:pos="1304"/>
        </w:tabs>
        <w:ind w:left="851"/>
        <w:rPr>
          <w:szCs w:val="22"/>
        </w:rPr>
      </w:pPr>
      <w:r>
        <w:rPr>
          <w:szCs w:val="22"/>
        </w:rPr>
        <w:t xml:space="preserve">Hos hunde er fordelingsvolumen omkring 7,8 l/kg. </w:t>
      </w:r>
      <w:proofErr w:type="spellStart"/>
      <w:r>
        <w:rPr>
          <w:szCs w:val="22"/>
        </w:rPr>
        <w:t>Ciclosporin</w:t>
      </w:r>
      <w:proofErr w:type="spellEnd"/>
      <w:r>
        <w:rPr>
          <w:szCs w:val="22"/>
        </w:rPr>
        <w:t xml:space="preserve"> fordeles udbredt til alle væv. Efter gentagen daglig indgift til hunde er koncentrationen af </w:t>
      </w:r>
      <w:proofErr w:type="spellStart"/>
      <w:r>
        <w:rPr>
          <w:szCs w:val="22"/>
        </w:rPr>
        <w:t>ciclosporin</w:t>
      </w:r>
      <w:proofErr w:type="spellEnd"/>
      <w:r>
        <w:rPr>
          <w:szCs w:val="22"/>
        </w:rPr>
        <w:t xml:space="preserve"> i huden adskillige gange højere end i blodet.</w:t>
      </w:r>
    </w:p>
    <w:p w:rsidR="00B74220" w:rsidRDefault="00B74220" w:rsidP="008162CB">
      <w:pPr>
        <w:tabs>
          <w:tab w:val="left" w:pos="1304"/>
        </w:tabs>
        <w:ind w:left="851"/>
        <w:rPr>
          <w:szCs w:val="22"/>
        </w:rPr>
      </w:pPr>
    </w:p>
    <w:p w:rsidR="00B74220" w:rsidRDefault="00B74220" w:rsidP="008162CB">
      <w:pPr>
        <w:tabs>
          <w:tab w:val="left" w:pos="1304"/>
        </w:tabs>
        <w:ind w:left="851"/>
        <w:rPr>
          <w:i/>
          <w:iCs/>
          <w:szCs w:val="22"/>
        </w:rPr>
      </w:pPr>
      <w:r>
        <w:rPr>
          <w:i/>
          <w:iCs/>
          <w:szCs w:val="22"/>
        </w:rPr>
        <w:t>Katte</w:t>
      </w:r>
    </w:p>
    <w:p w:rsidR="00B74220" w:rsidRDefault="00B74220" w:rsidP="008162CB">
      <w:pPr>
        <w:tabs>
          <w:tab w:val="left" w:pos="1304"/>
        </w:tabs>
        <w:ind w:left="851"/>
        <w:rPr>
          <w:szCs w:val="22"/>
        </w:rPr>
      </w:pPr>
      <w:r>
        <w:rPr>
          <w:szCs w:val="22"/>
        </w:rPr>
        <w:t xml:space="preserve">Hos katte er fordelingsvolumen i ligevægtstilstand omkring 3,3 l/kg. </w:t>
      </w:r>
      <w:proofErr w:type="spellStart"/>
      <w:r>
        <w:rPr>
          <w:szCs w:val="22"/>
        </w:rPr>
        <w:t>Ciclosporin</w:t>
      </w:r>
      <w:proofErr w:type="spellEnd"/>
      <w:r>
        <w:rPr>
          <w:szCs w:val="22"/>
        </w:rPr>
        <w:t xml:space="preserve"> fordeles udbredt til alle væv, inklusive huden.</w:t>
      </w:r>
    </w:p>
    <w:p w:rsidR="00B74220" w:rsidRDefault="00B74220" w:rsidP="008162CB">
      <w:pPr>
        <w:tabs>
          <w:tab w:val="left" w:pos="1304"/>
        </w:tabs>
        <w:ind w:left="851"/>
        <w:rPr>
          <w:szCs w:val="22"/>
        </w:rPr>
      </w:pPr>
    </w:p>
    <w:p w:rsidR="00B74220" w:rsidRDefault="00B74220" w:rsidP="008162CB">
      <w:pPr>
        <w:tabs>
          <w:tab w:val="left" w:pos="1304"/>
        </w:tabs>
        <w:ind w:left="851"/>
        <w:rPr>
          <w:szCs w:val="22"/>
          <w:u w:val="single"/>
        </w:rPr>
      </w:pPr>
      <w:r>
        <w:rPr>
          <w:szCs w:val="22"/>
          <w:u w:val="single"/>
        </w:rPr>
        <w:t>Metabolisme</w:t>
      </w:r>
    </w:p>
    <w:p w:rsidR="00B74220" w:rsidRDefault="00B74220" w:rsidP="008162CB">
      <w:pPr>
        <w:tabs>
          <w:tab w:val="left" w:pos="1304"/>
        </w:tabs>
        <w:ind w:left="851"/>
        <w:rPr>
          <w:szCs w:val="22"/>
        </w:rPr>
      </w:pPr>
      <w:proofErr w:type="spellStart"/>
      <w:r>
        <w:rPr>
          <w:szCs w:val="22"/>
        </w:rPr>
        <w:t>Ciclosporin</w:t>
      </w:r>
      <w:proofErr w:type="spellEnd"/>
      <w:r>
        <w:rPr>
          <w:szCs w:val="22"/>
        </w:rPr>
        <w:t xml:space="preserve"> </w:t>
      </w:r>
      <w:proofErr w:type="spellStart"/>
      <w:r>
        <w:rPr>
          <w:szCs w:val="22"/>
        </w:rPr>
        <w:t>metaboliseres</w:t>
      </w:r>
      <w:proofErr w:type="spellEnd"/>
      <w:r>
        <w:rPr>
          <w:szCs w:val="22"/>
        </w:rPr>
        <w:t xml:space="preserve"> hovedsageligt i leveren af </w:t>
      </w:r>
      <w:proofErr w:type="spellStart"/>
      <w:r>
        <w:rPr>
          <w:szCs w:val="22"/>
        </w:rPr>
        <w:t>cytokrom</w:t>
      </w:r>
      <w:proofErr w:type="spellEnd"/>
      <w:r>
        <w:rPr>
          <w:szCs w:val="22"/>
        </w:rPr>
        <w:t xml:space="preserve"> P450 (CYP 3A 4), men også i tarmen. </w:t>
      </w:r>
      <w:proofErr w:type="spellStart"/>
      <w:r>
        <w:rPr>
          <w:szCs w:val="22"/>
        </w:rPr>
        <w:t>Metaboliseringen</w:t>
      </w:r>
      <w:proofErr w:type="spellEnd"/>
      <w:r>
        <w:rPr>
          <w:szCs w:val="22"/>
        </w:rPr>
        <w:t xml:space="preserve"> foregår overvejende ved </w:t>
      </w:r>
      <w:proofErr w:type="spellStart"/>
      <w:r>
        <w:rPr>
          <w:szCs w:val="22"/>
        </w:rPr>
        <w:t>hydroxylering</w:t>
      </w:r>
      <w:proofErr w:type="spellEnd"/>
      <w:r>
        <w:rPr>
          <w:szCs w:val="22"/>
        </w:rPr>
        <w:t xml:space="preserve"> og </w:t>
      </w:r>
      <w:proofErr w:type="spellStart"/>
      <w:r>
        <w:rPr>
          <w:szCs w:val="22"/>
        </w:rPr>
        <w:t>demethylering</w:t>
      </w:r>
      <w:proofErr w:type="spellEnd"/>
      <w:r>
        <w:rPr>
          <w:szCs w:val="22"/>
        </w:rPr>
        <w:t>, hvilket fører til metabolitter med ringe eller ingen aktivitet.</w:t>
      </w:r>
    </w:p>
    <w:p w:rsidR="00B74220" w:rsidRDefault="00B74220" w:rsidP="008162CB">
      <w:pPr>
        <w:tabs>
          <w:tab w:val="left" w:pos="1304"/>
        </w:tabs>
        <w:ind w:left="851"/>
        <w:rPr>
          <w:szCs w:val="22"/>
        </w:rPr>
      </w:pPr>
      <w:r>
        <w:rPr>
          <w:szCs w:val="22"/>
        </w:rPr>
        <w:t xml:space="preserve">Efter de første 24 timer udgør </w:t>
      </w:r>
      <w:proofErr w:type="spellStart"/>
      <w:r>
        <w:rPr>
          <w:szCs w:val="22"/>
        </w:rPr>
        <w:t>uomdannet</w:t>
      </w:r>
      <w:proofErr w:type="spellEnd"/>
      <w:r>
        <w:rPr>
          <w:szCs w:val="22"/>
        </w:rPr>
        <w:t xml:space="preserve"> </w:t>
      </w:r>
      <w:proofErr w:type="spellStart"/>
      <w:r>
        <w:rPr>
          <w:szCs w:val="22"/>
        </w:rPr>
        <w:t>ciclosporin</w:t>
      </w:r>
      <w:proofErr w:type="spellEnd"/>
      <w:r>
        <w:rPr>
          <w:szCs w:val="22"/>
        </w:rPr>
        <w:t xml:space="preserve"> ca. 25 % af koncentrationen i cirkulerende blod hos hunde.</w:t>
      </w:r>
    </w:p>
    <w:p w:rsidR="00B74220" w:rsidRDefault="00B74220" w:rsidP="008162CB">
      <w:pPr>
        <w:tabs>
          <w:tab w:val="left" w:pos="1304"/>
        </w:tabs>
        <w:ind w:left="851"/>
        <w:rPr>
          <w:szCs w:val="22"/>
        </w:rPr>
      </w:pPr>
    </w:p>
    <w:p w:rsidR="00B74220" w:rsidRDefault="00B74220" w:rsidP="008162CB">
      <w:pPr>
        <w:tabs>
          <w:tab w:val="left" w:pos="1304"/>
        </w:tabs>
        <w:ind w:left="851"/>
        <w:rPr>
          <w:szCs w:val="22"/>
          <w:u w:val="single"/>
        </w:rPr>
      </w:pPr>
      <w:r>
        <w:rPr>
          <w:szCs w:val="22"/>
          <w:u w:val="single"/>
        </w:rPr>
        <w:t>Elimination</w:t>
      </w:r>
    </w:p>
    <w:p w:rsidR="00B74220" w:rsidRDefault="00B74220" w:rsidP="008162CB">
      <w:pPr>
        <w:tabs>
          <w:tab w:val="left" w:pos="1304"/>
        </w:tabs>
        <w:ind w:left="851"/>
        <w:rPr>
          <w:szCs w:val="22"/>
        </w:rPr>
      </w:pPr>
      <w:r>
        <w:rPr>
          <w:szCs w:val="22"/>
        </w:rPr>
        <w:t xml:space="preserve">Elimination sker hovedsageligt via fæces. En lille del af den indgivne </w:t>
      </w:r>
      <w:proofErr w:type="gramStart"/>
      <w:r>
        <w:rPr>
          <w:szCs w:val="22"/>
        </w:rPr>
        <w:t>dosis  udskilles</w:t>
      </w:r>
      <w:proofErr w:type="gramEnd"/>
      <w:r>
        <w:rPr>
          <w:szCs w:val="22"/>
        </w:rPr>
        <w:t xml:space="preserve"> i urinen som inaktive metabolitter. Hos hunde er eliminationshalveringstiden er i intervallet fra 10 til 20 timer. Der sås ingen signifikant akkumulation i blodet hos hunde, behandlet i et år. Hos katte ses der ved gentagne doser en let bioakkumulation forbundet med lægemidlets lange halveringstid (ca. 24 timer). Hos katte opnås ligevægtstilstanden i løbet af 7 dage med en bioakkumulationsfaktor på mellem 1,0 og 1,72 (typisk 1-2).</w:t>
      </w:r>
    </w:p>
    <w:p w:rsidR="00B74220" w:rsidRDefault="00B74220" w:rsidP="008162CB">
      <w:pPr>
        <w:tabs>
          <w:tab w:val="left" w:pos="1304"/>
        </w:tabs>
        <w:ind w:left="851"/>
        <w:rPr>
          <w:szCs w:val="22"/>
        </w:rPr>
      </w:pPr>
      <w:r>
        <w:rPr>
          <w:szCs w:val="22"/>
        </w:rPr>
        <w:t xml:space="preserve">Hos katte er der stor individuel variation i plasmakoncentration. Ved den anbefalede dosis forudsiger plasmakoncentrationen af </w:t>
      </w:r>
      <w:proofErr w:type="spellStart"/>
      <w:r>
        <w:rPr>
          <w:szCs w:val="22"/>
        </w:rPr>
        <w:t>ciclosporin</w:t>
      </w:r>
      <w:proofErr w:type="spellEnd"/>
      <w:r>
        <w:rPr>
          <w:szCs w:val="22"/>
        </w:rPr>
        <w:t xml:space="preserve"> ikke det kliniske respons, og derfor anbefales </w:t>
      </w:r>
      <w:proofErr w:type="spellStart"/>
      <w:r>
        <w:rPr>
          <w:szCs w:val="22"/>
        </w:rPr>
        <w:t>monitoring</w:t>
      </w:r>
      <w:proofErr w:type="spellEnd"/>
      <w:r>
        <w:rPr>
          <w:szCs w:val="22"/>
        </w:rPr>
        <w:t xml:space="preserve"> af blodniveau ikke.</w:t>
      </w:r>
    </w:p>
    <w:p w:rsidR="00B74220" w:rsidRDefault="00B74220" w:rsidP="00B74220">
      <w:pPr>
        <w:tabs>
          <w:tab w:val="left" w:pos="1304"/>
        </w:tabs>
        <w:rPr>
          <w:szCs w:val="22"/>
        </w:rPr>
      </w:pPr>
    </w:p>
    <w:p w:rsidR="00B74220" w:rsidRDefault="00B74220" w:rsidP="00B74220">
      <w:pPr>
        <w:tabs>
          <w:tab w:val="left" w:pos="1304"/>
        </w:tabs>
        <w:rPr>
          <w:szCs w:val="22"/>
        </w:rPr>
      </w:pPr>
    </w:p>
    <w:p w:rsidR="00B74220" w:rsidRDefault="00B74220" w:rsidP="008162CB">
      <w:pPr>
        <w:pStyle w:val="Style1"/>
        <w:ind w:left="851" w:hanging="851"/>
      </w:pPr>
      <w:r>
        <w:t>5.</w:t>
      </w:r>
      <w:r>
        <w:tab/>
        <w:t>FARMACEUTISKE OPLYSNINGER</w:t>
      </w:r>
    </w:p>
    <w:p w:rsidR="00B74220" w:rsidRDefault="00B74220" w:rsidP="00B74220">
      <w:pPr>
        <w:tabs>
          <w:tab w:val="left" w:pos="1304"/>
        </w:tabs>
        <w:rPr>
          <w:szCs w:val="22"/>
        </w:rPr>
      </w:pPr>
    </w:p>
    <w:p w:rsidR="00B74220" w:rsidRDefault="00B74220" w:rsidP="008162CB">
      <w:pPr>
        <w:pStyle w:val="Style1"/>
        <w:ind w:left="851" w:hanging="851"/>
      </w:pPr>
      <w:r>
        <w:t>5.1</w:t>
      </w:r>
      <w:r>
        <w:tab/>
        <w:t>Væsentlige uforligeligheder</w:t>
      </w:r>
    </w:p>
    <w:p w:rsidR="00B74220" w:rsidRDefault="00B74220" w:rsidP="00B74220">
      <w:pPr>
        <w:tabs>
          <w:tab w:val="left" w:pos="1304"/>
        </w:tabs>
        <w:rPr>
          <w:szCs w:val="22"/>
        </w:rPr>
      </w:pPr>
    </w:p>
    <w:p w:rsidR="00B74220" w:rsidRDefault="00B74220" w:rsidP="008162CB">
      <w:pPr>
        <w:tabs>
          <w:tab w:val="left" w:pos="1304"/>
        </w:tabs>
        <w:ind w:left="851"/>
        <w:rPr>
          <w:szCs w:val="22"/>
        </w:rPr>
      </w:pPr>
      <w:r>
        <w:rPr>
          <w:szCs w:val="22"/>
        </w:rPr>
        <w:t>Da der ikke foreligger undersøgelser vedrørende eventuelle uforligeligheder, bør dette veterinærlægemiddel ikke blandes med andre veterinærlægemidler.</w:t>
      </w:r>
    </w:p>
    <w:p w:rsidR="00B74220" w:rsidRDefault="00B74220" w:rsidP="00B74220">
      <w:pPr>
        <w:tabs>
          <w:tab w:val="left" w:pos="1304"/>
        </w:tabs>
        <w:rPr>
          <w:szCs w:val="22"/>
        </w:rPr>
      </w:pPr>
    </w:p>
    <w:p w:rsidR="00B74220" w:rsidRDefault="00B74220" w:rsidP="008162CB">
      <w:pPr>
        <w:pStyle w:val="Style1"/>
        <w:ind w:left="851" w:hanging="851"/>
      </w:pPr>
      <w:r>
        <w:t>5.2</w:t>
      </w:r>
      <w:r>
        <w:tab/>
        <w:t>Opbevaringstid</w:t>
      </w:r>
    </w:p>
    <w:p w:rsidR="00B74220" w:rsidRDefault="00B74220" w:rsidP="00B74220">
      <w:pPr>
        <w:tabs>
          <w:tab w:val="left" w:pos="1304"/>
        </w:tabs>
        <w:rPr>
          <w:szCs w:val="22"/>
        </w:rPr>
      </w:pPr>
    </w:p>
    <w:p w:rsidR="00B74220" w:rsidRDefault="00B74220" w:rsidP="008162CB">
      <w:pPr>
        <w:ind w:left="851"/>
        <w:rPr>
          <w:szCs w:val="22"/>
        </w:rPr>
      </w:pPr>
      <w:r>
        <w:rPr>
          <w:szCs w:val="22"/>
        </w:rPr>
        <w:t>Opbevaringstid for veterinærlægemidlet i salgspakning: 2 år.</w:t>
      </w:r>
    </w:p>
    <w:p w:rsidR="00B74220" w:rsidRDefault="00B74220" w:rsidP="008162CB">
      <w:pPr>
        <w:ind w:left="851"/>
        <w:rPr>
          <w:szCs w:val="22"/>
        </w:rPr>
      </w:pPr>
      <w:r>
        <w:rPr>
          <w:szCs w:val="22"/>
        </w:rPr>
        <w:t>Opbevaringstid efter første åbning af den indre emballage: 6 måneder.</w:t>
      </w:r>
    </w:p>
    <w:p w:rsidR="00B74220" w:rsidRDefault="00B74220" w:rsidP="00B74220">
      <w:pPr>
        <w:tabs>
          <w:tab w:val="left" w:pos="1304"/>
        </w:tabs>
        <w:rPr>
          <w:szCs w:val="22"/>
        </w:rPr>
      </w:pPr>
    </w:p>
    <w:p w:rsidR="00B74220" w:rsidRDefault="00B74220" w:rsidP="008162CB">
      <w:pPr>
        <w:pStyle w:val="Style1"/>
        <w:ind w:left="851" w:hanging="851"/>
      </w:pPr>
      <w:r>
        <w:t>5.3</w:t>
      </w:r>
      <w:r>
        <w:tab/>
        <w:t>Særlige forholdsregler vedrørende opbevaring</w:t>
      </w:r>
    </w:p>
    <w:p w:rsidR="00B74220" w:rsidRDefault="00B74220" w:rsidP="00B74220">
      <w:pPr>
        <w:tabs>
          <w:tab w:val="left" w:pos="1304"/>
        </w:tabs>
        <w:rPr>
          <w:szCs w:val="22"/>
        </w:rPr>
      </w:pPr>
    </w:p>
    <w:p w:rsidR="00B74220" w:rsidRDefault="00B74220" w:rsidP="008162CB">
      <w:pPr>
        <w:ind w:left="851"/>
        <w:rPr>
          <w:szCs w:val="22"/>
        </w:rPr>
      </w:pPr>
      <w:r>
        <w:rPr>
          <w:szCs w:val="22"/>
        </w:rPr>
        <w:t>Må ikke opbevares i køleskab.</w:t>
      </w:r>
    </w:p>
    <w:p w:rsidR="00B74220" w:rsidRDefault="00B74220" w:rsidP="008162CB">
      <w:pPr>
        <w:ind w:left="851"/>
        <w:rPr>
          <w:szCs w:val="22"/>
        </w:rPr>
      </w:pPr>
      <w:r>
        <w:rPr>
          <w:szCs w:val="22"/>
        </w:rPr>
        <w:lastRenderedPageBreak/>
        <w:t>Opbevares i den originale beholder for at beskytte mod lys.</w:t>
      </w:r>
    </w:p>
    <w:p w:rsidR="00B74220" w:rsidRDefault="00B74220" w:rsidP="008162CB">
      <w:pPr>
        <w:ind w:left="851"/>
        <w:rPr>
          <w:szCs w:val="22"/>
        </w:rPr>
      </w:pPr>
      <w:r>
        <w:rPr>
          <w:szCs w:val="22"/>
        </w:rPr>
        <w:t>Veterinærlægemidlet indeholder fedtkomponenter af naturlig oprindelse, som kan blive faste ved lavere temperaturer. Der kan forekomme en uklarhed eller en geleagtig dannelse ved temperaturer under 15 °C, som imidlertid er reversibel ved temperaturer op til 25 °C. Dette påvirker dog hverken doseringen eller veterinærlægemidlets sikkerhed og virkning.</w:t>
      </w:r>
    </w:p>
    <w:p w:rsidR="00B74220" w:rsidRDefault="00B74220" w:rsidP="00B74220">
      <w:pPr>
        <w:tabs>
          <w:tab w:val="left" w:pos="1304"/>
        </w:tabs>
        <w:rPr>
          <w:szCs w:val="22"/>
        </w:rPr>
      </w:pPr>
    </w:p>
    <w:p w:rsidR="00B74220" w:rsidRDefault="00B74220" w:rsidP="008162CB">
      <w:pPr>
        <w:pStyle w:val="Style1"/>
        <w:ind w:left="851" w:hanging="851"/>
      </w:pPr>
      <w:r>
        <w:t>5.4</w:t>
      </w:r>
      <w:r>
        <w:tab/>
        <w:t>Den indre emballages art og indhold</w:t>
      </w:r>
    </w:p>
    <w:p w:rsidR="00B74220" w:rsidRDefault="00B74220" w:rsidP="00B74220">
      <w:pPr>
        <w:tabs>
          <w:tab w:val="left" w:pos="1304"/>
        </w:tabs>
        <w:rPr>
          <w:szCs w:val="22"/>
        </w:rPr>
      </w:pPr>
    </w:p>
    <w:p w:rsidR="00B74220" w:rsidRDefault="00B74220" w:rsidP="008162CB">
      <w:pPr>
        <w:tabs>
          <w:tab w:val="left" w:pos="1304"/>
        </w:tabs>
        <w:ind w:left="851"/>
        <w:rPr>
          <w:szCs w:val="22"/>
        </w:rPr>
      </w:pPr>
      <w:r>
        <w:rPr>
          <w:szCs w:val="22"/>
        </w:rPr>
        <w:t>Brune glasflasker (type III) med 25, 50 eller 100 ml, lukket med en børnesikret lukning (polypropylen (PP) skruelåg med Teflonindlæg).</w:t>
      </w:r>
    </w:p>
    <w:p w:rsidR="00B74220" w:rsidRDefault="00B74220" w:rsidP="008162CB">
      <w:pPr>
        <w:tabs>
          <w:tab w:val="left" w:pos="1304"/>
        </w:tabs>
        <w:ind w:left="851"/>
        <w:rPr>
          <w:szCs w:val="22"/>
        </w:rPr>
      </w:pPr>
      <w:r>
        <w:rPr>
          <w:szCs w:val="22"/>
        </w:rPr>
        <w:t>En flaske og et leveringssystem (bestående af et børnesikret skruelåg af HDPE og en 1 ml PP doseringssprøjte til katte og en 5 ml PP doseringssprøjte til hunde), pakket i en kartonæske.</w:t>
      </w:r>
    </w:p>
    <w:p w:rsidR="00B74220" w:rsidRDefault="00B74220" w:rsidP="008162CB">
      <w:pPr>
        <w:tabs>
          <w:tab w:val="left" w:pos="1304"/>
        </w:tabs>
        <w:ind w:left="851"/>
        <w:rPr>
          <w:szCs w:val="22"/>
        </w:rPr>
      </w:pPr>
      <w:r>
        <w:rPr>
          <w:szCs w:val="22"/>
        </w:rPr>
        <w:t>Ikke alle pakningsstørrelser er nødvendigvis markedsført.</w:t>
      </w:r>
    </w:p>
    <w:p w:rsidR="00B74220" w:rsidRDefault="00B74220" w:rsidP="00B74220">
      <w:pPr>
        <w:tabs>
          <w:tab w:val="left" w:pos="1304"/>
        </w:tabs>
        <w:rPr>
          <w:szCs w:val="22"/>
        </w:rPr>
      </w:pPr>
    </w:p>
    <w:p w:rsidR="00B74220" w:rsidRDefault="00B74220" w:rsidP="008162CB">
      <w:pPr>
        <w:pStyle w:val="Style1"/>
        <w:ind w:left="851" w:hanging="851"/>
      </w:pPr>
      <w:r>
        <w:t>5.5</w:t>
      </w:r>
      <w:r>
        <w:tab/>
        <w:t>Særlige forholdsregler vedrørende bortskaffelse af ubrugte veterinærlægemidler eller affaldsmaterialer fra brugen heraf</w:t>
      </w:r>
    </w:p>
    <w:p w:rsidR="00B74220" w:rsidRDefault="00B74220" w:rsidP="00B74220">
      <w:pPr>
        <w:tabs>
          <w:tab w:val="left" w:pos="1304"/>
        </w:tabs>
        <w:rPr>
          <w:szCs w:val="22"/>
        </w:rPr>
      </w:pPr>
    </w:p>
    <w:p w:rsidR="00B74220" w:rsidRDefault="00B74220" w:rsidP="008162CB">
      <w:pPr>
        <w:tabs>
          <w:tab w:val="left" w:pos="1304"/>
        </w:tabs>
        <w:ind w:left="851"/>
        <w:rPr>
          <w:szCs w:val="22"/>
        </w:rPr>
      </w:pPr>
      <w:r>
        <w:rPr>
          <w:szCs w:val="22"/>
        </w:rPr>
        <w:t>Lægemidler må ikke bortskaffes sammen med spildevand eller husholdningsaffald.</w:t>
      </w:r>
    </w:p>
    <w:p w:rsidR="00B74220" w:rsidRDefault="00B74220" w:rsidP="008162CB">
      <w:pPr>
        <w:tabs>
          <w:tab w:val="left" w:pos="1304"/>
        </w:tabs>
        <w:ind w:left="851"/>
        <w:rPr>
          <w:szCs w:val="22"/>
        </w:rPr>
      </w:pPr>
    </w:p>
    <w:p w:rsidR="00B74220" w:rsidRDefault="00B74220" w:rsidP="008162CB">
      <w:pPr>
        <w:tabs>
          <w:tab w:val="left" w:pos="1304"/>
        </w:tabs>
        <w:ind w:left="851"/>
        <w:rPr>
          <w:szCs w:val="22"/>
        </w:rPr>
      </w:pPr>
      <w:r>
        <w:rPr>
          <w:szCs w:val="22"/>
        </w:rPr>
        <w:t>Benyt returordninger ved bortskaffelse af ubrugte veterinærlægemidler eller affaldsmaterialer herfra i henhold til lokale retningslinjer og nationale indsamlingsordninger, der er relevante for det pågældende veterinærlægemiddel.</w:t>
      </w:r>
    </w:p>
    <w:p w:rsidR="00B74220" w:rsidRDefault="00B74220" w:rsidP="00B74220">
      <w:pPr>
        <w:tabs>
          <w:tab w:val="left" w:pos="1304"/>
        </w:tabs>
        <w:rPr>
          <w:szCs w:val="22"/>
        </w:rPr>
      </w:pPr>
    </w:p>
    <w:p w:rsidR="00B74220" w:rsidRDefault="00B74220" w:rsidP="00B74220">
      <w:pPr>
        <w:tabs>
          <w:tab w:val="left" w:pos="1304"/>
        </w:tabs>
        <w:rPr>
          <w:szCs w:val="22"/>
        </w:rPr>
      </w:pPr>
    </w:p>
    <w:p w:rsidR="00B74220" w:rsidRDefault="00B74220" w:rsidP="008162CB">
      <w:pPr>
        <w:pStyle w:val="Style1"/>
        <w:ind w:left="851" w:hanging="851"/>
      </w:pPr>
      <w:r>
        <w:t>6.</w:t>
      </w:r>
      <w:r>
        <w:tab/>
        <w:t>NAVN PÅ INDEHAVEREN AF MARKEDSFØRINGSTILLADELSEN</w:t>
      </w:r>
    </w:p>
    <w:p w:rsidR="00B74220" w:rsidRDefault="00B74220" w:rsidP="00B74220">
      <w:pPr>
        <w:tabs>
          <w:tab w:val="left" w:pos="1304"/>
        </w:tabs>
        <w:rPr>
          <w:szCs w:val="22"/>
        </w:rPr>
      </w:pPr>
    </w:p>
    <w:p w:rsidR="00B74220" w:rsidRDefault="00B74220" w:rsidP="008162CB">
      <w:pPr>
        <w:ind w:left="851"/>
        <w:rPr>
          <w:szCs w:val="22"/>
        </w:rPr>
      </w:pPr>
      <w:r>
        <w:rPr>
          <w:szCs w:val="22"/>
        </w:rPr>
        <w:t xml:space="preserve">Le </w:t>
      </w:r>
      <w:proofErr w:type="spellStart"/>
      <w:r>
        <w:rPr>
          <w:szCs w:val="22"/>
        </w:rPr>
        <w:t>Vet</w:t>
      </w:r>
      <w:proofErr w:type="spellEnd"/>
      <w:r>
        <w:rPr>
          <w:szCs w:val="22"/>
        </w:rPr>
        <w:t xml:space="preserve"> </w:t>
      </w:r>
      <w:proofErr w:type="spellStart"/>
      <w:r>
        <w:rPr>
          <w:szCs w:val="22"/>
        </w:rPr>
        <w:t>Beheer</w:t>
      </w:r>
      <w:proofErr w:type="spellEnd"/>
      <w:r>
        <w:rPr>
          <w:szCs w:val="22"/>
        </w:rPr>
        <w:t xml:space="preserve"> B.V.</w:t>
      </w:r>
    </w:p>
    <w:p w:rsidR="00B74220" w:rsidRPr="00B74220" w:rsidRDefault="00B74220" w:rsidP="008162CB">
      <w:pPr>
        <w:ind w:left="851"/>
        <w:rPr>
          <w:szCs w:val="22"/>
          <w:lang w:val="en-US"/>
        </w:rPr>
      </w:pPr>
      <w:proofErr w:type="spellStart"/>
      <w:r w:rsidRPr="00B74220">
        <w:rPr>
          <w:szCs w:val="22"/>
          <w:lang w:val="en-US"/>
        </w:rPr>
        <w:t>Wilgenweg</w:t>
      </w:r>
      <w:proofErr w:type="spellEnd"/>
      <w:r w:rsidRPr="00B74220">
        <w:rPr>
          <w:szCs w:val="22"/>
          <w:lang w:val="en-US"/>
        </w:rPr>
        <w:t xml:space="preserve"> 7</w:t>
      </w:r>
    </w:p>
    <w:p w:rsidR="00B74220" w:rsidRPr="00B74220" w:rsidRDefault="00B74220" w:rsidP="008162CB">
      <w:pPr>
        <w:ind w:left="851"/>
        <w:rPr>
          <w:szCs w:val="22"/>
          <w:lang w:val="en-US"/>
        </w:rPr>
      </w:pPr>
      <w:r w:rsidRPr="00B74220">
        <w:rPr>
          <w:szCs w:val="22"/>
          <w:lang w:val="en-US"/>
        </w:rPr>
        <w:t xml:space="preserve">3421 TV </w:t>
      </w:r>
      <w:proofErr w:type="spellStart"/>
      <w:r w:rsidRPr="00B74220">
        <w:rPr>
          <w:szCs w:val="22"/>
          <w:lang w:val="en-US"/>
        </w:rPr>
        <w:t>Oudewater</w:t>
      </w:r>
      <w:proofErr w:type="spellEnd"/>
    </w:p>
    <w:p w:rsidR="00B74220" w:rsidRPr="00B74220" w:rsidRDefault="00B74220" w:rsidP="008162CB">
      <w:pPr>
        <w:ind w:left="851"/>
        <w:rPr>
          <w:szCs w:val="22"/>
          <w:lang w:val="en-US"/>
        </w:rPr>
      </w:pPr>
      <w:r w:rsidRPr="00B74220">
        <w:rPr>
          <w:szCs w:val="22"/>
          <w:lang w:val="en-US"/>
        </w:rPr>
        <w:t>Holland</w:t>
      </w:r>
    </w:p>
    <w:p w:rsidR="00B74220" w:rsidRPr="00B74220" w:rsidRDefault="00B74220" w:rsidP="008162CB">
      <w:pPr>
        <w:ind w:left="851"/>
        <w:rPr>
          <w:szCs w:val="22"/>
          <w:lang w:val="en-US"/>
        </w:rPr>
      </w:pPr>
    </w:p>
    <w:p w:rsidR="00B74220" w:rsidRPr="00B74220" w:rsidRDefault="00B74220" w:rsidP="008162CB">
      <w:pPr>
        <w:ind w:left="851"/>
        <w:rPr>
          <w:b/>
          <w:szCs w:val="22"/>
          <w:lang w:val="en-US"/>
        </w:rPr>
      </w:pPr>
      <w:proofErr w:type="spellStart"/>
      <w:r w:rsidRPr="00B74220">
        <w:rPr>
          <w:b/>
          <w:szCs w:val="22"/>
          <w:lang w:val="en-US"/>
        </w:rPr>
        <w:t>Repræsentant</w:t>
      </w:r>
      <w:proofErr w:type="spellEnd"/>
    </w:p>
    <w:p w:rsidR="00B74220" w:rsidRDefault="00B74220" w:rsidP="008162CB">
      <w:pPr>
        <w:ind w:left="851"/>
        <w:rPr>
          <w:szCs w:val="22"/>
          <w:lang w:val="en-US"/>
        </w:rPr>
      </w:pPr>
      <w:proofErr w:type="spellStart"/>
      <w:r>
        <w:rPr>
          <w:szCs w:val="22"/>
          <w:lang w:val="en-US"/>
        </w:rPr>
        <w:t>Dechra</w:t>
      </w:r>
      <w:proofErr w:type="spellEnd"/>
      <w:r>
        <w:rPr>
          <w:szCs w:val="22"/>
          <w:lang w:val="en-US"/>
        </w:rPr>
        <w:t xml:space="preserve"> Veterinary Products A/S</w:t>
      </w:r>
    </w:p>
    <w:p w:rsidR="00B74220" w:rsidRDefault="00B74220" w:rsidP="008162CB">
      <w:pPr>
        <w:ind w:left="851"/>
        <w:rPr>
          <w:szCs w:val="22"/>
        </w:rPr>
      </w:pPr>
      <w:proofErr w:type="spellStart"/>
      <w:r>
        <w:rPr>
          <w:szCs w:val="22"/>
        </w:rPr>
        <w:t>Mekuvej</w:t>
      </w:r>
      <w:proofErr w:type="spellEnd"/>
      <w:r>
        <w:rPr>
          <w:szCs w:val="22"/>
        </w:rPr>
        <w:t xml:space="preserve"> 9</w:t>
      </w:r>
    </w:p>
    <w:p w:rsidR="00B74220" w:rsidRDefault="00B74220" w:rsidP="008162CB">
      <w:pPr>
        <w:ind w:left="851"/>
        <w:rPr>
          <w:szCs w:val="22"/>
        </w:rPr>
      </w:pPr>
      <w:r>
        <w:rPr>
          <w:szCs w:val="22"/>
        </w:rPr>
        <w:t>7171 Uldum</w:t>
      </w:r>
    </w:p>
    <w:p w:rsidR="00B74220" w:rsidRDefault="00B74220" w:rsidP="008162CB">
      <w:pPr>
        <w:ind w:left="851"/>
        <w:rPr>
          <w:szCs w:val="22"/>
        </w:rPr>
      </w:pPr>
      <w:r>
        <w:rPr>
          <w:szCs w:val="22"/>
        </w:rPr>
        <w:t>Danmark</w:t>
      </w:r>
    </w:p>
    <w:p w:rsidR="00B74220" w:rsidRDefault="00B74220" w:rsidP="00B74220">
      <w:pPr>
        <w:ind w:left="851" w:hanging="851"/>
        <w:rPr>
          <w:szCs w:val="22"/>
        </w:rPr>
      </w:pPr>
    </w:p>
    <w:p w:rsidR="00B74220" w:rsidRDefault="00B74220" w:rsidP="00B74220">
      <w:pPr>
        <w:tabs>
          <w:tab w:val="left" w:pos="1304"/>
        </w:tabs>
        <w:rPr>
          <w:szCs w:val="22"/>
        </w:rPr>
      </w:pPr>
    </w:p>
    <w:p w:rsidR="00B74220" w:rsidRDefault="00B74220" w:rsidP="008162CB">
      <w:pPr>
        <w:pStyle w:val="Style1"/>
        <w:ind w:left="851" w:hanging="851"/>
      </w:pPr>
      <w:r>
        <w:t>7.</w:t>
      </w:r>
      <w:r>
        <w:tab/>
        <w:t>MARKEDSFØRINGSTILLADELSESNUMMER (-NUMRE)</w:t>
      </w:r>
    </w:p>
    <w:p w:rsidR="00B74220" w:rsidRDefault="00B74220" w:rsidP="00B74220">
      <w:pPr>
        <w:tabs>
          <w:tab w:val="left" w:pos="1304"/>
        </w:tabs>
        <w:rPr>
          <w:szCs w:val="22"/>
        </w:rPr>
      </w:pPr>
    </w:p>
    <w:p w:rsidR="00B74220" w:rsidRDefault="00B74220" w:rsidP="008162CB">
      <w:pPr>
        <w:tabs>
          <w:tab w:val="left" w:pos="1304"/>
        </w:tabs>
        <w:ind w:firstLine="851"/>
        <w:rPr>
          <w:szCs w:val="22"/>
        </w:rPr>
      </w:pPr>
      <w:r>
        <w:rPr>
          <w:szCs w:val="22"/>
        </w:rPr>
        <w:t>50798</w:t>
      </w:r>
    </w:p>
    <w:p w:rsidR="00B74220" w:rsidRDefault="00B74220" w:rsidP="00B74220">
      <w:pPr>
        <w:tabs>
          <w:tab w:val="left" w:pos="1304"/>
        </w:tabs>
        <w:rPr>
          <w:szCs w:val="22"/>
        </w:rPr>
      </w:pPr>
    </w:p>
    <w:p w:rsidR="00B74220" w:rsidRDefault="00B74220" w:rsidP="00B74220">
      <w:pPr>
        <w:tabs>
          <w:tab w:val="left" w:pos="1304"/>
        </w:tabs>
        <w:rPr>
          <w:szCs w:val="22"/>
        </w:rPr>
      </w:pPr>
    </w:p>
    <w:p w:rsidR="00B74220" w:rsidRDefault="00B74220" w:rsidP="008162CB">
      <w:pPr>
        <w:pStyle w:val="Style1"/>
        <w:ind w:left="851" w:hanging="851"/>
      </w:pPr>
      <w:r>
        <w:t>8.</w:t>
      </w:r>
      <w:r>
        <w:tab/>
        <w:t>DATO FOR FØRSTE TILLADELSE</w:t>
      </w:r>
    </w:p>
    <w:p w:rsidR="00B74220" w:rsidRDefault="00B74220" w:rsidP="00B74220">
      <w:pPr>
        <w:tabs>
          <w:tab w:val="left" w:pos="1304"/>
        </w:tabs>
        <w:rPr>
          <w:szCs w:val="22"/>
        </w:rPr>
      </w:pPr>
    </w:p>
    <w:p w:rsidR="00B74220" w:rsidRDefault="00B74220" w:rsidP="008162CB">
      <w:pPr>
        <w:tabs>
          <w:tab w:val="left" w:pos="1304"/>
        </w:tabs>
        <w:ind w:firstLine="851"/>
        <w:rPr>
          <w:szCs w:val="22"/>
        </w:rPr>
      </w:pPr>
      <w:r>
        <w:rPr>
          <w:szCs w:val="22"/>
        </w:rPr>
        <w:t>4. november 2013</w:t>
      </w:r>
    </w:p>
    <w:p w:rsidR="00B74220" w:rsidRDefault="00B74220" w:rsidP="00B74220">
      <w:pPr>
        <w:tabs>
          <w:tab w:val="left" w:pos="1304"/>
        </w:tabs>
        <w:rPr>
          <w:szCs w:val="22"/>
        </w:rPr>
      </w:pPr>
    </w:p>
    <w:p w:rsidR="00B74220" w:rsidRDefault="00B74220" w:rsidP="00B74220">
      <w:pPr>
        <w:tabs>
          <w:tab w:val="left" w:pos="1304"/>
        </w:tabs>
        <w:rPr>
          <w:szCs w:val="22"/>
        </w:rPr>
      </w:pPr>
    </w:p>
    <w:p w:rsidR="00B74220" w:rsidRDefault="00B74220" w:rsidP="008162CB">
      <w:pPr>
        <w:pStyle w:val="Style1"/>
        <w:ind w:left="851" w:hanging="851"/>
      </w:pPr>
      <w:r>
        <w:t>9.</w:t>
      </w:r>
      <w:r>
        <w:tab/>
        <w:t>DATO FOR SENESTE ÆNDRING AF PRODUKTRESUMÉET</w:t>
      </w:r>
    </w:p>
    <w:p w:rsidR="00B74220" w:rsidRDefault="00B74220" w:rsidP="00B74220">
      <w:pPr>
        <w:tabs>
          <w:tab w:val="left" w:pos="1304"/>
        </w:tabs>
        <w:rPr>
          <w:szCs w:val="22"/>
        </w:rPr>
      </w:pPr>
    </w:p>
    <w:p w:rsidR="00B74220" w:rsidRDefault="008162CB" w:rsidP="008162CB">
      <w:pPr>
        <w:tabs>
          <w:tab w:val="left" w:pos="1304"/>
        </w:tabs>
        <w:ind w:firstLine="851"/>
        <w:rPr>
          <w:szCs w:val="22"/>
        </w:rPr>
      </w:pPr>
      <w:r>
        <w:rPr>
          <w:szCs w:val="22"/>
        </w:rPr>
        <w:t>26. marts 2025</w:t>
      </w:r>
    </w:p>
    <w:p w:rsidR="008162CB" w:rsidRDefault="008162CB" w:rsidP="00B74220">
      <w:pPr>
        <w:pStyle w:val="Style1"/>
      </w:pPr>
    </w:p>
    <w:p w:rsidR="008162CB" w:rsidRDefault="008162CB" w:rsidP="00B74220">
      <w:pPr>
        <w:pStyle w:val="Style1"/>
      </w:pPr>
    </w:p>
    <w:p w:rsidR="00B74220" w:rsidRDefault="00B74220" w:rsidP="00B74220">
      <w:pPr>
        <w:pStyle w:val="Style1"/>
      </w:pPr>
      <w:r>
        <w:lastRenderedPageBreak/>
        <w:t>10.</w:t>
      </w:r>
      <w:r>
        <w:tab/>
        <w:t>KLASSIFICERING AF VETERINÆRLÆGEMIDLER</w:t>
      </w:r>
    </w:p>
    <w:p w:rsidR="00B74220" w:rsidRDefault="00B74220" w:rsidP="00B74220">
      <w:pPr>
        <w:tabs>
          <w:tab w:val="left" w:pos="1304"/>
        </w:tabs>
        <w:rPr>
          <w:szCs w:val="22"/>
        </w:rPr>
      </w:pPr>
    </w:p>
    <w:p w:rsidR="00B74220" w:rsidRDefault="00B74220" w:rsidP="00745828">
      <w:pPr>
        <w:tabs>
          <w:tab w:val="left" w:pos="1304"/>
        </w:tabs>
        <w:ind w:left="567"/>
        <w:rPr>
          <w:szCs w:val="22"/>
        </w:rPr>
      </w:pPr>
      <w:r>
        <w:rPr>
          <w:szCs w:val="22"/>
        </w:rPr>
        <w:t>B</w:t>
      </w:r>
    </w:p>
    <w:p w:rsidR="00B74220" w:rsidRDefault="00B74220" w:rsidP="00B74220">
      <w:pPr>
        <w:tabs>
          <w:tab w:val="left" w:pos="1304"/>
        </w:tabs>
        <w:rPr>
          <w:szCs w:val="22"/>
        </w:rPr>
      </w:pPr>
      <w:bookmarkStart w:id="2" w:name="_Hlk73467306"/>
    </w:p>
    <w:p w:rsidR="00B74220" w:rsidRDefault="00B74220" w:rsidP="00745828">
      <w:pPr>
        <w:tabs>
          <w:tab w:val="left" w:pos="1304"/>
        </w:tabs>
        <w:ind w:left="567"/>
        <w:rPr>
          <w:szCs w:val="22"/>
        </w:rPr>
      </w:pPr>
      <w:r>
        <w:rPr>
          <w:szCs w:val="22"/>
        </w:rPr>
        <w:t>Der findes detaljerede oplysninger om dette veterinærlægemiddel i EU-lægemiddeldatabasen.</w:t>
      </w:r>
      <w:bookmarkEnd w:id="2"/>
    </w:p>
    <w:p w:rsidR="0005548F" w:rsidRPr="00B02146" w:rsidRDefault="0005548F" w:rsidP="00B74220">
      <w:pPr>
        <w:ind w:left="851" w:hanging="851"/>
        <w:jc w:val="both"/>
      </w:pPr>
    </w:p>
    <w:p w:rsidR="0003527F" w:rsidRPr="0005548F" w:rsidRDefault="0003527F" w:rsidP="0005548F"/>
    <w:sectPr w:rsidR="0003527F" w:rsidRPr="0005548F"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5AF" w:rsidRDefault="005125AF">
      <w:r>
        <w:separator/>
      </w:r>
    </w:p>
  </w:endnote>
  <w:endnote w:type="continuationSeparator" w:id="0">
    <w:p w:rsidR="005125AF" w:rsidRDefault="00512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5548F">
      <w:rPr>
        <w:i/>
        <w:noProof/>
        <w:snapToGrid w:val="0"/>
        <w:sz w:val="18"/>
      </w:rPr>
      <w:t>Dokument715</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5548F">
      <w:rPr>
        <w:i/>
        <w:noProof/>
        <w:snapToGrid w:val="0"/>
        <w:sz w:val="18"/>
      </w:rPr>
      <w:t>Dokument715</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5AF" w:rsidRDefault="005125AF">
      <w:r>
        <w:separator/>
      </w:r>
    </w:p>
  </w:footnote>
  <w:footnote w:type="continuationSeparator" w:id="0">
    <w:p w:rsidR="005125AF" w:rsidRDefault="00512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48F"/>
    <w:rsid w:val="0003527F"/>
    <w:rsid w:val="0005548F"/>
    <w:rsid w:val="00065C7D"/>
    <w:rsid w:val="000C6CD4"/>
    <w:rsid w:val="001577E4"/>
    <w:rsid w:val="001858CA"/>
    <w:rsid w:val="001C4AEF"/>
    <w:rsid w:val="001D3CC5"/>
    <w:rsid w:val="00322BDE"/>
    <w:rsid w:val="00406EE7"/>
    <w:rsid w:val="00407013"/>
    <w:rsid w:val="004A62CC"/>
    <w:rsid w:val="004F26FC"/>
    <w:rsid w:val="005125AF"/>
    <w:rsid w:val="00565A74"/>
    <w:rsid w:val="005B0036"/>
    <w:rsid w:val="005F5831"/>
    <w:rsid w:val="00662012"/>
    <w:rsid w:val="00666B01"/>
    <w:rsid w:val="006B1539"/>
    <w:rsid w:val="006D4B41"/>
    <w:rsid w:val="006F5621"/>
    <w:rsid w:val="00745828"/>
    <w:rsid w:val="007E2A00"/>
    <w:rsid w:val="008010F2"/>
    <w:rsid w:val="008162CB"/>
    <w:rsid w:val="009202AE"/>
    <w:rsid w:val="00932676"/>
    <w:rsid w:val="009D66C6"/>
    <w:rsid w:val="00A96525"/>
    <w:rsid w:val="00AA1865"/>
    <w:rsid w:val="00AE29E5"/>
    <w:rsid w:val="00AE5757"/>
    <w:rsid w:val="00B25EB8"/>
    <w:rsid w:val="00B74220"/>
    <w:rsid w:val="00BC634B"/>
    <w:rsid w:val="00BF2AE0"/>
    <w:rsid w:val="00C46B4C"/>
    <w:rsid w:val="00C479BF"/>
    <w:rsid w:val="00D567AA"/>
    <w:rsid w:val="00DD6D71"/>
    <w:rsid w:val="00DF32BE"/>
    <w:rsid w:val="00E0273D"/>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484C33-B76C-40B1-A146-A4A5A054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Style1">
    <w:name w:val="Style1"/>
    <w:basedOn w:val="Normal"/>
    <w:qFormat/>
    <w:rsid w:val="00B74220"/>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98497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1601C.B3FB0BA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3069</Words>
  <Characters>19650</Characters>
  <Application>Microsoft Office Word</Application>
  <DocSecurity>4</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2024072219 QRD9 opdatering</dc:description>
  <cp:lastModifiedBy>Gitte Ronnovius</cp:lastModifiedBy>
  <cp:revision>2</cp:revision>
  <dcterms:created xsi:type="dcterms:W3CDTF">2025-03-26T12:19:00Z</dcterms:created>
  <dcterms:modified xsi:type="dcterms:W3CDTF">2025-03-26T12:19:00Z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