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1C0" w:rsidRPr="00406EE7" w:rsidRDefault="00F861C0" w:rsidP="00F861C0">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7A4685">
        <w:fldChar w:fldCharType="begin"/>
      </w:r>
      <w:r w:rsidR="007A4685">
        <w:instrText xml:space="preserve"> INCLUDEPICTURE  "cid:image004.jpg@01D117E9.E5553340" \* MERGEFORMATINET </w:instrText>
      </w:r>
      <w:r w:rsidR="007A4685">
        <w:fldChar w:fldCharType="separate"/>
      </w:r>
      <w:r w:rsidR="002D7661">
        <w:fldChar w:fldCharType="begin"/>
      </w:r>
      <w:r w:rsidR="002D7661">
        <w:instrText xml:space="preserve"> </w:instrText>
      </w:r>
      <w:r w:rsidR="002D7661">
        <w:instrText>INCLUDEPICTURE  "cid:image004.jpg@01D117E9.E5553340" \* MERGEFORMATINET</w:instrText>
      </w:r>
      <w:r w:rsidR="002D7661">
        <w:instrText xml:space="preserve"> </w:instrText>
      </w:r>
      <w:r w:rsidR="002D7661">
        <w:fldChar w:fldCharType="separate"/>
      </w:r>
      <w:r w:rsidR="00A44C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2D7661">
        <w:fldChar w:fldCharType="end"/>
      </w:r>
      <w:r w:rsidR="007A4685">
        <w:fldChar w:fldCharType="end"/>
      </w:r>
      <w:r>
        <w:fldChar w:fldCharType="end"/>
      </w:r>
      <w:r>
        <w:fldChar w:fldCharType="end"/>
      </w:r>
      <w:r>
        <w:fldChar w:fldCharType="end"/>
      </w:r>
    </w:p>
    <w:p w:rsidR="00F861C0" w:rsidRDefault="00F861C0" w:rsidP="00F861C0">
      <w:pPr>
        <w:tabs>
          <w:tab w:val="left" w:pos="6804"/>
        </w:tabs>
        <w:jc w:val="right"/>
        <w:rPr>
          <w:b/>
          <w:sz w:val="24"/>
          <w:szCs w:val="24"/>
        </w:rPr>
      </w:pPr>
    </w:p>
    <w:p w:rsidR="00F861C0" w:rsidRPr="00406EE7" w:rsidRDefault="00554F73" w:rsidP="00F861C0">
      <w:pPr>
        <w:tabs>
          <w:tab w:val="left" w:pos="6804"/>
        </w:tabs>
        <w:jc w:val="right"/>
        <w:rPr>
          <w:b/>
          <w:sz w:val="24"/>
          <w:szCs w:val="24"/>
        </w:rPr>
      </w:pPr>
      <w:r>
        <w:rPr>
          <w:b/>
          <w:sz w:val="24"/>
          <w:szCs w:val="24"/>
        </w:rPr>
        <w:t>19</w:t>
      </w:r>
      <w:r w:rsidR="00F861C0">
        <w:rPr>
          <w:b/>
          <w:sz w:val="24"/>
          <w:szCs w:val="24"/>
        </w:rPr>
        <w:t xml:space="preserve">. </w:t>
      </w:r>
      <w:r>
        <w:rPr>
          <w:b/>
          <w:sz w:val="24"/>
          <w:szCs w:val="24"/>
        </w:rPr>
        <w:t>september</w:t>
      </w:r>
      <w:r w:rsidR="00F861C0">
        <w:rPr>
          <w:b/>
          <w:sz w:val="24"/>
          <w:szCs w:val="24"/>
        </w:rPr>
        <w:t xml:space="preserve"> 20</w:t>
      </w:r>
      <w:r>
        <w:rPr>
          <w:b/>
          <w:sz w:val="24"/>
          <w:szCs w:val="24"/>
        </w:rPr>
        <w:t>22</w:t>
      </w:r>
    </w:p>
    <w:p w:rsidR="00F861C0" w:rsidRPr="00406EE7" w:rsidRDefault="00F861C0" w:rsidP="00F861C0">
      <w:pPr>
        <w:tabs>
          <w:tab w:val="left" w:pos="8222"/>
        </w:tabs>
        <w:rPr>
          <w:sz w:val="24"/>
          <w:szCs w:val="24"/>
        </w:rPr>
      </w:pPr>
    </w:p>
    <w:p w:rsidR="00F861C0" w:rsidRPr="00406EE7" w:rsidRDefault="00F861C0" w:rsidP="00F861C0">
      <w:pPr>
        <w:tabs>
          <w:tab w:val="left" w:pos="8222"/>
        </w:tabs>
        <w:rPr>
          <w:sz w:val="24"/>
          <w:szCs w:val="24"/>
        </w:rPr>
      </w:pPr>
    </w:p>
    <w:p w:rsidR="00F861C0" w:rsidRPr="00406EE7" w:rsidRDefault="00F861C0" w:rsidP="00F861C0">
      <w:pPr>
        <w:tabs>
          <w:tab w:val="left" w:pos="8222"/>
        </w:tabs>
        <w:jc w:val="center"/>
        <w:rPr>
          <w:b/>
          <w:sz w:val="24"/>
          <w:szCs w:val="24"/>
        </w:rPr>
      </w:pPr>
      <w:r w:rsidRPr="00406EE7">
        <w:rPr>
          <w:b/>
          <w:sz w:val="24"/>
          <w:szCs w:val="24"/>
        </w:rPr>
        <w:t>PRODUKTRESUMÉ</w:t>
      </w:r>
    </w:p>
    <w:p w:rsidR="00F861C0" w:rsidRPr="00406EE7" w:rsidRDefault="00F861C0" w:rsidP="00F861C0">
      <w:pPr>
        <w:tabs>
          <w:tab w:val="left" w:pos="8222"/>
        </w:tabs>
        <w:jc w:val="center"/>
        <w:rPr>
          <w:b/>
          <w:sz w:val="24"/>
          <w:szCs w:val="24"/>
        </w:rPr>
      </w:pPr>
    </w:p>
    <w:p w:rsidR="00F861C0" w:rsidRPr="00406EE7" w:rsidRDefault="00F861C0" w:rsidP="00F861C0">
      <w:pPr>
        <w:tabs>
          <w:tab w:val="left" w:pos="8222"/>
        </w:tabs>
        <w:jc w:val="center"/>
        <w:rPr>
          <w:b/>
          <w:sz w:val="24"/>
          <w:szCs w:val="24"/>
        </w:rPr>
      </w:pPr>
      <w:r w:rsidRPr="00406EE7">
        <w:rPr>
          <w:b/>
          <w:sz w:val="24"/>
          <w:szCs w:val="24"/>
        </w:rPr>
        <w:t>for</w:t>
      </w:r>
    </w:p>
    <w:p w:rsidR="00F861C0" w:rsidRPr="00406EE7" w:rsidRDefault="00F861C0" w:rsidP="00F861C0">
      <w:pPr>
        <w:tabs>
          <w:tab w:val="left" w:pos="8222"/>
        </w:tabs>
        <w:jc w:val="center"/>
        <w:rPr>
          <w:b/>
          <w:sz w:val="24"/>
          <w:szCs w:val="24"/>
        </w:rPr>
      </w:pPr>
    </w:p>
    <w:p w:rsidR="00F861C0" w:rsidRPr="00406EE7" w:rsidRDefault="00F861C0" w:rsidP="00F861C0">
      <w:pPr>
        <w:tabs>
          <w:tab w:val="left" w:pos="8222"/>
        </w:tabs>
        <w:jc w:val="center"/>
        <w:rPr>
          <w:b/>
          <w:sz w:val="24"/>
          <w:szCs w:val="24"/>
        </w:rPr>
      </w:pPr>
      <w:proofErr w:type="spellStart"/>
      <w:r>
        <w:rPr>
          <w:b/>
          <w:sz w:val="24"/>
          <w:szCs w:val="24"/>
        </w:rPr>
        <w:t>Stabox</w:t>
      </w:r>
      <w:proofErr w:type="spellEnd"/>
      <w:r>
        <w:rPr>
          <w:b/>
          <w:sz w:val="24"/>
          <w:szCs w:val="24"/>
        </w:rPr>
        <w:t xml:space="preserve"> </w:t>
      </w:r>
      <w:proofErr w:type="spellStart"/>
      <w:r>
        <w:rPr>
          <w:b/>
          <w:sz w:val="24"/>
          <w:szCs w:val="24"/>
        </w:rPr>
        <w:t>Vet</w:t>
      </w:r>
      <w:proofErr w:type="spellEnd"/>
      <w:r>
        <w:rPr>
          <w:b/>
          <w:sz w:val="24"/>
          <w:szCs w:val="24"/>
        </w:rPr>
        <w:t>., pulver til anvendelse i drikkevand</w:t>
      </w:r>
    </w:p>
    <w:p w:rsidR="00F861C0" w:rsidRPr="00406EE7" w:rsidRDefault="00F861C0" w:rsidP="00F861C0">
      <w:pPr>
        <w:tabs>
          <w:tab w:val="left" w:pos="8222"/>
        </w:tabs>
        <w:rPr>
          <w:sz w:val="24"/>
          <w:szCs w:val="24"/>
        </w:rPr>
      </w:pPr>
    </w:p>
    <w:p w:rsidR="00F861C0" w:rsidRPr="00406EE7" w:rsidRDefault="00F861C0" w:rsidP="00F861C0">
      <w:pPr>
        <w:tabs>
          <w:tab w:val="left" w:pos="8222"/>
        </w:tabs>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F861C0" w:rsidRPr="00406EE7" w:rsidRDefault="00F861C0" w:rsidP="00F861C0">
      <w:pPr>
        <w:tabs>
          <w:tab w:val="left" w:pos="8222"/>
        </w:tabs>
        <w:ind w:left="851"/>
        <w:rPr>
          <w:sz w:val="24"/>
          <w:szCs w:val="24"/>
        </w:rPr>
      </w:pPr>
      <w:r>
        <w:rPr>
          <w:sz w:val="24"/>
          <w:szCs w:val="24"/>
        </w:rPr>
        <w:t>09911</w:t>
      </w:r>
    </w:p>
    <w:p w:rsidR="00F861C0" w:rsidRPr="00406EE7" w:rsidRDefault="00F861C0" w:rsidP="00F861C0">
      <w:pPr>
        <w:tabs>
          <w:tab w:val="left" w:pos="8222"/>
        </w:tabs>
        <w:ind w:left="851"/>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F861C0" w:rsidRPr="00406EE7" w:rsidRDefault="00F861C0" w:rsidP="00F861C0">
      <w:pPr>
        <w:tabs>
          <w:tab w:val="left" w:pos="8222"/>
        </w:tabs>
        <w:ind w:left="851"/>
        <w:rPr>
          <w:sz w:val="24"/>
          <w:szCs w:val="24"/>
        </w:rPr>
      </w:pPr>
      <w:proofErr w:type="spellStart"/>
      <w:r>
        <w:rPr>
          <w:sz w:val="24"/>
          <w:szCs w:val="24"/>
        </w:rPr>
        <w:t>Stabox</w:t>
      </w:r>
      <w:proofErr w:type="spellEnd"/>
      <w:r>
        <w:rPr>
          <w:sz w:val="24"/>
          <w:szCs w:val="24"/>
        </w:rPr>
        <w:t xml:space="preserve"> </w:t>
      </w:r>
      <w:proofErr w:type="spellStart"/>
      <w:r>
        <w:rPr>
          <w:sz w:val="24"/>
          <w:szCs w:val="24"/>
        </w:rPr>
        <w:t>Vet</w:t>
      </w:r>
      <w:proofErr w:type="spellEnd"/>
      <w:r>
        <w:rPr>
          <w:sz w:val="24"/>
          <w:szCs w:val="24"/>
        </w:rPr>
        <w:t>.</w:t>
      </w:r>
    </w:p>
    <w:p w:rsidR="00F861C0" w:rsidRPr="00406EE7" w:rsidRDefault="00F861C0" w:rsidP="00F861C0">
      <w:pPr>
        <w:tabs>
          <w:tab w:val="left" w:pos="8222"/>
        </w:tabs>
        <w:ind w:left="851"/>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F861C0" w:rsidRPr="00086206" w:rsidRDefault="00F861C0" w:rsidP="00F861C0">
      <w:pPr>
        <w:pStyle w:val="PartIBText"/>
        <w:ind w:firstLine="851"/>
        <w:rPr>
          <w:szCs w:val="24"/>
        </w:rPr>
      </w:pPr>
      <w:smartTag w:uri="urn:schemas-microsoft-com:office:smarttags" w:element="metricconverter">
        <w:smartTagPr>
          <w:attr w:name="ProductID" w:val="1,0 g"/>
        </w:smartTagPr>
        <w:r w:rsidRPr="00086206">
          <w:rPr>
            <w:szCs w:val="24"/>
          </w:rPr>
          <w:t>1,0 g</w:t>
        </w:r>
      </w:smartTag>
      <w:r w:rsidRPr="00086206">
        <w:rPr>
          <w:szCs w:val="24"/>
        </w:rPr>
        <w:t xml:space="preserve"> pulver indeholder:</w:t>
      </w:r>
    </w:p>
    <w:p w:rsidR="00F861C0" w:rsidRPr="00086206" w:rsidRDefault="00F861C0" w:rsidP="00F861C0">
      <w:pPr>
        <w:rPr>
          <w:sz w:val="24"/>
          <w:szCs w:val="24"/>
        </w:rPr>
      </w:pPr>
    </w:p>
    <w:p w:rsidR="00F861C0" w:rsidRPr="00A62888" w:rsidRDefault="00F861C0" w:rsidP="00F861C0">
      <w:pPr>
        <w:pStyle w:val="berschrift3PartIB"/>
        <w:ind w:firstLine="851"/>
        <w:rPr>
          <w:b w:val="0"/>
          <w:u w:val="single"/>
        </w:rPr>
      </w:pPr>
      <w:r>
        <w:rPr>
          <w:b w:val="0"/>
          <w:u w:val="single"/>
        </w:rPr>
        <w:t>Aktivt stof</w:t>
      </w:r>
    </w:p>
    <w:p w:rsidR="00F861C0" w:rsidRPr="00406EE7" w:rsidRDefault="00F861C0" w:rsidP="00F861C0">
      <w:pPr>
        <w:pStyle w:val="PartIBText"/>
        <w:ind w:firstLine="851"/>
        <w:rPr>
          <w:szCs w:val="24"/>
        </w:rPr>
      </w:pPr>
      <w:proofErr w:type="spellStart"/>
      <w:r>
        <w:rPr>
          <w:szCs w:val="24"/>
        </w:rPr>
        <w:t>Amoxicillintrihydrat</w:t>
      </w:r>
      <w:proofErr w:type="spellEnd"/>
      <w:r>
        <w:rPr>
          <w:szCs w:val="24"/>
        </w:rPr>
        <w:t xml:space="preserve"> </w:t>
      </w:r>
      <w:r w:rsidRPr="00086206">
        <w:rPr>
          <w:szCs w:val="24"/>
        </w:rPr>
        <w:t xml:space="preserve">1000 mg (svarende til 871,24 mg </w:t>
      </w:r>
      <w:proofErr w:type="spellStart"/>
      <w:r w:rsidRPr="00086206">
        <w:rPr>
          <w:szCs w:val="24"/>
        </w:rPr>
        <w:t>amoxicillin</w:t>
      </w:r>
      <w:proofErr w:type="spellEnd"/>
      <w:r w:rsidRPr="00086206">
        <w:rPr>
          <w:szCs w:val="24"/>
        </w:rPr>
        <w:t>)</w:t>
      </w:r>
    </w:p>
    <w:p w:rsidR="00F861C0" w:rsidRPr="00406EE7" w:rsidRDefault="00F861C0" w:rsidP="00F861C0">
      <w:pPr>
        <w:tabs>
          <w:tab w:val="left" w:pos="8222"/>
        </w:tabs>
        <w:ind w:left="851"/>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3.</w:t>
      </w:r>
      <w:r w:rsidRPr="00406EE7">
        <w:rPr>
          <w:b/>
          <w:sz w:val="24"/>
          <w:szCs w:val="24"/>
        </w:rPr>
        <w:tab/>
        <w:t>LÆGEMIDDELFORM</w:t>
      </w:r>
    </w:p>
    <w:p w:rsidR="00F861C0" w:rsidRPr="00086206" w:rsidRDefault="00F861C0" w:rsidP="00F861C0">
      <w:pPr>
        <w:pStyle w:val="PartIBText"/>
        <w:ind w:firstLine="851"/>
        <w:rPr>
          <w:szCs w:val="24"/>
        </w:rPr>
      </w:pPr>
      <w:r w:rsidRPr="00086206">
        <w:rPr>
          <w:szCs w:val="24"/>
        </w:rPr>
        <w:t xml:space="preserve">Pulver til </w:t>
      </w:r>
      <w:r>
        <w:rPr>
          <w:szCs w:val="24"/>
        </w:rPr>
        <w:t>anvendelse</w:t>
      </w:r>
      <w:r w:rsidRPr="00086206">
        <w:rPr>
          <w:szCs w:val="24"/>
        </w:rPr>
        <w:t xml:space="preserve"> i drikkevand</w:t>
      </w:r>
    </w:p>
    <w:p w:rsidR="00F861C0" w:rsidRDefault="00F861C0" w:rsidP="00F861C0">
      <w:pPr>
        <w:pStyle w:val="PartIBText"/>
        <w:ind w:firstLine="851"/>
        <w:rPr>
          <w:szCs w:val="24"/>
        </w:rPr>
      </w:pPr>
    </w:p>
    <w:p w:rsidR="00F861C0" w:rsidRPr="00406EE7" w:rsidRDefault="00F861C0" w:rsidP="00F861C0">
      <w:pPr>
        <w:pStyle w:val="PartIBText"/>
        <w:ind w:firstLine="851"/>
        <w:rPr>
          <w:szCs w:val="24"/>
        </w:rPr>
      </w:pPr>
      <w:r w:rsidRPr="00086206">
        <w:rPr>
          <w:szCs w:val="24"/>
        </w:rPr>
        <w:t>Hvidt eller næsten hvidt, krystallinsk pulver</w:t>
      </w:r>
      <w:r>
        <w:rPr>
          <w:szCs w:val="24"/>
        </w:rPr>
        <w:t>.</w:t>
      </w:r>
      <w:r w:rsidRPr="00406EE7">
        <w:rPr>
          <w:szCs w:val="24"/>
        </w:rPr>
        <w:t xml:space="preserve"> </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4.</w:t>
      </w:r>
      <w:r w:rsidRPr="00406EE7">
        <w:rPr>
          <w:b/>
          <w:sz w:val="24"/>
          <w:szCs w:val="24"/>
        </w:rPr>
        <w:tab/>
        <w:t>KLINISKE OPLYSNINGER</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F861C0" w:rsidRPr="00406EE7" w:rsidRDefault="00F861C0" w:rsidP="00F861C0">
      <w:pPr>
        <w:tabs>
          <w:tab w:val="left" w:pos="8222"/>
        </w:tabs>
        <w:ind w:left="851"/>
        <w:rPr>
          <w:sz w:val="24"/>
          <w:szCs w:val="24"/>
        </w:rPr>
      </w:pPr>
      <w:r>
        <w:rPr>
          <w:sz w:val="24"/>
          <w:szCs w:val="24"/>
        </w:rPr>
        <w:t>Fjerkræ (kyllinger, ænder, kalkuner)</w:t>
      </w:r>
    </w:p>
    <w:p w:rsidR="00F861C0" w:rsidRPr="00406EE7" w:rsidRDefault="00F861C0" w:rsidP="00F861C0">
      <w:pPr>
        <w:tabs>
          <w:tab w:val="left" w:pos="8222"/>
        </w:tabs>
        <w:ind w:left="851"/>
        <w:rPr>
          <w:sz w:val="24"/>
          <w:szCs w:val="24"/>
        </w:rPr>
      </w:pPr>
    </w:p>
    <w:p w:rsidR="00F861C0" w:rsidRPr="00406EE7" w:rsidRDefault="00F861C0" w:rsidP="00F861C0">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F861C0" w:rsidRPr="00406EE7" w:rsidRDefault="00F861C0" w:rsidP="00F861C0">
      <w:pPr>
        <w:pStyle w:val="PartIBText"/>
        <w:ind w:left="851"/>
        <w:rPr>
          <w:szCs w:val="24"/>
        </w:rPr>
      </w:pPr>
      <w:r w:rsidRPr="00086206">
        <w:rPr>
          <w:szCs w:val="24"/>
        </w:rPr>
        <w:t xml:space="preserve">Behandling af infektioner hos </w:t>
      </w:r>
      <w:r>
        <w:rPr>
          <w:szCs w:val="24"/>
        </w:rPr>
        <w:t>kyllinger</w:t>
      </w:r>
      <w:r w:rsidRPr="00086206">
        <w:rPr>
          <w:szCs w:val="24"/>
        </w:rPr>
        <w:t xml:space="preserve">, kalkuner og ænder forårsaget af bakterier, der er følsomme over for </w:t>
      </w:r>
      <w:proofErr w:type="spellStart"/>
      <w:r w:rsidRPr="00086206">
        <w:rPr>
          <w:szCs w:val="24"/>
        </w:rPr>
        <w:t>amoxicillin</w:t>
      </w:r>
      <w:proofErr w:type="spellEnd"/>
      <w:r>
        <w:rPr>
          <w:szCs w:val="24"/>
        </w:rPr>
        <w:t>.</w:t>
      </w:r>
    </w:p>
    <w:p w:rsidR="00F861C0" w:rsidRPr="00406EE7" w:rsidRDefault="00F861C0" w:rsidP="00F861C0">
      <w:pPr>
        <w:pStyle w:val="Sidehoved"/>
        <w:tabs>
          <w:tab w:val="clear" w:pos="4819"/>
          <w:tab w:val="left" w:pos="8222"/>
        </w:tabs>
        <w:ind w:left="851"/>
        <w:rPr>
          <w:szCs w:val="24"/>
        </w:rPr>
      </w:pPr>
    </w:p>
    <w:p w:rsidR="00F861C0" w:rsidRPr="00406EE7" w:rsidRDefault="00F861C0" w:rsidP="00F861C0">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F861C0" w:rsidRDefault="00F861C0" w:rsidP="00F861C0">
      <w:pPr>
        <w:tabs>
          <w:tab w:val="center" w:pos="4819"/>
          <w:tab w:val="left" w:pos="8222"/>
          <w:tab w:val="right" w:pos="9638"/>
        </w:tabs>
        <w:ind w:left="851"/>
        <w:rPr>
          <w:sz w:val="24"/>
          <w:szCs w:val="24"/>
          <w:lang w:eastAsia="da-DK"/>
        </w:rPr>
      </w:pPr>
      <w:r>
        <w:rPr>
          <w:szCs w:val="24"/>
        </w:rPr>
        <w:t>Bør ikke anvendes til kaniner, hamstere, ørkenrotter og marsvin.</w:t>
      </w:r>
    </w:p>
    <w:p w:rsidR="00F861C0" w:rsidRDefault="00F861C0" w:rsidP="00F861C0">
      <w:pPr>
        <w:tabs>
          <w:tab w:val="center" w:pos="4819"/>
          <w:tab w:val="left" w:pos="8222"/>
          <w:tab w:val="right" w:pos="9638"/>
        </w:tabs>
        <w:ind w:left="851"/>
        <w:rPr>
          <w:szCs w:val="24"/>
        </w:rPr>
      </w:pPr>
      <w:r>
        <w:rPr>
          <w:szCs w:val="24"/>
        </w:rPr>
        <w:t>Bør ikke anvendes til drøvtyggere og heste.</w:t>
      </w:r>
    </w:p>
    <w:p w:rsidR="00F861C0" w:rsidRDefault="00F861C0" w:rsidP="00F861C0">
      <w:pPr>
        <w:tabs>
          <w:tab w:val="num" w:pos="1276"/>
          <w:tab w:val="num" w:pos="2450"/>
        </w:tabs>
        <w:ind w:left="851"/>
      </w:pPr>
      <w:r>
        <w:t>Bør ikke anvendes i tilfælde af kendt overfølsomhed over for penicilliner eller andre beta-</w:t>
      </w:r>
      <w:proofErr w:type="spellStart"/>
      <w:r>
        <w:t>laktamer</w:t>
      </w:r>
      <w:proofErr w:type="spellEnd"/>
      <w:r>
        <w:t xml:space="preserve">. </w:t>
      </w:r>
    </w:p>
    <w:p w:rsidR="00F861C0" w:rsidRPr="00D93AAA" w:rsidRDefault="00F861C0" w:rsidP="00F861C0">
      <w:pPr>
        <w:tabs>
          <w:tab w:val="center" w:pos="4819"/>
          <w:tab w:val="left" w:pos="8222"/>
          <w:tab w:val="right" w:pos="9638"/>
        </w:tabs>
        <w:ind w:left="851"/>
        <w:rPr>
          <w:sz w:val="24"/>
          <w:szCs w:val="24"/>
        </w:rPr>
      </w:pPr>
      <w:r>
        <w:t xml:space="preserve">Bør ikke anvendes til behandling af infektioner forårsaget af bakterier, der danner enzymet </w:t>
      </w:r>
      <w:proofErr w:type="spellStart"/>
      <w:r>
        <w:t>betalaktamase</w:t>
      </w:r>
      <w:proofErr w:type="spellEnd"/>
      <w:r>
        <w:t>.</w:t>
      </w:r>
    </w:p>
    <w:p w:rsidR="00F861C0" w:rsidRDefault="00F861C0" w:rsidP="00F861C0">
      <w:pPr>
        <w:rPr>
          <w:sz w:val="24"/>
          <w:szCs w:val="24"/>
          <w:lang w:eastAsia="da-DK"/>
        </w:rPr>
      </w:pPr>
      <w:r>
        <w:rPr>
          <w:szCs w:val="24"/>
        </w:rPr>
        <w:br w:type="page"/>
      </w:r>
    </w:p>
    <w:p w:rsidR="00F861C0" w:rsidRPr="00406EE7" w:rsidRDefault="00F861C0" w:rsidP="00F861C0">
      <w:pPr>
        <w:pStyle w:val="Sidehoved"/>
        <w:tabs>
          <w:tab w:val="clear" w:pos="4819"/>
          <w:tab w:val="left" w:pos="8222"/>
        </w:tabs>
        <w:rPr>
          <w:szCs w:val="24"/>
        </w:rPr>
      </w:pPr>
    </w:p>
    <w:p w:rsidR="00F861C0" w:rsidRPr="00406EE7" w:rsidRDefault="00F861C0" w:rsidP="00F861C0">
      <w:pPr>
        <w:tabs>
          <w:tab w:val="left" w:pos="851"/>
          <w:tab w:val="left" w:pos="8222"/>
        </w:tabs>
        <w:rPr>
          <w:b/>
          <w:sz w:val="24"/>
          <w:szCs w:val="24"/>
        </w:rPr>
      </w:pPr>
      <w:r w:rsidRPr="00406EE7">
        <w:rPr>
          <w:b/>
          <w:sz w:val="24"/>
          <w:szCs w:val="24"/>
        </w:rPr>
        <w:t>4.4</w:t>
      </w:r>
      <w:r w:rsidRPr="00406EE7">
        <w:rPr>
          <w:b/>
          <w:sz w:val="24"/>
          <w:szCs w:val="24"/>
        </w:rPr>
        <w:tab/>
        <w:t>Særlige advarsler</w:t>
      </w:r>
    </w:p>
    <w:p w:rsidR="00F861C0" w:rsidRDefault="00F861C0" w:rsidP="00F861C0">
      <w:pPr>
        <w:tabs>
          <w:tab w:val="left" w:pos="851"/>
          <w:tab w:val="left" w:pos="8222"/>
        </w:tabs>
        <w:rPr>
          <w:sz w:val="24"/>
          <w:szCs w:val="24"/>
        </w:rPr>
      </w:pPr>
      <w:r w:rsidRPr="00406EE7">
        <w:rPr>
          <w:sz w:val="24"/>
          <w:szCs w:val="24"/>
        </w:rPr>
        <w:tab/>
      </w:r>
      <w:r>
        <w:rPr>
          <w:sz w:val="24"/>
          <w:szCs w:val="24"/>
        </w:rPr>
        <w:t>Ingen.</w:t>
      </w:r>
    </w:p>
    <w:p w:rsidR="00F861C0" w:rsidRPr="00406EE7" w:rsidRDefault="00F861C0" w:rsidP="00F861C0">
      <w:pPr>
        <w:pStyle w:val="Sidehoved"/>
        <w:tabs>
          <w:tab w:val="clear" w:pos="4819"/>
          <w:tab w:val="left" w:pos="8222"/>
        </w:tabs>
        <w:rPr>
          <w:szCs w:val="24"/>
        </w:rPr>
      </w:pPr>
    </w:p>
    <w:p w:rsidR="00F861C0" w:rsidRPr="00406EE7" w:rsidRDefault="00F861C0" w:rsidP="00F861C0">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F861C0" w:rsidRPr="00406EE7" w:rsidRDefault="00F861C0" w:rsidP="00F861C0">
      <w:pPr>
        <w:tabs>
          <w:tab w:val="left" w:pos="851"/>
          <w:tab w:val="left" w:pos="8222"/>
        </w:tabs>
        <w:rPr>
          <w:b/>
          <w:sz w:val="24"/>
          <w:szCs w:val="24"/>
        </w:rPr>
      </w:pPr>
      <w:r w:rsidRPr="00406EE7">
        <w:rPr>
          <w:b/>
          <w:sz w:val="24"/>
          <w:szCs w:val="24"/>
        </w:rPr>
        <w:tab/>
      </w:r>
    </w:p>
    <w:p w:rsidR="00F861C0" w:rsidRPr="00406EE7" w:rsidRDefault="00F861C0" w:rsidP="00F861C0">
      <w:pPr>
        <w:tabs>
          <w:tab w:val="left" w:pos="851"/>
          <w:tab w:val="left" w:pos="8222"/>
        </w:tabs>
        <w:rPr>
          <w:b/>
          <w:sz w:val="24"/>
          <w:szCs w:val="24"/>
        </w:rPr>
      </w:pPr>
      <w:r w:rsidRPr="00406EE7">
        <w:rPr>
          <w:b/>
          <w:sz w:val="24"/>
          <w:szCs w:val="24"/>
        </w:rPr>
        <w:tab/>
        <w:t>Særlige forsigtighedsregler for dyret</w:t>
      </w:r>
    </w:p>
    <w:p w:rsidR="00F861C0" w:rsidRDefault="00F861C0" w:rsidP="00F861C0">
      <w:pPr>
        <w:tabs>
          <w:tab w:val="left" w:pos="851"/>
          <w:tab w:val="left" w:pos="8222"/>
        </w:tabs>
        <w:ind w:left="851"/>
        <w:rPr>
          <w:sz w:val="24"/>
          <w:szCs w:val="24"/>
          <w:lang w:eastAsia="da-DK"/>
        </w:rPr>
      </w:pPr>
      <w:r>
        <w:t xml:space="preserve">Ved brug af præparatet bør officiel national vejledning om brug af antibiotika overvejes.  </w:t>
      </w:r>
    </w:p>
    <w:p w:rsidR="00F861C0" w:rsidRDefault="00F861C0" w:rsidP="00F861C0">
      <w:pPr>
        <w:ind w:left="851"/>
      </w:pPr>
      <w:r>
        <w:rPr>
          <w:szCs w:val="24"/>
        </w:rPr>
        <w:t xml:space="preserve">Resistens over for </w:t>
      </w:r>
      <w:proofErr w:type="spellStart"/>
      <w:r>
        <w:rPr>
          <w:szCs w:val="24"/>
        </w:rPr>
        <w:t>amoxicillin</w:t>
      </w:r>
      <w:proofErr w:type="spellEnd"/>
      <w:r>
        <w:rPr>
          <w:szCs w:val="24"/>
        </w:rPr>
        <w:t xml:space="preserve"> kan variere.</w:t>
      </w:r>
      <w:r>
        <w:t xml:space="preserve"> Brug af præparatet bør baseres på resistensbestemmelse af bakterier isoleret fra dyret. Hvis dette ikke er muligt, bør behandlingen baseres på lokal eller regional epidemiologisk viden om følsomhed for den pågældende bakterie. </w:t>
      </w:r>
    </w:p>
    <w:p w:rsidR="00F861C0" w:rsidRDefault="00F861C0" w:rsidP="00F861C0">
      <w:pPr>
        <w:ind w:left="851"/>
      </w:pPr>
      <w:r>
        <w:t xml:space="preserve">Anvendelse af lægemidlet på anden måde end angivet her kan føre til øget prævalens af bakterier resistente overfor </w:t>
      </w:r>
      <w:proofErr w:type="spellStart"/>
      <w:r>
        <w:t>amoxicillin</w:t>
      </w:r>
      <w:proofErr w:type="spellEnd"/>
      <w:r>
        <w:t xml:space="preserve"> og kan reducere behandlingseffekten.</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b/>
          <w:sz w:val="24"/>
          <w:szCs w:val="24"/>
        </w:rPr>
      </w:pPr>
      <w:r w:rsidRPr="00406EE7">
        <w:rPr>
          <w:sz w:val="24"/>
          <w:szCs w:val="24"/>
        </w:rPr>
        <w:tab/>
      </w:r>
      <w:r w:rsidRPr="00406EE7">
        <w:rPr>
          <w:b/>
          <w:sz w:val="24"/>
          <w:szCs w:val="24"/>
        </w:rPr>
        <w:t>Særlige forsigtighedsregler for personer, der administrerer lægemidlet</w:t>
      </w:r>
    </w:p>
    <w:p w:rsidR="00F861C0" w:rsidRDefault="00F861C0" w:rsidP="00F861C0">
      <w:pPr>
        <w:tabs>
          <w:tab w:val="left" w:pos="851"/>
          <w:tab w:val="left" w:pos="8222"/>
        </w:tabs>
        <w:ind w:left="851"/>
        <w:rPr>
          <w:sz w:val="24"/>
          <w:szCs w:val="24"/>
          <w:lang w:eastAsia="da-DK"/>
        </w:rPr>
      </w:pPr>
      <w:r>
        <w:rPr>
          <w:szCs w:val="24"/>
        </w:rPr>
        <w:t xml:space="preserve">Personer der håndterer lægemidlet bør undgå indånding af enhver form for støv samt kontakt med huden. </w:t>
      </w:r>
    </w:p>
    <w:p w:rsidR="00F861C0" w:rsidRDefault="00F861C0" w:rsidP="00F861C0">
      <w:pPr>
        <w:tabs>
          <w:tab w:val="left" w:pos="851"/>
          <w:tab w:val="left" w:pos="8222"/>
        </w:tabs>
        <w:ind w:left="851"/>
        <w:rPr>
          <w:szCs w:val="24"/>
        </w:rPr>
      </w:pPr>
      <w:r>
        <w:rPr>
          <w:szCs w:val="22"/>
        </w:rPr>
        <w:t xml:space="preserve">Personligt beskyttelsesudstyr i form af </w:t>
      </w:r>
      <w:r>
        <w:rPr>
          <w:szCs w:val="24"/>
        </w:rPr>
        <w:t>enten engangsåndedrætsværn (halvmaske), der lever op til den europæiske standard EN 149 eller åndedrætsværn, der lever op til den europæiske standard EN 140 og med et filter, der lever op til EN 143</w:t>
      </w:r>
      <w:r>
        <w:rPr>
          <w:szCs w:val="22"/>
        </w:rPr>
        <w:t xml:space="preserve"> bør anvendes ved opblanding og håndtering af lægemidlet</w:t>
      </w:r>
      <w:r>
        <w:rPr>
          <w:szCs w:val="24"/>
        </w:rPr>
        <w:t xml:space="preserve">. </w:t>
      </w:r>
    </w:p>
    <w:p w:rsidR="00F861C0" w:rsidRDefault="00F861C0" w:rsidP="00F861C0">
      <w:pPr>
        <w:tabs>
          <w:tab w:val="left" w:pos="851"/>
          <w:tab w:val="left" w:pos="8222"/>
        </w:tabs>
        <w:ind w:left="851"/>
        <w:rPr>
          <w:szCs w:val="24"/>
        </w:rPr>
      </w:pPr>
      <w:r>
        <w:rPr>
          <w:szCs w:val="24"/>
        </w:rPr>
        <w:t>Ved opblanding og håndtering af lægemidlet skal der bæres uigennemtrængelige handsker.</w:t>
      </w:r>
    </w:p>
    <w:p w:rsidR="00F861C0" w:rsidRDefault="00F861C0" w:rsidP="00F861C0">
      <w:pPr>
        <w:tabs>
          <w:tab w:val="left" w:pos="851"/>
          <w:tab w:val="left" w:pos="8222"/>
        </w:tabs>
        <w:ind w:left="851"/>
        <w:rPr>
          <w:szCs w:val="24"/>
        </w:rPr>
      </w:pPr>
      <w:r>
        <w:rPr>
          <w:szCs w:val="24"/>
        </w:rPr>
        <w:t>Efter brug skal hænder og eksponeret hud vaskes grundigt.</w:t>
      </w:r>
    </w:p>
    <w:p w:rsidR="00F861C0" w:rsidRDefault="00F861C0" w:rsidP="00F861C0">
      <w:pPr>
        <w:tabs>
          <w:tab w:val="left" w:pos="851"/>
          <w:tab w:val="left" w:pos="8222"/>
        </w:tabs>
        <w:ind w:left="851"/>
        <w:rPr>
          <w:szCs w:val="24"/>
        </w:rPr>
      </w:pPr>
      <w:r>
        <w:rPr>
          <w:szCs w:val="24"/>
        </w:rPr>
        <w:t xml:space="preserve">Penicillin og </w:t>
      </w:r>
      <w:proofErr w:type="spellStart"/>
      <w:r>
        <w:rPr>
          <w:szCs w:val="24"/>
        </w:rPr>
        <w:t>cephalosporiner</w:t>
      </w:r>
      <w:proofErr w:type="spellEnd"/>
      <w:r>
        <w:rPr>
          <w:szCs w:val="24"/>
        </w:rPr>
        <w:t xml:space="preserve"> kan forårsage overfølsomhed (allergi) efter injektion, indånding, indtagelse eller kontakt med huden. Overfølsomhed over for penicillin kan føre til krydsreaktioner over for </w:t>
      </w:r>
      <w:proofErr w:type="spellStart"/>
      <w:r>
        <w:rPr>
          <w:szCs w:val="24"/>
        </w:rPr>
        <w:t>cephalosporiner</w:t>
      </w:r>
      <w:proofErr w:type="spellEnd"/>
      <w:r>
        <w:rPr>
          <w:szCs w:val="24"/>
        </w:rPr>
        <w:t xml:space="preserve"> og omvendt. Allergiske reaktioner over for disse stoffer kan i nogle tilfælde være alvorlige.</w:t>
      </w:r>
    </w:p>
    <w:p w:rsidR="00F861C0" w:rsidRDefault="00F861C0" w:rsidP="00F861C0">
      <w:pPr>
        <w:tabs>
          <w:tab w:val="left" w:pos="851"/>
          <w:tab w:val="left" w:pos="8222"/>
        </w:tabs>
        <w:ind w:left="851"/>
        <w:rPr>
          <w:szCs w:val="24"/>
        </w:rPr>
      </w:pPr>
      <w:r>
        <w:rPr>
          <w:szCs w:val="24"/>
        </w:rPr>
        <w:t>Undlad at håndtere dette lægemiddel, hvis du ved, at du er sensibiliseret, eller hvis du er blevet rådet til ikke at arbejde med sådanne præparater.</w:t>
      </w:r>
    </w:p>
    <w:p w:rsidR="00F861C0" w:rsidRDefault="00F861C0" w:rsidP="00F861C0">
      <w:pPr>
        <w:tabs>
          <w:tab w:val="left" w:pos="851"/>
          <w:tab w:val="left" w:pos="8222"/>
        </w:tabs>
        <w:ind w:left="851"/>
        <w:rPr>
          <w:szCs w:val="24"/>
        </w:rPr>
      </w:pPr>
      <w:r>
        <w:rPr>
          <w:szCs w:val="24"/>
        </w:rPr>
        <w:t>Håndter lægemidlet omhyggeligt for at undgå eksponering og følg alle anbefalede forhåndsregler.</w:t>
      </w:r>
    </w:p>
    <w:p w:rsidR="00F861C0" w:rsidRDefault="00F861C0" w:rsidP="00F861C0">
      <w:pPr>
        <w:tabs>
          <w:tab w:val="left" w:pos="851"/>
          <w:tab w:val="left" w:pos="8222"/>
        </w:tabs>
        <w:ind w:left="851"/>
        <w:rPr>
          <w:szCs w:val="24"/>
        </w:rPr>
      </w:pPr>
      <w:r>
        <w:rPr>
          <w:szCs w:val="24"/>
        </w:rPr>
        <w:t xml:space="preserve">Hvis du udvikler symptomer efter eksponering, f.eks. udslæt på huden, skal du søge læge og vise lægen denne advarsel. Hævelser i ansigtet, af læber eller omkring øjnene eller vejrtrækningsproblemer er mere alvorlige symptomer og kræver omgående lægehjælp. </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b/>
          <w:sz w:val="24"/>
          <w:szCs w:val="24"/>
        </w:rPr>
      </w:pPr>
      <w:r w:rsidRPr="00406EE7">
        <w:rPr>
          <w:sz w:val="24"/>
          <w:szCs w:val="24"/>
        </w:rPr>
        <w:tab/>
      </w:r>
      <w:r w:rsidRPr="00406EE7">
        <w:rPr>
          <w:b/>
          <w:sz w:val="24"/>
          <w:szCs w:val="24"/>
        </w:rPr>
        <w:t>Andre forsigtighedsregler</w:t>
      </w:r>
    </w:p>
    <w:p w:rsidR="00F861C0" w:rsidRPr="00406EE7" w:rsidRDefault="00F861C0" w:rsidP="00F861C0">
      <w:pPr>
        <w:tabs>
          <w:tab w:val="left" w:pos="851"/>
          <w:tab w:val="left" w:pos="8222"/>
        </w:tabs>
        <w:rPr>
          <w:sz w:val="24"/>
          <w:szCs w:val="24"/>
        </w:rPr>
      </w:pPr>
      <w:r w:rsidRPr="00406EE7">
        <w:rPr>
          <w:sz w:val="24"/>
          <w:szCs w:val="24"/>
        </w:rPr>
        <w:tab/>
      </w:r>
      <w:r>
        <w:rPr>
          <w:sz w:val="24"/>
          <w:szCs w:val="24"/>
        </w:rPr>
        <w:t>-</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b/>
          <w:sz w:val="24"/>
          <w:szCs w:val="24"/>
        </w:rPr>
      </w:pPr>
      <w:r w:rsidRPr="00406EE7">
        <w:rPr>
          <w:b/>
          <w:sz w:val="24"/>
          <w:szCs w:val="24"/>
        </w:rPr>
        <w:t>4.6</w:t>
      </w:r>
      <w:r w:rsidRPr="00406EE7">
        <w:rPr>
          <w:b/>
          <w:sz w:val="24"/>
          <w:szCs w:val="24"/>
        </w:rPr>
        <w:tab/>
        <w:t>Bivirkninger</w:t>
      </w:r>
    </w:p>
    <w:p w:rsidR="00F861C0" w:rsidRDefault="00F861C0" w:rsidP="00F861C0">
      <w:pPr>
        <w:tabs>
          <w:tab w:val="left" w:pos="851"/>
          <w:tab w:val="left" w:pos="8222"/>
        </w:tabs>
        <w:ind w:left="851"/>
        <w:rPr>
          <w:sz w:val="24"/>
          <w:szCs w:val="24"/>
          <w:lang w:eastAsia="da-DK"/>
        </w:rPr>
      </w:pPr>
      <w:r>
        <w:rPr>
          <w:szCs w:val="24"/>
        </w:rPr>
        <w:t xml:space="preserve">Penicillin og </w:t>
      </w:r>
      <w:proofErr w:type="spellStart"/>
      <w:r>
        <w:rPr>
          <w:szCs w:val="24"/>
        </w:rPr>
        <w:t>cephalosporiner</w:t>
      </w:r>
      <w:proofErr w:type="spellEnd"/>
      <w:r>
        <w:rPr>
          <w:szCs w:val="24"/>
        </w:rPr>
        <w:t xml:space="preserve"> kan i meget sjældne tilfælde forårsage overfølsomhedsreaktioner efter indgivelse. Allergiske reaktioner over for disse stoffer kan i nogle tilfælde være alvorlige.</w:t>
      </w:r>
    </w:p>
    <w:p w:rsidR="00F861C0" w:rsidRDefault="00F861C0" w:rsidP="00F861C0">
      <w:pPr>
        <w:tabs>
          <w:tab w:val="left" w:pos="851"/>
          <w:tab w:val="left" w:pos="8222"/>
        </w:tabs>
        <w:rPr>
          <w:szCs w:val="24"/>
        </w:rPr>
      </w:pPr>
    </w:p>
    <w:p w:rsidR="00F861C0" w:rsidRDefault="00F861C0" w:rsidP="00F861C0">
      <w:pPr>
        <w:ind w:left="851"/>
        <w:rPr>
          <w:szCs w:val="22"/>
        </w:rPr>
      </w:pPr>
      <w:r>
        <w:rPr>
          <w:szCs w:val="22"/>
        </w:rPr>
        <w:t>Hyppigheden af bivirkninger er defineret som:</w:t>
      </w:r>
    </w:p>
    <w:p w:rsidR="00F861C0" w:rsidRDefault="00F861C0" w:rsidP="00F861C0">
      <w:pPr>
        <w:ind w:left="851"/>
        <w:rPr>
          <w:szCs w:val="22"/>
        </w:rPr>
      </w:pPr>
      <w:r>
        <w:rPr>
          <w:szCs w:val="22"/>
        </w:rPr>
        <w:t>- Meget almindelig (flere end 1 ud af 10 behandlede dyr, der viser bivirkninger i løbet af en behandling)</w:t>
      </w:r>
    </w:p>
    <w:p w:rsidR="00F861C0" w:rsidRDefault="00F861C0" w:rsidP="00F861C0">
      <w:pPr>
        <w:ind w:left="851"/>
        <w:rPr>
          <w:szCs w:val="22"/>
        </w:rPr>
      </w:pPr>
      <w:r>
        <w:rPr>
          <w:szCs w:val="22"/>
        </w:rPr>
        <w:t>- Almindelige (flere end 1, men færre end 10 dyr af 100 behandlede dyr)</w:t>
      </w:r>
    </w:p>
    <w:p w:rsidR="00F861C0" w:rsidRDefault="00F861C0" w:rsidP="00F861C0">
      <w:pPr>
        <w:ind w:left="851"/>
        <w:rPr>
          <w:szCs w:val="22"/>
        </w:rPr>
      </w:pPr>
      <w:r>
        <w:rPr>
          <w:szCs w:val="22"/>
        </w:rPr>
        <w:t>- Ikke almindelige (flere end 1, men færre end 10 dyr af 1.000 behandlede dyr)</w:t>
      </w:r>
    </w:p>
    <w:p w:rsidR="00F861C0" w:rsidRDefault="00F861C0" w:rsidP="00F861C0">
      <w:pPr>
        <w:ind w:left="851"/>
        <w:rPr>
          <w:szCs w:val="22"/>
        </w:rPr>
      </w:pPr>
      <w:r>
        <w:rPr>
          <w:szCs w:val="22"/>
        </w:rPr>
        <w:t>- Sjældne (flere end 1, men færre end 10 dyr ud af 10.000 behandlede dyr)</w:t>
      </w:r>
    </w:p>
    <w:p w:rsidR="00F861C0" w:rsidRPr="00406EE7" w:rsidRDefault="00F861C0" w:rsidP="00F861C0">
      <w:pPr>
        <w:tabs>
          <w:tab w:val="left" w:pos="851"/>
          <w:tab w:val="left" w:pos="8222"/>
        </w:tabs>
        <w:rPr>
          <w:sz w:val="24"/>
          <w:szCs w:val="24"/>
        </w:rPr>
      </w:pPr>
      <w:r>
        <w:rPr>
          <w:szCs w:val="22"/>
        </w:rPr>
        <w:tab/>
        <w:t>- Meget sjælden (færre end 1 dyr ud af 10.000 behandlede dyr, herunder isolerede rapporter).</w:t>
      </w:r>
    </w:p>
    <w:p w:rsidR="00F861C0" w:rsidRDefault="00F861C0" w:rsidP="00F861C0">
      <w:pPr>
        <w:rPr>
          <w:sz w:val="24"/>
          <w:szCs w:val="24"/>
        </w:rPr>
      </w:pPr>
      <w:r>
        <w:rPr>
          <w:sz w:val="24"/>
          <w:szCs w:val="24"/>
        </w:rPr>
        <w:br w:type="page"/>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F861C0" w:rsidRPr="00086206" w:rsidRDefault="00F861C0" w:rsidP="00F861C0">
      <w:pPr>
        <w:pStyle w:val="PartIBText"/>
        <w:ind w:left="851"/>
        <w:rPr>
          <w:szCs w:val="24"/>
        </w:rPr>
      </w:pPr>
      <w:r w:rsidRPr="00086206">
        <w:rPr>
          <w:szCs w:val="24"/>
        </w:rPr>
        <w:t>Laboratorieundersøgelser af rotter har ikke givet evidens for</w:t>
      </w:r>
      <w:r>
        <w:rPr>
          <w:szCs w:val="24"/>
        </w:rPr>
        <w:t xml:space="preserve"> en </w:t>
      </w:r>
      <w:proofErr w:type="spellStart"/>
      <w:r>
        <w:rPr>
          <w:szCs w:val="24"/>
        </w:rPr>
        <w:t>teratogen</w:t>
      </w:r>
      <w:proofErr w:type="spellEnd"/>
      <w:r>
        <w:rPr>
          <w:szCs w:val="24"/>
        </w:rPr>
        <w:t xml:space="preserve"> effekt grundet </w:t>
      </w:r>
      <w:r w:rsidRPr="00086206">
        <w:rPr>
          <w:szCs w:val="24"/>
        </w:rPr>
        <w:t xml:space="preserve">indgivelse af </w:t>
      </w:r>
      <w:proofErr w:type="spellStart"/>
      <w:r w:rsidRPr="00086206">
        <w:rPr>
          <w:szCs w:val="24"/>
        </w:rPr>
        <w:t>amoxicillin</w:t>
      </w:r>
      <w:proofErr w:type="spellEnd"/>
      <w:r w:rsidRPr="00086206">
        <w:rPr>
          <w:szCs w:val="24"/>
        </w:rPr>
        <w:t>.</w:t>
      </w:r>
    </w:p>
    <w:p w:rsidR="00F861C0" w:rsidRPr="00406EE7" w:rsidRDefault="00F861C0" w:rsidP="00F861C0">
      <w:pPr>
        <w:ind w:left="851"/>
        <w:rPr>
          <w:sz w:val="24"/>
          <w:szCs w:val="24"/>
        </w:rPr>
      </w:pPr>
      <w:r>
        <w:rPr>
          <w:sz w:val="24"/>
          <w:szCs w:val="24"/>
        </w:rPr>
        <w:t xml:space="preserve">Anvend kun efter </w:t>
      </w:r>
      <w:proofErr w:type="spellStart"/>
      <w:r>
        <w:rPr>
          <w:sz w:val="24"/>
          <w:szCs w:val="24"/>
        </w:rPr>
        <w:t>risk</w:t>
      </w:r>
      <w:proofErr w:type="spellEnd"/>
      <w:r>
        <w:rPr>
          <w:sz w:val="24"/>
          <w:szCs w:val="24"/>
        </w:rPr>
        <w:t>/benefit vurdering af den ansvarlige dyrlæge.</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F861C0" w:rsidRDefault="00F861C0" w:rsidP="00F861C0">
      <w:pPr>
        <w:pStyle w:val="PartIBText"/>
        <w:ind w:left="851"/>
        <w:rPr>
          <w:szCs w:val="24"/>
        </w:rPr>
      </w:pPr>
      <w:proofErr w:type="spellStart"/>
      <w:r>
        <w:rPr>
          <w:szCs w:val="24"/>
        </w:rPr>
        <w:t>Amoxicillins</w:t>
      </w:r>
      <w:proofErr w:type="spellEnd"/>
      <w:r>
        <w:rPr>
          <w:szCs w:val="24"/>
        </w:rPr>
        <w:t xml:space="preserve"> baktericide virkning skyldes hæmning af syntesen af bakteriens cellevæg under multiplikation. </w:t>
      </w:r>
      <w:proofErr w:type="spellStart"/>
      <w:r>
        <w:rPr>
          <w:szCs w:val="24"/>
        </w:rPr>
        <w:t>Amoxicillin</w:t>
      </w:r>
      <w:proofErr w:type="spellEnd"/>
      <w:r>
        <w:rPr>
          <w:szCs w:val="24"/>
        </w:rPr>
        <w:t xml:space="preserve"> er derfor i princippet ikke kompatibelt med antibiotika med </w:t>
      </w:r>
      <w:proofErr w:type="spellStart"/>
      <w:r>
        <w:rPr>
          <w:szCs w:val="24"/>
        </w:rPr>
        <w:t>bakteriostatisk</w:t>
      </w:r>
      <w:proofErr w:type="spellEnd"/>
      <w:r>
        <w:rPr>
          <w:szCs w:val="24"/>
        </w:rPr>
        <w:t xml:space="preserve"> virkning (f.eks. </w:t>
      </w:r>
      <w:proofErr w:type="spellStart"/>
      <w:r>
        <w:rPr>
          <w:szCs w:val="24"/>
        </w:rPr>
        <w:t>tetracykliner</w:t>
      </w:r>
      <w:proofErr w:type="spellEnd"/>
      <w:r>
        <w:rPr>
          <w:szCs w:val="24"/>
        </w:rPr>
        <w:t>, makrolider og sulfonamider), som hæmmer multiplikationen.</w:t>
      </w:r>
    </w:p>
    <w:p w:rsidR="00F861C0" w:rsidRDefault="00F861C0" w:rsidP="00F861C0">
      <w:pPr>
        <w:tabs>
          <w:tab w:val="num" w:pos="1276"/>
          <w:tab w:val="num" w:pos="2450"/>
        </w:tabs>
        <w:ind w:left="851"/>
        <w:rPr>
          <w:szCs w:val="24"/>
        </w:rPr>
      </w:pPr>
      <w:r>
        <w:rPr>
          <w:szCs w:val="24"/>
        </w:rPr>
        <w:t xml:space="preserve">Der er </w:t>
      </w:r>
      <w:proofErr w:type="spellStart"/>
      <w:r>
        <w:rPr>
          <w:szCs w:val="24"/>
        </w:rPr>
        <w:t>synergisme</w:t>
      </w:r>
      <w:proofErr w:type="spellEnd"/>
      <w:r>
        <w:rPr>
          <w:szCs w:val="24"/>
        </w:rPr>
        <w:t xml:space="preserve"> med </w:t>
      </w:r>
      <w:proofErr w:type="spellStart"/>
      <w:r>
        <w:t>betalaktam</w:t>
      </w:r>
      <w:proofErr w:type="spellEnd"/>
      <w:r>
        <w:t>-antibiotika og aminoglykosider.</w:t>
      </w:r>
    </w:p>
    <w:p w:rsidR="00F861C0" w:rsidRPr="00086206" w:rsidRDefault="00F861C0" w:rsidP="00F861C0">
      <w:pPr>
        <w:pStyle w:val="PartIBText"/>
        <w:ind w:left="851"/>
        <w:rPr>
          <w:szCs w:val="24"/>
        </w:rPr>
      </w:pPr>
      <w:r>
        <w:rPr>
          <w:szCs w:val="24"/>
        </w:rPr>
        <w:t xml:space="preserve">Må ikke bruges samtidig med </w:t>
      </w:r>
      <w:proofErr w:type="spellStart"/>
      <w:r>
        <w:rPr>
          <w:szCs w:val="24"/>
        </w:rPr>
        <w:t>neomycin</w:t>
      </w:r>
      <w:proofErr w:type="spellEnd"/>
      <w:r>
        <w:rPr>
          <w:szCs w:val="24"/>
        </w:rPr>
        <w:t>, idet det blokerer optagelsen af oral penicillin.</w:t>
      </w:r>
    </w:p>
    <w:p w:rsidR="00F861C0" w:rsidRPr="00406EE7" w:rsidRDefault="00F861C0" w:rsidP="00F861C0">
      <w:pPr>
        <w:tabs>
          <w:tab w:val="left" w:pos="851"/>
          <w:tab w:val="left" w:pos="8222"/>
        </w:tabs>
        <w:rPr>
          <w:sz w:val="24"/>
          <w:szCs w:val="24"/>
        </w:rPr>
      </w:pPr>
      <w:r w:rsidRPr="00406EE7">
        <w:rPr>
          <w:sz w:val="24"/>
          <w:szCs w:val="24"/>
        </w:rPr>
        <w:tab/>
      </w:r>
    </w:p>
    <w:p w:rsidR="00F861C0" w:rsidRPr="00406EE7" w:rsidRDefault="00F861C0" w:rsidP="00F861C0">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F861C0" w:rsidRDefault="00F861C0" w:rsidP="00F861C0">
      <w:pPr>
        <w:pStyle w:val="PartIBText"/>
        <w:ind w:left="851"/>
        <w:rPr>
          <w:szCs w:val="24"/>
        </w:rPr>
      </w:pPr>
      <w:r>
        <w:rPr>
          <w:szCs w:val="24"/>
        </w:rPr>
        <w:t xml:space="preserve">Til oral anvendelse via drikkevandet. </w:t>
      </w:r>
    </w:p>
    <w:p w:rsidR="00F861C0" w:rsidRDefault="00F861C0" w:rsidP="00F861C0">
      <w:pPr>
        <w:pStyle w:val="PartIBText"/>
        <w:ind w:left="851"/>
        <w:rPr>
          <w:szCs w:val="24"/>
        </w:rPr>
      </w:pPr>
    </w:p>
    <w:p w:rsidR="00F861C0" w:rsidRDefault="00F861C0" w:rsidP="00F861C0">
      <w:pPr>
        <w:pStyle w:val="PartIBText"/>
        <w:ind w:left="851"/>
        <w:rPr>
          <w:szCs w:val="24"/>
        </w:rPr>
      </w:pPr>
      <w:r>
        <w:rPr>
          <w:szCs w:val="24"/>
        </w:rPr>
        <w:t>Følgende formel kan bruges til at beregne den mængde lægemiddel, der kræves pr. dag:</w:t>
      </w:r>
    </w:p>
    <w:p w:rsidR="00F861C0" w:rsidRDefault="00F861C0" w:rsidP="00F861C0">
      <w:pPr>
        <w:pStyle w:val="PartIBText"/>
        <w:ind w:left="851"/>
        <w:rPr>
          <w:szCs w:val="24"/>
        </w:rPr>
      </w:pPr>
    </w:p>
    <w:p w:rsidR="00F861C0" w:rsidRDefault="00F861C0" w:rsidP="00F861C0">
      <w:pPr>
        <w:pStyle w:val="PartIBText"/>
        <w:tabs>
          <w:tab w:val="left" w:pos="3261"/>
          <w:tab w:val="left" w:pos="3402"/>
          <w:tab w:val="left" w:pos="4253"/>
        </w:tabs>
        <w:ind w:left="851"/>
        <w:rPr>
          <w:szCs w:val="24"/>
        </w:rPr>
      </w:pPr>
      <w:r>
        <w:rPr>
          <w:szCs w:val="24"/>
        </w:rPr>
        <w:t>Dosering i mg af lægemidlet    x</w:t>
      </w:r>
      <w:r>
        <w:rPr>
          <w:szCs w:val="24"/>
        </w:rPr>
        <w:tab/>
        <w:t xml:space="preserve">Samlet vægt (kg) af </w:t>
      </w:r>
    </w:p>
    <w:p w:rsidR="00F861C0" w:rsidRDefault="00F861C0" w:rsidP="00F861C0">
      <w:pPr>
        <w:pStyle w:val="PartIBText"/>
        <w:tabs>
          <w:tab w:val="left" w:pos="4253"/>
        </w:tabs>
        <w:ind w:left="851"/>
        <w:rPr>
          <w:szCs w:val="24"/>
          <w:u w:val="single"/>
        </w:rPr>
      </w:pPr>
      <w:r>
        <w:rPr>
          <w:szCs w:val="24"/>
          <w:u w:val="single"/>
        </w:rPr>
        <w:t>pr. kg legemsvægt pr. dag</w:t>
      </w:r>
      <w:r>
        <w:rPr>
          <w:szCs w:val="24"/>
          <w:u w:val="single"/>
        </w:rPr>
        <w:tab/>
        <w:t xml:space="preserve"> alle behandlede fugle = mg af  lægemidlet/ l drikkevand</w:t>
      </w:r>
    </w:p>
    <w:p w:rsidR="00F861C0" w:rsidRDefault="00F861C0" w:rsidP="00F861C0">
      <w:pPr>
        <w:pStyle w:val="PartIBText"/>
        <w:ind w:left="851"/>
        <w:rPr>
          <w:szCs w:val="24"/>
        </w:rPr>
      </w:pPr>
      <w:r>
        <w:rPr>
          <w:szCs w:val="24"/>
        </w:rPr>
        <w:t>Samlet daglige optag af drikkevand (liter) for alle behandlede fugle</w:t>
      </w:r>
    </w:p>
    <w:p w:rsidR="00F861C0" w:rsidRDefault="00F861C0" w:rsidP="00F861C0">
      <w:pPr>
        <w:pStyle w:val="PartIBText"/>
        <w:ind w:left="851"/>
        <w:rPr>
          <w:szCs w:val="24"/>
        </w:rPr>
      </w:pPr>
    </w:p>
    <w:p w:rsidR="00F861C0" w:rsidRPr="00A45F6B" w:rsidRDefault="00F861C0" w:rsidP="00F861C0">
      <w:pPr>
        <w:pStyle w:val="PartIBText"/>
        <w:ind w:left="851"/>
        <w:rPr>
          <w:szCs w:val="24"/>
          <w:u w:val="single"/>
        </w:rPr>
      </w:pPr>
      <w:r w:rsidRPr="00A45F6B">
        <w:rPr>
          <w:szCs w:val="24"/>
          <w:u w:val="single"/>
        </w:rPr>
        <w:t>Kyllinger</w:t>
      </w:r>
    </w:p>
    <w:p w:rsidR="00F861C0" w:rsidRPr="00086206" w:rsidRDefault="00F861C0" w:rsidP="00F861C0">
      <w:pPr>
        <w:pStyle w:val="PartIBText"/>
        <w:ind w:left="851"/>
        <w:rPr>
          <w:szCs w:val="24"/>
        </w:rPr>
      </w:pPr>
      <w:r w:rsidRPr="00086206">
        <w:rPr>
          <w:szCs w:val="24"/>
        </w:rPr>
        <w:t xml:space="preserve">Den anbefalede dosis er 15 mg </w:t>
      </w:r>
      <w:proofErr w:type="spellStart"/>
      <w:r w:rsidRPr="00086206">
        <w:rPr>
          <w:szCs w:val="24"/>
        </w:rPr>
        <w:t>amoxicillintrihydrat</w:t>
      </w:r>
      <w:proofErr w:type="spellEnd"/>
      <w:r w:rsidRPr="00086206">
        <w:rPr>
          <w:szCs w:val="24"/>
        </w:rPr>
        <w:t xml:space="preserve"> pr. kg kropsvægt.</w:t>
      </w:r>
    </w:p>
    <w:p w:rsidR="00F861C0" w:rsidRPr="00086206" w:rsidRDefault="00F861C0" w:rsidP="00F861C0">
      <w:pPr>
        <w:pStyle w:val="PartIBText"/>
        <w:ind w:left="851"/>
        <w:rPr>
          <w:szCs w:val="24"/>
        </w:rPr>
      </w:pPr>
      <w:r w:rsidRPr="00086206">
        <w:rPr>
          <w:szCs w:val="24"/>
        </w:rPr>
        <w:t>Den samlede behandlingsperiode bør være 3 på hinanden følgende dage eller i alvorlige tilfælde 5 på hinanden følgende dage.</w:t>
      </w:r>
    </w:p>
    <w:p w:rsidR="00F861C0" w:rsidRPr="00086206" w:rsidRDefault="00F861C0" w:rsidP="00F861C0">
      <w:pPr>
        <w:pStyle w:val="PartIBText"/>
        <w:ind w:left="851"/>
        <w:rPr>
          <w:szCs w:val="24"/>
        </w:rPr>
      </w:pPr>
    </w:p>
    <w:p w:rsidR="00F861C0" w:rsidRPr="00A45F6B" w:rsidRDefault="00F861C0" w:rsidP="00F861C0">
      <w:pPr>
        <w:pStyle w:val="PartIBText"/>
        <w:ind w:left="851"/>
        <w:rPr>
          <w:szCs w:val="24"/>
          <w:u w:val="single"/>
        </w:rPr>
      </w:pPr>
      <w:r>
        <w:rPr>
          <w:szCs w:val="24"/>
          <w:u w:val="single"/>
        </w:rPr>
        <w:t>Ænder</w:t>
      </w:r>
    </w:p>
    <w:p w:rsidR="00F861C0" w:rsidRPr="00086206" w:rsidRDefault="00F861C0" w:rsidP="00F861C0">
      <w:pPr>
        <w:pStyle w:val="PartIBText"/>
        <w:ind w:left="851"/>
        <w:rPr>
          <w:szCs w:val="24"/>
        </w:rPr>
      </w:pPr>
      <w:r w:rsidRPr="00086206">
        <w:rPr>
          <w:szCs w:val="24"/>
        </w:rPr>
        <w:t xml:space="preserve">Anbefalet dosis er 20 mg </w:t>
      </w:r>
      <w:proofErr w:type="spellStart"/>
      <w:r w:rsidRPr="00086206">
        <w:rPr>
          <w:szCs w:val="24"/>
        </w:rPr>
        <w:t>amoxicillintrihydrat</w:t>
      </w:r>
      <w:proofErr w:type="spellEnd"/>
      <w:r w:rsidRPr="00086206">
        <w:rPr>
          <w:szCs w:val="24"/>
        </w:rPr>
        <w:t xml:space="preserve">/kg kropsvægt i 3 på hinanden følgende dage. </w:t>
      </w:r>
    </w:p>
    <w:p w:rsidR="00F861C0" w:rsidRPr="00086206" w:rsidRDefault="00F861C0" w:rsidP="00F861C0">
      <w:pPr>
        <w:pStyle w:val="PartIBText"/>
        <w:ind w:left="851"/>
        <w:rPr>
          <w:szCs w:val="24"/>
        </w:rPr>
      </w:pPr>
    </w:p>
    <w:p w:rsidR="00F861C0" w:rsidRPr="00A45F6B" w:rsidRDefault="00F861C0" w:rsidP="00F861C0">
      <w:pPr>
        <w:pStyle w:val="PartIBText"/>
        <w:ind w:left="851"/>
        <w:rPr>
          <w:szCs w:val="24"/>
          <w:u w:val="single"/>
        </w:rPr>
      </w:pPr>
      <w:r>
        <w:rPr>
          <w:szCs w:val="24"/>
          <w:u w:val="single"/>
        </w:rPr>
        <w:t>Kalkuner</w:t>
      </w:r>
    </w:p>
    <w:p w:rsidR="00F861C0" w:rsidRPr="00086206" w:rsidRDefault="00F861C0" w:rsidP="00F861C0">
      <w:pPr>
        <w:pStyle w:val="PartIBText"/>
        <w:ind w:left="851"/>
        <w:rPr>
          <w:szCs w:val="24"/>
        </w:rPr>
      </w:pPr>
      <w:r w:rsidRPr="00086206">
        <w:rPr>
          <w:szCs w:val="24"/>
        </w:rPr>
        <w:t xml:space="preserve">Anbefalet dosis er 15-20 mg </w:t>
      </w:r>
      <w:proofErr w:type="spellStart"/>
      <w:r w:rsidRPr="00086206">
        <w:rPr>
          <w:szCs w:val="24"/>
        </w:rPr>
        <w:t>amoxillintrihydrat</w:t>
      </w:r>
      <w:proofErr w:type="spellEnd"/>
      <w:r w:rsidRPr="00086206">
        <w:rPr>
          <w:szCs w:val="24"/>
        </w:rPr>
        <w:t>/kg kropsvægt i 3 på hinanden følgende dage eller i alvorlige tilfælde 5 på hinanden følgende dage.</w:t>
      </w:r>
    </w:p>
    <w:p w:rsidR="00F861C0" w:rsidRPr="00086206" w:rsidRDefault="00F861C0" w:rsidP="00F861C0">
      <w:pPr>
        <w:pStyle w:val="PartIBText"/>
        <w:ind w:left="851"/>
        <w:rPr>
          <w:szCs w:val="24"/>
        </w:rPr>
      </w:pPr>
      <w:r w:rsidRPr="00086206">
        <w:rPr>
          <w:szCs w:val="24"/>
        </w:rPr>
        <w:t xml:space="preserve">For at sikre en korrekt dosering bør kropsvægten bestemmes så nøjagtigt som muligt for at undgå underdosering. </w:t>
      </w:r>
      <w:r>
        <w:rPr>
          <w:szCs w:val="24"/>
        </w:rPr>
        <w:t>Indtaget</w:t>
      </w:r>
      <w:r w:rsidRPr="00086206">
        <w:rPr>
          <w:szCs w:val="24"/>
        </w:rPr>
        <w:t xml:space="preserve"> af det </w:t>
      </w:r>
      <w:r>
        <w:rPr>
          <w:szCs w:val="24"/>
        </w:rPr>
        <w:t>medicinerede</w:t>
      </w:r>
      <w:r w:rsidRPr="00086206">
        <w:rPr>
          <w:szCs w:val="24"/>
        </w:rPr>
        <w:t xml:space="preserve"> vand afhænger af </w:t>
      </w:r>
      <w:r>
        <w:rPr>
          <w:szCs w:val="24"/>
        </w:rPr>
        <w:t>fjerkræets</w:t>
      </w:r>
      <w:r w:rsidRPr="00086206">
        <w:rPr>
          <w:szCs w:val="24"/>
        </w:rPr>
        <w:t xml:space="preserve"> kliniske tilstand. For at finde den korrekte dosering skal koncentrationen af </w:t>
      </w:r>
      <w:proofErr w:type="spellStart"/>
      <w:r w:rsidRPr="00086206">
        <w:rPr>
          <w:szCs w:val="24"/>
        </w:rPr>
        <w:t>amoxicillin</w:t>
      </w:r>
      <w:proofErr w:type="spellEnd"/>
      <w:r w:rsidRPr="00086206">
        <w:rPr>
          <w:szCs w:val="24"/>
        </w:rPr>
        <w:t xml:space="preserve"> justeres for at tage hensyn til vandindtaget.  </w:t>
      </w:r>
    </w:p>
    <w:p w:rsidR="00F861C0" w:rsidRPr="00086206" w:rsidRDefault="00F861C0" w:rsidP="00F861C0">
      <w:pPr>
        <w:pStyle w:val="PartIBText"/>
        <w:ind w:left="851"/>
        <w:rPr>
          <w:szCs w:val="24"/>
        </w:rPr>
      </w:pPr>
    </w:p>
    <w:p w:rsidR="00F861C0" w:rsidRPr="00086206" w:rsidRDefault="00F861C0" w:rsidP="00F861C0">
      <w:pPr>
        <w:pStyle w:val="PartIBText"/>
        <w:ind w:left="851"/>
        <w:rPr>
          <w:szCs w:val="24"/>
        </w:rPr>
      </w:pPr>
      <w:r w:rsidRPr="00086206">
        <w:rPr>
          <w:szCs w:val="24"/>
        </w:rPr>
        <w:t xml:space="preserve">Tilbered opløsningen med frisk postevand umiddelbart inden brug. </w:t>
      </w:r>
    </w:p>
    <w:p w:rsidR="00F861C0" w:rsidRPr="00086206" w:rsidRDefault="00F861C0" w:rsidP="00F861C0">
      <w:pPr>
        <w:pStyle w:val="PartIBText"/>
        <w:ind w:left="851"/>
        <w:rPr>
          <w:szCs w:val="24"/>
        </w:rPr>
      </w:pPr>
      <w:r w:rsidRPr="00086206">
        <w:rPr>
          <w:szCs w:val="24"/>
        </w:rPr>
        <w:t xml:space="preserve">Eventuelt ubrugt </w:t>
      </w:r>
      <w:r>
        <w:rPr>
          <w:szCs w:val="24"/>
        </w:rPr>
        <w:t>medicineret</w:t>
      </w:r>
      <w:r w:rsidRPr="00086206">
        <w:rPr>
          <w:szCs w:val="24"/>
        </w:rPr>
        <w:t xml:space="preserve"> vand bør </w:t>
      </w:r>
      <w:r>
        <w:rPr>
          <w:szCs w:val="24"/>
        </w:rPr>
        <w:t>kasseres</w:t>
      </w:r>
      <w:r w:rsidRPr="00086206">
        <w:rPr>
          <w:szCs w:val="24"/>
        </w:rPr>
        <w:t xml:space="preserve"> efter 24 timer.</w:t>
      </w:r>
    </w:p>
    <w:p w:rsidR="00F861C0" w:rsidRPr="00086206" w:rsidRDefault="00F861C0" w:rsidP="00F861C0">
      <w:pPr>
        <w:pStyle w:val="PartIBText"/>
        <w:ind w:left="851"/>
        <w:rPr>
          <w:szCs w:val="24"/>
        </w:rPr>
      </w:pPr>
    </w:p>
    <w:p w:rsidR="00F861C0" w:rsidRPr="00086206" w:rsidRDefault="00F861C0" w:rsidP="00F861C0">
      <w:pPr>
        <w:pStyle w:val="PartIBText"/>
        <w:ind w:left="851"/>
        <w:rPr>
          <w:szCs w:val="24"/>
        </w:rPr>
      </w:pPr>
      <w:r w:rsidRPr="00086206">
        <w:rPr>
          <w:szCs w:val="24"/>
        </w:rPr>
        <w:t xml:space="preserve">For at sikre indtagelse af det </w:t>
      </w:r>
      <w:r>
        <w:rPr>
          <w:szCs w:val="24"/>
        </w:rPr>
        <w:t>medicinerede</w:t>
      </w:r>
      <w:r w:rsidRPr="00086206">
        <w:rPr>
          <w:szCs w:val="24"/>
        </w:rPr>
        <w:t xml:space="preserve"> vand bør dyrene ikke have adgang til andet vand, mens behandlingen er i gang. Det anbefales at bruge passende kalibreret vejeudstyr til indgivelse af den beregnede mængde af </w:t>
      </w:r>
      <w:r>
        <w:rPr>
          <w:szCs w:val="24"/>
        </w:rPr>
        <w:t>lægemidlet</w:t>
      </w:r>
      <w:r w:rsidRPr="00086206">
        <w:rPr>
          <w:szCs w:val="24"/>
        </w:rPr>
        <w:t xml:space="preserve">. </w:t>
      </w:r>
    </w:p>
    <w:p w:rsidR="00F861C0" w:rsidRPr="00086206" w:rsidRDefault="00F861C0" w:rsidP="00F861C0">
      <w:pPr>
        <w:pStyle w:val="PartIBText"/>
        <w:ind w:left="851"/>
        <w:rPr>
          <w:szCs w:val="24"/>
        </w:rPr>
      </w:pPr>
    </w:p>
    <w:p w:rsidR="00F861C0" w:rsidRPr="00086206" w:rsidRDefault="00F861C0" w:rsidP="00F861C0">
      <w:pPr>
        <w:pStyle w:val="PartIBText"/>
        <w:ind w:left="851" w:firstLine="1"/>
        <w:rPr>
          <w:szCs w:val="24"/>
        </w:rPr>
      </w:pPr>
      <w:r w:rsidRPr="00086206">
        <w:rPr>
          <w:szCs w:val="24"/>
        </w:rPr>
        <w:t>Opløseligheden i vand varierer afhængigt af tempera</w:t>
      </w:r>
      <w:r>
        <w:rPr>
          <w:szCs w:val="24"/>
        </w:rPr>
        <w:t>turen og vandkvaliteten samt af</w:t>
      </w:r>
      <w:r w:rsidRPr="00086206">
        <w:rPr>
          <w:szCs w:val="24"/>
        </w:rPr>
        <w:t xml:space="preserve"> hvor </w:t>
      </w:r>
      <w:r>
        <w:rPr>
          <w:szCs w:val="24"/>
        </w:rPr>
        <w:t xml:space="preserve">længe og hvor </w:t>
      </w:r>
      <w:r w:rsidRPr="00086206">
        <w:rPr>
          <w:szCs w:val="24"/>
        </w:rPr>
        <w:t>kraftigt</w:t>
      </w:r>
      <w:r>
        <w:rPr>
          <w:szCs w:val="24"/>
        </w:rPr>
        <w:t>,</w:t>
      </w:r>
      <w:r w:rsidRPr="00086206">
        <w:rPr>
          <w:szCs w:val="24"/>
        </w:rPr>
        <w:t xml:space="preserve"> der omrøres. Under værst tænkelige forhold (</w:t>
      </w:r>
      <w:smartTag w:uri="urn:schemas-microsoft-com:office:smarttags" w:element="metricconverter">
        <w:smartTagPr>
          <w:attr w:name="ProductID" w:val="5000 g"/>
        </w:smartTagPr>
        <w:r w:rsidRPr="00086206">
          <w:rPr>
            <w:szCs w:val="24"/>
          </w:rPr>
          <w:t>10 °C</w:t>
        </w:r>
      </w:smartTag>
      <w:r w:rsidRPr="00086206">
        <w:rPr>
          <w:szCs w:val="24"/>
        </w:rPr>
        <w:t xml:space="preserve"> og blødt vand) er den maksimale opløselighed cirka 1,0 g/l, men den øges ved stigende temperaturer. Ved </w:t>
      </w:r>
      <w:r>
        <w:rPr>
          <w:szCs w:val="24"/>
        </w:rPr>
        <w:br/>
      </w:r>
      <w:r w:rsidRPr="00086206">
        <w:rPr>
          <w:szCs w:val="24"/>
        </w:rPr>
        <w:t xml:space="preserve">25 </w:t>
      </w:r>
      <w:r>
        <w:rPr>
          <w:szCs w:val="24"/>
        </w:rPr>
        <w:t>°</w:t>
      </w:r>
      <w:r w:rsidRPr="00086206">
        <w:rPr>
          <w:szCs w:val="24"/>
        </w:rPr>
        <w:t>C og i hårdt vand stiger den maksimale opløselighed til mindst 2 g/l.</w:t>
      </w:r>
    </w:p>
    <w:p w:rsidR="00F861C0" w:rsidRPr="00086206" w:rsidRDefault="00F861C0" w:rsidP="00F861C0">
      <w:pPr>
        <w:pStyle w:val="PartIBText"/>
        <w:ind w:left="851"/>
        <w:rPr>
          <w:szCs w:val="24"/>
        </w:rPr>
      </w:pPr>
    </w:p>
    <w:p w:rsidR="00F861C0" w:rsidRDefault="00F861C0" w:rsidP="00F861C0">
      <w:pPr>
        <w:pStyle w:val="PartIBText"/>
        <w:ind w:left="851" w:firstLine="1"/>
        <w:rPr>
          <w:szCs w:val="24"/>
        </w:rPr>
      </w:pPr>
      <w:r>
        <w:rPr>
          <w:szCs w:val="24"/>
        </w:rPr>
        <w:t>Til stam</w:t>
      </w:r>
      <w:r w:rsidRPr="00086206">
        <w:rPr>
          <w:szCs w:val="24"/>
        </w:rPr>
        <w:t>opløsn</w:t>
      </w:r>
      <w:r>
        <w:rPr>
          <w:szCs w:val="24"/>
        </w:rPr>
        <w:t>inger og ved brug af medicin</w:t>
      </w:r>
      <w:r w:rsidRPr="00086206">
        <w:rPr>
          <w:szCs w:val="24"/>
        </w:rPr>
        <w:t>blander: Pas på ikke at overskride den maksimale opløselighed, som ka</w:t>
      </w:r>
      <w:r>
        <w:rPr>
          <w:szCs w:val="24"/>
        </w:rPr>
        <w:t>n opnås under de givne forhold.</w:t>
      </w:r>
    </w:p>
    <w:p w:rsidR="00F861C0" w:rsidRDefault="00F861C0" w:rsidP="00F861C0">
      <w:pPr>
        <w:pStyle w:val="PartIBText"/>
        <w:ind w:left="851" w:firstLine="1"/>
        <w:rPr>
          <w:szCs w:val="24"/>
        </w:rPr>
      </w:pPr>
      <w:r w:rsidRPr="00086206">
        <w:rPr>
          <w:szCs w:val="24"/>
        </w:rPr>
        <w:t xml:space="preserve">Juster indstillingerne for doseringspumpens gennemstrømningshastighed i henhold til koncentrationen af </w:t>
      </w:r>
      <w:r>
        <w:rPr>
          <w:szCs w:val="24"/>
        </w:rPr>
        <w:t>stam</w:t>
      </w:r>
      <w:r w:rsidRPr="00086206">
        <w:rPr>
          <w:szCs w:val="24"/>
        </w:rPr>
        <w:t>opløsningen og vandindt</w:t>
      </w:r>
      <w:r>
        <w:rPr>
          <w:szCs w:val="24"/>
        </w:rPr>
        <w:t>aget hos de dyr, der behandles.</w:t>
      </w:r>
    </w:p>
    <w:p w:rsidR="00F861C0" w:rsidRPr="00086206" w:rsidRDefault="00F861C0" w:rsidP="00F861C0">
      <w:pPr>
        <w:pStyle w:val="PartIBText"/>
        <w:ind w:left="851" w:firstLine="1"/>
        <w:rPr>
          <w:szCs w:val="24"/>
        </w:rPr>
      </w:pPr>
      <w:r w:rsidRPr="00086206">
        <w:rPr>
          <w:szCs w:val="24"/>
        </w:rPr>
        <w:t xml:space="preserve">En moderat </w:t>
      </w:r>
      <w:r>
        <w:rPr>
          <w:szCs w:val="24"/>
        </w:rPr>
        <w:t>øget temperatur</w:t>
      </w:r>
      <w:r w:rsidRPr="00086206">
        <w:rPr>
          <w:szCs w:val="24"/>
        </w:rPr>
        <w:t xml:space="preserve"> og konstant omrøring kan være med til at øge opløseligheden.</w:t>
      </w:r>
    </w:p>
    <w:p w:rsidR="00F861C0"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b/>
          <w:sz w:val="24"/>
          <w:szCs w:val="24"/>
        </w:rPr>
      </w:pPr>
      <w:r w:rsidRPr="00406EE7">
        <w:rPr>
          <w:b/>
          <w:sz w:val="24"/>
          <w:szCs w:val="24"/>
        </w:rPr>
        <w:t>4.10</w:t>
      </w:r>
      <w:r w:rsidRPr="00406EE7">
        <w:rPr>
          <w:b/>
          <w:sz w:val="24"/>
          <w:szCs w:val="24"/>
        </w:rPr>
        <w:tab/>
        <w:t>Overdosering</w:t>
      </w:r>
    </w:p>
    <w:p w:rsidR="00F861C0" w:rsidRDefault="00F861C0" w:rsidP="00F861C0">
      <w:pPr>
        <w:tabs>
          <w:tab w:val="left" w:pos="851"/>
          <w:tab w:val="left" w:pos="8222"/>
        </w:tabs>
        <w:ind w:left="851" w:hanging="851"/>
        <w:rPr>
          <w:sz w:val="24"/>
          <w:szCs w:val="24"/>
        </w:rPr>
      </w:pPr>
      <w:r>
        <w:rPr>
          <w:sz w:val="24"/>
          <w:szCs w:val="24"/>
        </w:rPr>
        <w:tab/>
        <w:t xml:space="preserve">Der er ikke observeret </w:t>
      </w:r>
      <w:proofErr w:type="spellStart"/>
      <w:r>
        <w:rPr>
          <w:sz w:val="24"/>
          <w:szCs w:val="24"/>
        </w:rPr>
        <w:t>bivirkinger</w:t>
      </w:r>
      <w:proofErr w:type="spellEnd"/>
      <w:r>
        <w:rPr>
          <w:sz w:val="24"/>
          <w:szCs w:val="24"/>
        </w:rPr>
        <w:t xml:space="preserve"> efter administration af 5 gange den anbefalede dosis. B</w:t>
      </w:r>
      <w:r w:rsidRPr="00086206">
        <w:rPr>
          <w:sz w:val="24"/>
          <w:szCs w:val="24"/>
        </w:rPr>
        <w:t>eh</w:t>
      </w:r>
      <w:r>
        <w:rPr>
          <w:sz w:val="24"/>
          <w:szCs w:val="24"/>
        </w:rPr>
        <w:t xml:space="preserve">andling bør være symptomatisk, og der findes ingen specifik </w:t>
      </w:r>
      <w:proofErr w:type="spellStart"/>
      <w:r>
        <w:rPr>
          <w:sz w:val="24"/>
          <w:szCs w:val="24"/>
        </w:rPr>
        <w:t>antidot</w:t>
      </w:r>
      <w:proofErr w:type="spellEnd"/>
      <w:r>
        <w:rPr>
          <w:sz w:val="24"/>
          <w:szCs w:val="24"/>
        </w:rPr>
        <w:t>.</w:t>
      </w:r>
    </w:p>
    <w:p w:rsidR="00F861C0" w:rsidRDefault="00F861C0" w:rsidP="00F861C0">
      <w:pPr>
        <w:tabs>
          <w:tab w:val="left" w:pos="851"/>
          <w:tab w:val="left" w:pos="8222"/>
        </w:tabs>
        <w:ind w:left="851" w:hanging="851"/>
        <w:rPr>
          <w:sz w:val="24"/>
          <w:szCs w:val="24"/>
        </w:rPr>
      </w:pPr>
    </w:p>
    <w:p w:rsidR="00F861C0" w:rsidRPr="00406EE7" w:rsidRDefault="00F861C0" w:rsidP="00F861C0">
      <w:pPr>
        <w:tabs>
          <w:tab w:val="left" w:pos="851"/>
          <w:tab w:val="left" w:pos="8222"/>
        </w:tabs>
        <w:rPr>
          <w:b/>
          <w:sz w:val="24"/>
          <w:szCs w:val="24"/>
        </w:rPr>
      </w:pPr>
      <w:r w:rsidRPr="00406EE7">
        <w:rPr>
          <w:b/>
          <w:sz w:val="24"/>
          <w:szCs w:val="24"/>
        </w:rPr>
        <w:t>4.11</w:t>
      </w:r>
      <w:r w:rsidRPr="00406EE7">
        <w:rPr>
          <w:b/>
          <w:sz w:val="24"/>
          <w:szCs w:val="24"/>
        </w:rPr>
        <w:tab/>
        <w:t>Tilbageholdelsestid</w:t>
      </w:r>
    </w:p>
    <w:p w:rsidR="00F861C0" w:rsidRDefault="00F861C0" w:rsidP="00F861C0">
      <w:pPr>
        <w:pStyle w:val="PartIBText"/>
        <w:tabs>
          <w:tab w:val="left" w:pos="3686"/>
        </w:tabs>
        <w:ind w:left="851"/>
        <w:rPr>
          <w:szCs w:val="24"/>
        </w:rPr>
      </w:pPr>
    </w:p>
    <w:p w:rsidR="00F861C0" w:rsidRPr="003132DC" w:rsidRDefault="00F861C0" w:rsidP="00F861C0">
      <w:pPr>
        <w:pStyle w:val="PartIBText"/>
        <w:tabs>
          <w:tab w:val="left" w:pos="3686"/>
        </w:tabs>
        <w:ind w:left="851"/>
        <w:rPr>
          <w:szCs w:val="24"/>
          <w:u w:val="single"/>
        </w:rPr>
      </w:pPr>
      <w:r w:rsidRPr="003132DC">
        <w:rPr>
          <w:szCs w:val="24"/>
          <w:u w:val="single"/>
        </w:rPr>
        <w:t>Slagtning</w:t>
      </w:r>
    </w:p>
    <w:p w:rsidR="00F861C0" w:rsidRPr="00086206" w:rsidRDefault="00F861C0" w:rsidP="00F861C0">
      <w:pPr>
        <w:pStyle w:val="PartIBText"/>
        <w:tabs>
          <w:tab w:val="left" w:pos="1985"/>
        </w:tabs>
        <w:ind w:left="851"/>
        <w:rPr>
          <w:szCs w:val="24"/>
        </w:rPr>
      </w:pPr>
      <w:r>
        <w:rPr>
          <w:szCs w:val="24"/>
        </w:rPr>
        <w:t>Kyllinger:</w:t>
      </w:r>
      <w:r>
        <w:rPr>
          <w:szCs w:val="24"/>
        </w:rPr>
        <w:tab/>
      </w:r>
      <w:r w:rsidRPr="00086206">
        <w:rPr>
          <w:szCs w:val="24"/>
        </w:rPr>
        <w:t>1 dag</w:t>
      </w:r>
      <w:r>
        <w:rPr>
          <w:szCs w:val="24"/>
        </w:rPr>
        <w:t>.</w:t>
      </w:r>
    </w:p>
    <w:p w:rsidR="00F861C0" w:rsidRPr="00086206" w:rsidRDefault="00F861C0" w:rsidP="00F861C0">
      <w:pPr>
        <w:pStyle w:val="PartIBText"/>
        <w:tabs>
          <w:tab w:val="left" w:pos="1985"/>
        </w:tabs>
        <w:ind w:left="851"/>
        <w:rPr>
          <w:szCs w:val="24"/>
        </w:rPr>
      </w:pPr>
      <w:r>
        <w:rPr>
          <w:szCs w:val="24"/>
        </w:rPr>
        <w:t>Ænder:</w:t>
      </w:r>
      <w:r>
        <w:rPr>
          <w:szCs w:val="24"/>
        </w:rPr>
        <w:tab/>
      </w:r>
      <w:r w:rsidRPr="00086206">
        <w:rPr>
          <w:szCs w:val="24"/>
        </w:rPr>
        <w:t>9 dage</w:t>
      </w:r>
      <w:r>
        <w:rPr>
          <w:szCs w:val="24"/>
        </w:rPr>
        <w:t>.</w:t>
      </w:r>
    </w:p>
    <w:p w:rsidR="00F861C0" w:rsidRDefault="00F861C0" w:rsidP="00F861C0">
      <w:pPr>
        <w:pStyle w:val="PartIBText"/>
        <w:tabs>
          <w:tab w:val="left" w:pos="1985"/>
        </w:tabs>
        <w:ind w:left="851"/>
        <w:rPr>
          <w:szCs w:val="24"/>
        </w:rPr>
      </w:pPr>
      <w:r>
        <w:rPr>
          <w:szCs w:val="24"/>
        </w:rPr>
        <w:t>Kalkuner:</w:t>
      </w:r>
      <w:r>
        <w:rPr>
          <w:szCs w:val="24"/>
        </w:rPr>
        <w:tab/>
      </w:r>
      <w:r w:rsidRPr="00086206">
        <w:rPr>
          <w:szCs w:val="24"/>
        </w:rPr>
        <w:t>5 dage</w:t>
      </w:r>
      <w:r>
        <w:rPr>
          <w:szCs w:val="24"/>
        </w:rPr>
        <w:t>.</w:t>
      </w:r>
    </w:p>
    <w:p w:rsidR="00F861C0" w:rsidRPr="00086206" w:rsidRDefault="00F861C0" w:rsidP="00F861C0">
      <w:pPr>
        <w:pStyle w:val="PartIBText"/>
        <w:tabs>
          <w:tab w:val="left" w:pos="3686"/>
        </w:tabs>
        <w:ind w:left="851"/>
        <w:rPr>
          <w:szCs w:val="24"/>
        </w:rPr>
      </w:pPr>
    </w:p>
    <w:p w:rsidR="00F861C0" w:rsidRDefault="00F861C0" w:rsidP="00F861C0">
      <w:pPr>
        <w:pStyle w:val="PartIBText"/>
        <w:ind w:left="851"/>
        <w:rPr>
          <w:szCs w:val="24"/>
        </w:rPr>
      </w:pPr>
      <w:r>
        <w:rPr>
          <w:szCs w:val="24"/>
        </w:rPr>
        <w:t>Må ikke anvendes til fjerkræ, hvis æg er bestemt til menneskeføde.</w:t>
      </w:r>
    </w:p>
    <w:p w:rsidR="00F861C0" w:rsidRDefault="00F861C0" w:rsidP="00F861C0">
      <w:pPr>
        <w:pStyle w:val="PartIBText"/>
        <w:ind w:left="851"/>
        <w:rPr>
          <w:szCs w:val="24"/>
        </w:rPr>
      </w:pPr>
      <w:r>
        <w:rPr>
          <w:szCs w:val="24"/>
        </w:rPr>
        <w:t>Må ikke anvendes inden for 3 uger forud for æglægningsperiodens begyndelse.</w:t>
      </w:r>
    </w:p>
    <w:p w:rsidR="00F861C0" w:rsidRDefault="00F861C0" w:rsidP="00F861C0">
      <w:pPr>
        <w:pStyle w:val="PartIBText"/>
        <w:ind w:left="851"/>
        <w:rPr>
          <w:szCs w:val="24"/>
        </w:rPr>
      </w:pPr>
    </w:p>
    <w:p w:rsidR="00F861C0" w:rsidRPr="00ED6A80" w:rsidRDefault="00F861C0" w:rsidP="00F861C0">
      <w:pPr>
        <w:tabs>
          <w:tab w:val="left" w:pos="8222"/>
        </w:tabs>
        <w:ind w:left="851" w:hanging="851"/>
        <w:rPr>
          <w:b/>
          <w:sz w:val="24"/>
          <w:szCs w:val="24"/>
        </w:rPr>
      </w:pPr>
      <w:r w:rsidRPr="00ED6A80">
        <w:rPr>
          <w:b/>
          <w:sz w:val="24"/>
          <w:szCs w:val="24"/>
        </w:rPr>
        <w:t>5.</w:t>
      </w:r>
      <w:r w:rsidRPr="00ED6A80">
        <w:rPr>
          <w:b/>
          <w:sz w:val="24"/>
          <w:szCs w:val="24"/>
        </w:rPr>
        <w:tab/>
        <w:t>FARMAKOLOGISKE EGENSKABER</w:t>
      </w:r>
    </w:p>
    <w:p w:rsidR="00F861C0" w:rsidRPr="00ED6A80" w:rsidRDefault="00F861C0" w:rsidP="00F861C0">
      <w:pPr>
        <w:pStyle w:val="PartIBText"/>
        <w:ind w:left="851"/>
        <w:rPr>
          <w:szCs w:val="24"/>
        </w:rPr>
      </w:pPr>
      <w:proofErr w:type="spellStart"/>
      <w:r w:rsidRPr="00ED6A80">
        <w:rPr>
          <w:szCs w:val="24"/>
        </w:rPr>
        <w:t>Farmakoterapeutisk</w:t>
      </w:r>
      <w:proofErr w:type="spellEnd"/>
      <w:r w:rsidRPr="00ED6A80">
        <w:rPr>
          <w:szCs w:val="24"/>
        </w:rPr>
        <w:t xml:space="preserve"> gruppe: </w:t>
      </w:r>
      <w:proofErr w:type="spellStart"/>
      <w:r w:rsidRPr="00ED6A80">
        <w:rPr>
          <w:szCs w:val="24"/>
        </w:rPr>
        <w:t>Betalactam</w:t>
      </w:r>
      <w:proofErr w:type="spellEnd"/>
      <w:r w:rsidRPr="00ED6A80">
        <w:rPr>
          <w:szCs w:val="24"/>
        </w:rPr>
        <w:t xml:space="preserve"> antibiotika. Penicillin.</w:t>
      </w:r>
    </w:p>
    <w:p w:rsidR="00F861C0" w:rsidRPr="00ED6A80" w:rsidRDefault="00F861C0" w:rsidP="00F861C0">
      <w:pPr>
        <w:pStyle w:val="PartIBText"/>
        <w:ind w:left="851"/>
        <w:rPr>
          <w:szCs w:val="24"/>
        </w:rPr>
      </w:pPr>
      <w:proofErr w:type="spellStart"/>
      <w:r w:rsidRPr="00ED6A80">
        <w:rPr>
          <w:szCs w:val="24"/>
        </w:rPr>
        <w:t>ATCvet</w:t>
      </w:r>
      <w:proofErr w:type="spellEnd"/>
      <w:r w:rsidRPr="00ED6A80">
        <w:rPr>
          <w:szCs w:val="24"/>
        </w:rPr>
        <w:t>-kode: QJ 01 CA 04.</w:t>
      </w:r>
    </w:p>
    <w:p w:rsidR="00F861C0" w:rsidRPr="00ED6A80" w:rsidRDefault="00F861C0" w:rsidP="00F861C0">
      <w:pPr>
        <w:tabs>
          <w:tab w:val="left" w:pos="8222"/>
        </w:tabs>
        <w:rPr>
          <w:sz w:val="24"/>
          <w:szCs w:val="24"/>
        </w:rPr>
      </w:pPr>
    </w:p>
    <w:p w:rsidR="00F861C0" w:rsidRPr="00ED6A80" w:rsidRDefault="00F861C0" w:rsidP="00F861C0">
      <w:pPr>
        <w:tabs>
          <w:tab w:val="left" w:pos="851"/>
          <w:tab w:val="left" w:pos="8222"/>
        </w:tabs>
        <w:rPr>
          <w:b/>
          <w:sz w:val="24"/>
          <w:szCs w:val="24"/>
        </w:rPr>
      </w:pPr>
      <w:r w:rsidRPr="00ED6A80">
        <w:rPr>
          <w:b/>
          <w:sz w:val="24"/>
          <w:szCs w:val="24"/>
        </w:rPr>
        <w:t>5.1</w:t>
      </w:r>
      <w:r w:rsidRPr="00ED6A80">
        <w:rPr>
          <w:b/>
          <w:sz w:val="24"/>
          <w:szCs w:val="24"/>
        </w:rPr>
        <w:tab/>
      </w:r>
      <w:proofErr w:type="spellStart"/>
      <w:r w:rsidRPr="00ED6A80">
        <w:rPr>
          <w:b/>
          <w:sz w:val="24"/>
          <w:szCs w:val="24"/>
        </w:rPr>
        <w:t>Farmakodynamiske</w:t>
      </w:r>
      <w:proofErr w:type="spellEnd"/>
      <w:r w:rsidRPr="00ED6A80">
        <w:rPr>
          <w:b/>
          <w:sz w:val="24"/>
          <w:szCs w:val="24"/>
        </w:rPr>
        <w:t xml:space="preserve"> egenskaber</w:t>
      </w:r>
    </w:p>
    <w:p w:rsidR="00F861C0" w:rsidRDefault="00F861C0" w:rsidP="00F861C0">
      <w:pPr>
        <w:pStyle w:val="PartIBText"/>
        <w:ind w:left="851"/>
        <w:rPr>
          <w:szCs w:val="24"/>
        </w:rPr>
      </w:pPr>
      <w:proofErr w:type="spellStart"/>
      <w:r>
        <w:rPr>
          <w:szCs w:val="24"/>
        </w:rPr>
        <w:t>Amoxicillin</w:t>
      </w:r>
      <w:proofErr w:type="spellEnd"/>
      <w:r>
        <w:rPr>
          <w:szCs w:val="24"/>
        </w:rPr>
        <w:t xml:space="preserve"> er et tidsafhængigt baktericidt antibiotikum, der tilhører gruppen af semisyntetiske penicilliner, der virker ved hæmning af den bakterielle cellevægssyntese under bakteriel multiplikation. Det har et bredt virkningsspektrum mod </w:t>
      </w:r>
      <w:proofErr w:type="spellStart"/>
      <w:r>
        <w:rPr>
          <w:szCs w:val="24"/>
        </w:rPr>
        <w:t>Gram-positive</w:t>
      </w:r>
      <w:proofErr w:type="spellEnd"/>
      <w:r>
        <w:rPr>
          <w:szCs w:val="24"/>
        </w:rPr>
        <w:t xml:space="preserve"> og </w:t>
      </w:r>
      <w:proofErr w:type="spellStart"/>
      <w:r>
        <w:rPr>
          <w:szCs w:val="24"/>
        </w:rPr>
        <w:t>Gram-negative</w:t>
      </w:r>
      <w:proofErr w:type="spellEnd"/>
      <w:r>
        <w:rPr>
          <w:szCs w:val="24"/>
        </w:rPr>
        <w:t xml:space="preserve"> bakterier. Virkningen skyldes blokering af dannelsen af </w:t>
      </w:r>
      <w:proofErr w:type="spellStart"/>
      <w:r>
        <w:rPr>
          <w:szCs w:val="24"/>
        </w:rPr>
        <w:t>peptidoglykan</w:t>
      </w:r>
      <w:proofErr w:type="spellEnd"/>
      <w:r>
        <w:rPr>
          <w:szCs w:val="24"/>
        </w:rPr>
        <w:t xml:space="preserve"> netværksstrukturen i den bakterielle cellevæg.</w:t>
      </w:r>
    </w:p>
    <w:p w:rsidR="00F861C0" w:rsidRDefault="00F861C0" w:rsidP="00F861C0">
      <w:pPr>
        <w:pStyle w:val="PartIBText"/>
        <w:ind w:left="851"/>
        <w:rPr>
          <w:szCs w:val="24"/>
        </w:rPr>
      </w:pPr>
    </w:p>
    <w:p w:rsidR="00F861C0" w:rsidRDefault="00F861C0" w:rsidP="00F861C0">
      <w:pPr>
        <w:pStyle w:val="PartIBText"/>
        <w:ind w:left="851"/>
        <w:rPr>
          <w:szCs w:val="24"/>
        </w:rPr>
      </w:pPr>
      <w:r>
        <w:rPr>
          <w:szCs w:val="24"/>
        </w:rPr>
        <w:t>Der er tre hovedmekanismer for resistens over for beta-</w:t>
      </w:r>
      <w:proofErr w:type="spellStart"/>
      <w:r>
        <w:rPr>
          <w:szCs w:val="24"/>
        </w:rPr>
        <w:t>laktamer</w:t>
      </w:r>
      <w:proofErr w:type="spellEnd"/>
      <w:r>
        <w:rPr>
          <w:szCs w:val="24"/>
        </w:rPr>
        <w:t>: Produktion ad beta-</w:t>
      </w:r>
      <w:proofErr w:type="spellStart"/>
      <w:r>
        <w:rPr>
          <w:szCs w:val="24"/>
        </w:rPr>
        <w:t>laktamase</w:t>
      </w:r>
      <w:proofErr w:type="spellEnd"/>
      <w:r>
        <w:rPr>
          <w:szCs w:val="24"/>
        </w:rPr>
        <w:t>, produktion af proteiner, der binder penicillin og nedsat penetration af den ydre membran. En af de vigtigste er inaktivering af penicillin forårsaget af beta-</w:t>
      </w:r>
      <w:proofErr w:type="spellStart"/>
      <w:r>
        <w:rPr>
          <w:szCs w:val="24"/>
        </w:rPr>
        <w:t>laktamaser</w:t>
      </w:r>
      <w:proofErr w:type="spellEnd"/>
      <w:r>
        <w:rPr>
          <w:szCs w:val="24"/>
        </w:rPr>
        <w:t>, som dannes af nogle bakterier. Disse enzymer er i stand til at kløve penicilliners beta-</w:t>
      </w:r>
      <w:proofErr w:type="spellStart"/>
      <w:r>
        <w:rPr>
          <w:szCs w:val="24"/>
        </w:rPr>
        <w:t>laktamring</w:t>
      </w:r>
      <w:proofErr w:type="spellEnd"/>
      <w:r>
        <w:rPr>
          <w:szCs w:val="24"/>
        </w:rPr>
        <w:t>, hvorved de bliver inaktive. Genkodningen for beta-</w:t>
      </w:r>
      <w:proofErr w:type="spellStart"/>
      <w:r>
        <w:rPr>
          <w:szCs w:val="24"/>
        </w:rPr>
        <w:t>laktamaser</w:t>
      </w:r>
      <w:proofErr w:type="spellEnd"/>
      <w:r>
        <w:rPr>
          <w:szCs w:val="24"/>
        </w:rPr>
        <w:t xml:space="preserve"> kan findes på kromosomer eller i plasmid.</w:t>
      </w:r>
    </w:p>
    <w:p w:rsidR="00F861C0" w:rsidRPr="00ED6A80" w:rsidRDefault="00F861C0" w:rsidP="00F861C0">
      <w:pPr>
        <w:pStyle w:val="PartIBText"/>
        <w:ind w:left="851"/>
        <w:rPr>
          <w:szCs w:val="24"/>
        </w:rPr>
      </w:pPr>
      <w:r>
        <w:rPr>
          <w:szCs w:val="24"/>
        </w:rPr>
        <w:t xml:space="preserve">Krydsresistens er set mellem </w:t>
      </w:r>
      <w:proofErr w:type="spellStart"/>
      <w:r>
        <w:rPr>
          <w:szCs w:val="24"/>
        </w:rPr>
        <w:t>amoxicillin</w:t>
      </w:r>
      <w:proofErr w:type="spellEnd"/>
      <w:r>
        <w:rPr>
          <w:szCs w:val="24"/>
        </w:rPr>
        <w:t xml:space="preserve"> og andre penicilliner, særligt aminopenicilliner.</w:t>
      </w:r>
    </w:p>
    <w:p w:rsidR="00F861C0" w:rsidRPr="00ED6A80" w:rsidRDefault="00F861C0" w:rsidP="00F861C0">
      <w:pPr>
        <w:tabs>
          <w:tab w:val="left" w:pos="851"/>
          <w:tab w:val="left" w:pos="8222"/>
        </w:tabs>
        <w:rPr>
          <w:sz w:val="24"/>
          <w:szCs w:val="24"/>
        </w:rPr>
      </w:pPr>
      <w:r w:rsidRPr="00ED6A80">
        <w:rPr>
          <w:sz w:val="24"/>
          <w:szCs w:val="24"/>
        </w:rPr>
        <w:tab/>
      </w:r>
      <w:r w:rsidRPr="00ED6A80">
        <w:rPr>
          <w:sz w:val="24"/>
          <w:szCs w:val="24"/>
        </w:rPr>
        <w:tab/>
      </w:r>
    </w:p>
    <w:p w:rsidR="00F861C0" w:rsidRPr="00406EE7" w:rsidRDefault="00F861C0" w:rsidP="00F861C0">
      <w:pPr>
        <w:tabs>
          <w:tab w:val="left" w:pos="851"/>
          <w:tab w:val="left" w:pos="8222"/>
        </w:tabs>
        <w:rPr>
          <w:b/>
          <w:sz w:val="24"/>
          <w:szCs w:val="24"/>
        </w:rPr>
      </w:pPr>
      <w:r w:rsidRPr="00ED6A80">
        <w:rPr>
          <w:b/>
          <w:sz w:val="24"/>
          <w:szCs w:val="24"/>
        </w:rPr>
        <w:t>5.2</w:t>
      </w:r>
      <w:r w:rsidRPr="00ED6A80">
        <w:rPr>
          <w:b/>
          <w:sz w:val="24"/>
          <w:szCs w:val="24"/>
        </w:rPr>
        <w:tab/>
      </w:r>
      <w:proofErr w:type="spellStart"/>
      <w:r w:rsidRPr="00ED6A80">
        <w:rPr>
          <w:b/>
          <w:sz w:val="24"/>
          <w:szCs w:val="24"/>
        </w:rPr>
        <w:t>Farmakokinetiske</w:t>
      </w:r>
      <w:proofErr w:type="spellEnd"/>
      <w:r w:rsidRPr="00ED6A80">
        <w:rPr>
          <w:b/>
          <w:sz w:val="24"/>
          <w:szCs w:val="24"/>
        </w:rPr>
        <w:t xml:space="preserve"> egenskaber</w:t>
      </w:r>
    </w:p>
    <w:p w:rsidR="00F861C0" w:rsidRDefault="00F861C0" w:rsidP="00F861C0">
      <w:pPr>
        <w:pStyle w:val="PartIBText"/>
        <w:ind w:left="851"/>
        <w:rPr>
          <w:szCs w:val="24"/>
        </w:rPr>
      </w:pPr>
      <w:proofErr w:type="spellStart"/>
      <w:r w:rsidRPr="00086206">
        <w:rPr>
          <w:szCs w:val="24"/>
        </w:rPr>
        <w:t>Amoxicillin</w:t>
      </w:r>
      <w:proofErr w:type="spellEnd"/>
      <w:r w:rsidRPr="00086206">
        <w:rPr>
          <w:szCs w:val="24"/>
        </w:rPr>
        <w:t xml:space="preserve"> optages godt ved oral indgivelse, og det er stabilt ved tilstedeværelse af </w:t>
      </w:r>
      <w:r>
        <w:rPr>
          <w:szCs w:val="24"/>
        </w:rPr>
        <w:t>mavesyre.</w:t>
      </w:r>
    </w:p>
    <w:p w:rsidR="00F861C0" w:rsidRDefault="00F861C0" w:rsidP="00F861C0">
      <w:pPr>
        <w:pStyle w:val="PartIBText"/>
        <w:ind w:left="851"/>
        <w:rPr>
          <w:szCs w:val="24"/>
        </w:rPr>
      </w:pPr>
      <w:r w:rsidRPr="00086206">
        <w:rPr>
          <w:szCs w:val="24"/>
        </w:rPr>
        <w:t xml:space="preserve">Udskillelse af </w:t>
      </w:r>
      <w:proofErr w:type="spellStart"/>
      <w:r w:rsidRPr="00086206">
        <w:rPr>
          <w:szCs w:val="24"/>
        </w:rPr>
        <w:t>amoxicillin</w:t>
      </w:r>
      <w:proofErr w:type="spellEnd"/>
      <w:r w:rsidRPr="00086206">
        <w:rPr>
          <w:szCs w:val="24"/>
        </w:rPr>
        <w:t xml:space="preserve"> sker primært i uændret form via nyrerne for at give høj kon</w:t>
      </w:r>
      <w:r>
        <w:rPr>
          <w:szCs w:val="24"/>
        </w:rPr>
        <w:t>centration i nyrevæv og urin.</w:t>
      </w:r>
    </w:p>
    <w:p w:rsidR="00F861C0" w:rsidRPr="00086206" w:rsidRDefault="00F861C0" w:rsidP="00F861C0">
      <w:pPr>
        <w:pStyle w:val="PartIBText"/>
        <w:ind w:left="851"/>
        <w:rPr>
          <w:szCs w:val="24"/>
        </w:rPr>
      </w:pPr>
      <w:proofErr w:type="spellStart"/>
      <w:r w:rsidRPr="00086206">
        <w:rPr>
          <w:szCs w:val="24"/>
        </w:rPr>
        <w:t>Amoxicillin</w:t>
      </w:r>
      <w:proofErr w:type="spellEnd"/>
      <w:r w:rsidRPr="00086206">
        <w:rPr>
          <w:szCs w:val="24"/>
        </w:rPr>
        <w:t xml:space="preserve"> fordeles godt i kropsvæsker.</w:t>
      </w:r>
    </w:p>
    <w:p w:rsidR="00F861C0" w:rsidRPr="00086206" w:rsidRDefault="00F861C0" w:rsidP="00F861C0">
      <w:pPr>
        <w:pStyle w:val="PartIBText"/>
        <w:ind w:left="851"/>
        <w:rPr>
          <w:szCs w:val="24"/>
        </w:rPr>
      </w:pPr>
      <w:r>
        <w:rPr>
          <w:szCs w:val="24"/>
        </w:rPr>
        <w:t>Hos</w:t>
      </w:r>
      <w:r w:rsidRPr="00086206">
        <w:rPr>
          <w:szCs w:val="24"/>
        </w:rPr>
        <w:t xml:space="preserve"> </w:t>
      </w:r>
      <w:r>
        <w:rPr>
          <w:szCs w:val="24"/>
        </w:rPr>
        <w:t>kyllinger</w:t>
      </w:r>
      <w:r w:rsidRPr="00086206">
        <w:rPr>
          <w:szCs w:val="24"/>
        </w:rPr>
        <w:t xml:space="preserve"> optages </w:t>
      </w:r>
      <w:proofErr w:type="spellStart"/>
      <w:r w:rsidRPr="00086206">
        <w:rPr>
          <w:szCs w:val="24"/>
        </w:rPr>
        <w:t>amoxicillin</w:t>
      </w:r>
      <w:proofErr w:type="spellEnd"/>
      <w:r w:rsidRPr="00086206">
        <w:rPr>
          <w:szCs w:val="24"/>
        </w:rPr>
        <w:t xml:space="preserve"> hurtigt med </w:t>
      </w:r>
      <w:proofErr w:type="spellStart"/>
      <w:r w:rsidRPr="00086206">
        <w:rPr>
          <w:szCs w:val="24"/>
        </w:rPr>
        <w:t>T</w:t>
      </w:r>
      <w:r w:rsidRPr="003B7555">
        <w:rPr>
          <w:szCs w:val="24"/>
          <w:vertAlign w:val="subscript"/>
        </w:rPr>
        <w:t>max</w:t>
      </w:r>
      <w:proofErr w:type="spellEnd"/>
      <w:r w:rsidRPr="00086206">
        <w:rPr>
          <w:szCs w:val="24"/>
        </w:rPr>
        <w:t xml:space="preserve"> (=1 time) og </w:t>
      </w:r>
      <w:proofErr w:type="spellStart"/>
      <w:r w:rsidRPr="00086206">
        <w:rPr>
          <w:szCs w:val="24"/>
        </w:rPr>
        <w:t>amoxicillinkoncentra</w:t>
      </w:r>
      <w:r>
        <w:rPr>
          <w:szCs w:val="24"/>
        </w:rPr>
        <w:t>-</w:t>
      </w:r>
      <w:r w:rsidRPr="00086206">
        <w:rPr>
          <w:szCs w:val="24"/>
        </w:rPr>
        <w:t>tioner</w:t>
      </w:r>
      <w:proofErr w:type="spellEnd"/>
      <w:r w:rsidRPr="00086206">
        <w:rPr>
          <w:szCs w:val="24"/>
        </w:rPr>
        <w:t xml:space="preserve"> &lt; 0,25 µg/ml efter 6 timer efter en dosis på 10 mg/kg.</w:t>
      </w:r>
    </w:p>
    <w:p w:rsidR="00F861C0" w:rsidRPr="00086206" w:rsidRDefault="00F861C0" w:rsidP="00F861C0">
      <w:pPr>
        <w:pStyle w:val="PartIBText"/>
        <w:ind w:left="851"/>
        <w:rPr>
          <w:szCs w:val="24"/>
        </w:rPr>
      </w:pPr>
      <w:r>
        <w:rPr>
          <w:szCs w:val="24"/>
        </w:rPr>
        <w:t xml:space="preserve">Hos kalkuner var </w:t>
      </w:r>
      <w:proofErr w:type="spellStart"/>
      <w:r>
        <w:rPr>
          <w:szCs w:val="24"/>
        </w:rPr>
        <w:t>C</w:t>
      </w:r>
      <w:r w:rsidRPr="00B54A42">
        <w:rPr>
          <w:szCs w:val="24"/>
          <w:vertAlign w:val="subscript"/>
        </w:rPr>
        <w:t>max</w:t>
      </w:r>
      <w:proofErr w:type="spellEnd"/>
      <w:r>
        <w:rPr>
          <w:szCs w:val="24"/>
        </w:rPr>
        <w:t xml:space="preserve"> lavere end observeret </w:t>
      </w:r>
      <w:r w:rsidRPr="00086206">
        <w:rPr>
          <w:szCs w:val="24"/>
        </w:rPr>
        <w:t xml:space="preserve">hos </w:t>
      </w:r>
      <w:r>
        <w:rPr>
          <w:szCs w:val="24"/>
        </w:rPr>
        <w:t>kyllinger</w:t>
      </w:r>
      <w:r w:rsidRPr="002401CE">
        <w:rPr>
          <w:szCs w:val="24"/>
        </w:rPr>
        <w:t xml:space="preserve"> </w:t>
      </w:r>
      <w:r w:rsidRPr="00086206">
        <w:rPr>
          <w:szCs w:val="24"/>
        </w:rPr>
        <w:t>ved en dosis på 10</w:t>
      </w:r>
      <w:r>
        <w:rPr>
          <w:szCs w:val="24"/>
        </w:rPr>
        <w:t xml:space="preserve"> mg/kg.</w:t>
      </w:r>
    </w:p>
    <w:p w:rsidR="00F861C0" w:rsidRPr="00406EE7" w:rsidRDefault="00F861C0" w:rsidP="00F861C0">
      <w:pPr>
        <w:pStyle w:val="PartIBText"/>
        <w:ind w:left="851"/>
        <w:rPr>
          <w:szCs w:val="24"/>
        </w:rPr>
      </w:pPr>
      <w:r>
        <w:rPr>
          <w:szCs w:val="24"/>
        </w:rPr>
        <w:t>Hos ænder resulterede</w:t>
      </w:r>
      <w:r w:rsidRPr="00086206">
        <w:rPr>
          <w:szCs w:val="24"/>
        </w:rPr>
        <w:t xml:space="preserve"> en </w:t>
      </w:r>
      <w:r>
        <w:rPr>
          <w:szCs w:val="24"/>
        </w:rPr>
        <w:t>oral dosis på 20 mg/kg i</w:t>
      </w:r>
      <w:r w:rsidRPr="00086206">
        <w:rPr>
          <w:szCs w:val="24"/>
        </w:rPr>
        <w:t xml:space="preserve"> et niveau på</w:t>
      </w:r>
      <w:r>
        <w:rPr>
          <w:szCs w:val="24"/>
        </w:rPr>
        <w:t xml:space="preserve"> under 0,25 µg/ml</w:t>
      </w:r>
      <w:r w:rsidRPr="00086206">
        <w:rPr>
          <w:szCs w:val="24"/>
        </w:rPr>
        <w:t xml:space="preserve"> 5 timer efter indgivelse.</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51"/>
          <w:tab w:val="left" w:pos="8222"/>
        </w:tabs>
        <w:rPr>
          <w:b/>
          <w:sz w:val="24"/>
          <w:szCs w:val="24"/>
        </w:rPr>
      </w:pPr>
      <w:r w:rsidRPr="00406EE7">
        <w:rPr>
          <w:b/>
          <w:sz w:val="24"/>
          <w:szCs w:val="24"/>
        </w:rPr>
        <w:t>5.3</w:t>
      </w:r>
      <w:r w:rsidRPr="00406EE7">
        <w:rPr>
          <w:b/>
          <w:sz w:val="24"/>
          <w:szCs w:val="24"/>
        </w:rPr>
        <w:tab/>
        <w:t>Miljømæssige forhold</w:t>
      </w:r>
    </w:p>
    <w:p w:rsidR="00F861C0" w:rsidRPr="00406EE7" w:rsidRDefault="00F861C0" w:rsidP="00F861C0">
      <w:pPr>
        <w:tabs>
          <w:tab w:val="left" w:pos="851"/>
          <w:tab w:val="left" w:pos="8222"/>
        </w:tabs>
        <w:ind w:left="851" w:hanging="851"/>
        <w:rPr>
          <w:sz w:val="24"/>
          <w:szCs w:val="24"/>
        </w:rPr>
      </w:pPr>
      <w:r w:rsidRPr="00406EE7">
        <w:rPr>
          <w:sz w:val="24"/>
          <w:szCs w:val="24"/>
        </w:rPr>
        <w:tab/>
      </w:r>
      <w:r>
        <w:rPr>
          <w:sz w:val="24"/>
          <w:szCs w:val="24"/>
        </w:rPr>
        <w:t>-</w:t>
      </w:r>
    </w:p>
    <w:p w:rsidR="00F861C0" w:rsidRPr="00406EE7" w:rsidRDefault="00F861C0" w:rsidP="00F861C0">
      <w:pPr>
        <w:tabs>
          <w:tab w:val="left" w:pos="8222"/>
        </w:tabs>
        <w:rPr>
          <w:sz w:val="24"/>
          <w:szCs w:val="24"/>
        </w:rPr>
      </w:pP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6.1</w:t>
      </w:r>
      <w:r w:rsidRPr="00406EE7">
        <w:rPr>
          <w:b/>
          <w:sz w:val="24"/>
          <w:szCs w:val="24"/>
        </w:rPr>
        <w:tab/>
        <w:t>Hjælpestoffer</w:t>
      </w:r>
    </w:p>
    <w:p w:rsidR="00F861C0" w:rsidRPr="00406EE7" w:rsidRDefault="00F861C0" w:rsidP="00F861C0">
      <w:pPr>
        <w:tabs>
          <w:tab w:val="left" w:pos="851"/>
          <w:tab w:val="left" w:pos="8222"/>
        </w:tabs>
        <w:ind w:left="851" w:hanging="851"/>
        <w:rPr>
          <w:sz w:val="24"/>
          <w:szCs w:val="24"/>
        </w:rPr>
      </w:pPr>
      <w:r w:rsidRPr="00406EE7">
        <w:rPr>
          <w:sz w:val="24"/>
          <w:szCs w:val="24"/>
        </w:rPr>
        <w:tab/>
      </w:r>
      <w:r>
        <w:rPr>
          <w:sz w:val="24"/>
          <w:szCs w:val="24"/>
        </w:rPr>
        <w:t>Ingen</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6.2</w:t>
      </w:r>
      <w:r w:rsidRPr="00406EE7">
        <w:rPr>
          <w:b/>
          <w:sz w:val="24"/>
          <w:szCs w:val="24"/>
        </w:rPr>
        <w:tab/>
        <w:t>Uforligeligheder</w:t>
      </w:r>
    </w:p>
    <w:p w:rsidR="00F861C0" w:rsidRPr="00406EE7" w:rsidRDefault="00F861C0" w:rsidP="00F861C0">
      <w:pPr>
        <w:tabs>
          <w:tab w:val="left" w:pos="851"/>
          <w:tab w:val="left" w:pos="8222"/>
        </w:tabs>
        <w:ind w:left="851"/>
        <w:rPr>
          <w:sz w:val="24"/>
          <w:szCs w:val="24"/>
        </w:rPr>
      </w:pPr>
      <w:r w:rsidRPr="00086206">
        <w:rPr>
          <w:sz w:val="24"/>
          <w:szCs w:val="24"/>
        </w:rPr>
        <w:t>Da der ikke foreligger undersøgelser vedrørende eventuelle uforligeligheder, bør dette lægemiddel ikke blandes med andre lægemidler.</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6.3</w:t>
      </w:r>
      <w:r w:rsidRPr="00406EE7">
        <w:rPr>
          <w:b/>
          <w:sz w:val="24"/>
          <w:szCs w:val="24"/>
        </w:rPr>
        <w:tab/>
        <w:t>Opbevaringstid</w:t>
      </w:r>
    </w:p>
    <w:p w:rsidR="00F861C0" w:rsidRPr="00086206" w:rsidRDefault="00F861C0" w:rsidP="00F861C0">
      <w:pPr>
        <w:tabs>
          <w:tab w:val="left" w:pos="851"/>
          <w:tab w:val="left" w:pos="8222"/>
        </w:tabs>
        <w:ind w:left="851"/>
        <w:rPr>
          <w:sz w:val="24"/>
          <w:szCs w:val="24"/>
        </w:rPr>
      </w:pPr>
      <w:r>
        <w:rPr>
          <w:sz w:val="24"/>
          <w:szCs w:val="24"/>
        </w:rPr>
        <w:t>I</w:t>
      </w:r>
      <w:r w:rsidRPr="00086206">
        <w:rPr>
          <w:sz w:val="24"/>
          <w:szCs w:val="24"/>
        </w:rPr>
        <w:t xml:space="preserve"> salgspakning:</w:t>
      </w:r>
      <w:r>
        <w:rPr>
          <w:sz w:val="24"/>
          <w:szCs w:val="24"/>
        </w:rPr>
        <w:t xml:space="preserve"> 3 år.</w:t>
      </w:r>
    </w:p>
    <w:p w:rsidR="00F861C0" w:rsidRPr="00086206" w:rsidRDefault="00F861C0" w:rsidP="00F861C0">
      <w:pPr>
        <w:tabs>
          <w:tab w:val="left" w:pos="851"/>
          <w:tab w:val="left" w:pos="8222"/>
        </w:tabs>
        <w:ind w:left="851"/>
        <w:rPr>
          <w:sz w:val="24"/>
          <w:szCs w:val="24"/>
        </w:rPr>
      </w:pPr>
      <w:r>
        <w:rPr>
          <w:sz w:val="24"/>
          <w:szCs w:val="24"/>
        </w:rPr>
        <w:t>Ef</w:t>
      </w:r>
      <w:r w:rsidRPr="00086206">
        <w:rPr>
          <w:sz w:val="24"/>
          <w:szCs w:val="24"/>
        </w:rPr>
        <w:t>ter første åbning af den indre emballage: 3 måneder</w:t>
      </w:r>
      <w:r>
        <w:rPr>
          <w:sz w:val="24"/>
          <w:szCs w:val="24"/>
        </w:rPr>
        <w:t>.</w:t>
      </w:r>
    </w:p>
    <w:p w:rsidR="00F861C0" w:rsidRPr="00406EE7" w:rsidRDefault="00F861C0" w:rsidP="00F861C0">
      <w:pPr>
        <w:tabs>
          <w:tab w:val="left" w:pos="851"/>
          <w:tab w:val="left" w:pos="8222"/>
        </w:tabs>
        <w:ind w:left="851"/>
        <w:rPr>
          <w:sz w:val="24"/>
          <w:szCs w:val="24"/>
        </w:rPr>
      </w:pPr>
      <w:r>
        <w:rPr>
          <w:sz w:val="24"/>
          <w:szCs w:val="24"/>
        </w:rPr>
        <w:t xml:space="preserve">Efter fortynding eller </w:t>
      </w:r>
      <w:proofErr w:type="spellStart"/>
      <w:r>
        <w:rPr>
          <w:sz w:val="24"/>
          <w:szCs w:val="24"/>
        </w:rPr>
        <w:t>rekonstituering</w:t>
      </w:r>
      <w:proofErr w:type="spellEnd"/>
      <w:r>
        <w:rPr>
          <w:sz w:val="24"/>
          <w:szCs w:val="24"/>
        </w:rPr>
        <w:t xml:space="preserve"> </w:t>
      </w:r>
      <w:r w:rsidRPr="00086206">
        <w:rPr>
          <w:sz w:val="24"/>
          <w:szCs w:val="24"/>
        </w:rPr>
        <w:t>ifølge anvisning: 24 time</w:t>
      </w:r>
      <w:r>
        <w:rPr>
          <w:sz w:val="24"/>
          <w:szCs w:val="24"/>
        </w:rPr>
        <w:t>r.</w:t>
      </w:r>
    </w:p>
    <w:p w:rsidR="00F861C0" w:rsidRPr="00406EE7" w:rsidRDefault="00F861C0" w:rsidP="00F861C0">
      <w:pPr>
        <w:tabs>
          <w:tab w:val="left" w:pos="851"/>
          <w:tab w:val="left" w:pos="8222"/>
        </w:tabs>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F861C0" w:rsidRPr="00086206" w:rsidRDefault="00F861C0" w:rsidP="00F861C0">
      <w:pPr>
        <w:pStyle w:val="PartIBText"/>
        <w:ind w:left="851"/>
        <w:rPr>
          <w:szCs w:val="24"/>
        </w:rPr>
      </w:pPr>
      <w:r w:rsidRPr="00086206">
        <w:rPr>
          <w:szCs w:val="24"/>
        </w:rPr>
        <w:t xml:space="preserve">Må ikke opbevares over 25 </w:t>
      </w:r>
      <w:r>
        <w:rPr>
          <w:szCs w:val="24"/>
        </w:rPr>
        <w:t>°</w:t>
      </w:r>
      <w:r w:rsidRPr="00086206">
        <w:rPr>
          <w:szCs w:val="24"/>
        </w:rPr>
        <w:t xml:space="preserve">C efter åbning. </w:t>
      </w:r>
    </w:p>
    <w:p w:rsidR="00F861C0" w:rsidRPr="00086206" w:rsidRDefault="00F861C0" w:rsidP="00F861C0">
      <w:pPr>
        <w:pStyle w:val="PartIBText"/>
        <w:ind w:left="851"/>
        <w:rPr>
          <w:szCs w:val="24"/>
        </w:rPr>
      </w:pPr>
      <w:r w:rsidRPr="00086206">
        <w:rPr>
          <w:szCs w:val="24"/>
        </w:rPr>
        <w:t>Hold posen tæt tillukket, når den er blevet åbnet, for at beskytte mod fugt og lys.</w:t>
      </w:r>
    </w:p>
    <w:p w:rsidR="00F861C0" w:rsidRPr="00406EE7" w:rsidRDefault="00F861C0" w:rsidP="00F861C0">
      <w:pPr>
        <w:pStyle w:val="PartIBText"/>
        <w:ind w:left="851"/>
        <w:rPr>
          <w:szCs w:val="24"/>
        </w:rPr>
      </w:pPr>
      <w:r w:rsidRPr="00086206">
        <w:rPr>
          <w:szCs w:val="24"/>
        </w:rPr>
        <w:t>Al</w:t>
      </w:r>
      <w:r>
        <w:rPr>
          <w:szCs w:val="24"/>
        </w:rPr>
        <w:t>t</w:t>
      </w:r>
      <w:r w:rsidRPr="00086206">
        <w:rPr>
          <w:szCs w:val="24"/>
        </w:rPr>
        <w:t xml:space="preserve"> </w:t>
      </w:r>
      <w:r>
        <w:rPr>
          <w:szCs w:val="24"/>
        </w:rPr>
        <w:t>medicineret vand, der ikke er blevet indtaget</w:t>
      </w:r>
      <w:r w:rsidRPr="00086206">
        <w:rPr>
          <w:szCs w:val="24"/>
        </w:rPr>
        <w:t xml:space="preserve"> inden for 24 timer, skal kasseres.</w:t>
      </w:r>
    </w:p>
    <w:p w:rsidR="00F861C0" w:rsidRPr="00406EE7" w:rsidRDefault="00F861C0" w:rsidP="00F861C0">
      <w:pPr>
        <w:tabs>
          <w:tab w:val="left" w:pos="851"/>
          <w:tab w:val="left" w:pos="8222"/>
        </w:tabs>
        <w:rPr>
          <w:sz w:val="24"/>
          <w:szCs w:val="24"/>
        </w:rPr>
      </w:pPr>
    </w:p>
    <w:p w:rsidR="00F861C0" w:rsidRPr="00BD7F45" w:rsidRDefault="00F861C0" w:rsidP="00F861C0">
      <w:pPr>
        <w:tabs>
          <w:tab w:val="left" w:pos="8222"/>
        </w:tabs>
        <w:ind w:left="851" w:hanging="851"/>
        <w:rPr>
          <w:b/>
          <w:sz w:val="24"/>
          <w:szCs w:val="24"/>
          <w:lang w:val="en-US"/>
        </w:rPr>
      </w:pPr>
      <w:r w:rsidRPr="00BD7F45">
        <w:rPr>
          <w:b/>
          <w:sz w:val="24"/>
          <w:szCs w:val="24"/>
          <w:lang w:val="en-US"/>
        </w:rPr>
        <w:t>6.5</w:t>
      </w:r>
      <w:r w:rsidRPr="00BD7F45">
        <w:rPr>
          <w:b/>
          <w:sz w:val="24"/>
          <w:szCs w:val="24"/>
          <w:lang w:val="en-US"/>
        </w:rPr>
        <w:tab/>
      </w:r>
      <w:proofErr w:type="spellStart"/>
      <w:r w:rsidRPr="00BD7F45">
        <w:rPr>
          <w:b/>
          <w:sz w:val="24"/>
          <w:szCs w:val="24"/>
          <w:lang w:val="en-US"/>
        </w:rPr>
        <w:t>Emballage</w:t>
      </w:r>
      <w:proofErr w:type="spellEnd"/>
    </w:p>
    <w:p w:rsidR="00F861C0" w:rsidRPr="00BD7F45" w:rsidRDefault="00F861C0" w:rsidP="00F861C0">
      <w:pPr>
        <w:pStyle w:val="PartIBText"/>
        <w:ind w:left="851"/>
        <w:rPr>
          <w:szCs w:val="24"/>
          <w:lang w:val="en-US"/>
        </w:rPr>
      </w:pPr>
      <w:proofErr w:type="spellStart"/>
      <w:r w:rsidRPr="00BD7F45">
        <w:rPr>
          <w:szCs w:val="24"/>
          <w:lang w:val="en-US"/>
        </w:rPr>
        <w:t>Aluminiumspose</w:t>
      </w:r>
      <w:proofErr w:type="spellEnd"/>
      <w:r w:rsidRPr="00BD7F45">
        <w:rPr>
          <w:szCs w:val="24"/>
          <w:lang w:val="en-US"/>
        </w:rPr>
        <w:t xml:space="preserve"> (PET-ALU-LDPE)</w:t>
      </w:r>
    </w:p>
    <w:p w:rsidR="00F861C0" w:rsidRDefault="00F861C0" w:rsidP="00F861C0">
      <w:pPr>
        <w:pStyle w:val="PartIBText"/>
        <w:ind w:left="851"/>
        <w:rPr>
          <w:szCs w:val="24"/>
        </w:rPr>
      </w:pPr>
      <w:r w:rsidRPr="00086206">
        <w:rPr>
          <w:szCs w:val="24"/>
        </w:rPr>
        <w:t xml:space="preserve">Posen med </w:t>
      </w:r>
      <w:smartTag w:uri="urn:schemas-microsoft-com:office:smarttags" w:element="metricconverter">
        <w:smartTagPr>
          <w:attr w:name="ProductID" w:val="5000 g"/>
        </w:smartTagPr>
        <w:r w:rsidRPr="00086206">
          <w:rPr>
            <w:szCs w:val="24"/>
          </w:rPr>
          <w:t>5000 g</w:t>
        </w:r>
      </w:smartTag>
      <w:r w:rsidRPr="00086206">
        <w:rPr>
          <w:szCs w:val="24"/>
        </w:rPr>
        <w:t xml:space="preserve"> er forsynet med </w:t>
      </w:r>
      <w:r w:rsidR="00554F73">
        <w:rPr>
          <w:szCs w:val="24"/>
        </w:rPr>
        <w:t xml:space="preserve">eller uden </w:t>
      </w:r>
      <w:r w:rsidRPr="00086206">
        <w:rPr>
          <w:szCs w:val="24"/>
        </w:rPr>
        <w:t>en lynlåslukning.</w:t>
      </w:r>
    </w:p>
    <w:p w:rsidR="00F861C0" w:rsidRPr="00E419FC" w:rsidRDefault="00F861C0" w:rsidP="00F861C0">
      <w:pPr>
        <w:pStyle w:val="PartIBText"/>
        <w:ind w:left="851"/>
        <w:rPr>
          <w:szCs w:val="24"/>
        </w:rPr>
      </w:pPr>
    </w:p>
    <w:p w:rsidR="00F861C0" w:rsidRPr="00086206" w:rsidRDefault="00F861C0" w:rsidP="00F861C0">
      <w:pPr>
        <w:pStyle w:val="PartIBText"/>
        <w:ind w:left="851"/>
        <w:rPr>
          <w:szCs w:val="24"/>
        </w:rPr>
      </w:pPr>
      <w:r>
        <w:rPr>
          <w:szCs w:val="24"/>
        </w:rPr>
        <w:t xml:space="preserve">Pakningsstørrelser: </w:t>
      </w:r>
      <w:smartTag w:uri="urn:schemas-microsoft-com:office:smarttags" w:element="metricconverter">
        <w:smartTagPr>
          <w:attr w:name="ProductID" w:val="5000 g"/>
        </w:smartTagPr>
        <w:r w:rsidRPr="00086206">
          <w:rPr>
            <w:szCs w:val="24"/>
          </w:rPr>
          <w:t>100 g</w:t>
        </w:r>
      </w:smartTag>
      <w:r w:rsidRPr="00086206">
        <w:rPr>
          <w:szCs w:val="24"/>
        </w:rPr>
        <w:t xml:space="preserve">, </w:t>
      </w:r>
      <w:smartTag w:uri="urn:schemas-microsoft-com:office:smarttags" w:element="metricconverter">
        <w:smartTagPr>
          <w:attr w:name="ProductID" w:val="5000 g"/>
        </w:smartTagPr>
        <w:r w:rsidRPr="00086206">
          <w:rPr>
            <w:szCs w:val="24"/>
          </w:rPr>
          <w:t>500 g</w:t>
        </w:r>
      </w:smartTag>
      <w:r w:rsidRPr="00086206">
        <w:rPr>
          <w:szCs w:val="24"/>
        </w:rPr>
        <w:t xml:space="preserve">, </w:t>
      </w:r>
      <w:smartTag w:uri="urn:schemas-microsoft-com:office:smarttags" w:element="metricconverter">
        <w:smartTagPr>
          <w:attr w:name="ProductID" w:val="5000 g"/>
        </w:smartTagPr>
        <w:r w:rsidRPr="00086206">
          <w:rPr>
            <w:szCs w:val="24"/>
          </w:rPr>
          <w:t>1000 g</w:t>
        </w:r>
      </w:smartTag>
      <w:r w:rsidRPr="00086206">
        <w:rPr>
          <w:szCs w:val="24"/>
        </w:rPr>
        <w:t xml:space="preserve"> og 5000 g</w:t>
      </w:r>
      <w:r>
        <w:rPr>
          <w:szCs w:val="24"/>
        </w:rPr>
        <w:t>.</w:t>
      </w:r>
    </w:p>
    <w:p w:rsidR="00F861C0" w:rsidRPr="00086206" w:rsidRDefault="00F861C0" w:rsidP="00F861C0">
      <w:pPr>
        <w:tabs>
          <w:tab w:val="left" w:pos="851"/>
          <w:tab w:val="left" w:pos="8222"/>
        </w:tabs>
        <w:ind w:left="851"/>
        <w:rPr>
          <w:sz w:val="24"/>
          <w:szCs w:val="24"/>
        </w:rPr>
      </w:pPr>
      <w:r w:rsidRPr="00086206">
        <w:rPr>
          <w:sz w:val="24"/>
          <w:szCs w:val="24"/>
        </w:rPr>
        <w:t>Ikke alle pakningsstørrelser er nødvendigvis markedsført.</w:t>
      </w:r>
    </w:p>
    <w:p w:rsidR="00F861C0" w:rsidRPr="00406EE7" w:rsidRDefault="00F861C0" w:rsidP="00F861C0">
      <w:pPr>
        <w:tabs>
          <w:tab w:val="left" w:pos="851"/>
          <w:tab w:val="left" w:pos="8222"/>
        </w:tabs>
        <w:ind w:left="851" w:hanging="851"/>
        <w:rPr>
          <w:sz w:val="24"/>
          <w:szCs w:val="24"/>
        </w:rPr>
      </w:pPr>
    </w:p>
    <w:p w:rsidR="00F861C0" w:rsidRPr="00406EE7" w:rsidRDefault="00F861C0" w:rsidP="00F861C0">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F861C0" w:rsidRPr="00406EE7" w:rsidRDefault="00F861C0" w:rsidP="00F861C0">
      <w:pPr>
        <w:tabs>
          <w:tab w:val="left" w:pos="851"/>
          <w:tab w:val="left" w:pos="8222"/>
        </w:tabs>
        <w:ind w:left="851"/>
        <w:rPr>
          <w:sz w:val="24"/>
          <w:szCs w:val="24"/>
        </w:rPr>
      </w:pPr>
      <w:r w:rsidRPr="00086206">
        <w:rPr>
          <w:sz w:val="24"/>
          <w:szCs w:val="24"/>
        </w:rPr>
        <w:t xml:space="preserve">Ikke anvendt veterinærlægemiddel samt affald heraf bør destrueres i henhold til lokale </w:t>
      </w:r>
      <w:proofErr w:type="spellStart"/>
      <w:r w:rsidRPr="00086206">
        <w:rPr>
          <w:sz w:val="24"/>
          <w:szCs w:val="24"/>
        </w:rPr>
        <w:t>retningslinier</w:t>
      </w:r>
      <w:proofErr w:type="spellEnd"/>
      <w:r w:rsidRPr="00086206">
        <w:rPr>
          <w:sz w:val="24"/>
          <w:szCs w:val="24"/>
        </w:rPr>
        <w:t>.</w:t>
      </w:r>
    </w:p>
    <w:p w:rsidR="00F861C0" w:rsidRPr="00406EE7" w:rsidRDefault="00F861C0" w:rsidP="00F861C0">
      <w:pPr>
        <w:tabs>
          <w:tab w:val="left" w:pos="851"/>
          <w:tab w:val="left" w:pos="8222"/>
        </w:tabs>
        <w:ind w:left="851" w:hanging="851"/>
        <w:rPr>
          <w:b/>
          <w:sz w:val="24"/>
          <w:szCs w:val="24"/>
        </w:rPr>
      </w:pPr>
    </w:p>
    <w:p w:rsidR="00F861C0" w:rsidRPr="00406EE7" w:rsidRDefault="00F861C0" w:rsidP="00F861C0">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F861C0" w:rsidRPr="004C369B" w:rsidRDefault="00F861C0" w:rsidP="00F861C0">
      <w:pPr>
        <w:tabs>
          <w:tab w:val="left" w:pos="851"/>
          <w:tab w:val="left" w:pos="8222"/>
        </w:tabs>
        <w:ind w:left="851"/>
        <w:rPr>
          <w:sz w:val="24"/>
          <w:szCs w:val="24"/>
        </w:rPr>
      </w:pPr>
      <w:r w:rsidRPr="004C369B">
        <w:rPr>
          <w:sz w:val="24"/>
          <w:szCs w:val="24"/>
        </w:rPr>
        <w:t>VIRBAC S.A.</w:t>
      </w:r>
    </w:p>
    <w:p w:rsidR="00F861C0" w:rsidRPr="00BC000C" w:rsidRDefault="00F861C0" w:rsidP="00F861C0">
      <w:pPr>
        <w:tabs>
          <w:tab w:val="left" w:pos="300"/>
          <w:tab w:val="left" w:pos="851"/>
          <w:tab w:val="left" w:pos="8222"/>
        </w:tabs>
        <w:ind w:left="851"/>
        <w:rPr>
          <w:sz w:val="24"/>
          <w:szCs w:val="24"/>
          <w:lang w:val="en-US"/>
        </w:rPr>
      </w:pPr>
      <w:r w:rsidRPr="00BC000C">
        <w:rPr>
          <w:sz w:val="24"/>
          <w:szCs w:val="24"/>
          <w:lang w:val="en-US"/>
        </w:rPr>
        <w:t>1ère Avenue</w:t>
      </w:r>
      <w:r>
        <w:rPr>
          <w:sz w:val="24"/>
          <w:szCs w:val="24"/>
          <w:lang w:val="en-US"/>
        </w:rPr>
        <w:t xml:space="preserve"> </w:t>
      </w:r>
      <w:r w:rsidRPr="00BC000C">
        <w:rPr>
          <w:sz w:val="24"/>
          <w:szCs w:val="24"/>
          <w:lang w:val="en-US"/>
        </w:rPr>
        <w:t>2065 m - L.I.D.</w:t>
      </w:r>
    </w:p>
    <w:p w:rsidR="00F861C0" w:rsidRPr="00BC000C" w:rsidRDefault="00F861C0" w:rsidP="00F861C0">
      <w:pPr>
        <w:tabs>
          <w:tab w:val="left" w:pos="851"/>
          <w:tab w:val="left" w:pos="8222"/>
        </w:tabs>
        <w:ind w:left="851"/>
        <w:rPr>
          <w:sz w:val="24"/>
          <w:szCs w:val="24"/>
        </w:rPr>
      </w:pPr>
      <w:r w:rsidRPr="00BC000C">
        <w:rPr>
          <w:sz w:val="24"/>
          <w:szCs w:val="24"/>
        </w:rPr>
        <w:t xml:space="preserve">06516 </w:t>
      </w:r>
      <w:proofErr w:type="spellStart"/>
      <w:r w:rsidRPr="00BC000C">
        <w:rPr>
          <w:sz w:val="24"/>
          <w:szCs w:val="24"/>
        </w:rPr>
        <w:t>Carros</w:t>
      </w:r>
      <w:proofErr w:type="spellEnd"/>
    </w:p>
    <w:p w:rsidR="00F861C0" w:rsidRPr="00BC000C" w:rsidRDefault="00F861C0" w:rsidP="00F861C0">
      <w:pPr>
        <w:tabs>
          <w:tab w:val="left" w:pos="851"/>
          <w:tab w:val="left" w:pos="8222"/>
        </w:tabs>
        <w:ind w:left="851"/>
        <w:rPr>
          <w:sz w:val="24"/>
          <w:szCs w:val="24"/>
        </w:rPr>
      </w:pPr>
      <w:r w:rsidRPr="00BC000C">
        <w:rPr>
          <w:sz w:val="24"/>
          <w:szCs w:val="24"/>
        </w:rPr>
        <w:t>Frankrig</w:t>
      </w:r>
    </w:p>
    <w:p w:rsidR="00F861C0" w:rsidRPr="00BC000C" w:rsidRDefault="00F861C0" w:rsidP="00F861C0">
      <w:pPr>
        <w:tabs>
          <w:tab w:val="left" w:pos="851"/>
          <w:tab w:val="left" w:pos="8222"/>
        </w:tabs>
        <w:ind w:left="851"/>
        <w:rPr>
          <w:sz w:val="24"/>
          <w:szCs w:val="24"/>
        </w:rPr>
      </w:pPr>
    </w:p>
    <w:p w:rsidR="00F861C0" w:rsidRPr="00BC000C" w:rsidRDefault="00F861C0" w:rsidP="00F861C0">
      <w:pPr>
        <w:tabs>
          <w:tab w:val="left" w:pos="851"/>
          <w:tab w:val="left" w:pos="8222"/>
        </w:tabs>
        <w:ind w:left="851"/>
        <w:rPr>
          <w:b/>
          <w:bCs/>
          <w:sz w:val="24"/>
          <w:szCs w:val="24"/>
        </w:rPr>
      </w:pPr>
      <w:r>
        <w:rPr>
          <w:b/>
          <w:bCs/>
          <w:sz w:val="24"/>
          <w:szCs w:val="24"/>
        </w:rPr>
        <w:t>Repræsentant</w:t>
      </w:r>
    </w:p>
    <w:p w:rsidR="00F861C0" w:rsidRPr="004C369B" w:rsidRDefault="00F861C0" w:rsidP="00F861C0">
      <w:pPr>
        <w:tabs>
          <w:tab w:val="left" w:pos="851"/>
          <w:tab w:val="left" w:pos="8222"/>
        </w:tabs>
        <w:ind w:left="851"/>
        <w:rPr>
          <w:sz w:val="24"/>
          <w:szCs w:val="24"/>
        </w:rPr>
      </w:pPr>
      <w:proofErr w:type="spellStart"/>
      <w:r w:rsidRPr="004C369B">
        <w:rPr>
          <w:sz w:val="24"/>
          <w:szCs w:val="24"/>
        </w:rPr>
        <w:t>Virbac</w:t>
      </w:r>
      <w:proofErr w:type="spellEnd"/>
      <w:r w:rsidRPr="004C369B">
        <w:rPr>
          <w:sz w:val="24"/>
          <w:szCs w:val="24"/>
        </w:rPr>
        <w:t xml:space="preserve"> Danmark A/S</w:t>
      </w:r>
    </w:p>
    <w:p w:rsidR="00F861C0" w:rsidRPr="004C369B" w:rsidRDefault="00F861C0" w:rsidP="00F861C0">
      <w:pPr>
        <w:tabs>
          <w:tab w:val="left" w:pos="851"/>
          <w:tab w:val="left" w:pos="8222"/>
        </w:tabs>
        <w:ind w:left="851"/>
        <w:rPr>
          <w:sz w:val="24"/>
          <w:szCs w:val="24"/>
        </w:rPr>
      </w:pPr>
      <w:r w:rsidRPr="004C369B">
        <w:rPr>
          <w:sz w:val="24"/>
          <w:szCs w:val="24"/>
        </w:rPr>
        <w:t>Profilvej 1</w:t>
      </w:r>
    </w:p>
    <w:p w:rsidR="00F861C0" w:rsidRPr="00BC000C" w:rsidRDefault="00F861C0" w:rsidP="00F861C0">
      <w:pPr>
        <w:tabs>
          <w:tab w:val="left" w:pos="851"/>
          <w:tab w:val="left" w:pos="8222"/>
        </w:tabs>
        <w:ind w:left="851"/>
        <w:rPr>
          <w:sz w:val="24"/>
          <w:szCs w:val="24"/>
        </w:rPr>
      </w:pPr>
      <w:r w:rsidRPr="00BC000C">
        <w:rPr>
          <w:sz w:val="24"/>
          <w:szCs w:val="24"/>
        </w:rPr>
        <w:t>6000 Kolding</w:t>
      </w:r>
    </w:p>
    <w:p w:rsidR="00F861C0" w:rsidRPr="00406EE7" w:rsidRDefault="00F861C0" w:rsidP="00F861C0">
      <w:pPr>
        <w:tabs>
          <w:tab w:val="left" w:pos="851"/>
          <w:tab w:val="left" w:pos="8222"/>
        </w:tabs>
        <w:ind w:left="851" w:hanging="851"/>
        <w:rPr>
          <w:sz w:val="24"/>
          <w:szCs w:val="24"/>
        </w:rPr>
      </w:pPr>
    </w:p>
    <w:p w:rsidR="00F861C0" w:rsidRPr="00406EE7" w:rsidRDefault="00F861C0" w:rsidP="00F861C0">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F861C0" w:rsidRPr="00406EE7" w:rsidRDefault="00F861C0" w:rsidP="00F861C0">
      <w:pPr>
        <w:tabs>
          <w:tab w:val="left" w:pos="851"/>
          <w:tab w:val="left" w:pos="8222"/>
        </w:tabs>
        <w:ind w:left="851" w:hanging="851"/>
        <w:rPr>
          <w:sz w:val="24"/>
          <w:szCs w:val="24"/>
        </w:rPr>
      </w:pPr>
      <w:r w:rsidRPr="00406EE7">
        <w:rPr>
          <w:sz w:val="24"/>
          <w:szCs w:val="24"/>
        </w:rPr>
        <w:tab/>
      </w:r>
      <w:r>
        <w:rPr>
          <w:sz w:val="24"/>
          <w:szCs w:val="24"/>
        </w:rPr>
        <w:t>51782</w:t>
      </w:r>
    </w:p>
    <w:p w:rsidR="00F861C0" w:rsidRPr="00406EE7" w:rsidRDefault="00F861C0" w:rsidP="00F861C0">
      <w:pPr>
        <w:tabs>
          <w:tab w:val="left" w:pos="851"/>
          <w:tab w:val="left" w:pos="8222"/>
        </w:tabs>
        <w:ind w:left="851" w:hanging="851"/>
        <w:rPr>
          <w:sz w:val="24"/>
          <w:szCs w:val="24"/>
        </w:rPr>
      </w:pPr>
    </w:p>
    <w:p w:rsidR="00F861C0" w:rsidRPr="00406EE7" w:rsidRDefault="00F861C0" w:rsidP="00F861C0">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F861C0" w:rsidRPr="00406EE7" w:rsidRDefault="00F861C0" w:rsidP="00F861C0">
      <w:pPr>
        <w:tabs>
          <w:tab w:val="left" w:pos="851"/>
          <w:tab w:val="left" w:pos="8222"/>
        </w:tabs>
        <w:ind w:left="851" w:hanging="851"/>
        <w:rPr>
          <w:sz w:val="24"/>
          <w:szCs w:val="24"/>
        </w:rPr>
      </w:pPr>
      <w:r w:rsidRPr="00406EE7">
        <w:rPr>
          <w:sz w:val="24"/>
          <w:szCs w:val="24"/>
        </w:rPr>
        <w:tab/>
      </w:r>
      <w:r>
        <w:rPr>
          <w:sz w:val="24"/>
          <w:szCs w:val="24"/>
        </w:rPr>
        <w:t>26. april 2001 (pulver til oral opløsning 500 mg/g)</w:t>
      </w:r>
    </w:p>
    <w:p w:rsidR="00F861C0" w:rsidRPr="00406EE7" w:rsidRDefault="00F861C0" w:rsidP="00F861C0">
      <w:pPr>
        <w:tabs>
          <w:tab w:val="left" w:pos="851"/>
          <w:tab w:val="left" w:pos="8222"/>
        </w:tabs>
        <w:ind w:left="851" w:hanging="851"/>
        <w:rPr>
          <w:sz w:val="24"/>
          <w:szCs w:val="24"/>
        </w:rPr>
      </w:pPr>
    </w:p>
    <w:p w:rsidR="00F861C0" w:rsidRPr="00406EE7" w:rsidRDefault="00F861C0" w:rsidP="00F861C0">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F861C0" w:rsidRPr="00406EE7" w:rsidRDefault="00F861C0" w:rsidP="00F861C0">
      <w:pPr>
        <w:tabs>
          <w:tab w:val="left" w:pos="851"/>
          <w:tab w:val="left" w:pos="8222"/>
        </w:tabs>
        <w:ind w:left="851" w:hanging="851"/>
        <w:rPr>
          <w:sz w:val="24"/>
          <w:szCs w:val="24"/>
        </w:rPr>
      </w:pPr>
      <w:r w:rsidRPr="00406EE7">
        <w:rPr>
          <w:sz w:val="24"/>
          <w:szCs w:val="24"/>
        </w:rPr>
        <w:tab/>
      </w:r>
      <w:r w:rsidR="00554F73">
        <w:rPr>
          <w:sz w:val="24"/>
          <w:szCs w:val="24"/>
        </w:rPr>
        <w:t>19</w:t>
      </w:r>
      <w:bookmarkStart w:id="0" w:name="_GoBack"/>
      <w:bookmarkEnd w:id="0"/>
      <w:r>
        <w:rPr>
          <w:sz w:val="24"/>
          <w:szCs w:val="24"/>
        </w:rPr>
        <w:t xml:space="preserve">. </w:t>
      </w:r>
      <w:r w:rsidR="00554F73">
        <w:rPr>
          <w:sz w:val="24"/>
          <w:szCs w:val="24"/>
        </w:rPr>
        <w:t>september</w:t>
      </w:r>
      <w:r>
        <w:rPr>
          <w:sz w:val="24"/>
          <w:szCs w:val="24"/>
        </w:rPr>
        <w:t xml:space="preserve"> 20</w:t>
      </w:r>
      <w:r w:rsidR="00554F73">
        <w:rPr>
          <w:sz w:val="24"/>
          <w:szCs w:val="24"/>
        </w:rPr>
        <w:t>22</w:t>
      </w:r>
    </w:p>
    <w:p w:rsidR="00F861C0" w:rsidRPr="00406EE7" w:rsidRDefault="00F861C0" w:rsidP="00F861C0">
      <w:pPr>
        <w:tabs>
          <w:tab w:val="left" w:pos="851"/>
          <w:tab w:val="left" w:pos="8222"/>
        </w:tabs>
        <w:ind w:left="851" w:hanging="851"/>
        <w:rPr>
          <w:sz w:val="24"/>
          <w:szCs w:val="24"/>
        </w:rPr>
      </w:pPr>
    </w:p>
    <w:p w:rsidR="00F861C0" w:rsidRPr="00406EE7" w:rsidRDefault="00F861C0" w:rsidP="00F861C0">
      <w:pPr>
        <w:tabs>
          <w:tab w:val="left" w:pos="851"/>
          <w:tab w:val="left" w:pos="8222"/>
        </w:tabs>
        <w:rPr>
          <w:b/>
          <w:sz w:val="24"/>
          <w:szCs w:val="24"/>
        </w:rPr>
      </w:pPr>
      <w:r w:rsidRPr="00406EE7">
        <w:rPr>
          <w:b/>
          <w:sz w:val="24"/>
          <w:szCs w:val="24"/>
        </w:rPr>
        <w:t>11.</w:t>
      </w:r>
      <w:r w:rsidRPr="00406EE7">
        <w:rPr>
          <w:b/>
          <w:sz w:val="24"/>
          <w:szCs w:val="24"/>
        </w:rPr>
        <w:tab/>
        <w:t>UDLEVERINGSBESTEMMELSE</w:t>
      </w:r>
    </w:p>
    <w:p w:rsidR="00F861C0" w:rsidRPr="00406EE7" w:rsidRDefault="00F861C0" w:rsidP="00F861C0">
      <w:pPr>
        <w:pStyle w:val="Sidehoved"/>
        <w:tabs>
          <w:tab w:val="clear" w:pos="4819"/>
          <w:tab w:val="left" w:pos="851"/>
          <w:tab w:val="left" w:pos="8222"/>
        </w:tabs>
        <w:ind w:left="851" w:hanging="851"/>
        <w:rPr>
          <w:szCs w:val="24"/>
        </w:rPr>
      </w:pPr>
      <w:r w:rsidRPr="00406EE7">
        <w:rPr>
          <w:szCs w:val="24"/>
        </w:rPr>
        <w:tab/>
      </w:r>
      <w:r>
        <w:rPr>
          <w:szCs w:val="24"/>
        </w:rPr>
        <w:t>BP</w:t>
      </w:r>
    </w:p>
    <w:p w:rsidR="00F861C0" w:rsidRPr="00406EE7" w:rsidRDefault="00F861C0" w:rsidP="00F861C0">
      <w:pPr>
        <w:rPr>
          <w:sz w:val="24"/>
          <w:szCs w:val="24"/>
        </w:rPr>
      </w:pPr>
    </w:p>
    <w:p w:rsidR="00F861C0" w:rsidRPr="00D83EA6" w:rsidRDefault="00F861C0" w:rsidP="00F861C0"/>
    <w:p w:rsidR="0003527F" w:rsidRPr="00F861C0" w:rsidRDefault="0003527F" w:rsidP="00F861C0"/>
    <w:sectPr w:rsidR="0003527F" w:rsidRPr="00F861C0"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1C0" w:rsidRDefault="00F861C0">
      <w:r>
        <w:separator/>
      </w:r>
    </w:p>
  </w:endnote>
  <w:endnote w:type="continuationSeparator" w:id="0">
    <w:p w:rsidR="00F861C0" w:rsidRDefault="00F8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861C0">
      <w:rPr>
        <w:i/>
        <w:noProof/>
        <w:snapToGrid w:val="0"/>
        <w:sz w:val="18"/>
      </w:rPr>
      <w:t>Dokument719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861C0">
      <w:rPr>
        <w:i/>
        <w:noProof/>
        <w:snapToGrid w:val="0"/>
        <w:sz w:val="18"/>
      </w:rPr>
      <w:t>Dokument719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1C0" w:rsidRDefault="00F861C0">
      <w:r>
        <w:separator/>
      </w:r>
    </w:p>
  </w:footnote>
  <w:footnote w:type="continuationSeparator" w:id="0">
    <w:p w:rsidR="00F861C0" w:rsidRDefault="00F8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C0"/>
    <w:rsid w:val="0003527F"/>
    <w:rsid w:val="00065C7D"/>
    <w:rsid w:val="000C6CD4"/>
    <w:rsid w:val="001577E4"/>
    <w:rsid w:val="001858CA"/>
    <w:rsid w:val="001C4AEF"/>
    <w:rsid w:val="001D3CC5"/>
    <w:rsid w:val="00322BDE"/>
    <w:rsid w:val="00406EE7"/>
    <w:rsid w:val="00407013"/>
    <w:rsid w:val="004A62CC"/>
    <w:rsid w:val="00554F73"/>
    <w:rsid w:val="00565A74"/>
    <w:rsid w:val="005B0036"/>
    <w:rsid w:val="005F5831"/>
    <w:rsid w:val="00662012"/>
    <w:rsid w:val="00666B01"/>
    <w:rsid w:val="006B1539"/>
    <w:rsid w:val="006D4B41"/>
    <w:rsid w:val="006F5621"/>
    <w:rsid w:val="007A4685"/>
    <w:rsid w:val="007E2A00"/>
    <w:rsid w:val="008010F2"/>
    <w:rsid w:val="009202AE"/>
    <w:rsid w:val="00932676"/>
    <w:rsid w:val="009D66C6"/>
    <w:rsid w:val="00A44C27"/>
    <w:rsid w:val="00A96525"/>
    <w:rsid w:val="00AE29E5"/>
    <w:rsid w:val="00AE5757"/>
    <w:rsid w:val="00B25EB8"/>
    <w:rsid w:val="00BC634B"/>
    <w:rsid w:val="00BF2AE0"/>
    <w:rsid w:val="00C479BF"/>
    <w:rsid w:val="00D567AA"/>
    <w:rsid w:val="00DD6D71"/>
    <w:rsid w:val="00DF32BE"/>
    <w:rsid w:val="00E14F0A"/>
    <w:rsid w:val="00EB5778"/>
    <w:rsid w:val="00EE5253"/>
    <w:rsid w:val="00F861C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3E4D07D6"/>
  <w15:chartTrackingRefBased/>
  <w15:docId w15:val="{1443D08A-D4B7-4D7A-827E-2E38E34E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PartIBText">
    <w:name w:val="Part IB Text"/>
    <w:basedOn w:val="Normal"/>
    <w:rsid w:val="00F861C0"/>
    <w:rPr>
      <w:sz w:val="24"/>
      <w:lang w:eastAsia="da-DK"/>
    </w:rPr>
  </w:style>
  <w:style w:type="paragraph" w:customStyle="1" w:styleId="berschrift3PartIB">
    <w:name w:val="Überschrift 3 Part IB"/>
    <w:basedOn w:val="Normal"/>
    <w:uiPriority w:val="99"/>
    <w:rsid w:val="00F861C0"/>
    <w:rPr>
      <w:b/>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0</TotalTime>
  <Pages>6</Pages>
  <Words>1445</Words>
  <Characters>9274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2022043496 pkt. 6.5 tilføjet: eller uden</dc:description>
  <cp:lastModifiedBy>Helle Søndersted</cp:lastModifiedBy>
  <cp:revision>2</cp:revision>
  <dcterms:created xsi:type="dcterms:W3CDTF">2022-09-19T08:36:00Z</dcterms:created>
  <dcterms:modified xsi:type="dcterms:W3CDTF">2022-09-19T08:36:00Z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