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346037">
        <w:rPr>
          <w:b/>
          <w:sz w:val="24"/>
          <w:szCs w:val="24"/>
        </w:rPr>
        <w:t>20</w:t>
      </w:r>
      <w:r w:rsidR="00AD239B">
        <w:rPr>
          <w:b/>
          <w:sz w:val="24"/>
          <w:szCs w:val="24"/>
        </w:rPr>
        <w:t>. september 2023</w:t>
      </w:r>
    </w:p>
    <w:p w:rsidR="005B0036" w:rsidRPr="00406EE7" w:rsidRDefault="005B0036" w:rsidP="005B0036">
      <w:pPr>
        <w:rPr>
          <w:sz w:val="24"/>
          <w:szCs w:val="24"/>
        </w:rPr>
      </w:pPr>
    </w:p>
    <w:p w:rsidR="00C479BF" w:rsidRDefault="00C479BF" w:rsidP="005B0036">
      <w:pPr>
        <w:tabs>
          <w:tab w:val="left" w:pos="8222"/>
        </w:tabs>
        <w:jc w:val="cente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4E228E" w:rsidP="005B0036">
      <w:pPr>
        <w:tabs>
          <w:tab w:val="left" w:pos="8222"/>
        </w:tabs>
        <w:jc w:val="center"/>
        <w:rPr>
          <w:b/>
          <w:sz w:val="24"/>
          <w:szCs w:val="24"/>
        </w:rPr>
      </w:pPr>
      <w:r>
        <w:rPr>
          <w:b/>
          <w:sz w:val="24"/>
          <w:szCs w:val="24"/>
        </w:rPr>
        <w:t>Suiseng Coli/C</w:t>
      </w:r>
      <w:r w:rsidR="00197407">
        <w:rPr>
          <w:b/>
          <w:sz w:val="24"/>
          <w:szCs w:val="24"/>
        </w:rPr>
        <w:t>, injektionsvæske, suspension</w:t>
      </w:r>
      <w:r w:rsidR="00AD239B">
        <w:rPr>
          <w:b/>
          <w:sz w:val="24"/>
          <w:szCs w:val="24"/>
        </w:rPr>
        <w:t xml:space="preserve"> (</w:t>
      </w:r>
      <w:proofErr w:type="spellStart"/>
      <w:r w:rsidR="00AD239B">
        <w:rPr>
          <w:b/>
          <w:sz w:val="24"/>
          <w:szCs w:val="24"/>
        </w:rPr>
        <w:t>PharmaMenta</w:t>
      </w:r>
      <w:proofErr w:type="spellEnd"/>
      <w:r w:rsidR="00AD239B">
        <w:rPr>
          <w:b/>
          <w:sz w:val="24"/>
          <w:szCs w:val="24"/>
        </w:rPr>
        <w:t>)</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8B51A3" w:rsidP="005B0036">
      <w:pPr>
        <w:tabs>
          <w:tab w:val="left" w:pos="8222"/>
        </w:tabs>
        <w:ind w:left="851"/>
        <w:rPr>
          <w:sz w:val="24"/>
          <w:szCs w:val="24"/>
        </w:rPr>
      </w:pPr>
      <w:r>
        <w:rPr>
          <w:sz w:val="24"/>
          <w:szCs w:val="24"/>
        </w:rPr>
        <w:t>31858</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4E228E" w:rsidP="005B0036">
      <w:pPr>
        <w:tabs>
          <w:tab w:val="left" w:pos="8222"/>
        </w:tabs>
        <w:ind w:left="851"/>
        <w:rPr>
          <w:sz w:val="24"/>
          <w:szCs w:val="24"/>
        </w:rPr>
      </w:pPr>
      <w:r>
        <w:rPr>
          <w:sz w:val="24"/>
          <w:szCs w:val="24"/>
        </w:rPr>
        <w:t>Suiseng Coli/C</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125D32" w:rsidRPr="00125D32" w:rsidRDefault="00125D32" w:rsidP="00125D32">
      <w:pPr>
        <w:tabs>
          <w:tab w:val="left" w:pos="8222"/>
        </w:tabs>
        <w:ind w:left="851"/>
        <w:rPr>
          <w:sz w:val="24"/>
          <w:szCs w:val="24"/>
        </w:rPr>
      </w:pPr>
      <w:r w:rsidRPr="00125D32">
        <w:rPr>
          <w:sz w:val="24"/>
          <w:szCs w:val="24"/>
        </w:rPr>
        <w:t>Hver dosis (2 ml) indeholder:</w:t>
      </w:r>
    </w:p>
    <w:p w:rsidR="00125D32" w:rsidRPr="00125D32" w:rsidRDefault="00125D32" w:rsidP="00125D32">
      <w:pPr>
        <w:tabs>
          <w:tab w:val="left" w:pos="8222"/>
        </w:tabs>
        <w:ind w:left="851"/>
        <w:rPr>
          <w:b/>
          <w:sz w:val="24"/>
          <w:szCs w:val="24"/>
        </w:rPr>
      </w:pPr>
    </w:p>
    <w:p w:rsidR="00125D32" w:rsidRPr="00125D32" w:rsidRDefault="00125D32" w:rsidP="00967B6A">
      <w:pPr>
        <w:tabs>
          <w:tab w:val="left" w:pos="5670"/>
        </w:tabs>
        <w:ind w:left="851"/>
        <w:rPr>
          <w:sz w:val="24"/>
          <w:szCs w:val="24"/>
          <w:u w:val="single"/>
        </w:rPr>
      </w:pPr>
      <w:r w:rsidRPr="00125D32">
        <w:rPr>
          <w:sz w:val="24"/>
          <w:szCs w:val="24"/>
          <w:u w:val="single"/>
        </w:rPr>
        <w:t>Aktive stoffer</w:t>
      </w:r>
    </w:p>
    <w:p w:rsidR="00125D32" w:rsidRPr="00125D32" w:rsidRDefault="00125D32" w:rsidP="00967B6A">
      <w:pPr>
        <w:tabs>
          <w:tab w:val="left" w:pos="5670"/>
        </w:tabs>
        <w:ind w:left="851"/>
        <w:rPr>
          <w:sz w:val="24"/>
          <w:szCs w:val="24"/>
        </w:rPr>
      </w:pPr>
      <w:r w:rsidRPr="00125D32">
        <w:rPr>
          <w:sz w:val="24"/>
          <w:szCs w:val="24"/>
        </w:rPr>
        <w:t xml:space="preserve">F4ab </w:t>
      </w:r>
      <w:proofErr w:type="spellStart"/>
      <w:r w:rsidRPr="00125D32">
        <w:rPr>
          <w:sz w:val="24"/>
          <w:szCs w:val="24"/>
        </w:rPr>
        <w:t>fimbrie-adhæsin</w:t>
      </w:r>
      <w:proofErr w:type="spellEnd"/>
      <w:r w:rsidRPr="00125D32">
        <w:rPr>
          <w:sz w:val="24"/>
          <w:szCs w:val="24"/>
        </w:rPr>
        <w:t xml:space="preserve"> fra </w:t>
      </w:r>
      <w:r w:rsidRPr="00125D32">
        <w:rPr>
          <w:i/>
          <w:sz w:val="24"/>
          <w:szCs w:val="24"/>
        </w:rPr>
        <w:t>E. coli</w:t>
      </w:r>
      <w:r w:rsidRPr="00125D32">
        <w:rPr>
          <w:i/>
          <w:sz w:val="24"/>
          <w:szCs w:val="24"/>
        </w:rPr>
        <w:tab/>
      </w:r>
      <w:r w:rsidRPr="00125D32">
        <w:rPr>
          <w:sz w:val="24"/>
          <w:szCs w:val="24"/>
        </w:rPr>
        <w:t>≥65% ER</w:t>
      </w:r>
      <w:r w:rsidRPr="00125D32">
        <w:rPr>
          <w:sz w:val="24"/>
          <w:szCs w:val="24"/>
          <w:vertAlign w:val="subscript"/>
        </w:rPr>
        <w:t xml:space="preserve">60 </w:t>
      </w:r>
      <w:r w:rsidRPr="00125D32">
        <w:rPr>
          <w:sz w:val="24"/>
          <w:szCs w:val="24"/>
        </w:rPr>
        <w:t>*</w:t>
      </w:r>
    </w:p>
    <w:p w:rsidR="00125D32" w:rsidRPr="00125D32" w:rsidRDefault="00125D32" w:rsidP="00967B6A">
      <w:pPr>
        <w:tabs>
          <w:tab w:val="left" w:pos="5670"/>
        </w:tabs>
        <w:ind w:left="851"/>
        <w:rPr>
          <w:sz w:val="24"/>
          <w:szCs w:val="24"/>
          <w:vertAlign w:val="subscript"/>
        </w:rPr>
      </w:pPr>
      <w:r w:rsidRPr="00125D32">
        <w:rPr>
          <w:sz w:val="24"/>
          <w:szCs w:val="24"/>
        </w:rPr>
        <w:t xml:space="preserve">F4ac </w:t>
      </w:r>
      <w:proofErr w:type="spellStart"/>
      <w:r w:rsidRPr="00125D32">
        <w:rPr>
          <w:sz w:val="24"/>
          <w:szCs w:val="24"/>
        </w:rPr>
        <w:t>fimbrie-adhæsin</w:t>
      </w:r>
      <w:proofErr w:type="spellEnd"/>
      <w:r w:rsidRPr="00125D32">
        <w:rPr>
          <w:sz w:val="24"/>
          <w:szCs w:val="24"/>
        </w:rPr>
        <w:t xml:space="preserve"> fra </w:t>
      </w:r>
      <w:r w:rsidRPr="00125D32">
        <w:rPr>
          <w:i/>
          <w:sz w:val="24"/>
          <w:szCs w:val="24"/>
        </w:rPr>
        <w:t>E. coli</w:t>
      </w:r>
      <w:r w:rsidRPr="00125D32">
        <w:rPr>
          <w:i/>
          <w:sz w:val="24"/>
          <w:szCs w:val="24"/>
        </w:rPr>
        <w:tab/>
      </w:r>
      <w:r w:rsidRPr="00125D32">
        <w:rPr>
          <w:sz w:val="24"/>
          <w:szCs w:val="24"/>
        </w:rPr>
        <w:t>≥78% ER</w:t>
      </w:r>
      <w:r w:rsidRPr="00125D32">
        <w:rPr>
          <w:sz w:val="24"/>
          <w:szCs w:val="24"/>
          <w:vertAlign w:val="subscript"/>
        </w:rPr>
        <w:t>70</w:t>
      </w:r>
    </w:p>
    <w:p w:rsidR="00125D32" w:rsidRPr="00125D32" w:rsidRDefault="00125D32" w:rsidP="00967B6A">
      <w:pPr>
        <w:tabs>
          <w:tab w:val="left" w:pos="5670"/>
        </w:tabs>
        <w:ind w:left="851"/>
        <w:rPr>
          <w:sz w:val="24"/>
          <w:szCs w:val="24"/>
          <w:vertAlign w:val="subscript"/>
        </w:rPr>
      </w:pPr>
      <w:r w:rsidRPr="00125D32">
        <w:rPr>
          <w:sz w:val="24"/>
          <w:szCs w:val="24"/>
        </w:rPr>
        <w:t xml:space="preserve">F5 </w:t>
      </w:r>
      <w:proofErr w:type="spellStart"/>
      <w:r w:rsidRPr="00125D32">
        <w:rPr>
          <w:sz w:val="24"/>
          <w:szCs w:val="24"/>
        </w:rPr>
        <w:t>fimbrie-adhæsin</w:t>
      </w:r>
      <w:proofErr w:type="spellEnd"/>
      <w:r w:rsidRPr="00125D32">
        <w:rPr>
          <w:sz w:val="24"/>
          <w:szCs w:val="24"/>
        </w:rPr>
        <w:t xml:space="preserve"> fra </w:t>
      </w:r>
      <w:r w:rsidRPr="00125D32">
        <w:rPr>
          <w:i/>
          <w:sz w:val="24"/>
          <w:szCs w:val="24"/>
        </w:rPr>
        <w:t>E. coli</w:t>
      </w:r>
      <w:r w:rsidRPr="00125D32">
        <w:rPr>
          <w:sz w:val="24"/>
          <w:szCs w:val="24"/>
        </w:rPr>
        <w:tab/>
        <w:t>≥79% ER</w:t>
      </w:r>
      <w:r w:rsidRPr="00125D32">
        <w:rPr>
          <w:sz w:val="24"/>
          <w:szCs w:val="24"/>
          <w:vertAlign w:val="subscript"/>
        </w:rPr>
        <w:t>50</w:t>
      </w:r>
    </w:p>
    <w:p w:rsidR="00125D32" w:rsidRPr="00125D32" w:rsidRDefault="00125D32" w:rsidP="00967B6A">
      <w:pPr>
        <w:tabs>
          <w:tab w:val="left" w:pos="5670"/>
        </w:tabs>
        <w:ind w:left="851"/>
        <w:rPr>
          <w:sz w:val="24"/>
          <w:szCs w:val="24"/>
          <w:lang w:val="it-IT"/>
        </w:rPr>
      </w:pPr>
      <w:r w:rsidRPr="00125D32">
        <w:rPr>
          <w:sz w:val="24"/>
          <w:szCs w:val="24"/>
        </w:rPr>
        <w:t xml:space="preserve">F6 </w:t>
      </w:r>
      <w:proofErr w:type="spellStart"/>
      <w:r w:rsidRPr="00125D32">
        <w:rPr>
          <w:sz w:val="24"/>
          <w:szCs w:val="24"/>
        </w:rPr>
        <w:t>fimbrie-adhæsin</w:t>
      </w:r>
      <w:proofErr w:type="spellEnd"/>
      <w:r w:rsidRPr="00125D32">
        <w:rPr>
          <w:sz w:val="24"/>
          <w:szCs w:val="24"/>
        </w:rPr>
        <w:t xml:space="preserve"> fra </w:t>
      </w:r>
      <w:r w:rsidRPr="00125D32">
        <w:rPr>
          <w:i/>
          <w:sz w:val="24"/>
          <w:szCs w:val="24"/>
        </w:rPr>
        <w:t>E. coli</w:t>
      </w:r>
      <w:r w:rsidRPr="00125D32">
        <w:rPr>
          <w:sz w:val="24"/>
          <w:szCs w:val="24"/>
        </w:rPr>
        <w:tab/>
        <w:t>≥80% ER</w:t>
      </w:r>
      <w:r w:rsidRPr="00125D32">
        <w:rPr>
          <w:sz w:val="24"/>
          <w:szCs w:val="24"/>
          <w:vertAlign w:val="subscript"/>
        </w:rPr>
        <w:t>25</w:t>
      </w:r>
    </w:p>
    <w:p w:rsidR="00125D32" w:rsidRPr="00125D32" w:rsidRDefault="00125D32" w:rsidP="00967B6A">
      <w:pPr>
        <w:tabs>
          <w:tab w:val="left" w:pos="5670"/>
        </w:tabs>
        <w:ind w:left="851"/>
        <w:rPr>
          <w:sz w:val="24"/>
          <w:szCs w:val="24"/>
          <w:lang w:val="it-IT"/>
        </w:rPr>
      </w:pPr>
      <w:r w:rsidRPr="00125D32">
        <w:rPr>
          <w:sz w:val="24"/>
          <w:szCs w:val="24"/>
        </w:rPr>
        <w:t>LT-</w:t>
      </w:r>
      <w:proofErr w:type="spellStart"/>
      <w:r w:rsidRPr="00125D32">
        <w:rPr>
          <w:sz w:val="24"/>
          <w:szCs w:val="24"/>
        </w:rPr>
        <w:t>enterotoksoid</w:t>
      </w:r>
      <w:proofErr w:type="spellEnd"/>
      <w:r w:rsidRPr="00125D32">
        <w:rPr>
          <w:sz w:val="24"/>
          <w:szCs w:val="24"/>
        </w:rPr>
        <w:t xml:space="preserve"> fra </w:t>
      </w:r>
      <w:r w:rsidRPr="00125D32">
        <w:rPr>
          <w:i/>
          <w:sz w:val="24"/>
          <w:szCs w:val="24"/>
        </w:rPr>
        <w:t>E. coli</w:t>
      </w:r>
      <w:r w:rsidRPr="00125D32">
        <w:rPr>
          <w:sz w:val="24"/>
          <w:szCs w:val="24"/>
        </w:rPr>
        <w:tab/>
        <w:t>≥55% ER</w:t>
      </w:r>
      <w:r w:rsidRPr="00125D32">
        <w:rPr>
          <w:sz w:val="24"/>
          <w:szCs w:val="24"/>
          <w:vertAlign w:val="subscript"/>
        </w:rPr>
        <w:t>70</w:t>
      </w:r>
    </w:p>
    <w:p w:rsidR="00125D32" w:rsidRPr="00125D32" w:rsidRDefault="00125D32" w:rsidP="00967B6A">
      <w:pPr>
        <w:tabs>
          <w:tab w:val="left" w:pos="5670"/>
        </w:tabs>
        <w:ind w:left="851"/>
        <w:rPr>
          <w:sz w:val="24"/>
          <w:szCs w:val="24"/>
        </w:rPr>
      </w:pPr>
      <w:proofErr w:type="spellStart"/>
      <w:r w:rsidRPr="00125D32">
        <w:rPr>
          <w:i/>
          <w:sz w:val="24"/>
          <w:szCs w:val="24"/>
        </w:rPr>
        <w:t>Clostridium</w:t>
      </w:r>
      <w:proofErr w:type="spellEnd"/>
      <w:r w:rsidRPr="00125D32">
        <w:rPr>
          <w:i/>
          <w:sz w:val="24"/>
          <w:szCs w:val="24"/>
        </w:rPr>
        <w:t xml:space="preserve"> </w:t>
      </w:r>
      <w:proofErr w:type="spellStart"/>
      <w:r w:rsidRPr="00125D32">
        <w:rPr>
          <w:i/>
          <w:sz w:val="24"/>
          <w:szCs w:val="24"/>
        </w:rPr>
        <w:t>perfringens</w:t>
      </w:r>
      <w:proofErr w:type="spellEnd"/>
      <w:r w:rsidRPr="00125D32">
        <w:rPr>
          <w:sz w:val="24"/>
          <w:szCs w:val="24"/>
        </w:rPr>
        <w:t xml:space="preserve">, type C </w:t>
      </w:r>
      <w:proofErr w:type="spellStart"/>
      <w:r w:rsidRPr="00125D32">
        <w:rPr>
          <w:sz w:val="24"/>
          <w:szCs w:val="24"/>
        </w:rPr>
        <w:t>toksoid</w:t>
      </w:r>
      <w:proofErr w:type="spellEnd"/>
      <w:r w:rsidRPr="00125D32">
        <w:rPr>
          <w:sz w:val="24"/>
          <w:szCs w:val="24"/>
        </w:rPr>
        <w:tab/>
        <w:t>≥35% ER</w:t>
      </w:r>
      <w:r w:rsidRPr="00125D32">
        <w:rPr>
          <w:sz w:val="24"/>
          <w:szCs w:val="24"/>
          <w:vertAlign w:val="subscript"/>
        </w:rPr>
        <w:t>25</w:t>
      </w:r>
    </w:p>
    <w:p w:rsidR="00125D32" w:rsidRPr="00125D32" w:rsidRDefault="00125D32" w:rsidP="00967B6A">
      <w:pPr>
        <w:tabs>
          <w:tab w:val="left" w:pos="5670"/>
        </w:tabs>
        <w:ind w:left="851"/>
        <w:rPr>
          <w:sz w:val="24"/>
          <w:szCs w:val="24"/>
        </w:rPr>
      </w:pPr>
      <w:proofErr w:type="spellStart"/>
      <w:r w:rsidRPr="00125D32">
        <w:rPr>
          <w:i/>
          <w:sz w:val="24"/>
          <w:szCs w:val="24"/>
        </w:rPr>
        <w:t>Clostridium</w:t>
      </w:r>
      <w:proofErr w:type="spellEnd"/>
      <w:r w:rsidRPr="00125D32">
        <w:rPr>
          <w:i/>
          <w:sz w:val="24"/>
          <w:szCs w:val="24"/>
        </w:rPr>
        <w:t xml:space="preserve"> </w:t>
      </w:r>
      <w:proofErr w:type="spellStart"/>
      <w:r w:rsidRPr="00125D32">
        <w:rPr>
          <w:i/>
          <w:sz w:val="24"/>
          <w:szCs w:val="24"/>
        </w:rPr>
        <w:t>novyi</w:t>
      </w:r>
      <w:proofErr w:type="spellEnd"/>
      <w:r w:rsidRPr="00125D32">
        <w:rPr>
          <w:i/>
          <w:sz w:val="24"/>
          <w:szCs w:val="24"/>
        </w:rPr>
        <w:t xml:space="preserve">, </w:t>
      </w:r>
      <w:r w:rsidRPr="00125D32">
        <w:rPr>
          <w:sz w:val="24"/>
          <w:szCs w:val="24"/>
        </w:rPr>
        <w:t xml:space="preserve">type B </w:t>
      </w:r>
      <w:proofErr w:type="spellStart"/>
      <w:r w:rsidRPr="00125D32">
        <w:rPr>
          <w:sz w:val="24"/>
          <w:szCs w:val="24"/>
        </w:rPr>
        <w:t>toksoid</w:t>
      </w:r>
      <w:proofErr w:type="spellEnd"/>
      <w:r w:rsidRPr="00125D32">
        <w:rPr>
          <w:sz w:val="24"/>
          <w:szCs w:val="24"/>
        </w:rPr>
        <w:tab/>
        <w:t>≥50% ER</w:t>
      </w:r>
      <w:r w:rsidRPr="00125D32">
        <w:rPr>
          <w:sz w:val="24"/>
          <w:szCs w:val="24"/>
          <w:vertAlign w:val="subscript"/>
        </w:rPr>
        <w:t>120</w:t>
      </w:r>
    </w:p>
    <w:p w:rsidR="00125D32" w:rsidRPr="00967B6A" w:rsidRDefault="00125D32" w:rsidP="00967B6A">
      <w:pPr>
        <w:tabs>
          <w:tab w:val="left" w:pos="5670"/>
        </w:tabs>
        <w:ind w:left="851"/>
        <w:rPr>
          <w:sz w:val="20"/>
        </w:rPr>
      </w:pPr>
      <w:r w:rsidRPr="00967B6A">
        <w:rPr>
          <w:sz w:val="20"/>
        </w:rPr>
        <w:t>*</w:t>
      </w:r>
      <w:r w:rsidR="00967B6A" w:rsidRPr="00967B6A">
        <w:rPr>
          <w:sz w:val="20"/>
        </w:rPr>
        <w:t xml:space="preserve"> </w:t>
      </w:r>
      <w:r w:rsidRPr="00967B6A">
        <w:rPr>
          <w:sz w:val="20"/>
        </w:rPr>
        <w:t xml:space="preserve">% </w:t>
      </w:r>
      <w:proofErr w:type="spellStart"/>
      <w:r w:rsidRPr="00967B6A">
        <w:rPr>
          <w:sz w:val="20"/>
        </w:rPr>
        <w:t>ERx</w:t>
      </w:r>
      <w:proofErr w:type="spellEnd"/>
      <w:r w:rsidRPr="00967B6A">
        <w:rPr>
          <w:sz w:val="20"/>
        </w:rPr>
        <w:t>: Procentdel af immuniserede kaniner med et serologisk EIA-respons x</w:t>
      </w:r>
    </w:p>
    <w:p w:rsidR="00125D32" w:rsidRPr="00125D32" w:rsidRDefault="00125D32" w:rsidP="00967B6A">
      <w:pPr>
        <w:tabs>
          <w:tab w:val="left" w:pos="5670"/>
        </w:tabs>
        <w:ind w:left="851"/>
        <w:rPr>
          <w:b/>
          <w:sz w:val="24"/>
          <w:szCs w:val="24"/>
        </w:rPr>
      </w:pPr>
    </w:p>
    <w:p w:rsidR="00125D32" w:rsidRPr="00094DE7" w:rsidRDefault="00125D32" w:rsidP="00967B6A">
      <w:pPr>
        <w:tabs>
          <w:tab w:val="left" w:pos="5670"/>
        </w:tabs>
        <w:ind w:left="851"/>
        <w:rPr>
          <w:sz w:val="24"/>
          <w:szCs w:val="24"/>
          <w:u w:val="single"/>
        </w:rPr>
      </w:pPr>
      <w:proofErr w:type="spellStart"/>
      <w:r w:rsidRPr="00094DE7">
        <w:rPr>
          <w:sz w:val="24"/>
          <w:szCs w:val="24"/>
          <w:u w:val="single"/>
        </w:rPr>
        <w:t>Adjuvanser</w:t>
      </w:r>
      <w:proofErr w:type="spellEnd"/>
    </w:p>
    <w:p w:rsidR="00125D32" w:rsidRPr="00125D32" w:rsidRDefault="00125D32" w:rsidP="00967B6A">
      <w:pPr>
        <w:tabs>
          <w:tab w:val="left" w:pos="5670"/>
        </w:tabs>
        <w:ind w:left="851"/>
        <w:rPr>
          <w:sz w:val="24"/>
          <w:szCs w:val="24"/>
        </w:rPr>
      </w:pPr>
      <w:r w:rsidRPr="00125D32">
        <w:rPr>
          <w:sz w:val="24"/>
          <w:szCs w:val="24"/>
        </w:rPr>
        <w:t>Aluminiumhydroxidgel</w:t>
      </w:r>
      <w:r w:rsidRPr="00125D32">
        <w:rPr>
          <w:sz w:val="24"/>
          <w:szCs w:val="24"/>
        </w:rPr>
        <w:tab/>
      </w:r>
      <w:smartTag w:uri="urn:schemas-microsoft-com:office:smarttags" w:element="metricconverter">
        <w:smartTagPr>
          <w:attr w:name="ProductID" w:val="0,5 g"/>
        </w:smartTagPr>
        <w:r w:rsidRPr="00125D32">
          <w:rPr>
            <w:sz w:val="24"/>
            <w:szCs w:val="24"/>
          </w:rPr>
          <w:t>0,5 g</w:t>
        </w:r>
      </w:smartTag>
    </w:p>
    <w:p w:rsidR="00125D32" w:rsidRPr="00125D32" w:rsidRDefault="00125D32" w:rsidP="00967B6A">
      <w:pPr>
        <w:tabs>
          <w:tab w:val="left" w:pos="5670"/>
        </w:tabs>
        <w:ind w:left="851"/>
        <w:rPr>
          <w:sz w:val="24"/>
          <w:szCs w:val="24"/>
        </w:rPr>
      </w:pPr>
      <w:r w:rsidRPr="00125D32">
        <w:rPr>
          <w:sz w:val="24"/>
          <w:szCs w:val="24"/>
        </w:rPr>
        <w:t xml:space="preserve">Ginseng-ekstrakt (svarende til </w:t>
      </w:r>
      <w:proofErr w:type="spellStart"/>
      <w:r w:rsidRPr="00125D32">
        <w:rPr>
          <w:sz w:val="24"/>
          <w:szCs w:val="24"/>
        </w:rPr>
        <w:t>ginsenosider</w:t>
      </w:r>
      <w:proofErr w:type="spellEnd"/>
      <w:r w:rsidRPr="00125D32">
        <w:rPr>
          <w:sz w:val="24"/>
          <w:szCs w:val="24"/>
        </w:rPr>
        <w:t>)</w:t>
      </w:r>
      <w:r w:rsidRPr="00125D32">
        <w:rPr>
          <w:sz w:val="24"/>
          <w:szCs w:val="24"/>
        </w:rPr>
        <w:tab/>
        <w:t>4 mg (0,8 mg)</w:t>
      </w:r>
    </w:p>
    <w:p w:rsidR="00125D32" w:rsidRPr="00125D32" w:rsidRDefault="00125D32" w:rsidP="00967B6A">
      <w:pPr>
        <w:tabs>
          <w:tab w:val="left" w:pos="5670"/>
        </w:tabs>
        <w:ind w:left="851"/>
        <w:rPr>
          <w:sz w:val="24"/>
          <w:szCs w:val="24"/>
        </w:rPr>
      </w:pPr>
    </w:p>
    <w:p w:rsidR="00125D32" w:rsidRPr="000B2712" w:rsidRDefault="00125D32" w:rsidP="00967B6A">
      <w:pPr>
        <w:tabs>
          <w:tab w:val="left" w:pos="5670"/>
        </w:tabs>
        <w:ind w:left="851"/>
        <w:rPr>
          <w:sz w:val="24"/>
          <w:szCs w:val="24"/>
          <w:u w:val="single"/>
        </w:rPr>
      </w:pPr>
      <w:r w:rsidRPr="000B2712">
        <w:rPr>
          <w:sz w:val="24"/>
          <w:szCs w:val="24"/>
          <w:u w:val="single"/>
        </w:rPr>
        <w:t>Hjælpestof</w:t>
      </w:r>
    </w:p>
    <w:p w:rsidR="00125D32" w:rsidRPr="00125D32" w:rsidRDefault="00125D32" w:rsidP="00967B6A">
      <w:pPr>
        <w:tabs>
          <w:tab w:val="left" w:pos="5670"/>
        </w:tabs>
        <w:ind w:left="851"/>
        <w:rPr>
          <w:sz w:val="24"/>
          <w:szCs w:val="24"/>
        </w:rPr>
      </w:pPr>
      <w:proofErr w:type="spellStart"/>
      <w:r w:rsidRPr="00125D32">
        <w:rPr>
          <w:sz w:val="24"/>
          <w:szCs w:val="24"/>
        </w:rPr>
        <w:t>Benzylalkohol</w:t>
      </w:r>
      <w:proofErr w:type="spellEnd"/>
      <w:r w:rsidRPr="00125D32">
        <w:rPr>
          <w:sz w:val="24"/>
          <w:szCs w:val="24"/>
        </w:rPr>
        <w:t xml:space="preserve"> (E1519)</w:t>
      </w:r>
      <w:r w:rsidRPr="00125D32">
        <w:rPr>
          <w:sz w:val="24"/>
          <w:szCs w:val="24"/>
        </w:rPr>
        <w:tab/>
        <w:t>30 mg</w:t>
      </w:r>
    </w:p>
    <w:p w:rsidR="00125D32" w:rsidRPr="00125D32" w:rsidRDefault="00125D32" w:rsidP="00125D32">
      <w:pPr>
        <w:tabs>
          <w:tab w:val="left" w:pos="8222"/>
        </w:tabs>
        <w:ind w:left="851"/>
        <w:rPr>
          <w:sz w:val="24"/>
          <w:szCs w:val="24"/>
        </w:rPr>
      </w:pPr>
    </w:p>
    <w:p w:rsidR="00125D32" w:rsidRPr="00125D32" w:rsidRDefault="00125D32" w:rsidP="00125D32">
      <w:pPr>
        <w:tabs>
          <w:tab w:val="left" w:pos="8222"/>
        </w:tabs>
        <w:ind w:left="851"/>
        <w:rPr>
          <w:sz w:val="24"/>
          <w:szCs w:val="24"/>
        </w:rPr>
      </w:pPr>
      <w:r w:rsidRPr="00125D32">
        <w:rPr>
          <w:sz w:val="24"/>
          <w:szCs w:val="24"/>
        </w:rPr>
        <w:t>Alle hjælpestoffer er anført under pkt. 6.1</w:t>
      </w:r>
      <w:r w:rsidR="000B2712">
        <w:rPr>
          <w:sz w:val="24"/>
          <w:szCs w:val="24"/>
        </w:rPr>
        <w:t>.</w:t>
      </w:r>
    </w:p>
    <w:p w:rsidR="005B0036" w:rsidRPr="00406EE7" w:rsidRDefault="005B0036" w:rsidP="00643DB4">
      <w:pPr>
        <w:tabs>
          <w:tab w:val="left" w:pos="8222"/>
        </w:tabs>
        <w:ind w:left="851"/>
        <w:rPr>
          <w:sz w:val="24"/>
          <w:szCs w:val="24"/>
        </w:rPr>
      </w:pPr>
    </w:p>
    <w:p w:rsidR="005B0036" w:rsidRPr="00406EE7" w:rsidRDefault="005B0036" w:rsidP="00643DB4">
      <w:pPr>
        <w:tabs>
          <w:tab w:val="left" w:pos="8222"/>
        </w:tabs>
        <w:ind w:left="851" w:hanging="851"/>
        <w:rPr>
          <w:b/>
          <w:sz w:val="24"/>
          <w:szCs w:val="24"/>
        </w:rPr>
      </w:pPr>
      <w:r w:rsidRPr="00406EE7">
        <w:rPr>
          <w:b/>
          <w:sz w:val="24"/>
          <w:szCs w:val="24"/>
        </w:rPr>
        <w:t>3.</w:t>
      </w:r>
      <w:r w:rsidRPr="00406EE7">
        <w:rPr>
          <w:b/>
          <w:sz w:val="24"/>
          <w:szCs w:val="24"/>
        </w:rPr>
        <w:tab/>
        <w:t>LÆGEMIDDELFORM</w:t>
      </w:r>
    </w:p>
    <w:p w:rsidR="00827B03" w:rsidRDefault="00827B03" w:rsidP="00643DB4">
      <w:pPr>
        <w:tabs>
          <w:tab w:val="left" w:pos="708"/>
        </w:tabs>
        <w:ind w:left="851"/>
        <w:rPr>
          <w:sz w:val="24"/>
          <w:szCs w:val="24"/>
        </w:rPr>
      </w:pPr>
      <w:r>
        <w:rPr>
          <w:sz w:val="24"/>
          <w:szCs w:val="24"/>
        </w:rPr>
        <w:t>Injektionsvæske, suspension</w:t>
      </w:r>
      <w:r w:rsidR="00AD239B">
        <w:rPr>
          <w:sz w:val="24"/>
          <w:szCs w:val="24"/>
        </w:rPr>
        <w:t xml:space="preserve"> (</w:t>
      </w:r>
      <w:proofErr w:type="spellStart"/>
      <w:r w:rsidR="00AD239B">
        <w:rPr>
          <w:sz w:val="24"/>
          <w:szCs w:val="24"/>
        </w:rPr>
        <w:t>PharmaMenta</w:t>
      </w:r>
      <w:proofErr w:type="spellEnd"/>
      <w:r w:rsidR="00AD239B">
        <w:rPr>
          <w:sz w:val="24"/>
          <w:szCs w:val="24"/>
        </w:rPr>
        <w:t>)</w:t>
      </w:r>
    </w:p>
    <w:p w:rsidR="005B0036" w:rsidRPr="00406EE7" w:rsidRDefault="005B0036" w:rsidP="00643DB4">
      <w:pPr>
        <w:tabs>
          <w:tab w:val="left" w:pos="851"/>
          <w:tab w:val="left" w:pos="8222"/>
        </w:tabs>
        <w:ind w:left="851"/>
        <w:rPr>
          <w:sz w:val="24"/>
          <w:szCs w:val="24"/>
        </w:rPr>
      </w:pPr>
    </w:p>
    <w:p w:rsidR="009A67C8" w:rsidRDefault="009A67C8">
      <w:pPr>
        <w:rPr>
          <w:sz w:val="24"/>
          <w:szCs w:val="24"/>
        </w:rPr>
      </w:pPr>
      <w:r>
        <w:rPr>
          <w:sz w:val="24"/>
          <w:szCs w:val="24"/>
        </w:rPr>
        <w:br w:type="page"/>
      </w:r>
    </w:p>
    <w:p w:rsidR="005B0036" w:rsidRPr="00406EE7" w:rsidRDefault="005B0036" w:rsidP="00643DB4">
      <w:pPr>
        <w:tabs>
          <w:tab w:val="left" w:pos="851"/>
          <w:tab w:val="left" w:pos="8222"/>
        </w:tabs>
        <w:ind w:left="851"/>
        <w:rPr>
          <w:sz w:val="24"/>
          <w:szCs w:val="24"/>
        </w:rPr>
      </w:pPr>
    </w:p>
    <w:p w:rsidR="005B0036" w:rsidRPr="00406EE7" w:rsidRDefault="005B0036" w:rsidP="00643DB4">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643DB4">
      <w:pPr>
        <w:tabs>
          <w:tab w:val="left" w:pos="851"/>
          <w:tab w:val="left" w:pos="8222"/>
        </w:tabs>
        <w:ind w:left="851"/>
        <w:rPr>
          <w:sz w:val="24"/>
          <w:szCs w:val="24"/>
        </w:rPr>
      </w:pPr>
    </w:p>
    <w:p w:rsidR="005B0036" w:rsidRPr="00406EE7" w:rsidRDefault="005B0036" w:rsidP="00643DB4">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76240C" w:rsidRDefault="0076240C" w:rsidP="00643DB4">
      <w:pPr>
        <w:ind w:left="851"/>
        <w:rPr>
          <w:sz w:val="24"/>
          <w:szCs w:val="24"/>
        </w:rPr>
      </w:pPr>
      <w:r>
        <w:rPr>
          <w:sz w:val="24"/>
          <w:szCs w:val="24"/>
        </w:rPr>
        <w:t xml:space="preserve">Svin (søer og </w:t>
      </w:r>
      <w:proofErr w:type="spellStart"/>
      <w:r>
        <w:rPr>
          <w:sz w:val="24"/>
          <w:szCs w:val="24"/>
        </w:rPr>
        <w:t>gylte</w:t>
      </w:r>
      <w:proofErr w:type="spellEnd"/>
      <w:r>
        <w:rPr>
          <w:sz w:val="24"/>
          <w:szCs w:val="24"/>
        </w:rPr>
        <w:t>)</w:t>
      </w:r>
    </w:p>
    <w:p w:rsidR="005B0036" w:rsidRPr="00406EE7" w:rsidRDefault="005B0036" w:rsidP="00643DB4">
      <w:pPr>
        <w:tabs>
          <w:tab w:val="left" w:pos="8222"/>
        </w:tabs>
        <w:ind w:left="851"/>
        <w:rPr>
          <w:sz w:val="24"/>
          <w:szCs w:val="24"/>
        </w:rPr>
      </w:pPr>
    </w:p>
    <w:p w:rsidR="005B0036" w:rsidRPr="00406EE7" w:rsidRDefault="005B0036" w:rsidP="00643DB4">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76240C" w:rsidRDefault="0076240C" w:rsidP="00643DB4">
      <w:pPr>
        <w:pStyle w:val="Sidehoved"/>
        <w:tabs>
          <w:tab w:val="left" w:pos="8222"/>
        </w:tabs>
        <w:ind w:left="851"/>
        <w:rPr>
          <w:b/>
          <w:szCs w:val="24"/>
        </w:rPr>
      </w:pPr>
    </w:p>
    <w:p w:rsidR="0076240C" w:rsidRPr="0076240C" w:rsidRDefault="0076240C" w:rsidP="00643DB4">
      <w:pPr>
        <w:pStyle w:val="Sidehoved"/>
        <w:tabs>
          <w:tab w:val="left" w:pos="8222"/>
        </w:tabs>
        <w:ind w:left="851"/>
        <w:rPr>
          <w:szCs w:val="24"/>
          <w:u w:val="single"/>
        </w:rPr>
      </w:pPr>
      <w:r w:rsidRPr="0076240C">
        <w:rPr>
          <w:szCs w:val="24"/>
          <w:u w:val="single"/>
        </w:rPr>
        <w:t>Smågrise</w:t>
      </w:r>
    </w:p>
    <w:p w:rsidR="0076240C" w:rsidRPr="0076240C" w:rsidRDefault="0076240C" w:rsidP="00643DB4">
      <w:pPr>
        <w:pStyle w:val="Sidehoved"/>
        <w:tabs>
          <w:tab w:val="left" w:pos="8222"/>
        </w:tabs>
        <w:ind w:left="851"/>
        <w:rPr>
          <w:szCs w:val="24"/>
        </w:rPr>
      </w:pPr>
      <w:r w:rsidRPr="0076240C">
        <w:rPr>
          <w:szCs w:val="24"/>
        </w:rPr>
        <w:t xml:space="preserve">Til passiv beskyttelse af spædgrise ved aktiv immunisering af avlssøer og </w:t>
      </w:r>
      <w:proofErr w:type="spellStart"/>
      <w:r w:rsidRPr="0076240C">
        <w:rPr>
          <w:szCs w:val="24"/>
        </w:rPr>
        <w:t>gylte</w:t>
      </w:r>
      <w:proofErr w:type="spellEnd"/>
      <w:r w:rsidRPr="0076240C">
        <w:rPr>
          <w:szCs w:val="24"/>
        </w:rPr>
        <w:t xml:space="preserve"> for at reducere dødeligheden og de kliniske tegn på neonatal </w:t>
      </w:r>
      <w:proofErr w:type="spellStart"/>
      <w:r w:rsidRPr="0076240C">
        <w:rPr>
          <w:szCs w:val="24"/>
        </w:rPr>
        <w:t>enterotoksikose</w:t>
      </w:r>
      <w:proofErr w:type="spellEnd"/>
      <w:r w:rsidRPr="0076240C">
        <w:rPr>
          <w:szCs w:val="24"/>
        </w:rPr>
        <w:t xml:space="preserve">, såsom diarré, forårsaget af </w:t>
      </w:r>
      <w:proofErr w:type="spellStart"/>
      <w:r w:rsidRPr="0076240C">
        <w:rPr>
          <w:szCs w:val="24"/>
        </w:rPr>
        <w:t>enterotoksigene</w:t>
      </w:r>
      <w:proofErr w:type="spellEnd"/>
      <w:r w:rsidRPr="0076240C">
        <w:rPr>
          <w:szCs w:val="24"/>
        </w:rPr>
        <w:t xml:space="preserve"> </w:t>
      </w:r>
      <w:r w:rsidRPr="0076240C">
        <w:rPr>
          <w:i/>
          <w:szCs w:val="24"/>
        </w:rPr>
        <w:t xml:space="preserve">Escherichia </w:t>
      </w:r>
      <w:r w:rsidRPr="0076240C">
        <w:rPr>
          <w:szCs w:val="24"/>
        </w:rPr>
        <w:t>coli-stammer, der udtrykker F4ab (K88ab)-, F4ac (K88ac)-, F5 (K99)- eller F6 (987P)-</w:t>
      </w:r>
      <w:proofErr w:type="spellStart"/>
      <w:r w:rsidRPr="0076240C">
        <w:rPr>
          <w:szCs w:val="24"/>
        </w:rPr>
        <w:t>adhæsiner</w:t>
      </w:r>
      <w:proofErr w:type="spellEnd"/>
      <w:r w:rsidRPr="0076240C">
        <w:rPr>
          <w:szCs w:val="24"/>
        </w:rPr>
        <w:t>.</w:t>
      </w:r>
    </w:p>
    <w:p w:rsidR="0076240C" w:rsidRPr="0076240C" w:rsidRDefault="0076240C" w:rsidP="00643DB4">
      <w:pPr>
        <w:pStyle w:val="Sidehoved"/>
        <w:tabs>
          <w:tab w:val="left" w:pos="8222"/>
        </w:tabs>
        <w:ind w:left="851"/>
        <w:rPr>
          <w:szCs w:val="24"/>
        </w:rPr>
      </w:pPr>
      <w:r w:rsidRPr="0076240C">
        <w:rPr>
          <w:szCs w:val="24"/>
        </w:rPr>
        <w:t>Den vedvarende tilstedeværelse af disse antistoffer er ikke bevist.</w:t>
      </w:r>
    </w:p>
    <w:p w:rsidR="0076240C" w:rsidRPr="0076240C" w:rsidRDefault="0076240C" w:rsidP="00643DB4">
      <w:pPr>
        <w:pStyle w:val="Sidehoved"/>
        <w:tabs>
          <w:tab w:val="left" w:pos="8222"/>
        </w:tabs>
        <w:ind w:left="851"/>
        <w:rPr>
          <w:szCs w:val="24"/>
        </w:rPr>
      </w:pPr>
    </w:p>
    <w:p w:rsidR="0076240C" w:rsidRPr="0076240C" w:rsidRDefault="0076240C" w:rsidP="00643DB4">
      <w:pPr>
        <w:pStyle w:val="Sidehoved"/>
        <w:tabs>
          <w:tab w:val="left" w:pos="8222"/>
        </w:tabs>
        <w:ind w:left="851"/>
        <w:rPr>
          <w:szCs w:val="24"/>
        </w:rPr>
      </w:pPr>
      <w:r w:rsidRPr="0076240C">
        <w:rPr>
          <w:szCs w:val="24"/>
        </w:rPr>
        <w:t xml:space="preserve">Til passiv immunisering af spædgrise mod nekrotisk </w:t>
      </w:r>
      <w:proofErr w:type="spellStart"/>
      <w:r w:rsidRPr="0076240C">
        <w:rPr>
          <w:szCs w:val="24"/>
        </w:rPr>
        <w:t>enteritis</w:t>
      </w:r>
      <w:proofErr w:type="spellEnd"/>
      <w:r w:rsidRPr="0076240C">
        <w:rPr>
          <w:szCs w:val="24"/>
        </w:rPr>
        <w:t xml:space="preserve"> ved aktiv immunisering af avlssøer og </w:t>
      </w:r>
      <w:proofErr w:type="spellStart"/>
      <w:r w:rsidRPr="0076240C">
        <w:rPr>
          <w:szCs w:val="24"/>
        </w:rPr>
        <w:t>gylte</w:t>
      </w:r>
      <w:proofErr w:type="spellEnd"/>
      <w:r w:rsidRPr="0076240C">
        <w:rPr>
          <w:szCs w:val="24"/>
        </w:rPr>
        <w:t xml:space="preserve"> for at inducere serumneutraliserende antistoffer mod β-toksin fra </w:t>
      </w:r>
      <w:proofErr w:type="spellStart"/>
      <w:r w:rsidRPr="0076240C">
        <w:rPr>
          <w:i/>
          <w:szCs w:val="24"/>
        </w:rPr>
        <w:t>Clostridium</w:t>
      </w:r>
      <w:proofErr w:type="spellEnd"/>
      <w:r w:rsidRPr="0076240C">
        <w:rPr>
          <w:i/>
          <w:szCs w:val="24"/>
        </w:rPr>
        <w:t xml:space="preserve"> </w:t>
      </w:r>
      <w:proofErr w:type="spellStart"/>
      <w:r w:rsidRPr="0076240C">
        <w:rPr>
          <w:i/>
          <w:szCs w:val="24"/>
        </w:rPr>
        <w:t>perfringens</w:t>
      </w:r>
      <w:proofErr w:type="spellEnd"/>
      <w:r w:rsidRPr="0076240C">
        <w:rPr>
          <w:szCs w:val="24"/>
        </w:rPr>
        <w:t xml:space="preserve"> type C.</w:t>
      </w:r>
    </w:p>
    <w:p w:rsidR="0076240C" w:rsidRPr="0076240C" w:rsidRDefault="0076240C" w:rsidP="00643DB4">
      <w:pPr>
        <w:pStyle w:val="Sidehoved"/>
        <w:tabs>
          <w:tab w:val="left" w:pos="8222"/>
        </w:tabs>
        <w:ind w:left="851"/>
        <w:rPr>
          <w:szCs w:val="24"/>
        </w:rPr>
      </w:pPr>
      <w:r w:rsidRPr="0076240C">
        <w:rPr>
          <w:szCs w:val="24"/>
        </w:rPr>
        <w:t>Den vedvarende tilstedeværelse af antistoffer er ikke bevist.</w:t>
      </w:r>
    </w:p>
    <w:p w:rsidR="0076240C" w:rsidRPr="0076240C" w:rsidRDefault="0076240C" w:rsidP="00643DB4">
      <w:pPr>
        <w:pStyle w:val="Sidehoved"/>
        <w:tabs>
          <w:tab w:val="left" w:pos="8222"/>
        </w:tabs>
        <w:ind w:left="851"/>
        <w:rPr>
          <w:szCs w:val="24"/>
        </w:rPr>
      </w:pPr>
    </w:p>
    <w:p w:rsidR="0076240C" w:rsidRPr="0076240C" w:rsidRDefault="0076240C" w:rsidP="00643DB4">
      <w:pPr>
        <w:pStyle w:val="Sidehoved"/>
        <w:tabs>
          <w:tab w:val="left" w:pos="8222"/>
        </w:tabs>
        <w:ind w:left="851"/>
        <w:rPr>
          <w:szCs w:val="24"/>
          <w:u w:val="single"/>
        </w:rPr>
      </w:pPr>
      <w:r w:rsidRPr="0076240C">
        <w:rPr>
          <w:szCs w:val="24"/>
          <w:u w:val="single"/>
        </w:rPr>
        <w:t xml:space="preserve">Søer og </w:t>
      </w:r>
      <w:proofErr w:type="spellStart"/>
      <w:r w:rsidRPr="0076240C">
        <w:rPr>
          <w:szCs w:val="24"/>
          <w:u w:val="single"/>
        </w:rPr>
        <w:t>gylte</w:t>
      </w:r>
      <w:proofErr w:type="spellEnd"/>
    </w:p>
    <w:p w:rsidR="0076240C" w:rsidRPr="0076240C" w:rsidRDefault="0076240C" w:rsidP="00643DB4">
      <w:pPr>
        <w:pStyle w:val="Sidehoved"/>
        <w:tabs>
          <w:tab w:val="left" w:pos="8222"/>
        </w:tabs>
        <w:ind w:left="851"/>
        <w:rPr>
          <w:szCs w:val="24"/>
        </w:rPr>
      </w:pPr>
      <w:r w:rsidRPr="0076240C">
        <w:rPr>
          <w:szCs w:val="24"/>
        </w:rPr>
        <w:t xml:space="preserve">Til aktiv immunisering af avlssøer og </w:t>
      </w:r>
      <w:proofErr w:type="spellStart"/>
      <w:r w:rsidRPr="0076240C">
        <w:rPr>
          <w:szCs w:val="24"/>
        </w:rPr>
        <w:t>gylte</w:t>
      </w:r>
      <w:proofErr w:type="spellEnd"/>
      <w:r w:rsidRPr="0076240C">
        <w:rPr>
          <w:szCs w:val="24"/>
        </w:rPr>
        <w:t xml:space="preserve"> for at inducere serumneutraliserende antistoffer mod α-toksin fra </w:t>
      </w:r>
      <w:proofErr w:type="spellStart"/>
      <w:r w:rsidRPr="0076240C">
        <w:rPr>
          <w:i/>
          <w:szCs w:val="24"/>
        </w:rPr>
        <w:t>Clostridium</w:t>
      </w:r>
      <w:proofErr w:type="spellEnd"/>
      <w:r w:rsidRPr="0076240C">
        <w:rPr>
          <w:i/>
          <w:szCs w:val="24"/>
        </w:rPr>
        <w:t xml:space="preserve"> </w:t>
      </w:r>
      <w:proofErr w:type="spellStart"/>
      <w:r w:rsidRPr="0076240C">
        <w:rPr>
          <w:i/>
          <w:szCs w:val="24"/>
        </w:rPr>
        <w:t>novyi</w:t>
      </w:r>
      <w:proofErr w:type="spellEnd"/>
      <w:r w:rsidRPr="0076240C">
        <w:rPr>
          <w:i/>
          <w:szCs w:val="24"/>
        </w:rPr>
        <w:t xml:space="preserve"> </w:t>
      </w:r>
      <w:r w:rsidRPr="0076240C">
        <w:rPr>
          <w:szCs w:val="24"/>
        </w:rPr>
        <w:t>type B. Relevansen af de serumneutraliserende antistoffer er ikke eksperimentelt bestemt.</w:t>
      </w:r>
    </w:p>
    <w:p w:rsidR="0076240C" w:rsidRPr="0076240C" w:rsidRDefault="0076240C" w:rsidP="00643DB4">
      <w:pPr>
        <w:pStyle w:val="Sidehoved"/>
        <w:tabs>
          <w:tab w:val="left" w:pos="8222"/>
        </w:tabs>
        <w:ind w:left="851"/>
        <w:rPr>
          <w:szCs w:val="24"/>
        </w:rPr>
      </w:pPr>
      <w:r w:rsidRPr="0076240C">
        <w:rPr>
          <w:szCs w:val="24"/>
        </w:rPr>
        <w:t>Antistoffer er blevet påvist 3 uger efter afslutningen af basisvaccinationen.</w:t>
      </w:r>
    </w:p>
    <w:p w:rsidR="0076240C" w:rsidRPr="0076240C" w:rsidRDefault="0076240C" w:rsidP="00643DB4">
      <w:pPr>
        <w:pStyle w:val="Sidehoved"/>
        <w:tabs>
          <w:tab w:val="left" w:pos="8222"/>
        </w:tabs>
        <w:ind w:left="851"/>
        <w:rPr>
          <w:szCs w:val="24"/>
        </w:rPr>
      </w:pPr>
      <w:r w:rsidRPr="0076240C">
        <w:rPr>
          <w:szCs w:val="24"/>
        </w:rPr>
        <w:t>Den vedvarende tilstedeværelse af disse antistoffer er ikke bevist.</w:t>
      </w:r>
    </w:p>
    <w:p w:rsidR="005B0036" w:rsidRPr="00406EE7" w:rsidRDefault="005B0036" w:rsidP="00643DB4">
      <w:pPr>
        <w:pStyle w:val="Sidehoved"/>
        <w:tabs>
          <w:tab w:val="clear" w:pos="4819"/>
          <w:tab w:val="left" w:pos="8222"/>
        </w:tabs>
        <w:ind w:left="851"/>
        <w:rPr>
          <w:szCs w:val="24"/>
        </w:rPr>
      </w:pPr>
    </w:p>
    <w:p w:rsidR="005B0036" w:rsidRPr="00406EE7" w:rsidRDefault="005B0036" w:rsidP="00643DB4">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5B0036" w:rsidRPr="00406EE7" w:rsidRDefault="000850C2" w:rsidP="00643DB4">
      <w:pPr>
        <w:pStyle w:val="Sidehoved"/>
        <w:tabs>
          <w:tab w:val="clear" w:pos="4819"/>
          <w:tab w:val="left" w:pos="8222"/>
        </w:tabs>
        <w:ind w:left="851"/>
        <w:rPr>
          <w:szCs w:val="24"/>
        </w:rPr>
      </w:pPr>
      <w:r>
        <w:rPr>
          <w:szCs w:val="24"/>
        </w:rPr>
        <w:t>Ingen</w:t>
      </w:r>
    </w:p>
    <w:p w:rsidR="005B0036" w:rsidRPr="00406EE7" w:rsidRDefault="005B0036" w:rsidP="00643DB4">
      <w:pPr>
        <w:pStyle w:val="Sidehoved"/>
        <w:tabs>
          <w:tab w:val="clear" w:pos="4819"/>
          <w:tab w:val="left" w:pos="8222"/>
        </w:tabs>
        <w:ind w:left="851"/>
        <w:rPr>
          <w:szCs w:val="24"/>
        </w:rPr>
      </w:pPr>
    </w:p>
    <w:p w:rsidR="005B0036" w:rsidRPr="00406EE7" w:rsidRDefault="005B0036" w:rsidP="00643DB4">
      <w:pPr>
        <w:tabs>
          <w:tab w:val="left" w:pos="851"/>
          <w:tab w:val="left" w:pos="8222"/>
        </w:tabs>
        <w:rPr>
          <w:b/>
          <w:sz w:val="24"/>
          <w:szCs w:val="24"/>
        </w:rPr>
      </w:pPr>
      <w:r w:rsidRPr="00406EE7">
        <w:rPr>
          <w:b/>
          <w:sz w:val="24"/>
          <w:szCs w:val="24"/>
        </w:rPr>
        <w:t>4.4</w:t>
      </w:r>
      <w:r w:rsidRPr="00406EE7">
        <w:rPr>
          <w:b/>
          <w:sz w:val="24"/>
          <w:szCs w:val="24"/>
        </w:rPr>
        <w:tab/>
        <w:t>Særlige advarsler</w:t>
      </w:r>
    </w:p>
    <w:p w:rsidR="000850C2" w:rsidRDefault="000850C2" w:rsidP="00643DB4">
      <w:pPr>
        <w:tabs>
          <w:tab w:val="left" w:pos="1304"/>
        </w:tabs>
        <w:ind w:left="851"/>
        <w:rPr>
          <w:sz w:val="24"/>
          <w:szCs w:val="24"/>
        </w:rPr>
      </w:pPr>
      <w:r>
        <w:rPr>
          <w:sz w:val="24"/>
          <w:szCs w:val="24"/>
        </w:rPr>
        <w:t>Kun raske dyr må vaccineres.</w:t>
      </w:r>
    </w:p>
    <w:p w:rsidR="005B0036" w:rsidRPr="00406EE7" w:rsidRDefault="005B0036" w:rsidP="00643DB4">
      <w:pPr>
        <w:pStyle w:val="Sidehoved"/>
        <w:tabs>
          <w:tab w:val="clear" w:pos="4819"/>
          <w:tab w:val="left" w:pos="8222"/>
        </w:tabs>
        <w:ind w:left="851"/>
        <w:rPr>
          <w:szCs w:val="24"/>
        </w:rPr>
      </w:pPr>
    </w:p>
    <w:p w:rsidR="005B0036" w:rsidRPr="00406EE7" w:rsidRDefault="005B0036" w:rsidP="00643DB4">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643DB4">
      <w:pPr>
        <w:tabs>
          <w:tab w:val="left" w:pos="851"/>
          <w:tab w:val="left" w:pos="8222"/>
        </w:tabs>
        <w:ind w:left="851"/>
        <w:rPr>
          <w:sz w:val="24"/>
          <w:szCs w:val="24"/>
        </w:rPr>
      </w:pPr>
    </w:p>
    <w:p w:rsidR="005B0036" w:rsidRPr="00406EE7" w:rsidRDefault="005B0036" w:rsidP="00643DB4">
      <w:pPr>
        <w:tabs>
          <w:tab w:val="left" w:pos="851"/>
          <w:tab w:val="left" w:pos="8222"/>
        </w:tabs>
        <w:ind w:left="851"/>
        <w:rPr>
          <w:b/>
          <w:sz w:val="24"/>
          <w:szCs w:val="24"/>
        </w:rPr>
      </w:pPr>
      <w:r w:rsidRPr="00406EE7">
        <w:rPr>
          <w:b/>
          <w:sz w:val="24"/>
          <w:szCs w:val="24"/>
        </w:rPr>
        <w:t>Særlige forsigtighedsregler for dyret</w:t>
      </w:r>
    </w:p>
    <w:p w:rsidR="00F91B87" w:rsidRPr="00F91B87" w:rsidRDefault="00F91B87" w:rsidP="00643DB4">
      <w:pPr>
        <w:tabs>
          <w:tab w:val="left" w:pos="851"/>
          <w:tab w:val="left" w:pos="8222"/>
        </w:tabs>
        <w:ind w:left="851"/>
        <w:rPr>
          <w:sz w:val="24"/>
          <w:szCs w:val="24"/>
        </w:rPr>
      </w:pPr>
      <w:r w:rsidRPr="00F91B87">
        <w:rPr>
          <w:sz w:val="24"/>
          <w:szCs w:val="24"/>
        </w:rPr>
        <w:t xml:space="preserve">Der kan forekomme overfølsomhedsreaktioner hos følsomme dyr. I tilfælde af en </w:t>
      </w:r>
      <w:proofErr w:type="spellStart"/>
      <w:r w:rsidRPr="00F91B87">
        <w:rPr>
          <w:sz w:val="24"/>
          <w:szCs w:val="24"/>
        </w:rPr>
        <w:t>anafylaktisk</w:t>
      </w:r>
      <w:proofErr w:type="spellEnd"/>
      <w:r w:rsidRPr="00F91B87">
        <w:rPr>
          <w:sz w:val="24"/>
          <w:szCs w:val="24"/>
        </w:rPr>
        <w:t xml:space="preserve"> reaktion skal passende behandling såsom adrenalin administreres med det samme.</w:t>
      </w:r>
    </w:p>
    <w:p w:rsidR="005B0036" w:rsidRPr="00406EE7" w:rsidRDefault="005B0036" w:rsidP="00643DB4">
      <w:pPr>
        <w:tabs>
          <w:tab w:val="left" w:pos="851"/>
          <w:tab w:val="left" w:pos="8222"/>
        </w:tabs>
        <w:ind w:left="851"/>
        <w:rPr>
          <w:sz w:val="24"/>
          <w:szCs w:val="24"/>
        </w:rPr>
      </w:pPr>
    </w:p>
    <w:p w:rsidR="005B0036" w:rsidRPr="00406EE7" w:rsidRDefault="005B0036" w:rsidP="00643DB4">
      <w:pPr>
        <w:tabs>
          <w:tab w:val="left" w:pos="851"/>
          <w:tab w:val="left" w:pos="8222"/>
        </w:tabs>
        <w:ind w:left="851"/>
        <w:rPr>
          <w:b/>
          <w:sz w:val="24"/>
          <w:szCs w:val="24"/>
        </w:rPr>
      </w:pPr>
      <w:r w:rsidRPr="00406EE7">
        <w:rPr>
          <w:b/>
          <w:sz w:val="24"/>
          <w:szCs w:val="24"/>
        </w:rPr>
        <w:t>Særlige forsigtighedsregler for personer, der administrerer lægemidlet</w:t>
      </w:r>
    </w:p>
    <w:p w:rsidR="00643DB4" w:rsidRPr="00643DB4" w:rsidRDefault="00643DB4" w:rsidP="00643DB4">
      <w:pPr>
        <w:tabs>
          <w:tab w:val="left" w:pos="851"/>
          <w:tab w:val="left" w:pos="8222"/>
        </w:tabs>
        <w:ind w:left="851"/>
        <w:rPr>
          <w:sz w:val="24"/>
          <w:szCs w:val="24"/>
        </w:rPr>
      </w:pPr>
      <w:r w:rsidRPr="00643DB4">
        <w:rPr>
          <w:sz w:val="24"/>
          <w:szCs w:val="24"/>
        </w:rPr>
        <w:t>I tilfælde af selvinjektion ved hændeligt uheld skal der søges lægehjælp, og indlægssedlen eller etiketten bør vises til lægen.</w:t>
      </w:r>
    </w:p>
    <w:p w:rsidR="005B0036" w:rsidRPr="00406EE7" w:rsidRDefault="005B0036" w:rsidP="00643DB4">
      <w:pPr>
        <w:tabs>
          <w:tab w:val="left" w:pos="851"/>
          <w:tab w:val="left" w:pos="8222"/>
        </w:tabs>
        <w:ind w:left="851"/>
        <w:rPr>
          <w:sz w:val="24"/>
          <w:szCs w:val="24"/>
        </w:rPr>
      </w:pPr>
    </w:p>
    <w:p w:rsidR="005B0036" w:rsidRPr="00406EE7" w:rsidRDefault="005B0036" w:rsidP="00643DB4">
      <w:pPr>
        <w:tabs>
          <w:tab w:val="left" w:pos="851"/>
          <w:tab w:val="left" w:pos="8222"/>
        </w:tabs>
        <w:ind w:left="851"/>
        <w:rPr>
          <w:b/>
          <w:sz w:val="24"/>
          <w:szCs w:val="24"/>
        </w:rPr>
      </w:pPr>
      <w:r w:rsidRPr="00406EE7">
        <w:rPr>
          <w:b/>
          <w:sz w:val="24"/>
          <w:szCs w:val="24"/>
        </w:rPr>
        <w:t>Andre forsigtighedsregler</w:t>
      </w:r>
    </w:p>
    <w:p w:rsidR="005B0036" w:rsidRPr="00406EE7" w:rsidRDefault="00643DB4" w:rsidP="005B0036">
      <w:pPr>
        <w:tabs>
          <w:tab w:val="left" w:pos="851"/>
          <w:tab w:val="left" w:pos="8222"/>
        </w:tabs>
        <w:ind w:left="851"/>
        <w:rPr>
          <w:sz w:val="24"/>
          <w:szCs w:val="24"/>
        </w:rPr>
      </w:pPr>
      <w:r>
        <w:rPr>
          <w:sz w:val="24"/>
          <w:szCs w:val="24"/>
        </w:rPr>
        <w:t>-</w:t>
      </w:r>
    </w:p>
    <w:p w:rsidR="000D6064" w:rsidRDefault="000D6064">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0D6064" w:rsidRDefault="000D6064" w:rsidP="000D6064">
      <w:pPr>
        <w:tabs>
          <w:tab w:val="left" w:pos="1304"/>
        </w:tabs>
        <w:ind w:left="851"/>
        <w:rPr>
          <w:sz w:val="24"/>
          <w:szCs w:val="24"/>
        </w:rPr>
      </w:pPr>
    </w:p>
    <w:p w:rsidR="000D6064" w:rsidRPr="000D6064" w:rsidRDefault="000D6064" w:rsidP="000D6064">
      <w:pPr>
        <w:tabs>
          <w:tab w:val="left" w:pos="1304"/>
        </w:tabs>
        <w:ind w:left="851"/>
        <w:rPr>
          <w:sz w:val="24"/>
          <w:szCs w:val="24"/>
          <w:u w:val="single"/>
        </w:rPr>
      </w:pPr>
      <w:r w:rsidRPr="000D6064">
        <w:rPr>
          <w:sz w:val="24"/>
          <w:szCs w:val="24"/>
          <w:u w:val="single"/>
        </w:rPr>
        <w:t>Meget sjældne bivirkninger</w:t>
      </w:r>
    </w:p>
    <w:p w:rsidR="000D6064" w:rsidRDefault="000D6064" w:rsidP="000D6064">
      <w:pPr>
        <w:tabs>
          <w:tab w:val="left" w:pos="1304"/>
        </w:tabs>
        <w:ind w:left="1134" w:hanging="283"/>
        <w:rPr>
          <w:noProof/>
          <w:sz w:val="24"/>
          <w:szCs w:val="24"/>
          <w:lang w:val="nl-NL"/>
        </w:rPr>
      </w:pPr>
      <w:r>
        <w:rPr>
          <w:sz w:val="24"/>
          <w:szCs w:val="24"/>
        </w:rPr>
        <w:t>-</w:t>
      </w:r>
      <w:r>
        <w:rPr>
          <w:sz w:val="24"/>
          <w:szCs w:val="24"/>
        </w:rPr>
        <w:tab/>
        <w:t xml:space="preserve">Der kan opstå et lille </w:t>
      </w:r>
      <w:proofErr w:type="spellStart"/>
      <w:r>
        <w:rPr>
          <w:sz w:val="24"/>
          <w:szCs w:val="24"/>
        </w:rPr>
        <w:t>granulom</w:t>
      </w:r>
      <w:proofErr w:type="spellEnd"/>
      <w:r>
        <w:rPr>
          <w:sz w:val="24"/>
          <w:szCs w:val="24"/>
        </w:rPr>
        <w:t xml:space="preserve"> i muskelvævet på injektionsstedet.</w:t>
      </w:r>
      <w:r>
        <w:rPr>
          <w:noProof/>
          <w:sz w:val="24"/>
          <w:szCs w:val="24"/>
        </w:rPr>
        <w:t xml:space="preserve"> </w:t>
      </w:r>
      <w:r>
        <w:rPr>
          <w:sz w:val="24"/>
          <w:szCs w:val="24"/>
        </w:rPr>
        <w:t xml:space="preserve">Administration af vaccinen kan forårsage en lille (mindre end </w:t>
      </w:r>
      <w:smartTag w:uri="urn:schemas-microsoft-com:office:smarttags" w:element="metricconverter">
        <w:smartTagPr>
          <w:attr w:name="ProductID" w:val="3 cm"/>
        </w:smartTagPr>
        <w:r>
          <w:rPr>
            <w:sz w:val="24"/>
            <w:szCs w:val="24"/>
          </w:rPr>
          <w:t>3 cm</w:t>
        </w:r>
      </w:smartTag>
      <w:r>
        <w:rPr>
          <w:sz w:val="24"/>
          <w:szCs w:val="24"/>
        </w:rPr>
        <w:t xml:space="preserve"> stor), lokal, forbigående hævelse (i 24-48 timer).</w:t>
      </w:r>
      <w:r>
        <w:rPr>
          <w:noProof/>
          <w:sz w:val="24"/>
          <w:szCs w:val="24"/>
          <w:lang w:val="nl-NL"/>
        </w:rPr>
        <w:t xml:space="preserve"> </w:t>
      </w:r>
      <w:r>
        <w:rPr>
          <w:sz w:val="24"/>
          <w:szCs w:val="24"/>
        </w:rPr>
        <w:t>I nogle få tilfælde kan der iagttages små, midlertidige hævelser, som forsvinder inden for 2-3 uger.</w:t>
      </w:r>
      <w:r>
        <w:rPr>
          <w:noProof/>
          <w:sz w:val="24"/>
          <w:szCs w:val="24"/>
          <w:lang w:val="nl-NL"/>
        </w:rPr>
        <w:t xml:space="preserve"> </w:t>
      </w:r>
    </w:p>
    <w:p w:rsidR="000D6064" w:rsidRDefault="000D6064" w:rsidP="000D6064">
      <w:pPr>
        <w:tabs>
          <w:tab w:val="left" w:pos="1304"/>
        </w:tabs>
        <w:ind w:left="1134" w:hanging="283"/>
        <w:rPr>
          <w:sz w:val="24"/>
          <w:szCs w:val="24"/>
        </w:rPr>
      </w:pPr>
      <w:r>
        <w:rPr>
          <w:noProof/>
          <w:sz w:val="24"/>
          <w:szCs w:val="24"/>
          <w:lang w:val="nl-NL"/>
        </w:rPr>
        <w:t>-</w:t>
      </w:r>
      <w:r w:rsidR="00C860F0">
        <w:rPr>
          <w:noProof/>
          <w:sz w:val="24"/>
          <w:szCs w:val="24"/>
          <w:lang w:val="nl-NL"/>
        </w:rPr>
        <w:tab/>
      </w:r>
      <w:r>
        <w:rPr>
          <w:sz w:val="24"/>
          <w:szCs w:val="24"/>
        </w:rPr>
        <w:t>Vaccinationen kan forårsage en let øgning af legemstemperaturen i en forbigående periode efter vaccinationen (4-6 timer efter injektionen).</w:t>
      </w:r>
      <w:r>
        <w:rPr>
          <w:noProof/>
          <w:sz w:val="24"/>
          <w:szCs w:val="24"/>
          <w:lang w:val="nl-NL"/>
        </w:rPr>
        <w:t xml:space="preserve"> </w:t>
      </w:r>
      <w:r>
        <w:rPr>
          <w:sz w:val="24"/>
          <w:szCs w:val="24"/>
        </w:rPr>
        <w:t xml:space="preserve">I sjældne tilfælde kan der forekomme en øgning af </w:t>
      </w:r>
      <w:proofErr w:type="spellStart"/>
      <w:r>
        <w:rPr>
          <w:sz w:val="24"/>
          <w:szCs w:val="24"/>
        </w:rPr>
        <w:t>rektaltemperaturen</w:t>
      </w:r>
      <w:proofErr w:type="spellEnd"/>
      <w:r>
        <w:rPr>
          <w:sz w:val="24"/>
          <w:szCs w:val="24"/>
        </w:rPr>
        <w:t xml:space="preserve"> på over </w:t>
      </w:r>
      <w:smartTag w:uri="urn:schemas-microsoft-com:office:smarttags" w:element="metricconverter">
        <w:smartTagPr>
          <w:attr w:name="ProductID" w:val="1,5 ﾰC"/>
        </w:smartTagPr>
        <w:r>
          <w:rPr>
            <w:sz w:val="24"/>
            <w:szCs w:val="24"/>
          </w:rPr>
          <w:t>1,5 °C</w:t>
        </w:r>
      </w:smartTag>
      <w:r>
        <w:rPr>
          <w:sz w:val="24"/>
          <w:szCs w:val="24"/>
        </w:rPr>
        <w:t>, som varer mindre end 6 timer.</w:t>
      </w:r>
    </w:p>
    <w:p w:rsidR="000D6064" w:rsidRDefault="000D6064" w:rsidP="000D6064">
      <w:pPr>
        <w:tabs>
          <w:tab w:val="left" w:pos="1304"/>
        </w:tabs>
        <w:ind w:left="851"/>
        <w:rPr>
          <w:sz w:val="24"/>
          <w:szCs w:val="24"/>
        </w:rPr>
      </w:pPr>
    </w:p>
    <w:p w:rsidR="000D6064" w:rsidRPr="000D6064" w:rsidRDefault="000D6064" w:rsidP="000D6064">
      <w:pPr>
        <w:tabs>
          <w:tab w:val="left" w:pos="1304"/>
        </w:tabs>
        <w:ind w:left="851"/>
        <w:rPr>
          <w:sz w:val="24"/>
          <w:szCs w:val="24"/>
          <w:u w:val="single"/>
        </w:rPr>
      </w:pPr>
      <w:r w:rsidRPr="000D6064">
        <w:rPr>
          <w:sz w:val="24"/>
          <w:szCs w:val="24"/>
          <w:u w:val="single"/>
        </w:rPr>
        <w:t>Hyppigheden af bivirkninger er defineret som:</w:t>
      </w:r>
    </w:p>
    <w:p w:rsidR="000D6064" w:rsidRPr="000D6064" w:rsidRDefault="000D6064" w:rsidP="000D6064">
      <w:pPr>
        <w:tabs>
          <w:tab w:val="left" w:pos="1304"/>
        </w:tabs>
        <w:ind w:left="851"/>
        <w:rPr>
          <w:sz w:val="24"/>
          <w:szCs w:val="24"/>
        </w:rPr>
      </w:pPr>
      <w:r w:rsidRPr="000D6064">
        <w:rPr>
          <w:sz w:val="24"/>
          <w:szCs w:val="24"/>
        </w:rPr>
        <w:t>Meget almindelig (flere end 1 ud af 10 behandlede dyr, der viser bivirkninger i løbet af en behandling)</w:t>
      </w:r>
    </w:p>
    <w:p w:rsidR="000D6064" w:rsidRPr="000D6064" w:rsidRDefault="000D6064" w:rsidP="000D6064">
      <w:pPr>
        <w:tabs>
          <w:tab w:val="left" w:pos="1304"/>
        </w:tabs>
        <w:ind w:left="851"/>
        <w:rPr>
          <w:sz w:val="24"/>
          <w:szCs w:val="24"/>
        </w:rPr>
      </w:pPr>
      <w:r w:rsidRPr="000D6064">
        <w:rPr>
          <w:sz w:val="24"/>
          <w:szCs w:val="24"/>
        </w:rPr>
        <w:t>Almindelige (flere end 1, men færre end 10 dyr af 100 behandlede dyr)</w:t>
      </w:r>
    </w:p>
    <w:p w:rsidR="000D6064" w:rsidRPr="000D6064" w:rsidRDefault="000D6064" w:rsidP="000D6064">
      <w:pPr>
        <w:tabs>
          <w:tab w:val="left" w:pos="1304"/>
        </w:tabs>
        <w:ind w:left="851"/>
        <w:rPr>
          <w:sz w:val="24"/>
          <w:szCs w:val="24"/>
        </w:rPr>
      </w:pPr>
      <w:r w:rsidRPr="000D6064">
        <w:rPr>
          <w:sz w:val="24"/>
          <w:szCs w:val="24"/>
        </w:rPr>
        <w:t>Ikke almindelige (flere end 1, men færre end 10 dyr af 1.000 behandlede dyr)</w:t>
      </w:r>
    </w:p>
    <w:p w:rsidR="000D6064" w:rsidRPr="000D6064" w:rsidRDefault="000D6064" w:rsidP="000D6064">
      <w:pPr>
        <w:tabs>
          <w:tab w:val="left" w:pos="1304"/>
        </w:tabs>
        <w:ind w:left="851"/>
        <w:rPr>
          <w:sz w:val="24"/>
          <w:szCs w:val="24"/>
        </w:rPr>
      </w:pPr>
      <w:r w:rsidRPr="000D6064">
        <w:rPr>
          <w:sz w:val="24"/>
          <w:szCs w:val="24"/>
        </w:rPr>
        <w:t>Sjældne (flere end 1, men færre end 10 dyr ud af 10.000 behandlede dyr)</w:t>
      </w:r>
    </w:p>
    <w:p w:rsidR="000D6064" w:rsidRPr="000D6064" w:rsidRDefault="000D6064" w:rsidP="000D6064">
      <w:pPr>
        <w:tabs>
          <w:tab w:val="left" w:pos="1304"/>
        </w:tabs>
        <w:ind w:left="851"/>
        <w:rPr>
          <w:sz w:val="24"/>
          <w:szCs w:val="24"/>
        </w:rPr>
      </w:pPr>
      <w:r w:rsidRPr="000D6064">
        <w:rPr>
          <w:sz w:val="24"/>
          <w:szCs w:val="24"/>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9310D2" w:rsidRDefault="009310D2" w:rsidP="009310D2">
      <w:pPr>
        <w:tabs>
          <w:tab w:val="left" w:pos="708"/>
        </w:tabs>
        <w:ind w:left="851"/>
        <w:rPr>
          <w:sz w:val="24"/>
          <w:szCs w:val="24"/>
          <w:u w:val="single"/>
        </w:rPr>
      </w:pPr>
    </w:p>
    <w:p w:rsidR="009310D2" w:rsidRDefault="009310D2" w:rsidP="009310D2">
      <w:pPr>
        <w:tabs>
          <w:tab w:val="left" w:pos="708"/>
        </w:tabs>
        <w:ind w:left="851"/>
        <w:rPr>
          <w:sz w:val="24"/>
          <w:szCs w:val="24"/>
        </w:rPr>
      </w:pPr>
      <w:r>
        <w:rPr>
          <w:sz w:val="24"/>
          <w:szCs w:val="24"/>
          <w:u w:val="single"/>
        </w:rPr>
        <w:t>Drægtighed og diegivning</w:t>
      </w:r>
    </w:p>
    <w:p w:rsidR="009310D2" w:rsidRDefault="009310D2" w:rsidP="009310D2">
      <w:pPr>
        <w:tabs>
          <w:tab w:val="left" w:pos="708"/>
        </w:tabs>
        <w:ind w:left="851"/>
        <w:rPr>
          <w:sz w:val="24"/>
          <w:szCs w:val="24"/>
        </w:rPr>
      </w:pPr>
      <w:r>
        <w:rPr>
          <w:sz w:val="24"/>
          <w:szCs w:val="24"/>
        </w:rPr>
        <w:t>Kan anvendes under drægtighed fra 6 uger før den forventede faringsdato.</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9310D2" w:rsidRDefault="009310D2" w:rsidP="009310D2">
      <w:pPr>
        <w:ind w:left="851"/>
        <w:rPr>
          <w:sz w:val="24"/>
          <w:szCs w:val="24"/>
        </w:rPr>
      </w:pPr>
      <w:r>
        <w:rPr>
          <w:sz w:val="24"/>
          <w:szCs w:val="24"/>
        </w:rPr>
        <w:t>Der foreligger ingen oplysninger om sikkerhed og virkning ved brug af vaccinen sammen med andre veterinærlægemidler. En beslutning om at anvende vaccinen umiddelbart før eller efter brug af et andet lægemiddel til dyr skal derfor tages med udgangspunkt i det enkelte tilfælde.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DA345F" w:rsidRPr="00DA345F" w:rsidRDefault="00DA345F" w:rsidP="00DA345F">
      <w:pPr>
        <w:tabs>
          <w:tab w:val="left" w:pos="851"/>
          <w:tab w:val="left" w:pos="8222"/>
        </w:tabs>
        <w:ind w:left="851"/>
        <w:rPr>
          <w:sz w:val="24"/>
          <w:szCs w:val="24"/>
        </w:rPr>
      </w:pPr>
      <w:r w:rsidRPr="00DA345F">
        <w:rPr>
          <w:sz w:val="24"/>
          <w:szCs w:val="24"/>
        </w:rPr>
        <w:t>Intramuskulært i halsmuskulaturen.</w:t>
      </w:r>
    </w:p>
    <w:p w:rsidR="00DA345F" w:rsidRPr="00DA345F" w:rsidRDefault="00DA345F" w:rsidP="00DA345F">
      <w:pPr>
        <w:tabs>
          <w:tab w:val="left" w:pos="851"/>
          <w:tab w:val="left" w:pos="8222"/>
        </w:tabs>
        <w:ind w:left="851"/>
        <w:rPr>
          <w:sz w:val="24"/>
          <w:szCs w:val="24"/>
        </w:rPr>
      </w:pPr>
      <w:r w:rsidRPr="00DA345F">
        <w:rPr>
          <w:sz w:val="24"/>
          <w:szCs w:val="24"/>
        </w:rPr>
        <w:t>Dosis: 2 ml/dyr.</w:t>
      </w:r>
    </w:p>
    <w:p w:rsidR="00DA345F" w:rsidRPr="00DA345F" w:rsidRDefault="00DA345F" w:rsidP="00DA345F">
      <w:pPr>
        <w:tabs>
          <w:tab w:val="left" w:pos="851"/>
          <w:tab w:val="left" w:pos="8222"/>
        </w:tabs>
        <w:ind w:left="851"/>
        <w:rPr>
          <w:sz w:val="24"/>
          <w:szCs w:val="24"/>
        </w:rPr>
      </w:pPr>
    </w:p>
    <w:p w:rsidR="008028AD" w:rsidRPr="008028AD" w:rsidRDefault="00DA345F" w:rsidP="00DA345F">
      <w:pPr>
        <w:tabs>
          <w:tab w:val="left" w:pos="851"/>
          <w:tab w:val="left" w:pos="8222"/>
        </w:tabs>
        <w:ind w:left="851"/>
        <w:rPr>
          <w:sz w:val="24"/>
          <w:szCs w:val="24"/>
          <w:u w:val="single"/>
        </w:rPr>
      </w:pPr>
      <w:r w:rsidRPr="008028AD">
        <w:rPr>
          <w:sz w:val="24"/>
          <w:szCs w:val="24"/>
          <w:u w:val="single"/>
        </w:rPr>
        <w:t>Basis vaccination består af to doser</w:t>
      </w:r>
    </w:p>
    <w:p w:rsidR="00DA345F" w:rsidRPr="00DA345F" w:rsidRDefault="008028AD" w:rsidP="00DA345F">
      <w:pPr>
        <w:tabs>
          <w:tab w:val="left" w:pos="851"/>
          <w:tab w:val="left" w:pos="8222"/>
        </w:tabs>
        <w:ind w:left="851"/>
        <w:rPr>
          <w:sz w:val="24"/>
          <w:szCs w:val="24"/>
        </w:rPr>
      </w:pPr>
      <w:r>
        <w:rPr>
          <w:sz w:val="24"/>
          <w:szCs w:val="24"/>
        </w:rPr>
        <w:t>D</w:t>
      </w:r>
      <w:r w:rsidR="00DA345F" w:rsidRPr="00DA345F">
        <w:rPr>
          <w:sz w:val="24"/>
          <w:szCs w:val="24"/>
        </w:rPr>
        <w:t>en første dosis ca. 6 uger før faring og en anden dosis ca. 3 uger før faring.</w:t>
      </w:r>
    </w:p>
    <w:p w:rsidR="00DA345F" w:rsidRDefault="00DA345F" w:rsidP="00DA345F">
      <w:pPr>
        <w:tabs>
          <w:tab w:val="left" w:pos="851"/>
          <w:tab w:val="left" w:pos="8222"/>
        </w:tabs>
        <w:ind w:left="851"/>
        <w:rPr>
          <w:sz w:val="24"/>
          <w:szCs w:val="24"/>
        </w:rPr>
      </w:pPr>
      <w:r w:rsidRPr="00DA345F">
        <w:rPr>
          <w:sz w:val="24"/>
          <w:szCs w:val="24"/>
        </w:rPr>
        <w:t>Det anbefales, at den anden dosis om muligt administreres på den modsatte side.</w:t>
      </w:r>
    </w:p>
    <w:p w:rsidR="008028AD" w:rsidRPr="00DA345F" w:rsidRDefault="008028AD" w:rsidP="00DA345F">
      <w:pPr>
        <w:tabs>
          <w:tab w:val="left" w:pos="851"/>
          <w:tab w:val="left" w:pos="8222"/>
        </w:tabs>
        <w:ind w:left="851"/>
        <w:rPr>
          <w:sz w:val="24"/>
          <w:szCs w:val="24"/>
        </w:rPr>
      </w:pPr>
    </w:p>
    <w:p w:rsidR="008028AD" w:rsidRPr="008028AD" w:rsidRDefault="00DA345F" w:rsidP="00DA345F">
      <w:pPr>
        <w:tabs>
          <w:tab w:val="left" w:pos="851"/>
          <w:tab w:val="left" w:pos="8222"/>
        </w:tabs>
        <w:ind w:left="851"/>
        <w:rPr>
          <w:sz w:val="24"/>
          <w:szCs w:val="24"/>
          <w:u w:val="single"/>
        </w:rPr>
      </w:pPr>
      <w:r w:rsidRPr="008028AD">
        <w:rPr>
          <w:sz w:val="24"/>
          <w:szCs w:val="24"/>
          <w:u w:val="single"/>
        </w:rPr>
        <w:t>Revaccination</w:t>
      </w:r>
    </w:p>
    <w:p w:rsidR="00DA345F" w:rsidRPr="00DA345F" w:rsidRDefault="008028AD" w:rsidP="00DA345F">
      <w:pPr>
        <w:tabs>
          <w:tab w:val="left" w:pos="851"/>
          <w:tab w:val="left" w:pos="8222"/>
        </w:tabs>
        <w:ind w:left="851"/>
        <w:rPr>
          <w:sz w:val="24"/>
          <w:szCs w:val="24"/>
        </w:rPr>
      </w:pPr>
      <w:r>
        <w:rPr>
          <w:sz w:val="24"/>
          <w:szCs w:val="24"/>
        </w:rPr>
        <w:t>V</w:t>
      </w:r>
      <w:r w:rsidR="00DA345F" w:rsidRPr="00DA345F">
        <w:rPr>
          <w:sz w:val="24"/>
          <w:szCs w:val="24"/>
        </w:rPr>
        <w:t>ed hver efterfølgende drægtighed indgives der én dosis 3 uger før den forventede faringsdato.</w:t>
      </w:r>
    </w:p>
    <w:p w:rsidR="00DA345F" w:rsidRPr="00DA345F" w:rsidRDefault="00DA345F" w:rsidP="00DA345F">
      <w:pPr>
        <w:tabs>
          <w:tab w:val="left" w:pos="851"/>
          <w:tab w:val="left" w:pos="8222"/>
        </w:tabs>
        <w:ind w:left="851"/>
        <w:rPr>
          <w:sz w:val="24"/>
          <w:szCs w:val="24"/>
        </w:rPr>
      </w:pPr>
    </w:p>
    <w:p w:rsidR="00DA345F" w:rsidRPr="00DA345F" w:rsidRDefault="00DA345F" w:rsidP="00DA345F">
      <w:pPr>
        <w:tabs>
          <w:tab w:val="left" w:pos="851"/>
          <w:tab w:val="left" w:pos="8222"/>
        </w:tabs>
        <w:ind w:left="851"/>
        <w:rPr>
          <w:sz w:val="24"/>
          <w:szCs w:val="24"/>
        </w:rPr>
      </w:pPr>
      <w:r w:rsidRPr="00DA345F">
        <w:rPr>
          <w:sz w:val="24"/>
          <w:szCs w:val="24"/>
        </w:rPr>
        <w:t>Det anbefales</w:t>
      </w:r>
      <w:r w:rsidR="008028AD">
        <w:rPr>
          <w:sz w:val="24"/>
          <w:szCs w:val="24"/>
        </w:rPr>
        <w:t>,</w:t>
      </w:r>
      <w:r w:rsidRPr="00DA345F">
        <w:rPr>
          <w:sz w:val="24"/>
          <w:szCs w:val="24"/>
        </w:rPr>
        <w:t xml:space="preserve"> at vaccinen har en temperatur mellem +</w:t>
      </w:r>
      <w:smartTag w:uri="urn:schemas-microsoft-com:office:smarttags" w:element="metricconverter">
        <w:smartTagPr>
          <w:attr w:name="ProductID" w:val="15 ﾰC"/>
        </w:smartTagPr>
        <w:r w:rsidRPr="00DA345F">
          <w:rPr>
            <w:sz w:val="24"/>
            <w:szCs w:val="24"/>
          </w:rPr>
          <w:t>15 °C</w:t>
        </w:r>
      </w:smartTag>
      <w:r w:rsidRPr="00DA345F">
        <w:rPr>
          <w:sz w:val="24"/>
          <w:szCs w:val="24"/>
        </w:rPr>
        <w:t xml:space="preserve"> og +</w:t>
      </w:r>
      <w:smartTag w:uri="urn:schemas-microsoft-com:office:smarttags" w:element="metricconverter">
        <w:smartTagPr>
          <w:attr w:name="ProductID" w:val="25 ﾰC"/>
        </w:smartTagPr>
        <w:r w:rsidRPr="00DA345F">
          <w:rPr>
            <w:sz w:val="24"/>
            <w:szCs w:val="24"/>
          </w:rPr>
          <w:t>25 °C</w:t>
        </w:r>
      </w:smartTag>
      <w:r w:rsidRPr="00DA345F">
        <w:rPr>
          <w:sz w:val="24"/>
          <w:szCs w:val="24"/>
        </w:rPr>
        <w:t xml:space="preserve"> ved brugen.</w:t>
      </w:r>
    </w:p>
    <w:p w:rsidR="00DA345F" w:rsidRPr="00DA345F" w:rsidRDefault="00DA345F" w:rsidP="00DA345F">
      <w:pPr>
        <w:tabs>
          <w:tab w:val="left" w:pos="851"/>
          <w:tab w:val="left" w:pos="8222"/>
        </w:tabs>
        <w:ind w:left="851"/>
        <w:rPr>
          <w:sz w:val="24"/>
          <w:szCs w:val="24"/>
        </w:rPr>
      </w:pPr>
      <w:r w:rsidRPr="00DA345F">
        <w:rPr>
          <w:sz w:val="24"/>
          <w:szCs w:val="24"/>
        </w:rPr>
        <w:t>Omrystes før brug.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14768C" w:rsidRDefault="0014768C" w:rsidP="0014768C">
      <w:pPr>
        <w:tabs>
          <w:tab w:val="left" w:pos="1304"/>
        </w:tabs>
        <w:ind w:left="851"/>
        <w:rPr>
          <w:sz w:val="24"/>
          <w:szCs w:val="24"/>
        </w:rPr>
      </w:pPr>
      <w:r>
        <w:rPr>
          <w:sz w:val="24"/>
          <w:szCs w:val="24"/>
        </w:rPr>
        <w:t xml:space="preserve">Ingen virkninger andre end de, der er angivet i </w:t>
      </w:r>
      <w:r w:rsidR="00ED5E0F">
        <w:rPr>
          <w:sz w:val="24"/>
          <w:szCs w:val="24"/>
        </w:rPr>
        <w:t>pkt.</w:t>
      </w:r>
      <w:r>
        <w:rPr>
          <w:sz w:val="24"/>
          <w:szCs w:val="24"/>
        </w:rPr>
        <w:t xml:space="preserve"> 4.6, er iagttaget efter indgivelse af en dobbelt dosis.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lastRenderedPageBreak/>
        <w:t>4.11</w:t>
      </w:r>
      <w:r w:rsidRPr="00406EE7">
        <w:rPr>
          <w:b/>
          <w:sz w:val="24"/>
          <w:szCs w:val="24"/>
        </w:rPr>
        <w:tab/>
        <w:t>Tilbageholdelsestid</w:t>
      </w:r>
    </w:p>
    <w:p w:rsidR="00ED5E0F" w:rsidRDefault="00ED5E0F" w:rsidP="00ED5E0F">
      <w:pPr>
        <w:ind w:left="851"/>
        <w:rPr>
          <w:sz w:val="24"/>
          <w:szCs w:val="24"/>
        </w:rPr>
      </w:pPr>
      <w:r>
        <w:rPr>
          <w:sz w:val="24"/>
          <w:szCs w:val="24"/>
        </w:rPr>
        <w:t>Slagtning: 0 dage.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08105D" w:rsidRDefault="005B0036" w:rsidP="005B0036">
      <w:pPr>
        <w:tabs>
          <w:tab w:val="left" w:pos="8222"/>
        </w:tabs>
        <w:ind w:left="851" w:hanging="851"/>
        <w:rPr>
          <w:b/>
          <w:sz w:val="24"/>
          <w:szCs w:val="24"/>
        </w:rPr>
      </w:pPr>
      <w:r w:rsidRPr="0008105D">
        <w:rPr>
          <w:b/>
          <w:sz w:val="24"/>
          <w:szCs w:val="24"/>
        </w:rPr>
        <w:t>5.</w:t>
      </w:r>
      <w:r w:rsidRPr="0008105D">
        <w:rPr>
          <w:b/>
          <w:sz w:val="24"/>
          <w:szCs w:val="24"/>
        </w:rPr>
        <w:tab/>
        <w:t>IMMUNOLOGISKE EGENSKABER</w:t>
      </w:r>
    </w:p>
    <w:p w:rsidR="005B0036" w:rsidRPr="0008105D" w:rsidRDefault="005B0036" w:rsidP="005B0036">
      <w:pPr>
        <w:tabs>
          <w:tab w:val="left" w:pos="8222"/>
        </w:tabs>
        <w:ind w:left="851"/>
        <w:rPr>
          <w:sz w:val="24"/>
          <w:szCs w:val="24"/>
        </w:rPr>
      </w:pPr>
    </w:p>
    <w:p w:rsidR="00ED5E0F" w:rsidRPr="0008105D" w:rsidRDefault="00ED5E0F" w:rsidP="00ED5E0F">
      <w:pPr>
        <w:tabs>
          <w:tab w:val="left" w:pos="708"/>
        </w:tabs>
        <w:ind w:left="851"/>
        <w:rPr>
          <w:i/>
          <w:sz w:val="24"/>
          <w:szCs w:val="24"/>
        </w:rPr>
      </w:pPr>
      <w:proofErr w:type="spellStart"/>
      <w:r w:rsidRPr="0008105D">
        <w:rPr>
          <w:sz w:val="24"/>
          <w:szCs w:val="24"/>
        </w:rPr>
        <w:t>Farmakoterapeutisk</w:t>
      </w:r>
      <w:proofErr w:type="spellEnd"/>
      <w:r w:rsidRPr="0008105D">
        <w:rPr>
          <w:sz w:val="24"/>
          <w:szCs w:val="24"/>
        </w:rPr>
        <w:t xml:space="preserve"> </w:t>
      </w:r>
      <w:r w:rsidRPr="0008105D">
        <w:rPr>
          <w:rFonts w:ascii="TimesNewRoman,Italic" w:hAnsi="TimesNewRoman,Italic"/>
          <w:sz w:val="24"/>
          <w:szCs w:val="24"/>
        </w:rPr>
        <w:t>gruppe</w:t>
      </w:r>
      <w:r w:rsidRPr="0008105D">
        <w:rPr>
          <w:sz w:val="24"/>
          <w:szCs w:val="24"/>
        </w:rPr>
        <w:t xml:space="preserve">: Inaktiveret bakteriel vaccine: </w:t>
      </w:r>
      <w:r w:rsidRPr="0008105D">
        <w:rPr>
          <w:i/>
          <w:iCs/>
          <w:sz w:val="24"/>
          <w:szCs w:val="24"/>
        </w:rPr>
        <w:t>Escherichia coli +</w:t>
      </w:r>
      <w:r w:rsidRPr="0008105D">
        <w:rPr>
          <w:sz w:val="24"/>
          <w:szCs w:val="24"/>
        </w:rPr>
        <w:t xml:space="preserve"> </w:t>
      </w:r>
      <w:proofErr w:type="spellStart"/>
      <w:r w:rsidRPr="0008105D">
        <w:rPr>
          <w:i/>
          <w:sz w:val="24"/>
          <w:szCs w:val="24"/>
        </w:rPr>
        <w:t>Clostridium</w:t>
      </w:r>
      <w:proofErr w:type="spellEnd"/>
      <w:r w:rsidRPr="0008105D">
        <w:rPr>
          <w:sz w:val="24"/>
          <w:szCs w:val="24"/>
        </w:rPr>
        <w:t>-vaccine.</w:t>
      </w:r>
    </w:p>
    <w:p w:rsidR="00ED5E0F" w:rsidRPr="0008105D" w:rsidRDefault="00ED5E0F" w:rsidP="00ED5E0F">
      <w:pPr>
        <w:tabs>
          <w:tab w:val="left" w:pos="708"/>
        </w:tabs>
        <w:ind w:left="851"/>
        <w:rPr>
          <w:sz w:val="24"/>
          <w:szCs w:val="24"/>
        </w:rPr>
      </w:pPr>
      <w:proofErr w:type="spellStart"/>
      <w:r w:rsidRPr="0008105D">
        <w:rPr>
          <w:bCs/>
          <w:sz w:val="24"/>
          <w:szCs w:val="24"/>
        </w:rPr>
        <w:t>ATCvet</w:t>
      </w:r>
      <w:proofErr w:type="spellEnd"/>
      <w:r w:rsidRPr="0008105D">
        <w:rPr>
          <w:bCs/>
          <w:sz w:val="24"/>
          <w:szCs w:val="24"/>
        </w:rPr>
        <w:t>-kode</w:t>
      </w:r>
      <w:r w:rsidRPr="0008105D">
        <w:rPr>
          <w:sz w:val="24"/>
          <w:szCs w:val="24"/>
        </w:rPr>
        <w:t>: QI</w:t>
      </w:r>
      <w:r w:rsidR="00EB2253" w:rsidRPr="0008105D">
        <w:rPr>
          <w:sz w:val="24"/>
          <w:szCs w:val="24"/>
        </w:rPr>
        <w:t xml:space="preserve"> </w:t>
      </w:r>
      <w:r w:rsidRPr="0008105D">
        <w:rPr>
          <w:sz w:val="24"/>
          <w:szCs w:val="24"/>
        </w:rPr>
        <w:t>09</w:t>
      </w:r>
      <w:r w:rsidR="00EB2253" w:rsidRPr="0008105D">
        <w:rPr>
          <w:sz w:val="24"/>
          <w:szCs w:val="24"/>
        </w:rPr>
        <w:t xml:space="preserve"> </w:t>
      </w:r>
      <w:r w:rsidRPr="0008105D">
        <w:rPr>
          <w:sz w:val="24"/>
          <w:szCs w:val="24"/>
        </w:rPr>
        <w:t>AB</w:t>
      </w:r>
      <w:r w:rsidR="00EB2253" w:rsidRPr="0008105D">
        <w:rPr>
          <w:sz w:val="24"/>
          <w:szCs w:val="24"/>
        </w:rPr>
        <w:t xml:space="preserve"> </w:t>
      </w:r>
      <w:r w:rsidRPr="0008105D">
        <w:rPr>
          <w:sz w:val="24"/>
          <w:szCs w:val="24"/>
        </w:rPr>
        <w:t>08.</w:t>
      </w:r>
    </w:p>
    <w:p w:rsidR="005B0036" w:rsidRPr="0008105D" w:rsidRDefault="005B0036" w:rsidP="005B0036">
      <w:pPr>
        <w:tabs>
          <w:tab w:val="left" w:pos="8222"/>
        </w:tabs>
        <w:ind w:left="851"/>
        <w:rPr>
          <w:sz w:val="24"/>
          <w:szCs w:val="24"/>
        </w:rPr>
      </w:pPr>
    </w:p>
    <w:p w:rsidR="005B0036" w:rsidRPr="00406EE7" w:rsidRDefault="005B0036" w:rsidP="005B0036">
      <w:pPr>
        <w:tabs>
          <w:tab w:val="left" w:pos="851"/>
          <w:tab w:val="left" w:pos="8222"/>
        </w:tabs>
        <w:rPr>
          <w:b/>
          <w:sz w:val="24"/>
          <w:szCs w:val="24"/>
        </w:rPr>
      </w:pPr>
      <w:r w:rsidRPr="0008105D">
        <w:rPr>
          <w:b/>
          <w:sz w:val="24"/>
          <w:szCs w:val="24"/>
        </w:rPr>
        <w:t>5.1</w:t>
      </w:r>
      <w:r w:rsidRPr="0008105D">
        <w:rPr>
          <w:b/>
          <w:sz w:val="24"/>
          <w:szCs w:val="24"/>
        </w:rPr>
        <w:tab/>
      </w:r>
      <w:r w:rsidR="00ED5E0F" w:rsidRPr="0008105D">
        <w:rPr>
          <w:b/>
          <w:sz w:val="24"/>
          <w:szCs w:val="24"/>
        </w:rPr>
        <w:t>I</w:t>
      </w:r>
      <w:r w:rsidRPr="0008105D">
        <w:rPr>
          <w:b/>
          <w:sz w:val="24"/>
          <w:szCs w:val="24"/>
        </w:rPr>
        <w:t>mmunologiske egenskaber</w:t>
      </w:r>
    </w:p>
    <w:p w:rsidR="00EB2253" w:rsidRDefault="00EB2253" w:rsidP="00EB2253">
      <w:pPr>
        <w:tabs>
          <w:tab w:val="left" w:pos="709"/>
        </w:tabs>
        <w:ind w:left="851"/>
        <w:rPr>
          <w:b/>
          <w:sz w:val="24"/>
          <w:szCs w:val="24"/>
        </w:rPr>
      </w:pPr>
      <w:r>
        <w:rPr>
          <w:sz w:val="24"/>
          <w:szCs w:val="24"/>
        </w:rPr>
        <w:t xml:space="preserve">Stimulerer udviklingen af beskyttende </w:t>
      </w:r>
      <w:proofErr w:type="spellStart"/>
      <w:r>
        <w:rPr>
          <w:sz w:val="24"/>
          <w:szCs w:val="24"/>
        </w:rPr>
        <w:t>adhæsinspecifikke</w:t>
      </w:r>
      <w:proofErr w:type="spellEnd"/>
      <w:r>
        <w:rPr>
          <w:sz w:val="24"/>
          <w:szCs w:val="24"/>
        </w:rPr>
        <w:t xml:space="preserve"> </w:t>
      </w:r>
      <w:r>
        <w:rPr>
          <w:i/>
          <w:sz w:val="24"/>
          <w:szCs w:val="24"/>
        </w:rPr>
        <w:t>Escherichia coli</w:t>
      </w:r>
      <w:r>
        <w:rPr>
          <w:sz w:val="24"/>
          <w:szCs w:val="24"/>
        </w:rPr>
        <w:t xml:space="preserve">-antistoffer og serumneutraliserende </w:t>
      </w:r>
      <w:proofErr w:type="spellStart"/>
      <w:r>
        <w:rPr>
          <w:sz w:val="24"/>
          <w:szCs w:val="24"/>
        </w:rPr>
        <w:t>antisoffer</w:t>
      </w:r>
      <w:proofErr w:type="spellEnd"/>
      <w:r>
        <w:rPr>
          <w:sz w:val="24"/>
          <w:szCs w:val="24"/>
        </w:rPr>
        <w:t xml:space="preserve"> mod det varmelabile (LT) </w:t>
      </w:r>
      <w:proofErr w:type="spellStart"/>
      <w:r>
        <w:rPr>
          <w:sz w:val="24"/>
          <w:szCs w:val="24"/>
        </w:rPr>
        <w:t>enterotoksin</w:t>
      </w:r>
      <w:proofErr w:type="spellEnd"/>
      <w:r>
        <w:rPr>
          <w:sz w:val="24"/>
          <w:szCs w:val="24"/>
        </w:rPr>
        <w:t xml:space="preserve"> fra </w:t>
      </w:r>
      <w:proofErr w:type="spellStart"/>
      <w:r>
        <w:rPr>
          <w:i/>
          <w:sz w:val="24"/>
          <w:szCs w:val="24"/>
        </w:rPr>
        <w:t>Eschericha</w:t>
      </w:r>
      <w:proofErr w:type="spellEnd"/>
      <w:r>
        <w:rPr>
          <w:i/>
          <w:sz w:val="24"/>
          <w:szCs w:val="24"/>
        </w:rPr>
        <w:t xml:space="preserve"> coli</w:t>
      </w:r>
      <w:r>
        <w:rPr>
          <w:sz w:val="24"/>
          <w:szCs w:val="24"/>
        </w:rPr>
        <w:t xml:space="preserve">, </w:t>
      </w:r>
      <w:proofErr w:type="spellStart"/>
      <w:r>
        <w:rPr>
          <w:i/>
          <w:sz w:val="24"/>
          <w:szCs w:val="24"/>
        </w:rPr>
        <w:t>Clostridium</w:t>
      </w:r>
      <w:proofErr w:type="spellEnd"/>
      <w:r>
        <w:rPr>
          <w:i/>
          <w:sz w:val="24"/>
          <w:szCs w:val="24"/>
        </w:rPr>
        <w:t xml:space="preserve"> </w:t>
      </w:r>
      <w:proofErr w:type="spellStart"/>
      <w:r>
        <w:rPr>
          <w:i/>
          <w:sz w:val="24"/>
          <w:szCs w:val="24"/>
        </w:rPr>
        <w:t>perfringens</w:t>
      </w:r>
      <w:proofErr w:type="spellEnd"/>
      <w:r>
        <w:rPr>
          <w:sz w:val="24"/>
          <w:szCs w:val="24"/>
        </w:rPr>
        <w:t xml:space="preserve"> type C og </w:t>
      </w:r>
      <w:proofErr w:type="spellStart"/>
      <w:r>
        <w:rPr>
          <w:i/>
          <w:sz w:val="24"/>
          <w:szCs w:val="24"/>
        </w:rPr>
        <w:t>Clostridium</w:t>
      </w:r>
      <w:proofErr w:type="spellEnd"/>
      <w:r>
        <w:rPr>
          <w:i/>
          <w:sz w:val="24"/>
          <w:szCs w:val="24"/>
        </w:rPr>
        <w:t xml:space="preserve"> </w:t>
      </w:r>
      <w:proofErr w:type="spellStart"/>
      <w:r>
        <w:rPr>
          <w:i/>
          <w:sz w:val="24"/>
          <w:szCs w:val="24"/>
        </w:rPr>
        <w:t>novyi</w:t>
      </w:r>
      <w:proofErr w:type="spellEnd"/>
      <w:r>
        <w:rPr>
          <w:i/>
          <w:sz w:val="24"/>
          <w:szCs w:val="24"/>
        </w:rPr>
        <w:t xml:space="preserve"> </w:t>
      </w:r>
      <w:r>
        <w:rPr>
          <w:sz w:val="24"/>
          <w:szCs w:val="24"/>
        </w:rPr>
        <w:t>type B.</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AD2605" w:rsidRDefault="00AD2605" w:rsidP="00AD2605">
      <w:pPr>
        <w:tabs>
          <w:tab w:val="left" w:pos="708"/>
        </w:tabs>
        <w:ind w:left="851"/>
        <w:rPr>
          <w:sz w:val="24"/>
          <w:szCs w:val="24"/>
        </w:rPr>
      </w:pPr>
      <w:r>
        <w:rPr>
          <w:sz w:val="24"/>
          <w:szCs w:val="24"/>
        </w:rPr>
        <w:t>Aluminiumhydroxidgel</w:t>
      </w:r>
    </w:p>
    <w:p w:rsidR="00AD2605" w:rsidRDefault="00AD2605" w:rsidP="00AD2605">
      <w:pPr>
        <w:tabs>
          <w:tab w:val="left" w:pos="708"/>
        </w:tabs>
        <w:ind w:left="851"/>
        <w:rPr>
          <w:sz w:val="24"/>
          <w:szCs w:val="24"/>
        </w:rPr>
      </w:pPr>
      <w:r>
        <w:rPr>
          <w:sz w:val="24"/>
          <w:szCs w:val="24"/>
        </w:rPr>
        <w:t>Ginsengrod</w:t>
      </w:r>
    </w:p>
    <w:p w:rsidR="00AD2605" w:rsidRDefault="00AD2605" w:rsidP="00AD2605">
      <w:pPr>
        <w:tabs>
          <w:tab w:val="left" w:pos="708"/>
        </w:tabs>
        <w:ind w:left="851"/>
        <w:rPr>
          <w:sz w:val="24"/>
          <w:szCs w:val="24"/>
        </w:rPr>
      </w:pPr>
      <w:proofErr w:type="spellStart"/>
      <w:r>
        <w:rPr>
          <w:sz w:val="24"/>
          <w:szCs w:val="24"/>
        </w:rPr>
        <w:t>Benzylalkohol</w:t>
      </w:r>
      <w:proofErr w:type="spellEnd"/>
    </w:p>
    <w:p w:rsidR="00AD2605" w:rsidRDefault="00AD2605" w:rsidP="00AD2605">
      <w:pPr>
        <w:tabs>
          <w:tab w:val="right" w:leader="dot" w:pos="8222"/>
        </w:tabs>
        <w:ind w:left="851"/>
        <w:rPr>
          <w:sz w:val="24"/>
          <w:szCs w:val="24"/>
        </w:rPr>
      </w:pPr>
      <w:proofErr w:type="spellStart"/>
      <w:r>
        <w:rPr>
          <w:sz w:val="24"/>
          <w:szCs w:val="24"/>
        </w:rPr>
        <w:t>Simeticon</w:t>
      </w:r>
      <w:proofErr w:type="spellEnd"/>
    </w:p>
    <w:p w:rsidR="00AD2605" w:rsidRDefault="00AD2605" w:rsidP="00AD2605">
      <w:pPr>
        <w:ind w:left="851"/>
        <w:rPr>
          <w:sz w:val="24"/>
          <w:szCs w:val="24"/>
        </w:rPr>
      </w:pPr>
      <w:proofErr w:type="spellStart"/>
      <w:r>
        <w:rPr>
          <w:sz w:val="24"/>
          <w:szCs w:val="24"/>
        </w:rPr>
        <w:t>Dinatriumphosphatdodeca</w:t>
      </w:r>
      <w:proofErr w:type="spellEnd"/>
      <w:r>
        <w:rPr>
          <w:sz w:val="24"/>
          <w:szCs w:val="24"/>
        </w:rPr>
        <w:t>-hydrat</w:t>
      </w:r>
    </w:p>
    <w:p w:rsidR="00AD2605" w:rsidRDefault="00AD2605" w:rsidP="00AD2605">
      <w:pPr>
        <w:ind w:left="851"/>
        <w:rPr>
          <w:sz w:val="24"/>
          <w:szCs w:val="24"/>
        </w:rPr>
      </w:pPr>
      <w:proofErr w:type="spellStart"/>
      <w:r>
        <w:rPr>
          <w:sz w:val="24"/>
          <w:szCs w:val="24"/>
        </w:rPr>
        <w:t>Kaliumchlorid</w:t>
      </w:r>
      <w:proofErr w:type="spellEnd"/>
    </w:p>
    <w:p w:rsidR="00AD2605" w:rsidRDefault="00AD2605" w:rsidP="00AD2605">
      <w:pPr>
        <w:ind w:left="851"/>
        <w:rPr>
          <w:sz w:val="24"/>
          <w:szCs w:val="24"/>
        </w:rPr>
      </w:pPr>
      <w:proofErr w:type="spellStart"/>
      <w:r>
        <w:rPr>
          <w:sz w:val="24"/>
          <w:szCs w:val="24"/>
        </w:rPr>
        <w:t>Kaliumdihydrogenphosphat</w:t>
      </w:r>
      <w:proofErr w:type="spellEnd"/>
    </w:p>
    <w:p w:rsidR="00AD2605" w:rsidRDefault="00AD2605" w:rsidP="00AD2605">
      <w:pPr>
        <w:ind w:left="851"/>
        <w:rPr>
          <w:sz w:val="24"/>
          <w:szCs w:val="24"/>
        </w:rPr>
      </w:pPr>
      <w:proofErr w:type="spellStart"/>
      <w:r>
        <w:rPr>
          <w:sz w:val="24"/>
          <w:szCs w:val="24"/>
        </w:rPr>
        <w:t>Natriumchlorid</w:t>
      </w:r>
      <w:proofErr w:type="spellEnd"/>
    </w:p>
    <w:p w:rsidR="00AD2605" w:rsidRDefault="00AD2605" w:rsidP="00AD2605">
      <w:pPr>
        <w:ind w:left="851"/>
        <w:rPr>
          <w:sz w:val="24"/>
          <w:szCs w:val="24"/>
        </w:rPr>
      </w:pPr>
      <w:r>
        <w:rPr>
          <w:sz w:val="24"/>
          <w:szCs w:val="24"/>
        </w:rPr>
        <w:t>Vand til injektionsvæsker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AD2605" w:rsidRDefault="00AD2605" w:rsidP="00AD2605">
      <w:pPr>
        <w:tabs>
          <w:tab w:val="left" w:pos="1304"/>
        </w:tabs>
        <w:ind w:left="851"/>
        <w:rPr>
          <w:sz w:val="24"/>
          <w:szCs w:val="24"/>
        </w:rPr>
      </w:pPr>
      <w:r>
        <w:rPr>
          <w:sz w:val="24"/>
          <w:szCs w:val="24"/>
        </w:rPr>
        <w:t>Må ikke blandes med andre lægemidler til dyr.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AD2605" w:rsidRDefault="00AD2605" w:rsidP="00AD2605">
      <w:pPr>
        <w:tabs>
          <w:tab w:val="left" w:pos="1304"/>
        </w:tabs>
        <w:ind w:left="851" w:right="-318"/>
        <w:rPr>
          <w:sz w:val="24"/>
          <w:szCs w:val="24"/>
        </w:rPr>
      </w:pPr>
      <w:r>
        <w:rPr>
          <w:sz w:val="24"/>
          <w:szCs w:val="24"/>
        </w:rPr>
        <w:t>I salgspakning: 18 måneder.</w:t>
      </w:r>
    </w:p>
    <w:p w:rsidR="00654132" w:rsidRDefault="00654132" w:rsidP="00AD2605">
      <w:pPr>
        <w:tabs>
          <w:tab w:val="left" w:pos="1304"/>
        </w:tabs>
        <w:ind w:left="851" w:right="-318"/>
        <w:rPr>
          <w:sz w:val="24"/>
          <w:szCs w:val="24"/>
        </w:rPr>
      </w:pPr>
    </w:p>
    <w:p w:rsidR="00AD2605" w:rsidRDefault="00AD2605" w:rsidP="00AD2605">
      <w:pPr>
        <w:tabs>
          <w:tab w:val="left" w:pos="708"/>
        </w:tabs>
        <w:ind w:left="851" w:right="-318"/>
        <w:rPr>
          <w:sz w:val="24"/>
          <w:szCs w:val="24"/>
        </w:rPr>
      </w:pPr>
      <w:r>
        <w:rPr>
          <w:sz w:val="24"/>
          <w:szCs w:val="24"/>
        </w:rPr>
        <w:t>Efter første åbning af den indre emballage: 10 timer.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654132" w:rsidRDefault="00AD2605" w:rsidP="00AD2605">
      <w:pPr>
        <w:ind w:left="851"/>
        <w:rPr>
          <w:sz w:val="24"/>
          <w:szCs w:val="24"/>
        </w:rPr>
      </w:pPr>
      <w:r>
        <w:rPr>
          <w:sz w:val="24"/>
          <w:szCs w:val="24"/>
        </w:rPr>
        <w:t>Opbevares og transporteres koldt (</w:t>
      </w:r>
      <w:smartTag w:uri="urn:schemas-microsoft-com:office:smarttags" w:element="metricconverter">
        <w:smartTagPr>
          <w:attr w:name="ProductID" w:val="2 ﾰC"/>
        </w:smartTagPr>
        <w:r>
          <w:rPr>
            <w:sz w:val="24"/>
            <w:szCs w:val="24"/>
          </w:rPr>
          <w:t>2 °C</w:t>
        </w:r>
      </w:smartTag>
      <w:r>
        <w:rPr>
          <w:sz w:val="24"/>
          <w:szCs w:val="24"/>
        </w:rPr>
        <w:t xml:space="preserve"> til </w:t>
      </w:r>
      <w:smartTag w:uri="urn:schemas-microsoft-com:office:smarttags" w:element="metricconverter">
        <w:smartTagPr>
          <w:attr w:name="ProductID" w:val="8 ﾰC"/>
        </w:smartTagPr>
        <w:r>
          <w:rPr>
            <w:sz w:val="24"/>
            <w:szCs w:val="24"/>
          </w:rPr>
          <w:t>8 °C</w:t>
        </w:r>
      </w:smartTag>
      <w:r>
        <w:rPr>
          <w:sz w:val="24"/>
          <w:szCs w:val="24"/>
        </w:rPr>
        <w:t>).</w:t>
      </w:r>
    </w:p>
    <w:p w:rsidR="00AD2605" w:rsidRDefault="00AD2605" w:rsidP="00AD2605">
      <w:pPr>
        <w:ind w:left="851"/>
        <w:rPr>
          <w:sz w:val="24"/>
          <w:szCs w:val="24"/>
        </w:rPr>
      </w:pPr>
      <w:r>
        <w:rPr>
          <w:sz w:val="24"/>
          <w:szCs w:val="24"/>
        </w:rPr>
        <w:t>Må ikke fryses.</w:t>
      </w:r>
    </w:p>
    <w:p w:rsidR="00AD2605" w:rsidRDefault="00AD2605" w:rsidP="00AD2605">
      <w:pPr>
        <w:tabs>
          <w:tab w:val="left" w:pos="1304"/>
        </w:tabs>
        <w:ind w:left="851" w:right="-318"/>
        <w:rPr>
          <w:sz w:val="24"/>
          <w:szCs w:val="24"/>
        </w:rPr>
      </w:pPr>
      <w:r>
        <w:rPr>
          <w:sz w:val="24"/>
          <w:szCs w:val="24"/>
        </w:rPr>
        <w:t>Beskyttes mod lys.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AD239B" w:rsidRPr="00AD239B" w:rsidRDefault="00AD239B" w:rsidP="00AD239B">
      <w:pPr>
        <w:tabs>
          <w:tab w:val="left" w:pos="851"/>
          <w:tab w:val="left" w:pos="8222"/>
        </w:tabs>
        <w:ind w:left="851"/>
        <w:rPr>
          <w:sz w:val="24"/>
          <w:szCs w:val="24"/>
        </w:rPr>
      </w:pPr>
      <w:r w:rsidRPr="00AD239B">
        <w:rPr>
          <w:sz w:val="24"/>
          <w:szCs w:val="24"/>
        </w:rPr>
        <w:t>Hætteglas af PET- lukket med type I-gummiprop og aluminiumshætte.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865A16" w:rsidRDefault="00865A16" w:rsidP="00865A16">
      <w:pPr>
        <w:tabs>
          <w:tab w:val="left" w:pos="1304"/>
        </w:tabs>
        <w:ind w:left="851" w:right="-318"/>
        <w:rPr>
          <w:sz w:val="24"/>
          <w:szCs w:val="24"/>
        </w:rPr>
      </w:pPr>
      <w:r>
        <w:rPr>
          <w:sz w:val="24"/>
          <w:szCs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C06367" w:rsidRDefault="00C06367" w:rsidP="00C06367">
      <w:pPr>
        <w:ind w:left="851"/>
      </w:pPr>
      <w:proofErr w:type="spellStart"/>
      <w:r>
        <w:t>PharmaMénta</w:t>
      </w:r>
      <w:proofErr w:type="spellEnd"/>
      <w:r>
        <w:t xml:space="preserve"> ApS</w:t>
      </w:r>
    </w:p>
    <w:p w:rsidR="00C06367" w:rsidRDefault="00C06367" w:rsidP="00C06367">
      <w:pPr>
        <w:ind w:left="851"/>
      </w:pPr>
      <w:r>
        <w:lastRenderedPageBreak/>
        <w:t>Håndværkervej 32</w:t>
      </w:r>
    </w:p>
    <w:p w:rsidR="00C06367" w:rsidRDefault="00C06367" w:rsidP="00C06367">
      <w:pPr>
        <w:ind w:left="851"/>
      </w:pPr>
      <w:r>
        <w:t>6710 Esbjerg V</w:t>
      </w:r>
    </w:p>
    <w:p w:rsidR="005B0036" w:rsidRPr="0034603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C06367" w:rsidP="005B0036">
      <w:pPr>
        <w:tabs>
          <w:tab w:val="left" w:pos="851"/>
          <w:tab w:val="left" w:pos="8222"/>
        </w:tabs>
        <w:ind w:left="851"/>
        <w:rPr>
          <w:sz w:val="24"/>
          <w:szCs w:val="24"/>
        </w:rPr>
      </w:pPr>
      <w:r>
        <w:rPr>
          <w:sz w:val="24"/>
          <w:szCs w:val="24"/>
        </w:rPr>
        <w:t>69967</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346037" w:rsidP="005B0036">
      <w:pPr>
        <w:tabs>
          <w:tab w:val="left" w:pos="851"/>
          <w:tab w:val="left" w:pos="8222"/>
        </w:tabs>
        <w:ind w:left="851"/>
        <w:rPr>
          <w:sz w:val="24"/>
          <w:szCs w:val="24"/>
        </w:rPr>
      </w:pPr>
      <w:r>
        <w:rPr>
          <w:sz w:val="24"/>
          <w:szCs w:val="24"/>
        </w:rPr>
        <w:t>20</w:t>
      </w:r>
      <w:bookmarkStart w:id="0" w:name="_GoBack"/>
      <w:bookmarkEnd w:id="0"/>
      <w:r w:rsidR="00C06367">
        <w:rPr>
          <w:sz w:val="24"/>
          <w:szCs w:val="24"/>
        </w:rPr>
        <w:t>. september 2023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C06367"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5B0036" w:rsidRDefault="004F04C6" w:rsidP="004F04C6">
      <w:pPr>
        <w:pStyle w:val="Sidehoved"/>
        <w:tabs>
          <w:tab w:val="clear" w:pos="4819"/>
          <w:tab w:val="left" w:pos="851"/>
          <w:tab w:val="left" w:pos="8222"/>
        </w:tabs>
        <w:ind w:left="851"/>
      </w:pPr>
      <w:r>
        <w:rPr>
          <w:szCs w:val="24"/>
        </w:rPr>
        <w:t>BP</w:t>
      </w:r>
    </w:p>
    <w:sectPr w:rsidR="0003527F" w:rsidRPr="005B003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BAC" w:rsidRDefault="00BD3BAC">
      <w:r>
        <w:separator/>
      </w:r>
    </w:p>
  </w:endnote>
  <w:endnote w:type="continuationSeparator" w:id="0">
    <w:p w:rsidR="00BD3BAC" w:rsidRDefault="00BD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01E59">
      <w:rPr>
        <w:i/>
        <w:noProof/>
        <w:snapToGrid w:val="0"/>
        <w:sz w:val="18"/>
      </w:rPr>
      <w:t>Suiseng Coli-C,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01E59">
      <w:rPr>
        <w:i/>
        <w:noProof/>
        <w:snapToGrid w:val="0"/>
        <w:sz w:val="18"/>
      </w:rPr>
      <w:t>Suiseng Coli-C,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BAC" w:rsidRDefault="00BD3BAC">
      <w:r>
        <w:separator/>
      </w:r>
    </w:p>
  </w:footnote>
  <w:footnote w:type="continuationSeparator" w:id="0">
    <w:p w:rsidR="00BD3BAC" w:rsidRDefault="00BD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87B"/>
    <w:multiLevelType w:val="hybridMultilevel"/>
    <w:tmpl w:val="7D386952"/>
    <w:lvl w:ilvl="0" w:tplc="A306C90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37E21F27"/>
    <w:multiLevelType w:val="hybridMultilevel"/>
    <w:tmpl w:val="7FCAE5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D72FA2"/>
    <w:multiLevelType w:val="hybridMultilevel"/>
    <w:tmpl w:val="59A808DE"/>
    <w:lvl w:ilvl="0" w:tplc="EA8E04A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7"/>
    <w:rsid w:val="0003527F"/>
    <w:rsid w:val="00050A05"/>
    <w:rsid w:val="00065C7D"/>
    <w:rsid w:val="0008105D"/>
    <w:rsid w:val="000850C2"/>
    <w:rsid w:val="00094DE7"/>
    <w:rsid w:val="000B2712"/>
    <w:rsid w:val="000C6CD4"/>
    <w:rsid w:val="000D6064"/>
    <w:rsid w:val="00125D32"/>
    <w:rsid w:val="0014768C"/>
    <w:rsid w:val="001577E4"/>
    <w:rsid w:val="001858CA"/>
    <w:rsid w:val="00197407"/>
    <w:rsid w:val="001C4AEF"/>
    <w:rsid w:val="001D3CC5"/>
    <w:rsid w:val="001E4923"/>
    <w:rsid w:val="00234C71"/>
    <w:rsid w:val="002C5071"/>
    <w:rsid w:val="00322BDE"/>
    <w:rsid w:val="00346037"/>
    <w:rsid w:val="0036384F"/>
    <w:rsid w:val="00406EE7"/>
    <w:rsid w:val="00407013"/>
    <w:rsid w:val="004A62CC"/>
    <w:rsid w:val="004E228E"/>
    <w:rsid w:val="004F04C6"/>
    <w:rsid w:val="00565A74"/>
    <w:rsid w:val="005B0036"/>
    <w:rsid w:val="005F5831"/>
    <w:rsid w:val="00601CC8"/>
    <w:rsid w:val="00643DB4"/>
    <w:rsid w:val="00654132"/>
    <w:rsid w:val="00662012"/>
    <w:rsid w:val="00666B01"/>
    <w:rsid w:val="006B1539"/>
    <w:rsid w:val="006F5621"/>
    <w:rsid w:val="0076240C"/>
    <w:rsid w:val="007A2CF0"/>
    <w:rsid w:val="007E2A00"/>
    <w:rsid w:val="008010F2"/>
    <w:rsid w:val="008028AD"/>
    <w:rsid w:val="00827B03"/>
    <w:rsid w:val="00862CAB"/>
    <w:rsid w:val="00865A16"/>
    <w:rsid w:val="00880913"/>
    <w:rsid w:val="008B51A3"/>
    <w:rsid w:val="009202AE"/>
    <w:rsid w:val="009310D2"/>
    <w:rsid w:val="009339BB"/>
    <w:rsid w:val="00967B6A"/>
    <w:rsid w:val="009A67C8"/>
    <w:rsid w:val="009D66C6"/>
    <w:rsid w:val="00A01E59"/>
    <w:rsid w:val="00A96525"/>
    <w:rsid w:val="00AD239B"/>
    <w:rsid w:val="00AD2605"/>
    <w:rsid w:val="00AE29E5"/>
    <w:rsid w:val="00AE5757"/>
    <w:rsid w:val="00B25EB8"/>
    <w:rsid w:val="00BC634B"/>
    <w:rsid w:val="00BD3BAC"/>
    <w:rsid w:val="00BF2AE0"/>
    <w:rsid w:val="00C01670"/>
    <w:rsid w:val="00C06367"/>
    <w:rsid w:val="00C479BF"/>
    <w:rsid w:val="00C83E97"/>
    <w:rsid w:val="00C860F0"/>
    <w:rsid w:val="00DA345F"/>
    <w:rsid w:val="00DD6D71"/>
    <w:rsid w:val="00DF32BE"/>
    <w:rsid w:val="00E14F0A"/>
    <w:rsid w:val="00EB2253"/>
    <w:rsid w:val="00EB5778"/>
    <w:rsid w:val="00ED5E0F"/>
    <w:rsid w:val="00EE5253"/>
    <w:rsid w:val="00F52672"/>
    <w:rsid w:val="00F91B8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2B37A0B"/>
  <w15:chartTrackingRefBased/>
  <w15:docId w15:val="{8CD9DAF0-94DC-4A0F-9EAE-7C933259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D6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4585158">
      <w:bodyDiv w:val="1"/>
      <w:marLeft w:val="0"/>
      <w:marRight w:val="0"/>
      <w:marTop w:val="0"/>
      <w:marBottom w:val="0"/>
      <w:divBdr>
        <w:top w:val="none" w:sz="0" w:space="0" w:color="auto"/>
        <w:left w:val="none" w:sz="0" w:space="0" w:color="auto"/>
        <w:bottom w:val="none" w:sz="0" w:space="0" w:color="auto"/>
        <w:right w:val="none" w:sz="0" w:space="0" w:color="auto"/>
      </w:divBdr>
    </w:div>
    <w:div w:id="277178260">
      <w:bodyDiv w:val="1"/>
      <w:marLeft w:val="0"/>
      <w:marRight w:val="0"/>
      <w:marTop w:val="0"/>
      <w:marBottom w:val="0"/>
      <w:divBdr>
        <w:top w:val="none" w:sz="0" w:space="0" w:color="auto"/>
        <w:left w:val="none" w:sz="0" w:space="0" w:color="auto"/>
        <w:bottom w:val="none" w:sz="0" w:space="0" w:color="auto"/>
        <w:right w:val="none" w:sz="0" w:space="0" w:color="auto"/>
      </w:divBdr>
    </w:div>
    <w:div w:id="672031131">
      <w:bodyDiv w:val="1"/>
      <w:marLeft w:val="0"/>
      <w:marRight w:val="0"/>
      <w:marTop w:val="0"/>
      <w:marBottom w:val="0"/>
      <w:divBdr>
        <w:top w:val="none" w:sz="0" w:space="0" w:color="auto"/>
        <w:left w:val="none" w:sz="0" w:space="0" w:color="auto"/>
        <w:bottom w:val="none" w:sz="0" w:space="0" w:color="auto"/>
        <w:right w:val="none" w:sz="0" w:space="0" w:color="auto"/>
      </w:divBdr>
    </w:div>
    <w:div w:id="727722923">
      <w:bodyDiv w:val="1"/>
      <w:marLeft w:val="0"/>
      <w:marRight w:val="0"/>
      <w:marTop w:val="0"/>
      <w:marBottom w:val="0"/>
      <w:divBdr>
        <w:top w:val="none" w:sz="0" w:space="0" w:color="auto"/>
        <w:left w:val="none" w:sz="0" w:space="0" w:color="auto"/>
        <w:bottom w:val="none" w:sz="0" w:space="0" w:color="auto"/>
        <w:right w:val="none" w:sz="0" w:space="0" w:color="auto"/>
      </w:divBdr>
    </w:div>
    <w:div w:id="741293501">
      <w:bodyDiv w:val="1"/>
      <w:marLeft w:val="0"/>
      <w:marRight w:val="0"/>
      <w:marTop w:val="0"/>
      <w:marBottom w:val="0"/>
      <w:divBdr>
        <w:top w:val="none" w:sz="0" w:space="0" w:color="auto"/>
        <w:left w:val="none" w:sz="0" w:space="0" w:color="auto"/>
        <w:bottom w:val="none" w:sz="0" w:space="0" w:color="auto"/>
        <w:right w:val="none" w:sz="0" w:space="0" w:color="auto"/>
      </w:divBdr>
    </w:div>
    <w:div w:id="791830182">
      <w:bodyDiv w:val="1"/>
      <w:marLeft w:val="0"/>
      <w:marRight w:val="0"/>
      <w:marTop w:val="0"/>
      <w:marBottom w:val="0"/>
      <w:divBdr>
        <w:top w:val="none" w:sz="0" w:space="0" w:color="auto"/>
        <w:left w:val="none" w:sz="0" w:space="0" w:color="auto"/>
        <w:bottom w:val="none" w:sz="0" w:space="0" w:color="auto"/>
        <w:right w:val="none" w:sz="0" w:space="0" w:color="auto"/>
      </w:divBdr>
    </w:div>
    <w:div w:id="876047289">
      <w:bodyDiv w:val="1"/>
      <w:marLeft w:val="0"/>
      <w:marRight w:val="0"/>
      <w:marTop w:val="0"/>
      <w:marBottom w:val="0"/>
      <w:divBdr>
        <w:top w:val="none" w:sz="0" w:space="0" w:color="auto"/>
        <w:left w:val="none" w:sz="0" w:space="0" w:color="auto"/>
        <w:bottom w:val="none" w:sz="0" w:space="0" w:color="auto"/>
        <w:right w:val="none" w:sz="0" w:space="0" w:color="auto"/>
      </w:divBdr>
    </w:div>
    <w:div w:id="895892841">
      <w:bodyDiv w:val="1"/>
      <w:marLeft w:val="0"/>
      <w:marRight w:val="0"/>
      <w:marTop w:val="0"/>
      <w:marBottom w:val="0"/>
      <w:divBdr>
        <w:top w:val="none" w:sz="0" w:space="0" w:color="auto"/>
        <w:left w:val="none" w:sz="0" w:space="0" w:color="auto"/>
        <w:bottom w:val="none" w:sz="0" w:space="0" w:color="auto"/>
        <w:right w:val="none" w:sz="0" w:space="0" w:color="auto"/>
      </w:divBdr>
    </w:div>
    <w:div w:id="953944912">
      <w:bodyDiv w:val="1"/>
      <w:marLeft w:val="0"/>
      <w:marRight w:val="0"/>
      <w:marTop w:val="0"/>
      <w:marBottom w:val="0"/>
      <w:divBdr>
        <w:top w:val="none" w:sz="0" w:space="0" w:color="auto"/>
        <w:left w:val="none" w:sz="0" w:space="0" w:color="auto"/>
        <w:bottom w:val="none" w:sz="0" w:space="0" w:color="auto"/>
        <w:right w:val="none" w:sz="0" w:space="0" w:color="auto"/>
      </w:divBdr>
    </w:div>
    <w:div w:id="974259015">
      <w:bodyDiv w:val="1"/>
      <w:marLeft w:val="0"/>
      <w:marRight w:val="0"/>
      <w:marTop w:val="0"/>
      <w:marBottom w:val="0"/>
      <w:divBdr>
        <w:top w:val="none" w:sz="0" w:space="0" w:color="auto"/>
        <w:left w:val="none" w:sz="0" w:space="0" w:color="auto"/>
        <w:bottom w:val="none" w:sz="0" w:space="0" w:color="auto"/>
        <w:right w:val="none" w:sz="0" w:space="0" w:color="auto"/>
      </w:divBdr>
    </w:div>
    <w:div w:id="1097673995">
      <w:bodyDiv w:val="1"/>
      <w:marLeft w:val="0"/>
      <w:marRight w:val="0"/>
      <w:marTop w:val="0"/>
      <w:marBottom w:val="0"/>
      <w:divBdr>
        <w:top w:val="none" w:sz="0" w:space="0" w:color="auto"/>
        <w:left w:val="none" w:sz="0" w:space="0" w:color="auto"/>
        <w:bottom w:val="none" w:sz="0" w:space="0" w:color="auto"/>
        <w:right w:val="none" w:sz="0" w:space="0" w:color="auto"/>
      </w:divBdr>
    </w:div>
    <w:div w:id="1235893972">
      <w:bodyDiv w:val="1"/>
      <w:marLeft w:val="0"/>
      <w:marRight w:val="0"/>
      <w:marTop w:val="0"/>
      <w:marBottom w:val="0"/>
      <w:divBdr>
        <w:top w:val="none" w:sz="0" w:space="0" w:color="auto"/>
        <w:left w:val="none" w:sz="0" w:space="0" w:color="auto"/>
        <w:bottom w:val="none" w:sz="0" w:space="0" w:color="auto"/>
        <w:right w:val="none" w:sz="0" w:space="0" w:color="auto"/>
      </w:divBdr>
    </w:div>
    <w:div w:id="1293638312">
      <w:bodyDiv w:val="1"/>
      <w:marLeft w:val="0"/>
      <w:marRight w:val="0"/>
      <w:marTop w:val="0"/>
      <w:marBottom w:val="0"/>
      <w:divBdr>
        <w:top w:val="none" w:sz="0" w:space="0" w:color="auto"/>
        <w:left w:val="none" w:sz="0" w:space="0" w:color="auto"/>
        <w:bottom w:val="none" w:sz="0" w:space="0" w:color="auto"/>
        <w:right w:val="none" w:sz="0" w:space="0" w:color="auto"/>
      </w:divBdr>
    </w:div>
    <w:div w:id="1339118859">
      <w:bodyDiv w:val="1"/>
      <w:marLeft w:val="0"/>
      <w:marRight w:val="0"/>
      <w:marTop w:val="0"/>
      <w:marBottom w:val="0"/>
      <w:divBdr>
        <w:top w:val="none" w:sz="0" w:space="0" w:color="auto"/>
        <w:left w:val="none" w:sz="0" w:space="0" w:color="auto"/>
        <w:bottom w:val="none" w:sz="0" w:space="0" w:color="auto"/>
        <w:right w:val="none" w:sz="0" w:space="0" w:color="auto"/>
      </w:divBdr>
    </w:div>
    <w:div w:id="1376588614">
      <w:bodyDiv w:val="1"/>
      <w:marLeft w:val="0"/>
      <w:marRight w:val="0"/>
      <w:marTop w:val="0"/>
      <w:marBottom w:val="0"/>
      <w:divBdr>
        <w:top w:val="none" w:sz="0" w:space="0" w:color="auto"/>
        <w:left w:val="none" w:sz="0" w:space="0" w:color="auto"/>
        <w:bottom w:val="none" w:sz="0" w:space="0" w:color="auto"/>
        <w:right w:val="none" w:sz="0" w:space="0" w:color="auto"/>
      </w:divBdr>
    </w:div>
    <w:div w:id="1438066236">
      <w:bodyDiv w:val="1"/>
      <w:marLeft w:val="0"/>
      <w:marRight w:val="0"/>
      <w:marTop w:val="0"/>
      <w:marBottom w:val="0"/>
      <w:divBdr>
        <w:top w:val="none" w:sz="0" w:space="0" w:color="auto"/>
        <w:left w:val="none" w:sz="0" w:space="0" w:color="auto"/>
        <w:bottom w:val="none" w:sz="0" w:space="0" w:color="auto"/>
        <w:right w:val="none" w:sz="0" w:space="0" w:color="auto"/>
      </w:divBdr>
    </w:div>
    <w:div w:id="1469516574">
      <w:bodyDiv w:val="1"/>
      <w:marLeft w:val="0"/>
      <w:marRight w:val="0"/>
      <w:marTop w:val="0"/>
      <w:marBottom w:val="0"/>
      <w:divBdr>
        <w:top w:val="none" w:sz="0" w:space="0" w:color="auto"/>
        <w:left w:val="none" w:sz="0" w:space="0" w:color="auto"/>
        <w:bottom w:val="none" w:sz="0" w:space="0" w:color="auto"/>
        <w:right w:val="none" w:sz="0" w:space="0" w:color="auto"/>
      </w:divBdr>
    </w:div>
    <w:div w:id="1480225669">
      <w:bodyDiv w:val="1"/>
      <w:marLeft w:val="0"/>
      <w:marRight w:val="0"/>
      <w:marTop w:val="0"/>
      <w:marBottom w:val="0"/>
      <w:divBdr>
        <w:top w:val="none" w:sz="0" w:space="0" w:color="auto"/>
        <w:left w:val="none" w:sz="0" w:space="0" w:color="auto"/>
        <w:bottom w:val="none" w:sz="0" w:space="0" w:color="auto"/>
        <w:right w:val="none" w:sz="0" w:space="0" w:color="auto"/>
      </w:divBdr>
    </w:div>
    <w:div w:id="1532721302">
      <w:bodyDiv w:val="1"/>
      <w:marLeft w:val="0"/>
      <w:marRight w:val="0"/>
      <w:marTop w:val="0"/>
      <w:marBottom w:val="0"/>
      <w:divBdr>
        <w:top w:val="none" w:sz="0" w:space="0" w:color="auto"/>
        <w:left w:val="none" w:sz="0" w:space="0" w:color="auto"/>
        <w:bottom w:val="none" w:sz="0" w:space="0" w:color="auto"/>
        <w:right w:val="none" w:sz="0" w:space="0" w:color="auto"/>
      </w:divBdr>
    </w:div>
    <w:div w:id="1556622384">
      <w:bodyDiv w:val="1"/>
      <w:marLeft w:val="0"/>
      <w:marRight w:val="0"/>
      <w:marTop w:val="0"/>
      <w:marBottom w:val="0"/>
      <w:divBdr>
        <w:top w:val="none" w:sz="0" w:space="0" w:color="auto"/>
        <w:left w:val="none" w:sz="0" w:space="0" w:color="auto"/>
        <w:bottom w:val="none" w:sz="0" w:space="0" w:color="auto"/>
        <w:right w:val="none" w:sz="0" w:space="0" w:color="auto"/>
      </w:divBdr>
    </w:div>
    <w:div w:id="1615558950">
      <w:bodyDiv w:val="1"/>
      <w:marLeft w:val="0"/>
      <w:marRight w:val="0"/>
      <w:marTop w:val="0"/>
      <w:marBottom w:val="0"/>
      <w:divBdr>
        <w:top w:val="none" w:sz="0" w:space="0" w:color="auto"/>
        <w:left w:val="none" w:sz="0" w:space="0" w:color="auto"/>
        <w:bottom w:val="none" w:sz="0" w:space="0" w:color="auto"/>
        <w:right w:val="none" w:sz="0" w:space="0" w:color="auto"/>
      </w:divBdr>
    </w:div>
    <w:div w:id="1615599814">
      <w:bodyDiv w:val="1"/>
      <w:marLeft w:val="0"/>
      <w:marRight w:val="0"/>
      <w:marTop w:val="0"/>
      <w:marBottom w:val="0"/>
      <w:divBdr>
        <w:top w:val="none" w:sz="0" w:space="0" w:color="auto"/>
        <w:left w:val="none" w:sz="0" w:space="0" w:color="auto"/>
        <w:bottom w:val="none" w:sz="0" w:space="0" w:color="auto"/>
        <w:right w:val="none" w:sz="0" w:space="0" w:color="auto"/>
      </w:divBdr>
    </w:div>
    <w:div w:id="1645698536">
      <w:bodyDiv w:val="1"/>
      <w:marLeft w:val="0"/>
      <w:marRight w:val="0"/>
      <w:marTop w:val="0"/>
      <w:marBottom w:val="0"/>
      <w:divBdr>
        <w:top w:val="none" w:sz="0" w:space="0" w:color="auto"/>
        <w:left w:val="none" w:sz="0" w:space="0" w:color="auto"/>
        <w:bottom w:val="none" w:sz="0" w:space="0" w:color="auto"/>
        <w:right w:val="none" w:sz="0" w:space="0" w:color="auto"/>
      </w:divBdr>
    </w:div>
    <w:div w:id="1717047776">
      <w:bodyDiv w:val="1"/>
      <w:marLeft w:val="0"/>
      <w:marRight w:val="0"/>
      <w:marTop w:val="0"/>
      <w:marBottom w:val="0"/>
      <w:divBdr>
        <w:top w:val="none" w:sz="0" w:space="0" w:color="auto"/>
        <w:left w:val="none" w:sz="0" w:space="0" w:color="auto"/>
        <w:bottom w:val="none" w:sz="0" w:space="0" w:color="auto"/>
        <w:right w:val="none" w:sz="0" w:space="0" w:color="auto"/>
      </w:divBdr>
    </w:div>
    <w:div w:id="1773476770">
      <w:bodyDiv w:val="1"/>
      <w:marLeft w:val="0"/>
      <w:marRight w:val="0"/>
      <w:marTop w:val="0"/>
      <w:marBottom w:val="0"/>
      <w:divBdr>
        <w:top w:val="none" w:sz="0" w:space="0" w:color="auto"/>
        <w:left w:val="none" w:sz="0" w:space="0" w:color="auto"/>
        <w:bottom w:val="none" w:sz="0" w:space="0" w:color="auto"/>
        <w:right w:val="none" w:sz="0" w:space="0" w:color="auto"/>
      </w:divBdr>
    </w:div>
    <w:div w:id="1807434619">
      <w:bodyDiv w:val="1"/>
      <w:marLeft w:val="0"/>
      <w:marRight w:val="0"/>
      <w:marTop w:val="0"/>
      <w:marBottom w:val="0"/>
      <w:divBdr>
        <w:top w:val="none" w:sz="0" w:space="0" w:color="auto"/>
        <w:left w:val="none" w:sz="0" w:space="0" w:color="auto"/>
        <w:bottom w:val="none" w:sz="0" w:space="0" w:color="auto"/>
        <w:right w:val="none" w:sz="0" w:space="0" w:color="auto"/>
      </w:divBdr>
    </w:div>
    <w:div w:id="1833642303">
      <w:bodyDiv w:val="1"/>
      <w:marLeft w:val="0"/>
      <w:marRight w:val="0"/>
      <w:marTop w:val="0"/>
      <w:marBottom w:val="0"/>
      <w:divBdr>
        <w:top w:val="none" w:sz="0" w:space="0" w:color="auto"/>
        <w:left w:val="none" w:sz="0" w:space="0" w:color="auto"/>
        <w:bottom w:val="none" w:sz="0" w:space="0" w:color="auto"/>
        <w:right w:val="none" w:sz="0" w:space="0" w:color="auto"/>
      </w:divBdr>
    </w:div>
    <w:div w:id="1871261890">
      <w:bodyDiv w:val="1"/>
      <w:marLeft w:val="0"/>
      <w:marRight w:val="0"/>
      <w:marTop w:val="0"/>
      <w:marBottom w:val="0"/>
      <w:divBdr>
        <w:top w:val="none" w:sz="0" w:space="0" w:color="auto"/>
        <w:left w:val="none" w:sz="0" w:space="0" w:color="auto"/>
        <w:bottom w:val="none" w:sz="0" w:space="0" w:color="auto"/>
        <w:right w:val="none" w:sz="0" w:space="0" w:color="auto"/>
      </w:divBdr>
    </w:div>
    <w:div w:id="1902593476">
      <w:bodyDiv w:val="1"/>
      <w:marLeft w:val="0"/>
      <w:marRight w:val="0"/>
      <w:marTop w:val="0"/>
      <w:marBottom w:val="0"/>
      <w:divBdr>
        <w:top w:val="none" w:sz="0" w:space="0" w:color="auto"/>
        <w:left w:val="none" w:sz="0" w:space="0" w:color="auto"/>
        <w:bottom w:val="none" w:sz="0" w:space="0" w:color="auto"/>
        <w:right w:val="none" w:sz="0" w:space="0" w:color="auto"/>
      </w:divBdr>
    </w:div>
    <w:div w:id="1938252927">
      <w:bodyDiv w:val="1"/>
      <w:marLeft w:val="0"/>
      <w:marRight w:val="0"/>
      <w:marTop w:val="0"/>
      <w:marBottom w:val="0"/>
      <w:divBdr>
        <w:top w:val="none" w:sz="0" w:space="0" w:color="auto"/>
        <w:left w:val="none" w:sz="0" w:space="0" w:color="auto"/>
        <w:bottom w:val="none" w:sz="0" w:space="0" w:color="auto"/>
        <w:right w:val="none" w:sz="0" w:space="0" w:color="auto"/>
      </w:divBdr>
    </w:div>
    <w:div w:id="20791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2023072897 - Nyt PI-SPC</dc:description>
  <cp:lastModifiedBy>Camilla Sværke Hansen</cp:lastModifiedBy>
  <cp:revision>6</cp:revision>
  <cp:lastPrinted>2021-11-24T11:54:00Z</cp:lastPrinted>
  <dcterms:created xsi:type="dcterms:W3CDTF">2020-03-19T11:37:00Z</dcterms:created>
  <dcterms:modified xsi:type="dcterms:W3CDTF">2023-09-20T12:19:00Z</dcterms:modified>
</cp:coreProperties>
</file>