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F312C" w14:textId="77777777" w:rsidR="008203A8" w:rsidRPr="008F49E1" w:rsidRDefault="008203A8" w:rsidP="008203A8">
      <w:pPr>
        <w:rPr>
          <w:sz w:val="24"/>
          <w:szCs w:val="24"/>
        </w:rPr>
      </w:pPr>
      <w:bookmarkStart w:id="0" w:name="_GoBack"/>
      <w:bookmarkEnd w:id="0"/>
      <w:r w:rsidRPr="005B0036">
        <w:rPr>
          <w:noProof/>
          <w:sz w:val="24"/>
          <w:szCs w:val="24"/>
          <w:lang w:eastAsia="da-DK"/>
        </w:rPr>
        <w:drawing>
          <wp:inline distT="0" distB="0" distL="0" distR="0" wp14:anchorId="75229807" wp14:editId="4B2F348F">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7EE2C8B" w14:textId="77777777" w:rsidR="008203A8" w:rsidRDefault="008203A8" w:rsidP="008203A8">
      <w:pPr>
        <w:rPr>
          <w:sz w:val="24"/>
          <w:szCs w:val="24"/>
        </w:rPr>
      </w:pPr>
    </w:p>
    <w:p w14:paraId="572F95E1" w14:textId="02BD3FEC" w:rsidR="008203A8" w:rsidRPr="00406EE7" w:rsidRDefault="008203A8" w:rsidP="008203A8">
      <w:pPr>
        <w:tabs>
          <w:tab w:val="right" w:pos="9356"/>
        </w:tabs>
        <w:rPr>
          <w:b/>
          <w:sz w:val="24"/>
          <w:szCs w:val="24"/>
        </w:rPr>
      </w:pPr>
      <w:r>
        <w:rPr>
          <w:b/>
          <w:sz w:val="24"/>
          <w:szCs w:val="24"/>
        </w:rPr>
        <w:tab/>
      </w:r>
      <w:r w:rsidR="006B32D4">
        <w:rPr>
          <w:b/>
          <w:sz w:val="24"/>
          <w:szCs w:val="24"/>
        </w:rPr>
        <w:t>21. august 2025</w:t>
      </w:r>
    </w:p>
    <w:p w14:paraId="5795BA38" w14:textId="77777777" w:rsidR="008203A8" w:rsidRDefault="008203A8" w:rsidP="008203A8">
      <w:pPr>
        <w:rPr>
          <w:sz w:val="24"/>
          <w:szCs w:val="24"/>
        </w:rPr>
      </w:pPr>
    </w:p>
    <w:p w14:paraId="2615DC40" w14:textId="77777777" w:rsidR="008203A8" w:rsidRDefault="008203A8" w:rsidP="008203A8">
      <w:pPr>
        <w:jc w:val="center"/>
        <w:rPr>
          <w:b/>
          <w:sz w:val="24"/>
          <w:szCs w:val="24"/>
        </w:rPr>
      </w:pPr>
    </w:p>
    <w:p w14:paraId="2FAF37ED" w14:textId="77777777" w:rsidR="008203A8" w:rsidRPr="00406EE7" w:rsidRDefault="008203A8" w:rsidP="008203A8">
      <w:pPr>
        <w:jc w:val="center"/>
        <w:rPr>
          <w:b/>
          <w:sz w:val="24"/>
          <w:szCs w:val="24"/>
        </w:rPr>
      </w:pPr>
      <w:r w:rsidRPr="00406EE7">
        <w:rPr>
          <w:b/>
          <w:sz w:val="24"/>
          <w:szCs w:val="24"/>
        </w:rPr>
        <w:t>PRODUKTRESUMÉ</w:t>
      </w:r>
    </w:p>
    <w:p w14:paraId="70014D2C" w14:textId="77777777" w:rsidR="008203A8" w:rsidRPr="00406EE7" w:rsidRDefault="008203A8" w:rsidP="008203A8">
      <w:pPr>
        <w:jc w:val="center"/>
        <w:rPr>
          <w:b/>
          <w:sz w:val="24"/>
          <w:szCs w:val="24"/>
        </w:rPr>
      </w:pPr>
    </w:p>
    <w:p w14:paraId="7CFA7529" w14:textId="77777777" w:rsidR="008203A8" w:rsidRPr="00406EE7" w:rsidRDefault="008203A8" w:rsidP="008203A8">
      <w:pPr>
        <w:jc w:val="center"/>
        <w:rPr>
          <w:b/>
          <w:sz w:val="24"/>
          <w:szCs w:val="24"/>
        </w:rPr>
      </w:pPr>
      <w:r w:rsidRPr="00406EE7">
        <w:rPr>
          <w:b/>
          <w:sz w:val="24"/>
          <w:szCs w:val="24"/>
        </w:rPr>
        <w:t>for</w:t>
      </w:r>
    </w:p>
    <w:p w14:paraId="2F6DA08E" w14:textId="77777777" w:rsidR="008203A8" w:rsidRPr="00406EE7" w:rsidRDefault="008203A8" w:rsidP="008203A8">
      <w:pPr>
        <w:jc w:val="center"/>
        <w:rPr>
          <w:b/>
          <w:sz w:val="24"/>
          <w:szCs w:val="24"/>
        </w:rPr>
      </w:pPr>
    </w:p>
    <w:p w14:paraId="1BB52867" w14:textId="2ADEDAA6" w:rsidR="008203A8" w:rsidRPr="00565A74" w:rsidRDefault="00EB61EC" w:rsidP="008203A8">
      <w:pPr>
        <w:jc w:val="center"/>
        <w:rPr>
          <w:b/>
          <w:sz w:val="24"/>
          <w:szCs w:val="24"/>
        </w:rPr>
      </w:pPr>
      <w:r>
        <w:rPr>
          <w:b/>
          <w:sz w:val="24"/>
          <w:szCs w:val="24"/>
        </w:rPr>
        <w:t>Sultrilon Vet., oral pasta</w:t>
      </w:r>
    </w:p>
    <w:p w14:paraId="0FDBAF78" w14:textId="77777777" w:rsidR="008203A8" w:rsidRPr="00406EE7" w:rsidRDefault="008203A8" w:rsidP="008203A8">
      <w:pPr>
        <w:jc w:val="both"/>
        <w:rPr>
          <w:sz w:val="24"/>
          <w:szCs w:val="24"/>
        </w:rPr>
      </w:pPr>
    </w:p>
    <w:p w14:paraId="79E73CF9" w14:textId="77777777" w:rsidR="008203A8" w:rsidRDefault="008203A8" w:rsidP="008203A8">
      <w:pPr>
        <w:jc w:val="both"/>
        <w:rPr>
          <w:sz w:val="24"/>
          <w:szCs w:val="24"/>
        </w:rPr>
      </w:pPr>
    </w:p>
    <w:p w14:paraId="371B0702" w14:textId="77777777" w:rsidR="008203A8" w:rsidRPr="00406EE7" w:rsidRDefault="008203A8" w:rsidP="008203A8">
      <w:pPr>
        <w:jc w:val="both"/>
        <w:rPr>
          <w:sz w:val="24"/>
          <w:szCs w:val="24"/>
        </w:rPr>
      </w:pPr>
    </w:p>
    <w:p w14:paraId="22E89698"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4FE607E7" w14:textId="33A2DD20" w:rsidR="008203A8" w:rsidRPr="00406EE7" w:rsidRDefault="00EB61EC" w:rsidP="008203A8">
      <w:pPr>
        <w:ind w:left="851"/>
        <w:rPr>
          <w:sz w:val="24"/>
          <w:szCs w:val="24"/>
        </w:rPr>
      </w:pPr>
      <w:r>
        <w:rPr>
          <w:sz w:val="24"/>
          <w:szCs w:val="24"/>
        </w:rPr>
        <w:t>33905</w:t>
      </w:r>
    </w:p>
    <w:p w14:paraId="46CA1C15" w14:textId="77777777" w:rsidR="008203A8" w:rsidRPr="00406EE7" w:rsidRDefault="008203A8" w:rsidP="008203A8">
      <w:pPr>
        <w:ind w:left="851"/>
        <w:rPr>
          <w:sz w:val="24"/>
          <w:szCs w:val="24"/>
        </w:rPr>
      </w:pPr>
    </w:p>
    <w:p w14:paraId="52A4326F"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002FC03E" w14:textId="077D5742" w:rsidR="008203A8" w:rsidRDefault="00EB61EC" w:rsidP="008203A8">
      <w:pPr>
        <w:ind w:left="851"/>
        <w:rPr>
          <w:sz w:val="24"/>
          <w:szCs w:val="24"/>
        </w:rPr>
      </w:pPr>
      <w:r>
        <w:rPr>
          <w:sz w:val="24"/>
          <w:szCs w:val="24"/>
        </w:rPr>
        <w:t>Sultrilon Vet.</w:t>
      </w:r>
    </w:p>
    <w:p w14:paraId="42EEBDED" w14:textId="77777777" w:rsidR="008203A8" w:rsidRDefault="008203A8" w:rsidP="008203A8">
      <w:pPr>
        <w:ind w:left="851"/>
        <w:rPr>
          <w:sz w:val="24"/>
          <w:szCs w:val="24"/>
        </w:rPr>
      </w:pPr>
    </w:p>
    <w:p w14:paraId="5BF8F7CD" w14:textId="784DFA29" w:rsidR="008203A8" w:rsidRPr="00776C2C" w:rsidRDefault="008203A8" w:rsidP="008203A8">
      <w:pPr>
        <w:ind w:left="851"/>
        <w:rPr>
          <w:sz w:val="24"/>
          <w:szCs w:val="24"/>
        </w:rPr>
      </w:pPr>
      <w:r w:rsidRPr="00776C2C">
        <w:rPr>
          <w:sz w:val="24"/>
          <w:szCs w:val="24"/>
        </w:rPr>
        <w:t xml:space="preserve">Lægemiddelform: </w:t>
      </w:r>
      <w:r w:rsidR="00EB61EC">
        <w:rPr>
          <w:sz w:val="24"/>
          <w:szCs w:val="24"/>
        </w:rPr>
        <w:t>Oral pasta</w:t>
      </w:r>
    </w:p>
    <w:p w14:paraId="79475F5E" w14:textId="6D565C58" w:rsidR="008203A8" w:rsidRPr="00776C2C" w:rsidRDefault="008203A8" w:rsidP="008203A8">
      <w:pPr>
        <w:ind w:left="851"/>
        <w:rPr>
          <w:sz w:val="24"/>
          <w:szCs w:val="24"/>
        </w:rPr>
      </w:pPr>
      <w:r w:rsidRPr="00776C2C">
        <w:rPr>
          <w:sz w:val="24"/>
          <w:szCs w:val="24"/>
        </w:rPr>
        <w:t xml:space="preserve">Styrke: </w:t>
      </w:r>
      <w:r w:rsidR="00EB61EC">
        <w:rPr>
          <w:sz w:val="24"/>
          <w:szCs w:val="24"/>
        </w:rPr>
        <w:t>333 mg/g</w:t>
      </w:r>
      <w:r w:rsidR="00765DD4">
        <w:rPr>
          <w:sz w:val="24"/>
          <w:szCs w:val="24"/>
        </w:rPr>
        <w:t xml:space="preserve"> </w:t>
      </w:r>
      <w:r w:rsidR="00EB61EC">
        <w:rPr>
          <w:sz w:val="24"/>
          <w:szCs w:val="24"/>
        </w:rPr>
        <w:t>+</w:t>
      </w:r>
      <w:r w:rsidR="00765DD4">
        <w:rPr>
          <w:sz w:val="24"/>
          <w:szCs w:val="24"/>
        </w:rPr>
        <w:t xml:space="preserve"> </w:t>
      </w:r>
      <w:r w:rsidR="00EB61EC">
        <w:rPr>
          <w:sz w:val="24"/>
          <w:szCs w:val="24"/>
        </w:rPr>
        <w:t>67 mg/g</w:t>
      </w:r>
    </w:p>
    <w:p w14:paraId="42228891" w14:textId="77777777" w:rsidR="008203A8" w:rsidRPr="00406EE7" w:rsidRDefault="008203A8" w:rsidP="008203A8">
      <w:pPr>
        <w:ind w:left="851"/>
        <w:rPr>
          <w:sz w:val="24"/>
          <w:szCs w:val="24"/>
        </w:rPr>
      </w:pPr>
    </w:p>
    <w:p w14:paraId="41DE0069"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741C91FF" w14:textId="77777777" w:rsidR="00F275F7" w:rsidRPr="00F275F7" w:rsidRDefault="00F275F7" w:rsidP="00F275F7">
      <w:pPr>
        <w:ind w:left="851"/>
        <w:rPr>
          <w:sz w:val="24"/>
          <w:szCs w:val="24"/>
        </w:rPr>
      </w:pPr>
      <w:r w:rsidRPr="00F275F7">
        <w:rPr>
          <w:sz w:val="24"/>
          <w:szCs w:val="24"/>
        </w:rPr>
        <w:t>Et gram indeholder:</w:t>
      </w:r>
    </w:p>
    <w:p w14:paraId="0719D9A7" w14:textId="77777777" w:rsidR="00F275F7" w:rsidRPr="00F275F7" w:rsidRDefault="00F275F7" w:rsidP="00F275F7">
      <w:pPr>
        <w:ind w:left="851"/>
        <w:rPr>
          <w:sz w:val="24"/>
          <w:szCs w:val="24"/>
        </w:rPr>
      </w:pPr>
    </w:p>
    <w:p w14:paraId="05BF9272" w14:textId="405564AD" w:rsidR="00F275F7" w:rsidRPr="00F275F7" w:rsidRDefault="00F275F7" w:rsidP="00F275F7">
      <w:pPr>
        <w:ind w:left="851"/>
        <w:rPr>
          <w:b/>
          <w:bCs/>
          <w:sz w:val="24"/>
          <w:szCs w:val="24"/>
        </w:rPr>
      </w:pPr>
      <w:r w:rsidRPr="00F275F7">
        <w:rPr>
          <w:b/>
          <w:bCs/>
          <w:sz w:val="24"/>
          <w:szCs w:val="24"/>
        </w:rPr>
        <w:t>Aktive stoffer</w:t>
      </w:r>
    </w:p>
    <w:p w14:paraId="2161CA6D" w14:textId="77777777" w:rsidR="00F275F7" w:rsidRPr="00F275F7" w:rsidRDefault="00F275F7" w:rsidP="00F275F7">
      <w:pPr>
        <w:tabs>
          <w:tab w:val="left" w:pos="2268"/>
        </w:tabs>
        <w:ind w:left="851"/>
        <w:rPr>
          <w:sz w:val="24"/>
          <w:szCs w:val="24"/>
        </w:rPr>
      </w:pPr>
      <w:r w:rsidRPr="00F275F7">
        <w:rPr>
          <w:sz w:val="24"/>
          <w:szCs w:val="24"/>
        </w:rPr>
        <w:t>Sulfadiazin</w:t>
      </w:r>
      <w:r w:rsidRPr="00F275F7">
        <w:rPr>
          <w:sz w:val="24"/>
          <w:szCs w:val="24"/>
        </w:rPr>
        <w:tab/>
        <w:t>333,0 mg</w:t>
      </w:r>
    </w:p>
    <w:p w14:paraId="3F9F751D" w14:textId="77777777" w:rsidR="00F275F7" w:rsidRPr="00F275F7" w:rsidRDefault="00F275F7" w:rsidP="00F275F7">
      <w:pPr>
        <w:tabs>
          <w:tab w:val="left" w:pos="2268"/>
        </w:tabs>
        <w:ind w:left="851"/>
        <w:rPr>
          <w:sz w:val="24"/>
          <w:szCs w:val="24"/>
        </w:rPr>
      </w:pPr>
      <w:r w:rsidRPr="00F275F7">
        <w:rPr>
          <w:sz w:val="24"/>
          <w:szCs w:val="24"/>
        </w:rPr>
        <w:t>Trimethoprim</w:t>
      </w:r>
      <w:r w:rsidRPr="00F275F7">
        <w:rPr>
          <w:sz w:val="24"/>
          <w:szCs w:val="24"/>
        </w:rPr>
        <w:tab/>
        <w:t xml:space="preserve">  67,0 mg</w:t>
      </w:r>
    </w:p>
    <w:p w14:paraId="635CB83E" w14:textId="77777777" w:rsidR="00F275F7" w:rsidRPr="00F275F7" w:rsidRDefault="00F275F7" w:rsidP="00F275F7">
      <w:pPr>
        <w:ind w:left="851"/>
        <w:rPr>
          <w:sz w:val="24"/>
          <w:szCs w:val="24"/>
        </w:rPr>
      </w:pPr>
    </w:p>
    <w:p w14:paraId="77151323" w14:textId="27041033" w:rsidR="00F275F7" w:rsidRPr="00F275F7" w:rsidRDefault="00F275F7" w:rsidP="00F275F7">
      <w:pPr>
        <w:ind w:left="851"/>
        <w:rPr>
          <w:b/>
          <w:bCs/>
          <w:sz w:val="24"/>
          <w:szCs w:val="24"/>
        </w:rPr>
      </w:pPr>
      <w:r w:rsidRPr="00F275F7">
        <w:rPr>
          <w:b/>
          <w:bCs/>
          <w:sz w:val="24"/>
          <w:szCs w:val="24"/>
        </w:rPr>
        <w:t>Hjælpestoffer</w:t>
      </w:r>
    </w:p>
    <w:p w14:paraId="7E8C2623" w14:textId="77777777" w:rsidR="00F275F7" w:rsidRPr="00F275F7" w:rsidRDefault="00F275F7" w:rsidP="00F275F7">
      <w:pPr>
        <w:ind w:left="851"/>
        <w:rPr>
          <w:sz w:val="24"/>
          <w:szCs w:val="24"/>
        </w:rPr>
      </w:pPr>
    </w:p>
    <w:tbl>
      <w:tblPr>
        <w:tblW w:w="914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4"/>
        <w:gridCol w:w="4556"/>
      </w:tblGrid>
      <w:tr w:rsidR="00F275F7" w:rsidRPr="00F275F7" w14:paraId="77AF3572"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61A019CE" w14:textId="77777777" w:rsidR="00F275F7" w:rsidRPr="00F275F7" w:rsidRDefault="00F275F7" w:rsidP="00F275F7">
            <w:pPr>
              <w:ind w:left="33"/>
              <w:rPr>
                <w:i/>
                <w:sz w:val="24"/>
                <w:szCs w:val="24"/>
              </w:rPr>
            </w:pPr>
            <w:r w:rsidRPr="00F275F7">
              <w:rPr>
                <w:b/>
                <w:sz w:val="24"/>
                <w:szCs w:val="24"/>
              </w:rPr>
              <w:t>Kvalitativ</w:t>
            </w:r>
            <w:r w:rsidRPr="00F275F7">
              <w:rPr>
                <w:sz w:val="24"/>
                <w:szCs w:val="24"/>
              </w:rPr>
              <w:t xml:space="preserve"> </w:t>
            </w:r>
            <w:r w:rsidRPr="00F275F7">
              <w:rPr>
                <w:b/>
                <w:sz w:val="24"/>
                <w:szCs w:val="24"/>
              </w:rPr>
              <w:t>sammensætning af hjælpestoffer og andre bestanddele</w:t>
            </w:r>
            <w:r w:rsidRPr="00F275F7">
              <w:rPr>
                <w:i/>
                <w:sz w:val="24"/>
                <w:szCs w:val="24"/>
              </w:rPr>
              <w:t xml:space="preserve"> </w:t>
            </w:r>
          </w:p>
        </w:tc>
        <w:tc>
          <w:tcPr>
            <w:tcW w:w="4556" w:type="dxa"/>
            <w:tcBorders>
              <w:top w:val="single" w:sz="4" w:space="0" w:color="000000"/>
              <w:left w:val="single" w:sz="4" w:space="0" w:color="000000"/>
              <w:bottom w:val="single" w:sz="4" w:space="0" w:color="000000"/>
              <w:right w:val="single" w:sz="4" w:space="0" w:color="000000"/>
            </w:tcBorders>
            <w:hideMark/>
          </w:tcPr>
          <w:p w14:paraId="560ACEDF" w14:textId="77777777" w:rsidR="00F275F7" w:rsidRPr="00F275F7" w:rsidRDefault="00F275F7" w:rsidP="00F275F7">
            <w:pPr>
              <w:rPr>
                <w:b/>
                <w:bCs/>
                <w:iCs/>
                <w:sz w:val="24"/>
                <w:szCs w:val="24"/>
              </w:rPr>
            </w:pPr>
            <w:r w:rsidRPr="00F275F7">
              <w:rPr>
                <w:b/>
                <w:sz w:val="24"/>
                <w:szCs w:val="24"/>
              </w:rPr>
              <w:t>Kvantitativ sammensætning, hvis oplysningen er vigtig for korrekt administration af veterinærlægemidlet</w:t>
            </w:r>
          </w:p>
        </w:tc>
      </w:tr>
      <w:tr w:rsidR="00F275F7" w:rsidRPr="00F275F7" w14:paraId="661729B5"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17A260F6" w14:textId="77777777" w:rsidR="00F275F7" w:rsidRPr="00F275F7" w:rsidRDefault="00F275F7" w:rsidP="00F275F7">
            <w:pPr>
              <w:ind w:left="33"/>
              <w:rPr>
                <w:iCs/>
                <w:sz w:val="24"/>
                <w:szCs w:val="24"/>
              </w:rPr>
            </w:pPr>
            <w:r w:rsidRPr="00F275F7">
              <w:rPr>
                <w:sz w:val="24"/>
                <w:szCs w:val="24"/>
              </w:rPr>
              <w:t>Methylparahydroxybenzoat (E218)</w:t>
            </w:r>
          </w:p>
        </w:tc>
        <w:tc>
          <w:tcPr>
            <w:tcW w:w="4556" w:type="dxa"/>
            <w:tcBorders>
              <w:top w:val="single" w:sz="4" w:space="0" w:color="000000"/>
              <w:left w:val="single" w:sz="4" w:space="0" w:color="000000"/>
              <w:bottom w:val="single" w:sz="4" w:space="0" w:color="000000"/>
              <w:right w:val="single" w:sz="4" w:space="0" w:color="000000"/>
            </w:tcBorders>
            <w:hideMark/>
          </w:tcPr>
          <w:p w14:paraId="4B6E6B4C" w14:textId="77777777" w:rsidR="00F275F7" w:rsidRPr="00F275F7" w:rsidRDefault="00F275F7" w:rsidP="00F275F7">
            <w:pPr>
              <w:rPr>
                <w:iCs/>
                <w:sz w:val="24"/>
                <w:szCs w:val="24"/>
              </w:rPr>
            </w:pPr>
            <w:r w:rsidRPr="00F275F7">
              <w:rPr>
                <w:sz w:val="24"/>
                <w:szCs w:val="24"/>
              </w:rPr>
              <w:t>1,80 mg</w:t>
            </w:r>
          </w:p>
        </w:tc>
      </w:tr>
      <w:tr w:rsidR="00F275F7" w:rsidRPr="00F275F7" w14:paraId="016715BD"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21A80290" w14:textId="77777777" w:rsidR="00F275F7" w:rsidRPr="00F275F7" w:rsidRDefault="00F275F7" w:rsidP="00F275F7">
            <w:pPr>
              <w:ind w:left="33"/>
              <w:rPr>
                <w:iCs/>
                <w:sz w:val="24"/>
                <w:szCs w:val="24"/>
              </w:rPr>
            </w:pPr>
            <w:r w:rsidRPr="00F275F7">
              <w:rPr>
                <w:sz w:val="24"/>
                <w:szCs w:val="24"/>
              </w:rPr>
              <w:t xml:space="preserve">Propylparahydroxybenzoat </w:t>
            </w:r>
          </w:p>
        </w:tc>
        <w:tc>
          <w:tcPr>
            <w:tcW w:w="4556" w:type="dxa"/>
            <w:tcBorders>
              <w:top w:val="single" w:sz="4" w:space="0" w:color="000000"/>
              <w:left w:val="single" w:sz="4" w:space="0" w:color="000000"/>
              <w:bottom w:val="single" w:sz="4" w:space="0" w:color="000000"/>
              <w:right w:val="single" w:sz="4" w:space="0" w:color="000000"/>
            </w:tcBorders>
            <w:hideMark/>
          </w:tcPr>
          <w:p w14:paraId="457700D0" w14:textId="77777777" w:rsidR="00F275F7" w:rsidRPr="00F275F7" w:rsidRDefault="00F275F7" w:rsidP="00F275F7">
            <w:pPr>
              <w:rPr>
                <w:iCs/>
                <w:sz w:val="24"/>
                <w:szCs w:val="24"/>
              </w:rPr>
            </w:pPr>
            <w:r w:rsidRPr="00F275F7">
              <w:rPr>
                <w:sz w:val="24"/>
                <w:szCs w:val="24"/>
              </w:rPr>
              <w:t>0,20 mg</w:t>
            </w:r>
          </w:p>
        </w:tc>
      </w:tr>
      <w:tr w:rsidR="00F275F7" w:rsidRPr="00F275F7" w14:paraId="704A2647"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6AB9B5E5" w14:textId="77777777" w:rsidR="00F275F7" w:rsidRPr="00F275F7" w:rsidRDefault="00F275F7" w:rsidP="00F275F7">
            <w:pPr>
              <w:ind w:left="33"/>
              <w:rPr>
                <w:iCs/>
                <w:sz w:val="24"/>
                <w:szCs w:val="24"/>
              </w:rPr>
            </w:pPr>
            <w:r w:rsidRPr="00F275F7">
              <w:rPr>
                <w:sz w:val="24"/>
                <w:szCs w:val="24"/>
              </w:rPr>
              <w:t>Propylenglycol</w:t>
            </w:r>
          </w:p>
        </w:tc>
        <w:tc>
          <w:tcPr>
            <w:tcW w:w="4556" w:type="dxa"/>
            <w:tcBorders>
              <w:top w:val="single" w:sz="4" w:space="0" w:color="000000"/>
              <w:left w:val="single" w:sz="4" w:space="0" w:color="000000"/>
              <w:bottom w:val="single" w:sz="4" w:space="0" w:color="000000"/>
              <w:right w:val="single" w:sz="4" w:space="0" w:color="000000"/>
            </w:tcBorders>
          </w:tcPr>
          <w:p w14:paraId="718401E8" w14:textId="77777777" w:rsidR="00F275F7" w:rsidRPr="00F275F7" w:rsidRDefault="00F275F7" w:rsidP="00F275F7">
            <w:pPr>
              <w:rPr>
                <w:iCs/>
                <w:sz w:val="24"/>
                <w:szCs w:val="24"/>
                <w:lang w:val="en-GB"/>
              </w:rPr>
            </w:pPr>
          </w:p>
        </w:tc>
      </w:tr>
      <w:tr w:rsidR="00F275F7" w:rsidRPr="00F275F7" w14:paraId="1C5A19C3"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67AB5B84" w14:textId="77777777" w:rsidR="00F275F7" w:rsidRPr="00F275F7" w:rsidRDefault="00F275F7" w:rsidP="00F275F7">
            <w:pPr>
              <w:ind w:left="33"/>
              <w:rPr>
                <w:iCs/>
                <w:sz w:val="24"/>
                <w:szCs w:val="24"/>
              </w:rPr>
            </w:pPr>
            <w:r w:rsidRPr="00F275F7">
              <w:rPr>
                <w:sz w:val="24"/>
                <w:szCs w:val="24"/>
              </w:rPr>
              <w:t>Æblesmagsstof</w:t>
            </w:r>
          </w:p>
        </w:tc>
        <w:tc>
          <w:tcPr>
            <w:tcW w:w="4556" w:type="dxa"/>
            <w:tcBorders>
              <w:top w:val="single" w:sz="4" w:space="0" w:color="000000"/>
              <w:left w:val="single" w:sz="4" w:space="0" w:color="000000"/>
              <w:bottom w:val="single" w:sz="4" w:space="0" w:color="000000"/>
              <w:right w:val="single" w:sz="4" w:space="0" w:color="000000"/>
            </w:tcBorders>
          </w:tcPr>
          <w:p w14:paraId="33E2BC2F" w14:textId="77777777" w:rsidR="00F275F7" w:rsidRPr="00F275F7" w:rsidRDefault="00F275F7" w:rsidP="00F275F7">
            <w:pPr>
              <w:rPr>
                <w:iCs/>
                <w:sz w:val="24"/>
                <w:szCs w:val="24"/>
                <w:lang w:val="en-GB"/>
              </w:rPr>
            </w:pPr>
          </w:p>
        </w:tc>
      </w:tr>
      <w:tr w:rsidR="00F275F7" w:rsidRPr="00F275F7" w14:paraId="27E83184"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479B1AA4" w14:textId="77777777" w:rsidR="00F275F7" w:rsidRPr="00F275F7" w:rsidRDefault="00F275F7" w:rsidP="00F275F7">
            <w:pPr>
              <w:ind w:left="33"/>
              <w:rPr>
                <w:iCs/>
                <w:sz w:val="24"/>
                <w:szCs w:val="24"/>
              </w:rPr>
            </w:pPr>
            <w:r w:rsidRPr="00F275F7">
              <w:rPr>
                <w:sz w:val="24"/>
                <w:szCs w:val="24"/>
              </w:rPr>
              <w:t>Sucralose</w:t>
            </w:r>
          </w:p>
        </w:tc>
        <w:tc>
          <w:tcPr>
            <w:tcW w:w="4556" w:type="dxa"/>
            <w:tcBorders>
              <w:top w:val="single" w:sz="4" w:space="0" w:color="000000"/>
              <w:left w:val="single" w:sz="4" w:space="0" w:color="000000"/>
              <w:bottom w:val="single" w:sz="4" w:space="0" w:color="000000"/>
              <w:right w:val="single" w:sz="4" w:space="0" w:color="000000"/>
            </w:tcBorders>
          </w:tcPr>
          <w:p w14:paraId="2459E663" w14:textId="77777777" w:rsidR="00F275F7" w:rsidRPr="00F275F7" w:rsidRDefault="00F275F7" w:rsidP="00F275F7">
            <w:pPr>
              <w:rPr>
                <w:iCs/>
                <w:sz w:val="24"/>
                <w:szCs w:val="24"/>
                <w:lang w:val="en-GB"/>
              </w:rPr>
            </w:pPr>
          </w:p>
        </w:tc>
      </w:tr>
      <w:tr w:rsidR="00F275F7" w:rsidRPr="00F275F7" w14:paraId="09E5FF60"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11C06EB8" w14:textId="77777777" w:rsidR="00F275F7" w:rsidRPr="00F275F7" w:rsidRDefault="00F275F7" w:rsidP="00F275F7">
            <w:pPr>
              <w:ind w:left="33"/>
              <w:rPr>
                <w:sz w:val="24"/>
                <w:szCs w:val="24"/>
              </w:rPr>
            </w:pPr>
            <w:r w:rsidRPr="00F275F7">
              <w:rPr>
                <w:sz w:val="24"/>
                <w:szCs w:val="24"/>
              </w:rPr>
              <w:t>Natriumhydroxid, til justering af pH-værdien</w:t>
            </w:r>
          </w:p>
        </w:tc>
        <w:tc>
          <w:tcPr>
            <w:tcW w:w="4556" w:type="dxa"/>
            <w:tcBorders>
              <w:top w:val="single" w:sz="4" w:space="0" w:color="000000"/>
              <w:left w:val="single" w:sz="4" w:space="0" w:color="000000"/>
              <w:bottom w:val="single" w:sz="4" w:space="0" w:color="000000"/>
              <w:right w:val="single" w:sz="4" w:space="0" w:color="000000"/>
            </w:tcBorders>
          </w:tcPr>
          <w:p w14:paraId="1E64538D" w14:textId="77777777" w:rsidR="00F275F7" w:rsidRPr="00F275F7" w:rsidRDefault="00F275F7" w:rsidP="00F275F7">
            <w:pPr>
              <w:rPr>
                <w:sz w:val="24"/>
                <w:szCs w:val="24"/>
              </w:rPr>
            </w:pPr>
          </w:p>
        </w:tc>
      </w:tr>
      <w:tr w:rsidR="00F275F7" w:rsidRPr="00F275F7" w14:paraId="2E735808"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5782AD5C" w14:textId="77777777" w:rsidR="00F275F7" w:rsidRPr="00F275F7" w:rsidRDefault="00F275F7" w:rsidP="00F275F7">
            <w:pPr>
              <w:ind w:left="33"/>
              <w:rPr>
                <w:sz w:val="24"/>
                <w:szCs w:val="24"/>
              </w:rPr>
            </w:pPr>
            <w:r w:rsidRPr="00F275F7">
              <w:rPr>
                <w:sz w:val="24"/>
                <w:szCs w:val="24"/>
              </w:rPr>
              <w:t>Xanthangummi</w:t>
            </w:r>
          </w:p>
        </w:tc>
        <w:tc>
          <w:tcPr>
            <w:tcW w:w="4556" w:type="dxa"/>
            <w:tcBorders>
              <w:top w:val="single" w:sz="4" w:space="0" w:color="000000"/>
              <w:left w:val="single" w:sz="4" w:space="0" w:color="000000"/>
              <w:bottom w:val="single" w:sz="4" w:space="0" w:color="000000"/>
              <w:right w:val="single" w:sz="4" w:space="0" w:color="000000"/>
            </w:tcBorders>
          </w:tcPr>
          <w:p w14:paraId="4B41980F" w14:textId="77777777" w:rsidR="00F275F7" w:rsidRPr="00F275F7" w:rsidRDefault="00F275F7" w:rsidP="00F275F7">
            <w:pPr>
              <w:rPr>
                <w:sz w:val="24"/>
                <w:szCs w:val="24"/>
                <w:lang w:val="en-GB"/>
              </w:rPr>
            </w:pPr>
          </w:p>
        </w:tc>
      </w:tr>
      <w:tr w:rsidR="00F275F7" w:rsidRPr="00F275F7" w14:paraId="76C1D44B" w14:textId="77777777" w:rsidTr="00F275F7">
        <w:tc>
          <w:tcPr>
            <w:tcW w:w="4584" w:type="dxa"/>
            <w:tcBorders>
              <w:top w:val="single" w:sz="4" w:space="0" w:color="000000"/>
              <w:left w:val="single" w:sz="4" w:space="0" w:color="000000"/>
              <w:bottom w:val="single" w:sz="4" w:space="0" w:color="000000"/>
              <w:right w:val="single" w:sz="4" w:space="0" w:color="000000"/>
            </w:tcBorders>
            <w:vAlign w:val="center"/>
            <w:hideMark/>
          </w:tcPr>
          <w:p w14:paraId="1A0509EB" w14:textId="77777777" w:rsidR="00F275F7" w:rsidRPr="00F275F7" w:rsidRDefault="00F275F7" w:rsidP="00F275F7">
            <w:pPr>
              <w:ind w:left="33"/>
              <w:rPr>
                <w:sz w:val="24"/>
                <w:szCs w:val="24"/>
              </w:rPr>
            </w:pPr>
            <w:r w:rsidRPr="00F275F7">
              <w:rPr>
                <w:sz w:val="24"/>
                <w:szCs w:val="24"/>
              </w:rPr>
              <w:t>Vand til injektionsvæske</w:t>
            </w:r>
          </w:p>
        </w:tc>
        <w:tc>
          <w:tcPr>
            <w:tcW w:w="4556" w:type="dxa"/>
            <w:tcBorders>
              <w:top w:val="single" w:sz="4" w:space="0" w:color="000000"/>
              <w:left w:val="single" w:sz="4" w:space="0" w:color="000000"/>
              <w:bottom w:val="single" w:sz="4" w:space="0" w:color="000000"/>
              <w:right w:val="single" w:sz="4" w:space="0" w:color="000000"/>
            </w:tcBorders>
          </w:tcPr>
          <w:p w14:paraId="4E5A3C22" w14:textId="77777777" w:rsidR="00F275F7" w:rsidRPr="00F275F7" w:rsidRDefault="00F275F7" w:rsidP="00F275F7">
            <w:pPr>
              <w:rPr>
                <w:sz w:val="24"/>
                <w:szCs w:val="24"/>
                <w:lang w:val="en-GB"/>
              </w:rPr>
            </w:pPr>
          </w:p>
        </w:tc>
      </w:tr>
    </w:tbl>
    <w:p w14:paraId="04FA2953" w14:textId="77777777" w:rsidR="00F275F7" w:rsidRPr="00F275F7" w:rsidRDefault="00F275F7" w:rsidP="00F275F7">
      <w:pPr>
        <w:ind w:left="851"/>
        <w:rPr>
          <w:sz w:val="24"/>
          <w:szCs w:val="24"/>
        </w:rPr>
      </w:pPr>
    </w:p>
    <w:p w14:paraId="0C10142C" w14:textId="77777777" w:rsidR="00F275F7" w:rsidRPr="00F275F7" w:rsidRDefault="00F275F7" w:rsidP="00F275F7">
      <w:pPr>
        <w:ind w:left="851"/>
        <w:rPr>
          <w:sz w:val="24"/>
          <w:szCs w:val="24"/>
        </w:rPr>
      </w:pPr>
      <w:r w:rsidRPr="00F275F7">
        <w:rPr>
          <w:sz w:val="24"/>
          <w:szCs w:val="24"/>
        </w:rPr>
        <w:t>Ensartet hvid til næsten hvid pasta.</w:t>
      </w:r>
    </w:p>
    <w:p w14:paraId="091694CD" w14:textId="02F497FA" w:rsidR="00F275F7" w:rsidRDefault="00F275F7">
      <w:pPr>
        <w:rPr>
          <w:sz w:val="24"/>
          <w:szCs w:val="24"/>
        </w:rPr>
      </w:pPr>
      <w:r>
        <w:rPr>
          <w:sz w:val="24"/>
          <w:szCs w:val="24"/>
        </w:rPr>
        <w:br w:type="page"/>
      </w:r>
    </w:p>
    <w:p w14:paraId="7C77116E" w14:textId="77777777" w:rsidR="008203A8" w:rsidRPr="008509BB" w:rsidRDefault="008203A8" w:rsidP="008203A8">
      <w:pPr>
        <w:ind w:left="851"/>
        <w:rPr>
          <w:sz w:val="24"/>
          <w:szCs w:val="24"/>
        </w:rPr>
      </w:pPr>
    </w:p>
    <w:p w14:paraId="42573186"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2613AC3C" w14:textId="77777777" w:rsidR="008203A8" w:rsidRPr="00406EE7" w:rsidRDefault="008203A8" w:rsidP="008203A8">
      <w:pPr>
        <w:tabs>
          <w:tab w:val="left" w:pos="851"/>
        </w:tabs>
        <w:ind w:left="851"/>
        <w:rPr>
          <w:sz w:val="24"/>
          <w:szCs w:val="24"/>
        </w:rPr>
      </w:pPr>
    </w:p>
    <w:p w14:paraId="5BC3495F"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6DE2979A" w14:textId="3CF98C7A" w:rsidR="008203A8" w:rsidRPr="00406EE7" w:rsidRDefault="00076EA2" w:rsidP="008203A8">
      <w:pPr>
        <w:ind w:left="851"/>
        <w:rPr>
          <w:sz w:val="24"/>
          <w:szCs w:val="24"/>
        </w:rPr>
      </w:pPr>
      <w:r>
        <w:rPr>
          <w:sz w:val="24"/>
          <w:szCs w:val="24"/>
        </w:rPr>
        <w:t>Hest</w:t>
      </w:r>
    </w:p>
    <w:p w14:paraId="28DEE3D6" w14:textId="77777777" w:rsidR="008203A8" w:rsidRPr="00406EE7" w:rsidRDefault="008203A8" w:rsidP="008203A8">
      <w:pPr>
        <w:ind w:left="851"/>
        <w:rPr>
          <w:sz w:val="24"/>
          <w:szCs w:val="24"/>
        </w:rPr>
      </w:pPr>
    </w:p>
    <w:p w14:paraId="09D74A02" w14:textId="77777777" w:rsidR="008203A8" w:rsidRPr="00371CA6" w:rsidRDefault="008203A8" w:rsidP="008203A8">
      <w:pPr>
        <w:pStyle w:val="Sidehoved"/>
        <w:tabs>
          <w:tab w:val="clear" w:pos="4819"/>
        </w:tabs>
        <w:ind w:left="851" w:hanging="851"/>
        <w:rPr>
          <w:b/>
          <w:szCs w:val="24"/>
        </w:rPr>
      </w:pPr>
      <w:r>
        <w:rPr>
          <w:b/>
          <w:szCs w:val="24"/>
        </w:rPr>
        <w:t>3</w:t>
      </w:r>
      <w:r w:rsidRPr="00371CA6">
        <w:rPr>
          <w:b/>
          <w:szCs w:val="24"/>
        </w:rPr>
        <w:t>.2</w:t>
      </w:r>
      <w:r w:rsidRPr="00371CA6">
        <w:rPr>
          <w:b/>
          <w:szCs w:val="24"/>
        </w:rPr>
        <w:tab/>
        <w:t xml:space="preserve">Terapeutiske indikationer </w:t>
      </w:r>
      <w:r w:rsidRPr="00371CA6">
        <w:rPr>
          <w:b/>
        </w:rPr>
        <w:t>for hver dyreart, som lægemidlet er beregnet til</w:t>
      </w:r>
    </w:p>
    <w:p w14:paraId="5C3DDD7E" w14:textId="77777777" w:rsidR="00076EA2" w:rsidRPr="00076EA2" w:rsidRDefault="00076EA2" w:rsidP="00076EA2">
      <w:pPr>
        <w:pStyle w:val="Sidehoved"/>
        <w:ind w:left="851"/>
        <w:rPr>
          <w:szCs w:val="24"/>
        </w:rPr>
      </w:pPr>
      <w:r w:rsidRPr="00076EA2">
        <w:rPr>
          <w:szCs w:val="24"/>
        </w:rPr>
        <w:t>Behandling af infektioner forårsaget af mikroorganismer, der er følsomme over for kombinationen af trimethoprim og sulfadiazin.</w:t>
      </w:r>
    </w:p>
    <w:p w14:paraId="3FAC48BA" w14:textId="77777777" w:rsidR="008203A8" w:rsidRDefault="008203A8" w:rsidP="008203A8">
      <w:pPr>
        <w:pStyle w:val="Sidehoved"/>
        <w:ind w:left="851"/>
        <w:rPr>
          <w:szCs w:val="24"/>
        </w:rPr>
      </w:pPr>
    </w:p>
    <w:p w14:paraId="4F6ECE01"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04042097" w14:textId="77777777" w:rsidR="00076EA2" w:rsidRPr="00076EA2" w:rsidRDefault="00076EA2" w:rsidP="00076EA2">
      <w:pPr>
        <w:pStyle w:val="Sidehoved"/>
        <w:ind w:left="851"/>
        <w:rPr>
          <w:szCs w:val="24"/>
        </w:rPr>
      </w:pPr>
      <w:r w:rsidRPr="00076EA2">
        <w:rPr>
          <w:szCs w:val="24"/>
        </w:rPr>
        <w:t>Må ikke anvendes i tilfælde af overfølsomhed over for de aktive stoffer (eller andre sulfonamider) eller over for et eller flere af hjælpestofferne.</w:t>
      </w:r>
    </w:p>
    <w:p w14:paraId="2D62F68B" w14:textId="77777777" w:rsidR="00076EA2" w:rsidRPr="00076EA2" w:rsidRDefault="00076EA2" w:rsidP="00076EA2">
      <w:pPr>
        <w:pStyle w:val="Sidehoved"/>
        <w:ind w:left="851"/>
        <w:rPr>
          <w:szCs w:val="24"/>
        </w:rPr>
      </w:pPr>
      <w:r w:rsidRPr="00076EA2">
        <w:rPr>
          <w:szCs w:val="24"/>
        </w:rPr>
        <w:t>Må ikke anvendes til heste, der behandles med detomidin.</w:t>
      </w:r>
    </w:p>
    <w:p w14:paraId="4898FEBC" w14:textId="77777777" w:rsidR="00076EA2" w:rsidRPr="00076EA2" w:rsidRDefault="00076EA2" w:rsidP="00076EA2">
      <w:pPr>
        <w:pStyle w:val="Sidehoved"/>
        <w:ind w:left="851"/>
        <w:rPr>
          <w:szCs w:val="24"/>
        </w:rPr>
      </w:pPr>
      <w:r w:rsidRPr="00076EA2">
        <w:rPr>
          <w:szCs w:val="24"/>
        </w:rPr>
        <w:t xml:space="preserve">Må ikke anvendes til heste med nedsat leverfunktion eller nyresygdom. </w:t>
      </w:r>
    </w:p>
    <w:p w14:paraId="3967EBA2" w14:textId="77777777" w:rsidR="008203A8" w:rsidRPr="00406EE7" w:rsidRDefault="008203A8" w:rsidP="008203A8">
      <w:pPr>
        <w:pStyle w:val="Sidehoved"/>
        <w:tabs>
          <w:tab w:val="clear" w:pos="4819"/>
        </w:tabs>
        <w:ind w:left="851"/>
        <w:rPr>
          <w:szCs w:val="24"/>
        </w:rPr>
      </w:pPr>
    </w:p>
    <w:p w14:paraId="62C78622"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0B9D6215" w14:textId="77777777" w:rsidR="00076EA2" w:rsidRPr="00076EA2" w:rsidRDefault="00076EA2" w:rsidP="00076EA2">
      <w:pPr>
        <w:pStyle w:val="Sidehoved"/>
        <w:ind w:left="851"/>
        <w:rPr>
          <w:szCs w:val="24"/>
        </w:rPr>
      </w:pPr>
      <w:r w:rsidRPr="00076EA2">
        <w:rPr>
          <w:szCs w:val="24"/>
        </w:rPr>
        <w:t>Der er påvist krydsresistens mellem sulfadiazin og andre sulfonamider. Anvendelse af veterinærlægemidlet skal nøje overvejes, hvis følsomhedstestning har vist resistens over for sulfonamider, da lægemidlets effektivitet kan blive reduceret.</w:t>
      </w:r>
    </w:p>
    <w:p w14:paraId="2FC889CF" w14:textId="77777777" w:rsidR="00076EA2" w:rsidRPr="00076EA2" w:rsidRDefault="00076EA2" w:rsidP="00076EA2">
      <w:pPr>
        <w:pStyle w:val="Sidehoved"/>
        <w:ind w:left="851"/>
        <w:rPr>
          <w:iCs/>
          <w:szCs w:val="24"/>
        </w:rPr>
      </w:pPr>
    </w:p>
    <w:p w14:paraId="3B5B9D4C" w14:textId="77777777" w:rsidR="00076EA2" w:rsidRPr="00076EA2" w:rsidRDefault="00076EA2" w:rsidP="00076EA2">
      <w:pPr>
        <w:pStyle w:val="Sidehoved"/>
        <w:ind w:left="851"/>
        <w:rPr>
          <w:szCs w:val="24"/>
        </w:rPr>
      </w:pPr>
      <w:bookmarkStart w:id="1" w:name="_Hlk177466123"/>
      <w:r w:rsidRPr="00076EA2">
        <w:rPr>
          <w:szCs w:val="24"/>
        </w:rPr>
        <w:t>I tilfælde af pusdannende infektioner frarådes kombinationer af trimethoprim og sulfonamider på grund af den nedsatte virkning under sådanne forhold.</w:t>
      </w:r>
    </w:p>
    <w:bookmarkEnd w:id="1"/>
    <w:p w14:paraId="44AE30F2" w14:textId="77777777" w:rsidR="00076EA2" w:rsidRPr="00076EA2" w:rsidRDefault="00076EA2" w:rsidP="00076EA2">
      <w:pPr>
        <w:pStyle w:val="Sidehoved"/>
        <w:ind w:left="851"/>
        <w:rPr>
          <w:szCs w:val="24"/>
        </w:rPr>
      </w:pPr>
    </w:p>
    <w:p w14:paraId="465AF37F"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2A3C1F16" w14:textId="77777777" w:rsidR="008203A8" w:rsidRPr="002374DA" w:rsidRDefault="008203A8" w:rsidP="008203A8">
      <w:pPr>
        <w:tabs>
          <w:tab w:val="left" w:pos="851"/>
        </w:tabs>
        <w:ind w:left="851"/>
        <w:rPr>
          <w:sz w:val="24"/>
          <w:szCs w:val="24"/>
        </w:rPr>
      </w:pPr>
    </w:p>
    <w:p w14:paraId="5F816190" w14:textId="77777777" w:rsidR="008203A8" w:rsidRPr="00967486" w:rsidRDefault="008203A8" w:rsidP="008203A8">
      <w:pPr>
        <w:tabs>
          <w:tab w:val="left" w:pos="851"/>
        </w:tabs>
        <w:ind w:left="851"/>
        <w:rPr>
          <w:sz w:val="24"/>
          <w:szCs w:val="24"/>
          <w:u w:val="single"/>
        </w:rPr>
      </w:pPr>
      <w:r w:rsidRPr="00967486">
        <w:rPr>
          <w:sz w:val="24"/>
          <w:szCs w:val="24"/>
          <w:u w:val="single"/>
        </w:rPr>
        <w:t>Særlige forholdsregler vedrørende sikker brug hos de dyrearter, som lægemidlet er beregnet til</w:t>
      </w:r>
    </w:p>
    <w:p w14:paraId="0E304F19" w14:textId="77777777" w:rsidR="00E645EA" w:rsidRPr="00E645EA" w:rsidRDefault="00E645EA" w:rsidP="00E645EA">
      <w:pPr>
        <w:tabs>
          <w:tab w:val="left" w:pos="851"/>
        </w:tabs>
        <w:ind w:left="851"/>
        <w:rPr>
          <w:sz w:val="24"/>
          <w:szCs w:val="24"/>
        </w:rPr>
      </w:pPr>
      <w:r w:rsidRPr="00E645EA">
        <w:rPr>
          <w:sz w:val="24"/>
          <w:szCs w:val="24"/>
        </w:rPr>
        <w:t>Der skal udvises forsigtighed ved behandling af heste med bloddyskrasier.</w:t>
      </w:r>
    </w:p>
    <w:p w14:paraId="6E573A03" w14:textId="77777777" w:rsidR="00E645EA" w:rsidRPr="00E645EA" w:rsidRDefault="00E645EA" w:rsidP="00E645EA">
      <w:pPr>
        <w:tabs>
          <w:tab w:val="left" w:pos="851"/>
        </w:tabs>
        <w:ind w:left="851"/>
        <w:rPr>
          <w:sz w:val="24"/>
          <w:szCs w:val="24"/>
        </w:rPr>
      </w:pPr>
      <w:r w:rsidRPr="00E645EA">
        <w:rPr>
          <w:sz w:val="24"/>
          <w:szCs w:val="24"/>
        </w:rPr>
        <w:t xml:space="preserve">Under hele behandlingen med produktet skal dyret have fri adgang til drikkevand for at undgå mulig krystalluri. </w:t>
      </w:r>
    </w:p>
    <w:p w14:paraId="23596D51" w14:textId="77777777" w:rsidR="00E645EA" w:rsidRPr="00E645EA" w:rsidRDefault="00E645EA" w:rsidP="00E645EA">
      <w:pPr>
        <w:tabs>
          <w:tab w:val="left" w:pos="851"/>
        </w:tabs>
        <w:ind w:left="851"/>
        <w:rPr>
          <w:sz w:val="24"/>
          <w:szCs w:val="24"/>
        </w:rPr>
      </w:pPr>
      <w:r w:rsidRPr="00E645EA">
        <w:rPr>
          <w:sz w:val="24"/>
          <w:szCs w:val="24"/>
        </w:rPr>
        <w:t>Der skal udvises forsigtighed ved behandling af nyfødte dyr. Nyreinsufficiens medfører en risiko for ophobning, hvilket øger risikoen for bivirkninger ved langvarig behandling.</w:t>
      </w:r>
    </w:p>
    <w:p w14:paraId="38C38961" w14:textId="77777777" w:rsidR="00E645EA" w:rsidRPr="00E645EA" w:rsidRDefault="00E645EA" w:rsidP="00E645EA">
      <w:pPr>
        <w:tabs>
          <w:tab w:val="left" w:pos="851"/>
        </w:tabs>
        <w:ind w:left="851"/>
        <w:rPr>
          <w:sz w:val="24"/>
          <w:szCs w:val="24"/>
        </w:rPr>
      </w:pPr>
      <w:r w:rsidRPr="00E645EA">
        <w:rPr>
          <w:sz w:val="24"/>
          <w:szCs w:val="24"/>
        </w:rPr>
        <w:t>Brugen af veterinærlægemidlet skal baseres på identifikation af og følsomhedstestning for målpatogenet/-patogenerne. Hvis dette ikke er muligt, skal behandlingen baseres på epidemiologisk information og kendskab til følsomhed over for målpatogenerne i den pågældende besætning eller på lokalt/regionalt plan.</w:t>
      </w:r>
    </w:p>
    <w:p w14:paraId="407A169F" w14:textId="77777777" w:rsidR="00E645EA" w:rsidRPr="00E645EA" w:rsidRDefault="00E645EA" w:rsidP="00E645EA">
      <w:pPr>
        <w:tabs>
          <w:tab w:val="left" w:pos="851"/>
        </w:tabs>
        <w:ind w:left="851"/>
        <w:rPr>
          <w:sz w:val="24"/>
          <w:szCs w:val="24"/>
        </w:rPr>
      </w:pPr>
      <w:r w:rsidRPr="00E645EA">
        <w:rPr>
          <w:sz w:val="24"/>
          <w:szCs w:val="24"/>
        </w:rPr>
        <w:t>Brugen af veterinærlægemidlet skal ske i overensstemmelse med officielle, nationale og regionale bestemmelser for antimikrobielle midler.</w:t>
      </w:r>
    </w:p>
    <w:p w14:paraId="7411FDB7" w14:textId="77777777" w:rsidR="008203A8" w:rsidRPr="00406EE7" w:rsidRDefault="008203A8" w:rsidP="008203A8">
      <w:pPr>
        <w:tabs>
          <w:tab w:val="left" w:pos="851"/>
        </w:tabs>
        <w:ind w:left="851"/>
        <w:rPr>
          <w:sz w:val="24"/>
          <w:szCs w:val="24"/>
        </w:rPr>
      </w:pPr>
    </w:p>
    <w:p w14:paraId="713F4C17"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for personer, der administrerer veterinærlægemidlet til dyr</w:t>
      </w:r>
    </w:p>
    <w:p w14:paraId="00069BE9" w14:textId="77777777" w:rsidR="00E645EA" w:rsidRPr="00E645EA" w:rsidRDefault="00E645EA" w:rsidP="00E645EA">
      <w:pPr>
        <w:tabs>
          <w:tab w:val="left" w:pos="851"/>
        </w:tabs>
        <w:ind w:left="851"/>
        <w:rPr>
          <w:sz w:val="24"/>
          <w:szCs w:val="24"/>
        </w:rPr>
      </w:pPr>
      <w:r w:rsidRPr="00E645EA">
        <w:rPr>
          <w:sz w:val="24"/>
          <w:szCs w:val="24"/>
        </w:rPr>
        <w:t>Dette veterinærlægemiddel kan forårsage overfølsomhedsreaktioner. Ved kendt overfølsomhed over for sulfonamider, trimethoprim eller et eller flere af hjælpestofferne (parabener, polyethylenglycol) bør kontakt med veterinærlægemidlet undgås. I tilfælde af utilsigtet kontakt med huden skal huden vaskes grundigt. I tilfælde af overfølsomhedsreaktioner (som for eksempel udslæt): Opsøg lægehjælp og vis indlægssedlen eller etiketten til lægen.</w:t>
      </w:r>
    </w:p>
    <w:p w14:paraId="1897F6F0" w14:textId="77777777" w:rsidR="00E645EA" w:rsidRPr="00E645EA" w:rsidRDefault="00E645EA" w:rsidP="00E645EA">
      <w:pPr>
        <w:tabs>
          <w:tab w:val="left" w:pos="851"/>
        </w:tabs>
        <w:ind w:left="851"/>
        <w:rPr>
          <w:sz w:val="24"/>
          <w:szCs w:val="24"/>
        </w:rPr>
      </w:pPr>
      <w:r w:rsidRPr="00E645EA">
        <w:rPr>
          <w:sz w:val="24"/>
          <w:szCs w:val="24"/>
        </w:rPr>
        <w:t>Hævelse af ansigt, læber eller øjne er mere alvorlige reaktioner og kræver akut lægehjælp.</w:t>
      </w:r>
    </w:p>
    <w:p w14:paraId="18E91EFF" w14:textId="77777777" w:rsidR="00E645EA" w:rsidRPr="00E645EA" w:rsidRDefault="00E645EA" w:rsidP="00E645EA">
      <w:pPr>
        <w:tabs>
          <w:tab w:val="left" w:pos="851"/>
        </w:tabs>
        <w:ind w:left="851"/>
        <w:rPr>
          <w:sz w:val="24"/>
          <w:szCs w:val="24"/>
        </w:rPr>
      </w:pPr>
    </w:p>
    <w:p w14:paraId="4256DA8C" w14:textId="77777777" w:rsidR="00E645EA" w:rsidRPr="00E645EA" w:rsidRDefault="00E645EA" w:rsidP="00E645EA">
      <w:pPr>
        <w:tabs>
          <w:tab w:val="left" w:pos="851"/>
        </w:tabs>
        <w:ind w:left="851"/>
        <w:rPr>
          <w:sz w:val="24"/>
          <w:szCs w:val="24"/>
        </w:rPr>
      </w:pPr>
      <w:r w:rsidRPr="00E645EA">
        <w:rPr>
          <w:sz w:val="24"/>
          <w:szCs w:val="24"/>
        </w:rPr>
        <w:t xml:space="preserve">Dette veterinærlægemiddel kan forårsage bivirkninger såsom gastrointestinale forstyrrelser. Udvis forsigtighed for at undgå, at veterinærlægemidlet utilsigtet indtages, </w:t>
      </w:r>
      <w:r w:rsidRPr="00E645EA">
        <w:rPr>
          <w:sz w:val="24"/>
          <w:szCs w:val="24"/>
        </w:rPr>
        <w:lastRenderedPageBreak/>
        <w:t>især af et barn. Lad ikke sprøjten være uden opsyn. Oralsprøjter og delvist brugte sprøjter skal opbevares i den originale yderkarton på et sikkert sted og skal bruges til næste administration. I tilfælde af utilsigtet indtagelse skal der straks søges lægehjælp, og indlægssedlen eller etiketten bør vises til lægen.</w:t>
      </w:r>
    </w:p>
    <w:p w14:paraId="190B0033" w14:textId="77777777" w:rsidR="00E645EA" w:rsidRPr="00E645EA" w:rsidRDefault="00E645EA" w:rsidP="00E645EA">
      <w:pPr>
        <w:tabs>
          <w:tab w:val="left" w:pos="851"/>
        </w:tabs>
        <w:ind w:left="851"/>
        <w:rPr>
          <w:sz w:val="24"/>
          <w:szCs w:val="24"/>
        </w:rPr>
      </w:pPr>
      <w:r w:rsidRPr="00E645EA">
        <w:rPr>
          <w:sz w:val="24"/>
          <w:szCs w:val="24"/>
        </w:rPr>
        <w:t>Vask hænder efter brug.</w:t>
      </w:r>
    </w:p>
    <w:p w14:paraId="39EAA04D" w14:textId="77777777" w:rsidR="008203A8" w:rsidRDefault="008203A8" w:rsidP="008203A8">
      <w:pPr>
        <w:tabs>
          <w:tab w:val="left" w:pos="851"/>
        </w:tabs>
        <w:ind w:left="851"/>
        <w:rPr>
          <w:sz w:val="24"/>
          <w:szCs w:val="24"/>
        </w:rPr>
      </w:pPr>
    </w:p>
    <w:p w14:paraId="791482FC"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vedrørende beskyttelse af miljøet</w:t>
      </w:r>
    </w:p>
    <w:p w14:paraId="690E8FE0" w14:textId="77777777" w:rsidR="00E645EA" w:rsidRPr="00E645EA" w:rsidRDefault="00E645EA" w:rsidP="00E645EA">
      <w:pPr>
        <w:tabs>
          <w:tab w:val="left" w:pos="851"/>
        </w:tabs>
        <w:ind w:left="851"/>
        <w:rPr>
          <w:sz w:val="24"/>
          <w:szCs w:val="24"/>
        </w:rPr>
      </w:pPr>
      <w:r w:rsidRPr="00E645EA">
        <w:rPr>
          <w:sz w:val="24"/>
          <w:szCs w:val="24"/>
        </w:rPr>
        <w:t>Ikke relevant.</w:t>
      </w:r>
    </w:p>
    <w:p w14:paraId="376A0E77" w14:textId="77777777" w:rsidR="008203A8" w:rsidRPr="00406EE7" w:rsidRDefault="008203A8" w:rsidP="008203A8">
      <w:pPr>
        <w:tabs>
          <w:tab w:val="left" w:pos="851"/>
        </w:tabs>
        <w:ind w:left="851"/>
        <w:rPr>
          <w:sz w:val="24"/>
          <w:szCs w:val="24"/>
        </w:rPr>
      </w:pPr>
    </w:p>
    <w:p w14:paraId="21BC5D1A"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43F1D8CB" w14:textId="77777777" w:rsidR="00CB022C" w:rsidRDefault="00CB022C" w:rsidP="00CB022C">
      <w:pPr>
        <w:tabs>
          <w:tab w:val="left" w:pos="851"/>
        </w:tabs>
        <w:ind w:left="851"/>
        <w:rPr>
          <w:sz w:val="24"/>
          <w:szCs w:val="24"/>
        </w:rPr>
      </w:pPr>
    </w:p>
    <w:p w14:paraId="572CB6DF" w14:textId="61E5B230" w:rsidR="00CB022C" w:rsidRPr="00CB022C" w:rsidRDefault="00CB022C" w:rsidP="00CB022C">
      <w:pPr>
        <w:tabs>
          <w:tab w:val="left" w:pos="851"/>
        </w:tabs>
        <w:ind w:left="851"/>
        <w:rPr>
          <w:sz w:val="24"/>
          <w:szCs w:val="24"/>
        </w:rPr>
      </w:pPr>
      <w:r w:rsidRPr="00CB022C">
        <w:rPr>
          <w:sz w:val="24"/>
          <w:szCs w:val="24"/>
        </w:rPr>
        <w:t>Heste:</w:t>
      </w:r>
    </w:p>
    <w:p w14:paraId="69706519" w14:textId="77777777" w:rsidR="00CB022C" w:rsidRPr="00CB022C" w:rsidRDefault="00CB022C" w:rsidP="00CB022C">
      <w:pPr>
        <w:tabs>
          <w:tab w:val="left" w:pos="851"/>
        </w:tabs>
        <w:ind w:left="851"/>
        <w:rPr>
          <w:sz w:val="24"/>
          <w:szCs w:val="24"/>
        </w:rPr>
      </w:pPr>
    </w:p>
    <w:tbl>
      <w:tblPr>
        <w:tblW w:w="4785"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445"/>
      </w:tblGrid>
      <w:tr w:rsidR="00CB022C" w:rsidRPr="00CB022C" w14:paraId="5D8861F5" w14:textId="77777777" w:rsidTr="00CB022C">
        <w:tc>
          <w:tcPr>
            <w:tcW w:w="2045" w:type="pct"/>
            <w:tcBorders>
              <w:top w:val="single" w:sz="4" w:space="0" w:color="auto"/>
              <w:left w:val="single" w:sz="4" w:space="0" w:color="auto"/>
              <w:bottom w:val="single" w:sz="4" w:space="0" w:color="auto"/>
              <w:right w:val="single" w:sz="4" w:space="0" w:color="auto"/>
            </w:tcBorders>
          </w:tcPr>
          <w:p w14:paraId="17E36160" w14:textId="77777777" w:rsidR="00CB022C" w:rsidRPr="00CB022C" w:rsidRDefault="00CB022C" w:rsidP="00CB022C">
            <w:pPr>
              <w:ind w:left="33"/>
              <w:rPr>
                <w:sz w:val="24"/>
                <w:szCs w:val="24"/>
              </w:rPr>
            </w:pPr>
            <w:r w:rsidRPr="00CB022C">
              <w:rPr>
                <w:sz w:val="24"/>
                <w:szCs w:val="24"/>
              </w:rPr>
              <w:t>Ikke kendt (hyppigheden kan ikke estimeres ud fra forhåndenværende data)</w:t>
            </w:r>
          </w:p>
          <w:p w14:paraId="091B6BEE" w14:textId="77777777" w:rsidR="00CB022C" w:rsidRPr="00CB022C" w:rsidRDefault="00CB022C" w:rsidP="00CB022C">
            <w:pPr>
              <w:ind w:left="33"/>
              <w:rPr>
                <w:sz w:val="24"/>
                <w:szCs w:val="24"/>
              </w:rPr>
            </w:pPr>
          </w:p>
          <w:p w14:paraId="7C084AF2" w14:textId="77777777" w:rsidR="00CB022C" w:rsidRPr="00CB022C" w:rsidRDefault="00CB022C" w:rsidP="00CB022C">
            <w:pPr>
              <w:ind w:left="33"/>
              <w:rPr>
                <w:bCs/>
                <w:i/>
                <w:iCs/>
                <w:sz w:val="24"/>
                <w:szCs w:val="24"/>
              </w:rPr>
            </w:pPr>
          </w:p>
        </w:tc>
        <w:tc>
          <w:tcPr>
            <w:tcW w:w="2955" w:type="pct"/>
            <w:tcBorders>
              <w:top w:val="single" w:sz="4" w:space="0" w:color="auto"/>
              <w:left w:val="single" w:sz="4" w:space="0" w:color="auto"/>
              <w:bottom w:val="single" w:sz="4" w:space="0" w:color="auto"/>
              <w:right w:val="single" w:sz="4" w:space="0" w:color="auto"/>
            </w:tcBorders>
            <w:hideMark/>
          </w:tcPr>
          <w:p w14:paraId="65301CAC" w14:textId="77777777" w:rsidR="00CB022C" w:rsidRPr="00CB022C" w:rsidRDefault="00CB022C" w:rsidP="00CB022C">
            <w:pPr>
              <w:ind w:left="90"/>
              <w:rPr>
                <w:bCs/>
                <w:i/>
                <w:iCs/>
                <w:sz w:val="24"/>
                <w:szCs w:val="24"/>
              </w:rPr>
            </w:pPr>
            <w:r w:rsidRPr="00CB022C">
              <w:rPr>
                <w:sz w:val="24"/>
                <w:szCs w:val="24"/>
              </w:rPr>
              <w:t>Overfølsomhedsreaktion (f.eks. urticaria)</w:t>
            </w:r>
          </w:p>
          <w:p w14:paraId="01C8EEF2" w14:textId="77777777" w:rsidR="00CB022C" w:rsidRPr="00CB022C" w:rsidRDefault="00CB022C" w:rsidP="00CB022C">
            <w:pPr>
              <w:ind w:left="90"/>
              <w:rPr>
                <w:bCs/>
                <w:i/>
                <w:iCs/>
                <w:sz w:val="24"/>
                <w:szCs w:val="24"/>
              </w:rPr>
            </w:pPr>
            <w:r w:rsidRPr="00CB022C">
              <w:rPr>
                <w:sz w:val="24"/>
                <w:szCs w:val="24"/>
              </w:rPr>
              <w:t>Manglende appetit</w:t>
            </w:r>
          </w:p>
          <w:p w14:paraId="14836214" w14:textId="77777777" w:rsidR="00CB022C" w:rsidRPr="00CB022C" w:rsidRDefault="00CB022C" w:rsidP="00CB022C">
            <w:pPr>
              <w:ind w:left="90"/>
              <w:rPr>
                <w:bCs/>
                <w:i/>
                <w:iCs/>
                <w:sz w:val="24"/>
                <w:szCs w:val="24"/>
              </w:rPr>
            </w:pPr>
            <w:r w:rsidRPr="00CB022C">
              <w:rPr>
                <w:sz w:val="24"/>
                <w:szCs w:val="24"/>
              </w:rPr>
              <w:t>Fordøjelsessygdom (f.eks. løs fæces, diaré og colitis)</w:t>
            </w:r>
          </w:p>
          <w:p w14:paraId="0F565A89" w14:textId="77777777" w:rsidR="00CB022C" w:rsidRPr="00CB022C" w:rsidRDefault="00CB022C" w:rsidP="00CB022C">
            <w:pPr>
              <w:ind w:left="90"/>
              <w:rPr>
                <w:bCs/>
                <w:iCs/>
                <w:sz w:val="24"/>
                <w:szCs w:val="24"/>
              </w:rPr>
            </w:pPr>
            <w:r w:rsidRPr="00CB022C">
              <w:rPr>
                <w:sz w:val="24"/>
                <w:szCs w:val="24"/>
              </w:rPr>
              <w:t>Leversygdom.</w:t>
            </w:r>
          </w:p>
          <w:p w14:paraId="7EDBE5E6" w14:textId="77777777" w:rsidR="00CB022C" w:rsidRPr="00CB022C" w:rsidRDefault="00CB022C" w:rsidP="00CB022C">
            <w:pPr>
              <w:ind w:left="90"/>
              <w:rPr>
                <w:bCs/>
                <w:sz w:val="24"/>
                <w:szCs w:val="24"/>
                <w:vertAlign w:val="superscript"/>
              </w:rPr>
            </w:pPr>
            <w:r w:rsidRPr="00CB022C">
              <w:rPr>
                <w:sz w:val="24"/>
                <w:szCs w:val="24"/>
              </w:rPr>
              <w:t>Nyresygdom, renal tubulær sygdom</w:t>
            </w:r>
            <w:r w:rsidRPr="00CB022C">
              <w:rPr>
                <w:sz w:val="24"/>
                <w:szCs w:val="24"/>
                <w:vertAlign w:val="superscript"/>
              </w:rPr>
              <w:t>1</w:t>
            </w:r>
          </w:p>
          <w:p w14:paraId="550FA83B" w14:textId="77777777" w:rsidR="00CB022C" w:rsidRPr="00CB022C" w:rsidRDefault="00CB022C" w:rsidP="00CB022C">
            <w:pPr>
              <w:ind w:left="90"/>
              <w:rPr>
                <w:bCs/>
                <w:i/>
                <w:iCs/>
                <w:sz w:val="24"/>
                <w:szCs w:val="24"/>
              </w:rPr>
            </w:pPr>
            <w:r w:rsidRPr="00CB022C">
              <w:rPr>
                <w:sz w:val="24"/>
                <w:szCs w:val="24"/>
              </w:rPr>
              <w:t>Hæmatologiske virkninger (f.eks. anæmi, trombocytopeni eller leukopeni)</w:t>
            </w:r>
          </w:p>
          <w:p w14:paraId="54B5CD0E" w14:textId="77777777" w:rsidR="00CB022C" w:rsidRPr="00CB022C" w:rsidRDefault="00CB022C" w:rsidP="00CB022C">
            <w:pPr>
              <w:ind w:left="90"/>
              <w:rPr>
                <w:bCs/>
                <w:iCs/>
                <w:sz w:val="24"/>
                <w:szCs w:val="24"/>
              </w:rPr>
            </w:pPr>
            <w:r w:rsidRPr="00CB022C">
              <w:rPr>
                <w:sz w:val="24"/>
                <w:szCs w:val="24"/>
              </w:rPr>
              <w:t>Hæmaturi, krystalluri</w:t>
            </w:r>
          </w:p>
        </w:tc>
      </w:tr>
    </w:tbl>
    <w:p w14:paraId="5422E5F8" w14:textId="5358A14F" w:rsidR="00CB022C" w:rsidRPr="00CB022C" w:rsidRDefault="00CB022C" w:rsidP="00CB022C">
      <w:pPr>
        <w:tabs>
          <w:tab w:val="left" w:pos="851"/>
        </w:tabs>
        <w:ind w:left="851"/>
        <w:rPr>
          <w:bCs/>
          <w:i/>
          <w:iCs/>
          <w:sz w:val="20"/>
        </w:rPr>
      </w:pPr>
      <w:r w:rsidRPr="00CB022C">
        <w:rPr>
          <w:sz w:val="20"/>
          <w:vertAlign w:val="superscript"/>
        </w:rPr>
        <w:t xml:space="preserve">1 </w:t>
      </w:r>
      <w:r w:rsidRPr="00CB022C">
        <w:rPr>
          <w:sz w:val="20"/>
        </w:rPr>
        <w:t>Obstruktion af tubuli</w:t>
      </w:r>
    </w:p>
    <w:p w14:paraId="59DD3F7F" w14:textId="77777777" w:rsidR="00CB022C" w:rsidRPr="00CB022C" w:rsidRDefault="00CB022C" w:rsidP="00CB022C">
      <w:pPr>
        <w:tabs>
          <w:tab w:val="left" w:pos="851"/>
        </w:tabs>
        <w:ind w:left="851"/>
        <w:rPr>
          <w:sz w:val="24"/>
          <w:szCs w:val="24"/>
        </w:rPr>
      </w:pPr>
    </w:p>
    <w:p w14:paraId="1AB0E21D" w14:textId="238FB7C3" w:rsidR="00CB022C" w:rsidRPr="00CB022C" w:rsidRDefault="00CB022C" w:rsidP="00CB022C">
      <w:pPr>
        <w:tabs>
          <w:tab w:val="left" w:pos="851"/>
        </w:tabs>
        <w:ind w:left="851"/>
        <w:rPr>
          <w:sz w:val="24"/>
          <w:szCs w:val="24"/>
        </w:rPr>
      </w:pPr>
      <w:bookmarkStart w:id="2" w:name="_Hlk66891708"/>
      <w:r w:rsidRPr="00CB022C">
        <w:rPr>
          <w:sz w:val="24"/>
          <w:szCs w:val="24"/>
        </w:rPr>
        <w:t xml:space="preserve">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w:t>
      </w:r>
      <w:bookmarkEnd w:id="2"/>
      <w:r w:rsidRPr="00CB022C">
        <w:rPr>
          <w:sz w:val="24"/>
          <w:szCs w:val="24"/>
        </w:rPr>
        <w:t>Se indlægssedlen for de relevante kontaktoplysninger.</w:t>
      </w:r>
    </w:p>
    <w:p w14:paraId="58DC5AD1" w14:textId="77777777" w:rsidR="008203A8" w:rsidRPr="00406EE7" w:rsidRDefault="008203A8" w:rsidP="008203A8">
      <w:pPr>
        <w:tabs>
          <w:tab w:val="left" w:pos="851"/>
        </w:tabs>
        <w:ind w:left="851"/>
        <w:rPr>
          <w:sz w:val="24"/>
          <w:szCs w:val="24"/>
        </w:rPr>
      </w:pPr>
    </w:p>
    <w:p w14:paraId="1894EC4E"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76017B2F" w14:textId="77777777" w:rsidR="004126A8" w:rsidRPr="004126A8" w:rsidRDefault="004126A8" w:rsidP="004126A8">
      <w:pPr>
        <w:tabs>
          <w:tab w:val="left" w:pos="851"/>
        </w:tabs>
        <w:ind w:left="851"/>
        <w:rPr>
          <w:b/>
          <w:sz w:val="24"/>
          <w:szCs w:val="24"/>
        </w:rPr>
      </w:pPr>
    </w:p>
    <w:p w14:paraId="31DFB5C8" w14:textId="12B029F2" w:rsidR="004126A8" w:rsidRPr="004126A8" w:rsidRDefault="004126A8" w:rsidP="004126A8">
      <w:pPr>
        <w:tabs>
          <w:tab w:val="left" w:pos="851"/>
        </w:tabs>
        <w:ind w:left="851"/>
        <w:rPr>
          <w:iCs/>
          <w:sz w:val="24"/>
          <w:szCs w:val="24"/>
        </w:rPr>
      </w:pPr>
      <w:r w:rsidRPr="004126A8">
        <w:rPr>
          <w:sz w:val="24"/>
          <w:szCs w:val="24"/>
          <w:u w:val="single"/>
        </w:rPr>
        <w:t>Drægtighed og laktation</w:t>
      </w:r>
    </w:p>
    <w:p w14:paraId="6E4D8F4C" w14:textId="77777777" w:rsidR="004126A8" w:rsidRPr="004126A8" w:rsidRDefault="004126A8" w:rsidP="004126A8">
      <w:pPr>
        <w:tabs>
          <w:tab w:val="left" w:pos="851"/>
        </w:tabs>
        <w:ind w:left="851"/>
        <w:rPr>
          <w:sz w:val="24"/>
          <w:szCs w:val="24"/>
        </w:rPr>
      </w:pPr>
      <w:r w:rsidRPr="004126A8">
        <w:rPr>
          <w:sz w:val="24"/>
          <w:szCs w:val="24"/>
        </w:rPr>
        <w:t>Laboratorieundersøgelser af rotter og mus har vist tegn på teratogene effekter.</w:t>
      </w:r>
    </w:p>
    <w:p w14:paraId="307F480D" w14:textId="77777777" w:rsidR="004126A8" w:rsidRPr="004126A8" w:rsidRDefault="004126A8" w:rsidP="004126A8">
      <w:pPr>
        <w:tabs>
          <w:tab w:val="left" w:pos="851"/>
        </w:tabs>
        <w:ind w:left="851"/>
        <w:rPr>
          <w:sz w:val="24"/>
          <w:szCs w:val="24"/>
        </w:rPr>
      </w:pPr>
      <w:r w:rsidRPr="004126A8">
        <w:rPr>
          <w:sz w:val="24"/>
          <w:szCs w:val="24"/>
        </w:rPr>
        <w:t>Veterinærlægemidlets sikkerhed under drægtighed og laktation er ikke fastlagt hos de dyrearter, som lægemidlet er beregnet til. Må kun anvendes i overensstemmelse med den ansvarlige dyrlæges vurdering af benefit/risk-forholdet.</w:t>
      </w:r>
    </w:p>
    <w:p w14:paraId="65089E8D" w14:textId="77777777" w:rsidR="008203A8" w:rsidRPr="00406EE7" w:rsidRDefault="008203A8" w:rsidP="008203A8">
      <w:pPr>
        <w:tabs>
          <w:tab w:val="left" w:pos="851"/>
        </w:tabs>
        <w:ind w:left="851"/>
        <w:rPr>
          <w:sz w:val="24"/>
          <w:szCs w:val="24"/>
        </w:rPr>
      </w:pPr>
    </w:p>
    <w:p w14:paraId="16B777C5"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7A6AF733" w14:textId="77777777" w:rsidR="004126A8" w:rsidRPr="004126A8" w:rsidRDefault="004126A8" w:rsidP="004126A8">
      <w:pPr>
        <w:tabs>
          <w:tab w:val="left" w:pos="851"/>
        </w:tabs>
        <w:ind w:left="851"/>
        <w:rPr>
          <w:sz w:val="24"/>
          <w:szCs w:val="24"/>
        </w:rPr>
      </w:pPr>
      <w:r w:rsidRPr="004126A8">
        <w:rPr>
          <w:sz w:val="24"/>
          <w:szCs w:val="24"/>
        </w:rPr>
        <w:t>Præparater, der indeholder trimethoprim/sulfonamid, kan forårsage fatal arytmi hos detomidin-sederede heste.</w:t>
      </w:r>
    </w:p>
    <w:p w14:paraId="4EBFE74F" w14:textId="77777777" w:rsidR="008203A8" w:rsidRPr="00406EE7" w:rsidRDefault="008203A8" w:rsidP="008203A8">
      <w:pPr>
        <w:tabs>
          <w:tab w:val="left" w:pos="851"/>
        </w:tabs>
        <w:ind w:left="851"/>
        <w:rPr>
          <w:sz w:val="24"/>
          <w:szCs w:val="24"/>
        </w:rPr>
      </w:pPr>
    </w:p>
    <w:p w14:paraId="33198E5A"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2828D017" w14:textId="77777777" w:rsidR="004126A8" w:rsidRPr="004126A8" w:rsidRDefault="004126A8" w:rsidP="004126A8">
      <w:pPr>
        <w:tabs>
          <w:tab w:val="left" w:pos="851"/>
        </w:tabs>
        <w:ind w:left="851"/>
        <w:rPr>
          <w:sz w:val="24"/>
          <w:szCs w:val="24"/>
        </w:rPr>
      </w:pPr>
      <w:r w:rsidRPr="004126A8">
        <w:rPr>
          <w:sz w:val="24"/>
          <w:szCs w:val="24"/>
        </w:rPr>
        <w:t>Oral anvendelse.</w:t>
      </w:r>
    </w:p>
    <w:p w14:paraId="40C3BC80" w14:textId="77777777" w:rsidR="004126A8" w:rsidRPr="004126A8" w:rsidRDefault="004126A8" w:rsidP="004126A8">
      <w:pPr>
        <w:tabs>
          <w:tab w:val="left" w:pos="851"/>
        </w:tabs>
        <w:ind w:left="851"/>
        <w:rPr>
          <w:sz w:val="24"/>
          <w:szCs w:val="24"/>
          <w:u w:val="single"/>
        </w:rPr>
      </w:pPr>
    </w:p>
    <w:p w14:paraId="3023528B" w14:textId="77777777" w:rsidR="004126A8" w:rsidRPr="004126A8" w:rsidRDefault="004126A8" w:rsidP="004126A8">
      <w:pPr>
        <w:tabs>
          <w:tab w:val="left" w:pos="851"/>
        </w:tabs>
        <w:ind w:left="851"/>
        <w:rPr>
          <w:sz w:val="24"/>
          <w:szCs w:val="24"/>
        </w:rPr>
      </w:pPr>
      <w:r w:rsidRPr="004126A8">
        <w:rPr>
          <w:sz w:val="24"/>
          <w:szCs w:val="24"/>
        </w:rPr>
        <w:t>En enkelt daglig dosis er 30 mg af det aktive stof (5 mg trimethoprim og 25 mg sulfadiazin), pr. kg legemsvægt, svarende til 3,75 gram af veterinærlægemidlet pr. 50 kg legemsvægt, normalt i 5 dage. Ved visse indikationer kan en længere behandlingsvarighed være nødvendig.</w:t>
      </w:r>
    </w:p>
    <w:p w14:paraId="56226261" w14:textId="77777777" w:rsidR="004126A8" w:rsidRPr="004126A8" w:rsidRDefault="004126A8" w:rsidP="004126A8">
      <w:pPr>
        <w:tabs>
          <w:tab w:val="left" w:pos="851"/>
        </w:tabs>
        <w:ind w:left="851"/>
        <w:rPr>
          <w:sz w:val="24"/>
          <w:szCs w:val="24"/>
        </w:rPr>
      </w:pPr>
    </w:p>
    <w:p w14:paraId="002512D0" w14:textId="77777777" w:rsidR="004126A8" w:rsidRPr="004126A8" w:rsidRDefault="004126A8" w:rsidP="004126A8">
      <w:pPr>
        <w:tabs>
          <w:tab w:val="left" w:pos="851"/>
        </w:tabs>
        <w:ind w:left="851"/>
        <w:rPr>
          <w:sz w:val="24"/>
          <w:szCs w:val="24"/>
        </w:rPr>
      </w:pPr>
      <w:r w:rsidRPr="004126A8">
        <w:rPr>
          <w:sz w:val="24"/>
          <w:szCs w:val="24"/>
        </w:rPr>
        <w:lastRenderedPageBreak/>
        <w:t>Den passende behandlingsvarighed bør vælges ud fra de kliniske behov og den individuelle restitution hos det behandlede dyr. Der bør tages hensyn til tilgængeligheden af det målrettede væv og egenskaberne ved den målrettede patogen.</w:t>
      </w:r>
    </w:p>
    <w:p w14:paraId="294F546F" w14:textId="77777777" w:rsidR="004126A8" w:rsidRPr="004126A8" w:rsidRDefault="004126A8" w:rsidP="004126A8">
      <w:pPr>
        <w:tabs>
          <w:tab w:val="left" w:pos="851"/>
        </w:tabs>
        <w:ind w:left="851"/>
        <w:rPr>
          <w:iCs/>
          <w:sz w:val="24"/>
          <w:szCs w:val="24"/>
        </w:rPr>
      </w:pPr>
    </w:p>
    <w:p w14:paraId="6366F9DE" w14:textId="77777777" w:rsidR="004126A8" w:rsidRPr="004126A8" w:rsidRDefault="004126A8" w:rsidP="004126A8">
      <w:pPr>
        <w:tabs>
          <w:tab w:val="left" w:pos="851"/>
        </w:tabs>
        <w:ind w:left="851"/>
        <w:rPr>
          <w:sz w:val="24"/>
          <w:szCs w:val="24"/>
        </w:rPr>
      </w:pPr>
      <w:r w:rsidRPr="004126A8">
        <w:rPr>
          <w:sz w:val="24"/>
          <w:szCs w:val="24"/>
        </w:rPr>
        <w:t>Absorption øges, hvis fodring undlades i de sidste få timer inden dosering.</w:t>
      </w:r>
    </w:p>
    <w:p w14:paraId="008CB62F" w14:textId="77777777" w:rsidR="004126A8" w:rsidRPr="004126A8" w:rsidRDefault="004126A8" w:rsidP="004126A8">
      <w:pPr>
        <w:tabs>
          <w:tab w:val="left" w:pos="851"/>
        </w:tabs>
        <w:ind w:left="851"/>
        <w:rPr>
          <w:iCs/>
          <w:sz w:val="24"/>
          <w:szCs w:val="24"/>
        </w:rPr>
      </w:pPr>
    </w:p>
    <w:p w14:paraId="3135D835" w14:textId="77777777" w:rsidR="004126A8" w:rsidRPr="004126A8" w:rsidRDefault="004126A8" w:rsidP="004126A8">
      <w:pPr>
        <w:tabs>
          <w:tab w:val="left" w:pos="851"/>
        </w:tabs>
        <w:ind w:left="851"/>
        <w:rPr>
          <w:iCs/>
          <w:sz w:val="24"/>
          <w:szCs w:val="24"/>
        </w:rPr>
      </w:pPr>
      <w:r w:rsidRPr="004126A8">
        <w:rPr>
          <w:sz w:val="24"/>
          <w:szCs w:val="24"/>
        </w:rPr>
        <w:t>For at sikre en korrekt dosis bør kropsvægten fastslås så præcist som muligt.</w:t>
      </w:r>
    </w:p>
    <w:p w14:paraId="79B42665" w14:textId="77777777" w:rsidR="004126A8" w:rsidRPr="004126A8" w:rsidRDefault="004126A8" w:rsidP="004126A8">
      <w:pPr>
        <w:tabs>
          <w:tab w:val="left" w:pos="851"/>
        </w:tabs>
        <w:ind w:left="851"/>
        <w:rPr>
          <w:iCs/>
          <w:sz w:val="24"/>
          <w:szCs w:val="24"/>
        </w:rPr>
      </w:pPr>
      <w:r w:rsidRPr="004126A8">
        <w:rPr>
          <w:sz w:val="24"/>
          <w:szCs w:val="24"/>
        </w:rPr>
        <w:t>Sprøjten med 45 g er beregnet til heste på op til 600 kg legemsvægt, og sprøjten med 52,5 g er til heste på op til 700 kg legemsvægt.</w:t>
      </w:r>
    </w:p>
    <w:p w14:paraId="0F31DE6D" w14:textId="77777777" w:rsidR="004126A8" w:rsidRPr="004126A8" w:rsidRDefault="004126A8" w:rsidP="004126A8">
      <w:pPr>
        <w:tabs>
          <w:tab w:val="left" w:pos="851"/>
        </w:tabs>
        <w:ind w:left="851"/>
        <w:rPr>
          <w:iCs/>
          <w:sz w:val="24"/>
          <w:szCs w:val="24"/>
        </w:rPr>
      </w:pPr>
      <w:r w:rsidRPr="004126A8">
        <w:rPr>
          <w:sz w:val="24"/>
          <w:szCs w:val="24"/>
        </w:rPr>
        <w:t>Stemplet i hver fyldt oralsprøjte er inddelt i 50 kg-markeringer.</w:t>
      </w:r>
    </w:p>
    <w:p w14:paraId="072EC2DC" w14:textId="77777777" w:rsidR="004126A8" w:rsidRPr="004126A8" w:rsidRDefault="004126A8" w:rsidP="004126A8">
      <w:pPr>
        <w:tabs>
          <w:tab w:val="left" w:pos="851"/>
        </w:tabs>
        <w:ind w:left="851"/>
        <w:rPr>
          <w:iCs/>
          <w:sz w:val="24"/>
          <w:szCs w:val="24"/>
        </w:rPr>
      </w:pPr>
      <w:r w:rsidRPr="004126A8">
        <w:rPr>
          <w:sz w:val="24"/>
          <w:szCs w:val="24"/>
        </w:rPr>
        <w:t>Den beregnede dosis klargøres ved at justere ringen på stemplet i henhold til hestens legemsvægt.</w:t>
      </w:r>
    </w:p>
    <w:p w14:paraId="27F61B6F" w14:textId="77777777" w:rsidR="004126A8" w:rsidRPr="004126A8" w:rsidRDefault="004126A8" w:rsidP="004126A8">
      <w:pPr>
        <w:tabs>
          <w:tab w:val="left" w:pos="851"/>
        </w:tabs>
        <w:ind w:left="851"/>
        <w:rPr>
          <w:iCs/>
          <w:sz w:val="24"/>
          <w:szCs w:val="24"/>
        </w:rPr>
      </w:pPr>
    </w:p>
    <w:p w14:paraId="27873CEE" w14:textId="77777777" w:rsidR="004126A8" w:rsidRPr="004126A8" w:rsidRDefault="004126A8" w:rsidP="004126A8">
      <w:pPr>
        <w:tabs>
          <w:tab w:val="left" w:pos="851"/>
        </w:tabs>
        <w:ind w:left="851"/>
        <w:rPr>
          <w:sz w:val="24"/>
          <w:szCs w:val="24"/>
        </w:rPr>
      </w:pPr>
      <w:r w:rsidRPr="004126A8">
        <w:rPr>
          <w:sz w:val="24"/>
          <w:szCs w:val="24"/>
        </w:rPr>
        <w:t>Hætten tages af, og pastaen indgives oralt ved at føre spidsen af sprøjten gennem interdentalrummet og placere den ønskede mængde veterinærlægemiddel på den bageste del af tungen. Dyrets mund skal være fri for foder. Øjeblikkeligt efter indgiften løftes hestens hoved i et par sekunder for at sikre, at dosis synkes.</w:t>
      </w:r>
    </w:p>
    <w:p w14:paraId="4A51C178" w14:textId="77777777" w:rsidR="008203A8" w:rsidRPr="00406EE7" w:rsidRDefault="008203A8" w:rsidP="008203A8">
      <w:pPr>
        <w:tabs>
          <w:tab w:val="left" w:pos="851"/>
        </w:tabs>
        <w:ind w:left="851"/>
        <w:rPr>
          <w:sz w:val="24"/>
          <w:szCs w:val="24"/>
        </w:rPr>
      </w:pPr>
    </w:p>
    <w:p w14:paraId="3D77F1AF"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63C494DA" w14:textId="77777777" w:rsidR="00150DC8" w:rsidRPr="00150DC8" w:rsidRDefault="00150DC8" w:rsidP="00150DC8">
      <w:pPr>
        <w:tabs>
          <w:tab w:val="left" w:pos="851"/>
        </w:tabs>
        <w:ind w:left="851"/>
        <w:rPr>
          <w:sz w:val="24"/>
          <w:szCs w:val="24"/>
        </w:rPr>
      </w:pPr>
      <w:r w:rsidRPr="00150DC8">
        <w:rPr>
          <w:sz w:val="24"/>
          <w:szCs w:val="24"/>
        </w:rPr>
        <w:t>Ved overdosering kender man ikke til andre bivirkninger end dem, der er nævnt i pkt. 3.6.</w:t>
      </w:r>
    </w:p>
    <w:p w14:paraId="640EB61E" w14:textId="77777777" w:rsidR="008203A8" w:rsidRDefault="008203A8" w:rsidP="008203A8">
      <w:pPr>
        <w:tabs>
          <w:tab w:val="left" w:pos="851"/>
        </w:tabs>
        <w:ind w:left="851"/>
        <w:rPr>
          <w:sz w:val="24"/>
          <w:szCs w:val="24"/>
        </w:rPr>
      </w:pPr>
    </w:p>
    <w:p w14:paraId="236D8DBE"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062B5385" w14:textId="77777777" w:rsidR="00150DC8" w:rsidRPr="00150DC8" w:rsidRDefault="00150DC8" w:rsidP="00150DC8">
      <w:pPr>
        <w:tabs>
          <w:tab w:val="left" w:pos="851"/>
        </w:tabs>
        <w:ind w:left="851"/>
        <w:rPr>
          <w:sz w:val="24"/>
          <w:szCs w:val="24"/>
        </w:rPr>
      </w:pPr>
      <w:bookmarkStart w:id="3" w:name="_Hlk157777952"/>
      <w:r w:rsidRPr="00150DC8">
        <w:rPr>
          <w:sz w:val="24"/>
          <w:szCs w:val="24"/>
        </w:rPr>
        <w:t>Ikke relevant.</w:t>
      </w:r>
      <w:bookmarkEnd w:id="3"/>
    </w:p>
    <w:p w14:paraId="7DE44CB3" w14:textId="77777777" w:rsidR="008203A8" w:rsidRPr="00406EE7" w:rsidRDefault="008203A8" w:rsidP="008203A8">
      <w:pPr>
        <w:tabs>
          <w:tab w:val="left" w:pos="851"/>
        </w:tabs>
        <w:ind w:left="851"/>
        <w:rPr>
          <w:sz w:val="24"/>
          <w:szCs w:val="24"/>
        </w:rPr>
      </w:pPr>
    </w:p>
    <w:p w14:paraId="3A5F638B"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65A017DB" w14:textId="77777777" w:rsidR="00150DC8" w:rsidRDefault="00150DC8" w:rsidP="00150DC8">
      <w:pPr>
        <w:pStyle w:val="Sidehoved"/>
        <w:ind w:left="851"/>
        <w:rPr>
          <w:bCs/>
          <w:szCs w:val="24"/>
        </w:rPr>
      </w:pPr>
    </w:p>
    <w:p w14:paraId="6437726E" w14:textId="49C018E8" w:rsidR="00150DC8" w:rsidRPr="00150DC8" w:rsidRDefault="00150DC8" w:rsidP="00150DC8">
      <w:pPr>
        <w:pStyle w:val="Sidehoved"/>
        <w:ind w:left="851"/>
        <w:rPr>
          <w:bCs/>
          <w:szCs w:val="24"/>
          <w:u w:val="single"/>
        </w:rPr>
      </w:pPr>
      <w:r w:rsidRPr="00150DC8">
        <w:rPr>
          <w:bCs/>
          <w:szCs w:val="24"/>
          <w:u w:val="single"/>
        </w:rPr>
        <w:t>Slagtning</w:t>
      </w:r>
    </w:p>
    <w:p w14:paraId="3E2DD77A" w14:textId="77777777" w:rsidR="00150DC8" w:rsidRPr="00150DC8" w:rsidRDefault="00150DC8" w:rsidP="00150DC8">
      <w:pPr>
        <w:pStyle w:val="Sidehoved"/>
        <w:ind w:left="851"/>
        <w:rPr>
          <w:szCs w:val="24"/>
        </w:rPr>
      </w:pPr>
      <w:r w:rsidRPr="00150DC8">
        <w:rPr>
          <w:szCs w:val="24"/>
        </w:rPr>
        <w:t>Ved en behandlingsperiode på op til 5 dage: 15 dage.</w:t>
      </w:r>
    </w:p>
    <w:p w14:paraId="7FB04446" w14:textId="77777777" w:rsidR="00150DC8" w:rsidRPr="00150DC8" w:rsidRDefault="00150DC8" w:rsidP="00150DC8">
      <w:pPr>
        <w:pStyle w:val="Sidehoved"/>
        <w:ind w:left="851"/>
        <w:rPr>
          <w:szCs w:val="24"/>
        </w:rPr>
      </w:pPr>
      <w:r w:rsidRPr="00150DC8">
        <w:rPr>
          <w:szCs w:val="24"/>
        </w:rPr>
        <w:t>Ved en behandlingsperiode på mere end 5 dage: 6 måneder.</w:t>
      </w:r>
    </w:p>
    <w:p w14:paraId="28383348" w14:textId="77777777" w:rsidR="00150DC8" w:rsidRPr="00150DC8" w:rsidRDefault="00150DC8" w:rsidP="00150DC8">
      <w:pPr>
        <w:pStyle w:val="Sidehoved"/>
        <w:ind w:left="851"/>
        <w:rPr>
          <w:szCs w:val="24"/>
        </w:rPr>
      </w:pPr>
    </w:p>
    <w:p w14:paraId="0F1422C2" w14:textId="77777777" w:rsidR="00150DC8" w:rsidRPr="00150DC8" w:rsidRDefault="00150DC8" w:rsidP="00150DC8">
      <w:pPr>
        <w:pStyle w:val="Sidehoved"/>
        <w:ind w:left="851"/>
        <w:rPr>
          <w:szCs w:val="24"/>
        </w:rPr>
      </w:pPr>
      <w:r w:rsidRPr="00150DC8">
        <w:rPr>
          <w:szCs w:val="24"/>
        </w:rPr>
        <w:t>Må ikke anvendes til dyr, hvis mælk er bestemt til menneskeføde.</w:t>
      </w:r>
    </w:p>
    <w:p w14:paraId="1100CA21" w14:textId="77777777" w:rsidR="008203A8" w:rsidRPr="00406EE7" w:rsidRDefault="008203A8" w:rsidP="008203A8">
      <w:pPr>
        <w:pStyle w:val="Sidehoved"/>
        <w:tabs>
          <w:tab w:val="clear" w:pos="4819"/>
        </w:tabs>
        <w:ind w:left="851"/>
        <w:rPr>
          <w:szCs w:val="24"/>
        </w:rPr>
      </w:pPr>
    </w:p>
    <w:p w14:paraId="66570A29" w14:textId="77777777" w:rsidR="008203A8" w:rsidRPr="00406EE7" w:rsidRDefault="008203A8" w:rsidP="008203A8">
      <w:pPr>
        <w:tabs>
          <w:tab w:val="left" w:pos="851"/>
        </w:tabs>
        <w:ind w:left="851"/>
        <w:rPr>
          <w:sz w:val="24"/>
          <w:szCs w:val="24"/>
        </w:rPr>
      </w:pPr>
    </w:p>
    <w:p w14:paraId="342DAD3F" w14:textId="5971648C" w:rsidR="008203A8" w:rsidRPr="00406EE7" w:rsidRDefault="008203A8" w:rsidP="008203A8">
      <w:pPr>
        <w:ind w:left="851" w:hanging="851"/>
        <w:rPr>
          <w:b/>
          <w:sz w:val="24"/>
          <w:szCs w:val="24"/>
        </w:rPr>
      </w:pPr>
      <w:r w:rsidRPr="00A00D9C">
        <w:rPr>
          <w:b/>
          <w:sz w:val="24"/>
          <w:szCs w:val="24"/>
        </w:rPr>
        <w:t>4.</w:t>
      </w:r>
      <w:r w:rsidRPr="00A00D9C">
        <w:rPr>
          <w:b/>
          <w:sz w:val="24"/>
          <w:szCs w:val="24"/>
        </w:rPr>
        <w:tab/>
        <w:t>FARMAKOLOGISKE OPLYSNINGER</w:t>
      </w:r>
    </w:p>
    <w:p w14:paraId="575C285F" w14:textId="77777777" w:rsidR="008203A8" w:rsidRDefault="008203A8" w:rsidP="008203A8">
      <w:pPr>
        <w:ind w:left="851"/>
        <w:rPr>
          <w:sz w:val="24"/>
          <w:szCs w:val="24"/>
        </w:rPr>
      </w:pPr>
    </w:p>
    <w:p w14:paraId="0585A03A" w14:textId="77777777" w:rsidR="008203A8" w:rsidRPr="00340679" w:rsidRDefault="008203A8" w:rsidP="008203A8">
      <w:pPr>
        <w:ind w:left="851" w:hanging="851"/>
        <w:rPr>
          <w:b/>
          <w:sz w:val="24"/>
          <w:szCs w:val="24"/>
        </w:rPr>
      </w:pPr>
      <w:r w:rsidRPr="00340679">
        <w:rPr>
          <w:b/>
          <w:sz w:val="24"/>
          <w:szCs w:val="24"/>
        </w:rPr>
        <w:t>4.1</w:t>
      </w:r>
      <w:r w:rsidRPr="00340679">
        <w:rPr>
          <w:b/>
          <w:sz w:val="24"/>
          <w:szCs w:val="24"/>
        </w:rPr>
        <w:tab/>
        <w:t>ATCvet-kode</w:t>
      </w:r>
    </w:p>
    <w:p w14:paraId="769A5639" w14:textId="77777777" w:rsidR="00A00D9C" w:rsidRPr="00A00D9C" w:rsidRDefault="00A00D9C" w:rsidP="00A00D9C">
      <w:pPr>
        <w:ind w:left="851"/>
        <w:rPr>
          <w:sz w:val="24"/>
          <w:szCs w:val="24"/>
        </w:rPr>
      </w:pPr>
      <w:r w:rsidRPr="00A00D9C">
        <w:rPr>
          <w:sz w:val="24"/>
          <w:szCs w:val="24"/>
        </w:rPr>
        <w:t>QJ01EW10</w:t>
      </w:r>
    </w:p>
    <w:p w14:paraId="7DACAACD" w14:textId="77777777" w:rsidR="008203A8" w:rsidRPr="00406EE7" w:rsidRDefault="008203A8" w:rsidP="008203A8">
      <w:pPr>
        <w:ind w:left="851"/>
        <w:rPr>
          <w:sz w:val="24"/>
          <w:szCs w:val="24"/>
        </w:rPr>
      </w:pPr>
    </w:p>
    <w:p w14:paraId="64217893" w14:textId="77777777" w:rsidR="008203A8" w:rsidRPr="00406EE7" w:rsidRDefault="008203A8" w:rsidP="008203A8">
      <w:pPr>
        <w:tabs>
          <w:tab w:val="left" w:pos="851"/>
        </w:tabs>
        <w:ind w:left="851" w:hanging="851"/>
        <w:rPr>
          <w:b/>
          <w:sz w:val="24"/>
          <w:szCs w:val="24"/>
        </w:rPr>
      </w:pPr>
      <w:r w:rsidRPr="007E5464">
        <w:rPr>
          <w:b/>
          <w:sz w:val="24"/>
          <w:szCs w:val="24"/>
        </w:rPr>
        <w:t>4.2</w:t>
      </w:r>
      <w:r w:rsidRPr="007E5464">
        <w:rPr>
          <w:b/>
          <w:sz w:val="24"/>
          <w:szCs w:val="24"/>
        </w:rPr>
        <w:tab/>
        <w:t>Farmakodynamiske oplysninger</w:t>
      </w:r>
    </w:p>
    <w:p w14:paraId="3293DC90" w14:textId="77777777" w:rsidR="007E5464" w:rsidRPr="007E5464" w:rsidRDefault="007E5464" w:rsidP="007E5464">
      <w:pPr>
        <w:tabs>
          <w:tab w:val="left" w:pos="851"/>
        </w:tabs>
        <w:ind w:left="851"/>
        <w:rPr>
          <w:sz w:val="24"/>
          <w:szCs w:val="24"/>
        </w:rPr>
      </w:pPr>
      <w:r w:rsidRPr="007E5464">
        <w:rPr>
          <w:sz w:val="24"/>
          <w:szCs w:val="24"/>
        </w:rPr>
        <w:t>Sulfadiazin tilhører gruppen af sulfonamid-kemoterapeutika, trimethoprim tilhører diaminopyrimidin-gruppen. Begge aktive stoffer har en hæmmende virkning på mikroorganismernes omsætning af folsyre på to forskellige stadier (sekventiel virkning). Blokeringen i individuelle trin afbryder syntesen af nukleinsyrer og proteiner i følsomme bakterier.</w:t>
      </w:r>
    </w:p>
    <w:p w14:paraId="6D8143E5" w14:textId="77777777" w:rsidR="007E5464" w:rsidRPr="007E5464" w:rsidRDefault="007E5464" w:rsidP="007E5464">
      <w:pPr>
        <w:tabs>
          <w:tab w:val="left" w:pos="851"/>
        </w:tabs>
        <w:ind w:left="851"/>
        <w:rPr>
          <w:sz w:val="24"/>
          <w:szCs w:val="24"/>
        </w:rPr>
      </w:pPr>
      <w:r w:rsidRPr="007E5464">
        <w:rPr>
          <w:sz w:val="24"/>
          <w:szCs w:val="24"/>
        </w:rPr>
        <w:t>Sulfadiazin hæmmer inkorporering af p-aminobenzoesyre (PABA) i dihydrofolsyre.</w:t>
      </w:r>
    </w:p>
    <w:p w14:paraId="1316A241" w14:textId="77777777" w:rsidR="007E5464" w:rsidRPr="007E5464" w:rsidRDefault="007E5464" w:rsidP="007E5464">
      <w:pPr>
        <w:tabs>
          <w:tab w:val="left" w:pos="851"/>
        </w:tabs>
        <w:ind w:left="851"/>
        <w:rPr>
          <w:sz w:val="24"/>
          <w:szCs w:val="24"/>
        </w:rPr>
      </w:pPr>
      <w:r w:rsidRPr="007E5464">
        <w:rPr>
          <w:sz w:val="24"/>
          <w:szCs w:val="24"/>
        </w:rPr>
        <w:t>Sulfadiazin konkurrerer specifikt med PABA om enzymet dihydroproteo-syntetase. Denne selektive bakteriostatiske virkning afhænger af forskellen i dannelsen af folsyre i bakterie- og mammalieceller. Følsomme mikroorganismer syntetiserer folsyre, hvorimod mammalieceller anvender præformeret folsyre.</w:t>
      </w:r>
    </w:p>
    <w:p w14:paraId="665B470A" w14:textId="77777777" w:rsidR="007E5464" w:rsidRPr="007E5464" w:rsidRDefault="007E5464" w:rsidP="007E5464">
      <w:pPr>
        <w:tabs>
          <w:tab w:val="left" w:pos="851"/>
        </w:tabs>
        <w:ind w:left="851"/>
        <w:rPr>
          <w:sz w:val="24"/>
          <w:szCs w:val="24"/>
        </w:rPr>
      </w:pPr>
      <w:r w:rsidRPr="007E5464">
        <w:rPr>
          <w:sz w:val="24"/>
          <w:szCs w:val="24"/>
        </w:rPr>
        <w:lastRenderedPageBreak/>
        <w:t>Trimethoprim hæmmer selektivt enzymet dihydrofolat-reduktase, hvorved konverteringen af dihydrofolsyre til tetradihydrofolsyre forhindres.</w:t>
      </w:r>
    </w:p>
    <w:p w14:paraId="56C14A03" w14:textId="77777777" w:rsidR="007E5464" w:rsidRPr="007E5464" w:rsidRDefault="007E5464" w:rsidP="007E5464">
      <w:pPr>
        <w:tabs>
          <w:tab w:val="left" w:pos="851"/>
        </w:tabs>
        <w:ind w:left="851"/>
        <w:rPr>
          <w:sz w:val="24"/>
          <w:szCs w:val="24"/>
        </w:rPr>
      </w:pPr>
    </w:p>
    <w:p w14:paraId="504126D6" w14:textId="77777777" w:rsidR="007E5464" w:rsidRPr="007E5464" w:rsidRDefault="007E5464" w:rsidP="007E5464">
      <w:pPr>
        <w:tabs>
          <w:tab w:val="left" w:pos="851"/>
        </w:tabs>
        <w:ind w:left="851"/>
        <w:rPr>
          <w:sz w:val="24"/>
          <w:szCs w:val="24"/>
        </w:rPr>
      </w:pPr>
      <w:r w:rsidRPr="007E5464">
        <w:rPr>
          <w:sz w:val="24"/>
          <w:szCs w:val="24"/>
        </w:rPr>
        <w:t>Sulfonamidresistensgener er forbundet kromosomalt (</w:t>
      </w:r>
      <w:r w:rsidRPr="007E5464">
        <w:rPr>
          <w:i/>
          <w:sz w:val="24"/>
          <w:szCs w:val="24"/>
        </w:rPr>
        <w:t>folP</w:t>
      </w:r>
      <w:r w:rsidRPr="007E5464">
        <w:rPr>
          <w:sz w:val="24"/>
          <w:szCs w:val="24"/>
        </w:rPr>
        <w:t>-gener) eller ekstrakromosomalt, f.eks. til integron 1 (</w:t>
      </w:r>
      <w:r w:rsidRPr="007E5464">
        <w:rPr>
          <w:i/>
          <w:sz w:val="24"/>
          <w:szCs w:val="24"/>
        </w:rPr>
        <w:t>sul1</w:t>
      </w:r>
      <w:r w:rsidRPr="007E5464">
        <w:rPr>
          <w:sz w:val="24"/>
          <w:szCs w:val="24"/>
        </w:rPr>
        <w:t>-gener) og plasmider (</w:t>
      </w:r>
      <w:r w:rsidRPr="007E5464">
        <w:rPr>
          <w:i/>
          <w:sz w:val="24"/>
          <w:szCs w:val="24"/>
        </w:rPr>
        <w:t>sul2</w:t>
      </w:r>
      <w:r w:rsidRPr="007E5464">
        <w:rPr>
          <w:sz w:val="24"/>
          <w:szCs w:val="24"/>
        </w:rPr>
        <w:t>-gener). Resultatet af denne genekspression er en ændret struktur af dihydropteroat-syntetase-enzymet, så sulfonamiderne mister deres evne til at bindes, og deres virkningsmekanisme afbrydes. Der er gensidig krydsresistens i sulfonamidgruppen.</w:t>
      </w:r>
    </w:p>
    <w:p w14:paraId="6E7BC019" w14:textId="77777777" w:rsidR="007E5464" w:rsidRPr="007E5464" w:rsidRDefault="007E5464" w:rsidP="007E5464">
      <w:pPr>
        <w:tabs>
          <w:tab w:val="left" w:pos="851"/>
        </w:tabs>
        <w:ind w:left="851"/>
        <w:rPr>
          <w:sz w:val="24"/>
          <w:szCs w:val="24"/>
        </w:rPr>
      </w:pPr>
      <w:r w:rsidRPr="007E5464">
        <w:rPr>
          <w:sz w:val="24"/>
          <w:szCs w:val="24"/>
        </w:rPr>
        <w:t>Trimethoprimresistensgener (</w:t>
      </w:r>
      <w:r w:rsidRPr="007E5464">
        <w:rPr>
          <w:i/>
          <w:sz w:val="24"/>
          <w:szCs w:val="24"/>
        </w:rPr>
        <w:t>dfr</w:t>
      </w:r>
      <w:r w:rsidRPr="007E5464">
        <w:rPr>
          <w:sz w:val="24"/>
          <w:szCs w:val="24"/>
        </w:rPr>
        <w:t xml:space="preserve">-gener) forbindes kromosomalt eller ekstrakromosomalt, f.eks. til integron 1 og 2 eller på transposoner. Ekstrakromosomale </w:t>
      </w:r>
      <w:r w:rsidRPr="007E5464">
        <w:rPr>
          <w:i/>
          <w:sz w:val="24"/>
          <w:szCs w:val="24"/>
        </w:rPr>
        <w:t>dfr</w:t>
      </w:r>
      <w:r w:rsidRPr="007E5464">
        <w:rPr>
          <w:sz w:val="24"/>
          <w:szCs w:val="24"/>
        </w:rPr>
        <w:t>-gener er inddelt i to undergrupper. Der er aktuelt beskrevet over 30 </w:t>
      </w:r>
      <w:r w:rsidRPr="007E5464">
        <w:rPr>
          <w:i/>
          <w:sz w:val="24"/>
          <w:szCs w:val="24"/>
        </w:rPr>
        <w:t>dfr</w:t>
      </w:r>
      <w:r w:rsidRPr="007E5464">
        <w:rPr>
          <w:sz w:val="24"/>
          <w:szCs w:val="24"/>
        </w:rPr>
        <w:t>-gener. Deres aktivitet manifesteres ved en ændret struktur af dihydropteroat-syntetase-enzymet og dets følsomhed over for trimethoprim. Kromosomalt forbundet resistens manifesteres enten ved overproduktion af dihydrofolat-reduktase eller tab af thymidylat-syntase-enzymets funktion.</w:t>
      </w:r>
    </w:p>
    <w:p w14:paraId="0411E2A4" w14:textId="77777777" w:rsidR="008203A8" w:rsidRPr="00406EE7" w:rsidRDefault="008203A8" w:rsidP="008203A8">
      <w:pPr>
        <w:tabs>
          <w:tab w:val="left" w:pos="851"/>
        </w:tabs>
        <w:ind w:left="851"/>
        <w:rPr>
          <w:sz w:val="24"/>
          <w:szCs w:val="24"/>
        </w:rPr>
      </w:pPr>
    </w:p>
    <w:p w14:paraId="3D306D58" w14:textId="77777777" w:rsidR="008203A8" w:rsidRPr="00406EE7" w:rsidRDefault="008203A8" w:rsidP="008203A8">
      <w:pPr>
        <w:tabs>
          <w:tab w:val="left" w:pos="851"/>
        </w:tabs>
        <w:ind w:left="851" w:hanging="851"/>
        <w:rPr>
          <w:b/>
          <w:sz w:val="24"/>
          <w:szCs w:val="24"/>
        </w:rPr>
      </w:pPr>
      <w:r w:rsidRPr="00770213">
        <w:rPr>
          <w:b/>
          <w:sz w:val="24"/>
          <w:szCs w:val="24"/>
        </w:rPr>
        <w:t>4.3</w:t>
      </w:r>
      <w:r w:rsidRPr="00770213">
        <w:rPr>
          <w:b/>
          <w:sz w:val="24"/>
          <w:szCs w:val="24"/>
        </w:rPr>
        <w:tab/>
        <w:t>Farmakokinetiske oplysninger</w:t>
      </w:r>
    </w:p>
    <w:p w14:paraId="7672168A" w14:textId="77777777" w:rsidR="00770213" w:rsidRPr="00770213" w:rsidRDefault="00770213" w:rsidP="00770213">
      <w:pPr>
        <w:tabs>
          <w:tab w:val="left" w:pos="851"/>
        </w:tabs>
        <w:ind w:left="851"/>
        <w:rPr>
          <w:sz w:val="24"/>
          <w:szCs w:val="24"/>
        </w:rPr>
      </w:pPr>
      <w:r w:rsidRPr="00770213">
        <w:rPr>
          <w:sz w:val="24"/>
          <w:szCs w:val="24"/>
        </w:rPr>
        <w:t>Sulfadiazins farmakokinetiske profil ved administration som en oral dosis på 25 mg/kg legemsvægt til heste er blevet karakteriseret ved en maksimal koncentration (C</w:t>
      </w:r>
      <w:r w:rsidRPr="00770213">
        <w:rPr>
          <w:sz w:val="24"/>
          <w:szCs w:val="24"/>
          <w:vertAlign w:val="subscript"/>
        </w:rPr>
        <w:t>max</w:t>
      </w:r>
      <w:r w:rsidRPr="00770213">
        <w:rPr>
          <w:sz w:val="24"/>
          <w:szCs w:val="24"/>
        </w:rPr>
        <w:t>) i plasma på ca. 15,9 mikrog/ml. Dette blev opnået 2,5 timer efter dosering (T</w:t>
      </w:r>
      <w:r w:rsidRPr="00770213">
        <w:rPr>
          <w:sz w:val="24"/>
          <w:szCs w:val="24"/>
          <w:vertAlign w:val="subscript"/>
        </w:rPr>
        <w:t>max</w:t>
      </w:r>
      <w:r w:rsidRPr="00770213">
        <w:rPr>
          <w:sz w:val="24"/>
          <w:szCs w:val="24"/>
        </w:rPr>
        <w:t>). Maksimale koncentrationer efterfulgtes af et fald i systemisk eksponering med en tilsyneladende halveringstid for elimination (</w:t>
      </w:r>
      <w:bookmarkStart w:id="4" w:name="_Hlk168328918"/>
      <w:r w:rsidRPr="00770213">
        <w:rPr>
          <w:sz w:val="24"/>
          <w:szCs w:val="24"/>
        </w:rPr>
        <w:t>t</w:t>
      </w:r>
      <w:bookmarkEnd w:id="4"/>
      <w:r w:rsidRPr="00770213">
        <w:rPr>
          <w:sz w:val="24"/>
          <w:szCs w:val="24"/>
          <w:vertAlign w:val="subscript"/>
        </w:rPr>
        <w:t>½</w:t>
      </w:r>
      <w:r w:rsidRPr="00770213">
        <w:rPr>
          <w:sz w:val="24"/>
          <w:szCs w:val="24"/>
        </w:rPr>
        <w:t>) på 5,6 timer.</w:t>
      </w:r>
    </w:p>
    <w:p w14:paraId="11D7A78B" w14:textId="77777777" w:rsidR="00770213" w:rsidRPr="00770213" w:rsidRDefault="00770213" w:rsidP="00770213">
      <w:pPr>
        <w:tabs>
          <w:tab w:val="left" w:pos="851"/>
        </w:tabs>
        <w:ind w:left="851"/>
        <w:rPr>
          <w:sz w:val="24"/>
          <w:szCs w:val="24"/>
        </w:rPr>
      </w:pPr>
      <w:r w:rsidRPr="00770213">
        <w:rPr>
          <w:sz w:val="24"/>
          <w:szCs w:val="24"/>
        </w:rPr>
        <w:t>Trimethoprims farmakokinetiske profil ved administration som en oral dosis på 5 mg/kg legemsvægt til heste er blevet karakteriseret ved en maksimal koncentration (C</w:t>
      </w:r>
      <w:r w:rsidRPr="00770213">
        <w:rPr>
          <w:sz w:val="24"/>
          <w:szCs w:val="24"/>
          <w:vertAlign w:val="subscript"/>
        </w:rPr>
        <w:t>max</w:t>
      </w:r>
      <w:r w:rsidRPr="00770213">
        <w:rPr>
          <w:sz w:val="24"/>
          <w:szCs w:val="24"/>
        </w:rPr>
        <w:t>) i plasma på ca. 2,1 mikrog/ml. Dette blev opnået 1,8 timer efter dosering (T</w:t>
      </w:r>
      <w:r w:rsidRPr="00770213">
        <w:rPr>
          <w:sz w:val="24"/>
          <w:szCs w:val="24"/>
          <w:vertAlign w:val="subscript"/>
        </w:rPr>
        <w:t>max</w:t>
      </w:r>
      <w:r w:rsidRPr="00770213">
        <w:rPr>
          <w:sz w:val="24"/>
          <w:szCs w:val="24"/>
        </w:rPr>
        <w:t>). Maksimale koncentrationer efterfulgtes af et fald i systemisk eksponering med en tilsyneladende halveringstid for elimination (t</w:t>
      </w:r>
      <w:r w:rsidRPr="00770213">
        <w:rPr>
          <w:sz w:val="24"/>
          <w:szCs w:val="24"/>
          <w:vertAlign w:val="subscript"/>
        </w:rPr>
        <w:t>½</w:t>
      </w:r>
      <w:r w:rsidRPr="00770213">
        <w:rPr>
          <w:sz w:val="24"/>
          <w:szCs w:val="24"/>
        </w:rPr>
        <w:t>) på 2,1 timer.</w:t>
      </w:r>
    </w:p>
    <w:p w14:paraId="42F8C144" w14:textId="77777777" w:rsidR="00770213" w:rsidRPr="00770213" w:rsidRDefault="00770213" w:rsidP="00770213">
      <w:pPr>
        <w:tabs>
          <w:tab w:val="left" w:pos="851"/>
        </w:tabs>
        <w:ind w:left="851"/>
        <w:rPr>
          <w:sz w:val="24"/>
          <w:szCs w:val="24"/>
        </w:rPr>
      </w:pPr>
      <w:r w:rsidRPr="00770213">
        <w:rPr>
          <w:sz w:val="24"/>
          <w:szCs w:val="24"/>
        </w:rPr>
        <w:t>Udskillelse af begge aktive stoffer sker fortrinsvis gennem nyrerne.</w:t>
      </w:r>
    </w:p>
    <w:p w14:paraId="5C1B2631" w14:textId="77777777" w:rsidR="00770213" w:rsidRPr="00770213" w:rsidRDefault="00770213" w:rsidP="00770213">
      <w:pPr>
        <w:tabs>
          <w:tab w:val="left" w:pos="851"/>
        </w:tabs>
        <w:ind w:left="851"/>
        <w:rPr>
          <w:sz w:val="24"/>
          <w:szCs w:val="24"/>
        </w:rPr>
      </w:pPr>
    </w:p>
    <w:p w14:paraId="6D05ECEF" w14:textId="77777777" w:rsidR="008203A8" w:rsidRPr="00406EE7" w:rsidRDefault="008203A8" w:rsidP="008203A8">
      <w:pPr>
        <w:tabs>
          <w:tab w:val="left" w:pos="851"/>
        </w:tabs>
        <w:ind w:left="851"/>
        <w:rPr>
          <w:sz w:val="24"/>
          <w:szCs w:val="24"/>
        </w:rPr>
      </w:pPr>
    </w:p>
    <w:p w14:paraId="27E63D05"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46BFB4F2" w14:textId="77777777" w:rsidR="008203A8" w:rsidRPr="00406EE7" w:rsidRDefault="008203A8" w:rsidP="008203A8">
      <w:pPr>
        <w:tabs>
          <w:tab w:val="left" w:pos="851"/>
        </w:tabs>
        <w:ind w:left="851"/>
        <w:rPr>
          <w:sz w:val="24"/>
          <w:szCs w:val="24"/>
        </w:rPr>
      </w:pPr>
    </w:p>
    <w:p w14:paraId="438D705F"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49FE2240" w14:textId="77777777" w:rsidR="00770213" w:rsidRPr="00770213" w:rsidRDefault="00770213" w:rsidP="00770213">
      <w:pPr>
        <w:tabs>
          <w:tab w:val="left" w:pos="851"/>
        </w:tabs>
        <w:ind w:left="851"/>
        <w:rPr>
          <w:bCs/>
          <w:sz w:val="24"/>
          <w:szCs w:val="24"/>
        </w:rPr>
      </w:pPr>
      <w:bookmarkStart w:id="5" w:name="_Hlk177483923"/>
      <w:r w:rsidRPr="00770213">
        <w:rPr>
          <w:sz w:val="24"/>
          <w:szCs w:val="24"/>
        </w:rPr>
        <w:t>Da der ikke foreligger undersøgelser vedrørende eventuelle uforligeligheder, bør dette lægemiddel ikke blandes med andre lægemidler.</w:t>
      </w:r>
      <w:bookmarkEnd w:id="5"/>
    </w:p>
    <w:p w14:paraId="7CE9F3C6" w14:textId="77777777" w:rsidR="008203A8" w:rsidRPr="00406EE7" w:rsidRDefault="008203A8" w:rsidP="008203A8">
      <w:pPr>
        <w:tabs>
          <w:tab w:val="left" w:pos="851"/>
        </w:tabs>
        <w:ind w:left="851"/>
        <w:rPr>
          <w:sz w:val="24"/>
          <w:szCs w:val="24"/>
        </w:rPr>
      </w:pPr>
    </w:p>
    <w:p w14:paraId="3639DD54"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4918B7B4" w14:textId="77777777" w:rsidR="00770213" w:rsidRPr="00770213" w:rsidRDefault="00770213" w:rsidP="00770213">
      <w:pPr>
        <w:tabs>
          <w:tab w:val="left" w:pos="851"/>
        </w:tabs>
        <w:ind w:left="851"/>
        <w:rPr>
          <w:sz w:val="24"/>
          <w:szCs w:val="24"/>
        </w:rPr>
      </w:pPr>
      <w:r w:rsidRPr="00770213">
        <w:rPr>
          <w:sz w:val="24"/>
          <w:szCs w:val="24"/>
        </w:rPr>
        <w:t>Opbevaringstid for veterinærlægemidlet i salgspakning: 33 måneder.</w:t>
      </w:r>
    </w:p>
    <w:p w14:paraId="544C586B" w14:textId="77777777" w:rsidR="00770213" w:rsidRPr="00770213" w:rsidRDefault="00770213" w:rsidP="00770213">
      <w:pPr>
        <w:tabs>
          <w:tab w:val="left" w:pos="851"/>
        </w:tabs>
        <w:ind w:left="851"/>
        <w:rPr>
          <w:sz w:val="24"/>
          <w:szCs w:val="24"/>
        </w:rPr>
      </w:pPr>
      <w:r w:rsidRPr="00770213">
        <w:rPr>
          <w:sz w:val="24"/>
          <w:szCs w:val="24"/>
        </w:rPr>
        <w:t>Opbevaringstid efter første åbning af den indre emballage: 3 måneder.</w:t>
      </w:r>
    </w:p>
    <w:p w14:paraId="68282E62" w14:textId="77777777" w:rsidR="008203A8" w:rsidRPr="00406EE7" w:rsidRDefault="008203A8" w:rsidP="008203A8">
      <w:pPr>
        <w:tabs>
          <w:tab w:val="left" w:pos="851"/>
        </w:tabs>
        <w:ind w:left="851"/>
        <w:rPr>
          <w:sz w:val="24"/>
          <w:szCs w:val="24"/>
        </w:rPr>
      </w:pPr>
    </w:p>
    <w:p w14:paraId="68886042"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4D1DCA35" w14:textId="77777777" w:rsidR="00770213" w:rsidRPr="00770213" w:rsidRDefault="00770213" w:rsidP="00770213">
      <w:pPr>
        <w:tabs>
          <w:tab w:val="left" w:pos="851"/>
        </w:tabs>
        <w:ind w:left="851"/>
        <w:rPr>
          <w:sz w:val="24"/>
          <w:szCs w:val="24"/>
        </w:rPr>
      </w:pPr>
      <w:r w:rsidRPr="00770213">
        <w:rPr>
          <w:sz w:val="24"/>
          <w:szCs w:val="24"/>
        </w:rPr>
        <w:t>Der er ingen særlige krav vedrørende opbevaringsforhold for dette veterinærlægemiddel.</w:t>
      </w:r>
    </w:p>
    <w:p w14:paraId="366CF5B5" w14:textId="77777777" w:rsidR="008203A8" w:rsidRPr="00406EE7" w:rsidRDefault="008203A8" w:rsidP="008203A8">
      <w:pPr>
        <w:tabs>
          <w:tab w:val="left" w:pos="851"/>
        </w:tabs>
        <w:ind w:left="851"/>
        <w:rPr>
          <w:sz w:val="24"/>
          <w:szCs w:val="24"/>
        </w:rPr>
      </w:pPr>
    </w:p>
    <w:p w14:paraId="0D1AF99F"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1B1307CB" w14:textId="77777777" w:rsidR="00770213" w:rsidRPr="00770213" w:rsidRDefault="00770213" w:rsidP="00770213">
      <w:pPr>
        <w:tabs>
          <w:tab w:val="left" w:pos="851"/>
        </w:tabs>
        <w:ind w:left="851"/>
        <w:rPr>
          <w:b/>
          <w:sz w:val="24"/>
          <w:szCs w:val="24"/>
        </w:rPr>
      </w:pPr>
      <w:bookmarkStart w:id="6" w:name="_Hlk177484799"/>
    </w:p>
    <w:p w14:paraId="441EBD2E" w14:textId="3CE45A6D" w:rsidR="00770213" w:rsidRPr="00770213" w:rsidRDefault="00770213" w:rsidP="00770213">
      <w:pPr>
        <w:tabs>
          <w:tab w:val="left" w:pos="851"/>
        </w:tabs>
        <w:ind w:left="851"/>
        <w:rPr>
          <w:i/>
          <w:iCs/>
          <w:sz w:val="24"/>
          <w:szCs w:val="24"/>
          <w:u w:val="single"/>
        </w:rPr>
      </w:pPr>
      <w:bookmarkStart w:id="7" w:name="_Hlk96527947"/>
      <w:r w:rsidRPr="00770213">
        <w:rPr>
          <w:sz w:val="24"/>
          <w:szCs w:val="24"/>
          <w:u w:val="single"/>
        </w:rPr>
        <w:t>Hvid 50 ml forfyldt oralsprøjte, der indgiver 45,0 eller 52,5 g pasta og består af</w:t>
      </w:r>
    </w:p>
    <w:p w14:paraId="6A4C5DA8" w14:textId="77777777" w:rsidR="00770213" w:rsidRPr="00770213" w:rsidRDefault="00770213" w:rsidP="00770213">
      <w:pPr>
        <w:tabs>
          <w:tab w:val="left" w:pos="851"/>
          <w:tab w:val="left" w:pos="1985"/>
        </w:tabs>
        <w:ind w:left="851"/>
        <w:rPr>
          <w:i/>
          <w:iCs/>
          <w:sz w:val="24"/>
          <w:szCs w:val="24"/>
        </w:rPr>
      </w:pPr>
      <w:r w:rsidRPr="00770213">
        <w:rPr>
          <w:sz w:val="24"/>
          <w:szCs w:val="24"/>
        </w:rPr>
        <w:t>Cylinder:</w:t>
      </w:r>
      <w:r w:rsidRPr="00770213">
        <w:rPr>
          <w:sz w:val="24"/>
          <w:szCs w:val="24"/>
        </w:rPr>
        <w:tab/>
        <w:t>LDPE</w:t>
      </w:r>
    </w:p>
    <w:p w14:paraId="0EB1EEF8" w14:textId="77777777" w:rsidR="00770213" w:rsidRPr="00770213" w:rsidRDefault="00770213" w:rsidP="00770213">
      <w:pPr>
        <w:tabs>
          <w:tab w:val="left" w:pos="851"/>
          <w:tab w:val="left" w:pos="1985"/>
        </w:tabs>
        <w:ind w:left="851"/>
        <w:rPr>
          <w:i/>
          <w:iCs/>
          <w:sz w:val="24"/>
          <w:szCs w:val="24"/>
        </w:rPr>
      </w:pPr>
      <w:r w:rsidRPr="00770213">
        <w:rPr>
          <w:sz w:val="24"/>
          <w:szCs w:val="24"/>
        </w:rPr>
        <w:t xml:space="preserve">Stempel: </w:t>
      </w:r>
      <w:r w:rsidRPr="00770213">
        <w:rPr>
          <w:sz w:val="24"/>
          <w:szCs w:val="24"/>
        </w:rPr>
        <w:tab/>
        <w:t>LDPE</w:t>
      </w:r>
    </w:p>
    <w:p w14:paraId="5B295A03" w14:textId="77777777" w:rsidR="00770213" w:rsidRPr="00770213" w:rsidRDefault="00770213" w:rsidP="00770213">
      <w:pPr>
        <w:tabs>
          <w:tab w:val="left" w:pos="851"/>
          <w:tab w:val="left" w:pos="1985"/>
        </w:tabs>
        <w:ind w:left="851"/>
        <w:rPr>
          <w:i/>
          <w:iCs/>
          <w:sz w:val="24"/>
          <w:szCs w:val="24"/>
        </w:rPr>
      </w:pPr>
      <w:r w:rsidRPr="00770213">
        <w:rPr>
          <w:sz w:val="24"/>
          <w:szCs w:val="24"/>
        </w:rPr>
        <w:t xml:space="preserve">Skruering: </w:t>
      </w:r>
      <w:r w:rsidRPr="00770213">
        <w:rPr>
          <w:sz w:val="24"/>
          <w:szCs w:val="24"/>
        </w:rPr>
        <w:tab/>
        <w:t>LDPE</w:t>
      </w:r>
    </w:p>
    <w:p w14:paraId="5C6F0E96" w14:textId="0C373476" w:rsidR="00770213" w:rsidRPr="00770213" w:rsidRDefault="00770213" w:rsidP="00770213">
      <w:pPr>
        <w:tabs>
          <w:tab w:val="left" w:pos="851"/>
          <w:tab w:val="left" w:pos="1985"/>
        </w:tabs>
        <w:ind w:left="851"/>
        <w:rPr>
          <w:i/>
          <w:iCs/>
          <w:sz w:val="24"/>
          <w:szCs w:val="24"/>
        </w:rPr>
      </w:pPr>
      <w:r w:rsidRPr="00770213">
        <w:rPr>
          <w:sz w:val="24"/>
          <w:szCs w:val="24"/>
        </w:rPr>
        <w:t xml:space="preserve">Hætte: </w:t>
      </w:r>
      <w:r w:rsidRPr="00770213">
        <w:rPr>
          <w:sz w:val="24"/>
          <w:szCs w:val="24"/>
        </w:rPr>
        <w:tab/>
        <w:t>LDPE</w:t>
      </w:r>
    </w:p>
    <w:p w14:paraId="2B8F871B" w14:textId="77777777" w:rsidR="00770213" w:rsidRPr="00770213" w:rsidRDefault="00770213" w:rsidP="00770213">
      <w:pPr>
        <w:tabs>
          <w:tab w:val="left" w:pos="851"/>
        </w:tabs>
        <w:ind w:left="851"/>
        <w:rPr>
          <w:i/>
          <w:iCs/>
          <w:sz w:val="24"/>
          <w:szCs w:val="24"/>
        </w:rPr>
      </w:pPr>
    </w:p>
    <w:p w14:paraId="3C3EDEE4" w14:textId="77777777" w:rsidR="00770213" w:rsidRPr="00770213" w:rsidRDefault="00770213" w:rsidP="00770213">
      <w:pPr>
        <w:tabs>
          <w:tab w:val="left" w:pos="851"/>
        </w:tabs>
        <w:ind w:left="851"/>
        <w:rPr>
          <w:i/>
          <w:iCs/>
          <w:sz w:val="24"/>
          <w:szCs w:val="24"/>
        </w:rPr>
      </w:pPr>
      <w:r w:rsidRPr="00770213">
        <w:rPr>
          <w:sz w:val="24"/>
          <w:szCs w:val="24"/>
        </w:rPr>
        <w:t>Stemplet er underinddelt i trin på 50 kg legemsvægt.</w:t>
      </w:r>
    </w:p>
    <w:p w14:paraId="52F9A0A0" w14:textId="77777777" w:rsidR="00770213" w:rsidRPr="00770213" w:rsidRDefault="00770213" w:rsidP="00770213">
      <w:pPr>
        <w:tabs>
          <w:tab w:val="left" w:pos="851"/>
        </w:tabs>
        <w:ind w:left="851"/>
        <w:rPr>
          <w:i/>
          <w:iCs/>
          <w:sz w:val="24"/>
          <w:szCs w:val="24"/>
        </w:rPr>
      </w:pPr>
    </w:p>
    <w:p w14:paraId="4D94051F" w14:textId="110E8BE9" w:rsidR="00770213" w:rsidRPr="00770213" w:rsidRDefault="00770213" w:rsidP="00770213">
      <w:pPr>
        <w:tabs>
          <w:tab w:val="left" w:pos="851"/>
        </w:tabs>
        <w:ind w:left="851"/>
        <w:rPr>
          <w:i/>
          <w:iCs/>
          <w:sz w:val="24"/>
          <w:szCs w:val="24"/>
          <w:u w:val="single"/>
        </w:rPr>
      </w:pPr>
      <w:r w:rsidRPr="00770213">
        <w:rPr>
          <w:sz w:val="24"/>
          <w:szCs w:val="24"/>
          <w:u w:val="single"/>
        </w:rPr>
        <w:t>Pakningsstørrelser</w:t>
      </w:r>
    </w:p>
    <w:p w14:paraId="42955EC9" w14:textId="64EED7BC" w:rsidR="00770213" w:rsidRPr="00770213" w:rsidRDefault="00770213" w:rsidP="00770213">
      <w:pPr>
        <w:tabs>
          <w:tab w:val="left" w:pos="851"/>
        </w:tabs>
        <w:ind w:left="851"/>
        <w:rPr>
          <w:sz w:val="24"/>
          <w:szCs w:val="24"/>
        </w:rPr>
      </w:pPr>
      <w:r w:rsidRPr="00770213">
        <w:rPr>
          <w:sz w:val="24"/>
          <w:szCs w:val="24"/>
        </w:rPr>
        <w:t>Kartonæske med 1 oralsprøjte, der indeholder 45 gram pasta</w:t>
      </w:r>
      <w:r w:rsidR="00712587">
        <w:rPr>
          <w:sz w:val="24"/>
          <w:szCs w:val="24"/>
        </w:rPr>
        <w:t>.</w:t>
      </w:r>
    </w:p>
    <w:p w14:paraId="77622DC4" w14:textId="39D74195" w:rsidR="00770213" w:rsidRPr="00770213" w:rsidRDefault="00770213" w:rsidP="00770213">
      <w:pPr>
        <w:tabs>
          <w:tab w:val="left" w:pos="851"/>
        </w:tabs>
        <w:ind w:left="851"/>
        <w:rPr>
          <w:sz w:val="24"/>
          <w:szCs w:val="24"/>
        </w:rPr>
      </w:pPr>
      <w:r w:rsidRPr="00770213">
        <w:rPr>
          <w:sz w:val="24"/>
          <w:szCs w:val="24"/>
        </w:rPr>
        <w:t>Kartonæske med 5 oralsprøjter, der indeholder 45 gram pasta</w:t>
      </w:r>
      <w:r w:rsidR="00712587">
        <w:rPr>
          <w:sz w:val="24"/>
          <w:szCs w:val="24"/>
        </w:rPr>
        <w:t>.</w:t>
      </w:r>
    </w:p>
    <w:p w14:paraId="0C82B5DD" w14:textId="11FBB564" w:rsidR="00770213" w:rsidRPr="00770213" w:rsidRDefault="00770213" w:rsidP="00770213">
      <w:pPr>
        <w:tabs>
          <w:tab w:val="left" w:pos="851"/>
        </w:tabs>
        <w:ind w:left="851"/>
        <w:rPr>
          <w:sz w:val="24"/>
          <w:szCs w:val="24"/>
        </w:rPr>
      </w:pPr>
      <w:r w:rsidRPr="00770213">
        <w:rPr>
          <w:sz w:val="24"/>
          <w:szCs w:val="24"/>
        </w:rPr>
        <w:t>Kartonæske med 6 oralsprøjter, der indeholder 45 gram pasta</w:t>
      </w:r>
      <w:r w:rsidR="00712587">
        <w:rPr>
          <w:sz w:val="24"/>
          <w:szCs w:val="24"/>
        </w:rPr>
        <w:t>.</w:t>
      </w:r>
    </w:p>
    <w:p w14:paraId="0D8783EE" w14:textId="006A8304" w:rsidR="00770213" w:rsidRPr="00770213" w:rsidRDefault="00770213" w:rsidP="00770213">
      <w:pPr>
        <w:tabs>
          <w:tab w:val="left" w:pos="851"/>
        </w:tabs>
        <w:ind w:left="851"/>
        <w:rPr>
          <w:sz w:val="24"/>
          <w:szCs w:val="24"/>
        </w:rPr>
      </w:pPr>
      <w:r w:rsidRPr="00770213">
        <w:rPr>
          <w:sz w:val="24"/>
          <w:szCs w:val="24"/>
        </w:rPr>
        <w:t>Kartonæske med 10 oralsprøjter, der indeholder 45 gram pasta</w:t>
      </w:r>
      <w:r w:rsidR="00712587">
        <w:rPr>
          <w:sz w:val="24"/>
          <w:szCs w:val="24"/>
        </w:rPr>
        <w:t>.</w:t>
      </w:r>
    </w:p>
    <w:p w14:paraId="22DCEE1F" w14:textId="1130E116" w:rsidR="00770213" w:rsidRPr="00770213" w:rsidRDefault="00770213" w:rsidP="00770213">
      <w:pPr>
        <w:tabs>
          <w:tab w:val="left" w:pos="851"/>
        </w:tabs>
        <w:ind w:left="851"/>
        <w:rPr>
          <w:sz w:val="24"/>
          <w:szCs w:val="24"/>
        </w:rPr>
      </w:pPr>
      <w:r w:rsidRPr="00770213">
        <w:rPr>
          <w:sz w:val="24"/>
          <w:szCs w:val="24"/>
        </w:rPr>
        <w:t>Kartonæske med 1 oralsprøjte, der indeholder 52,5 gram pasta</w:t>
      </w:r>
      <w:r w:rsidR="00712587">
        <w:rPr>
          <w:sz w:val="24"/>
          <w:szCs w:val="24"/>
        </w:rPr>
        <w:t>.</w:t>
      </w:r>
    </w:p>
    <w:p w14:paraId="10A7D8A2" w14:textId="1B37B80D" w:rsidR="00770213" w:rsidRPr="00770213" w:rsidRDefault="00770213" w:rsidP="00770213">
      <w:pPr>
        <w:tabs>
          <w:tab w:val="left" w:pos="851"/>
        </w:tabs>
        <w:ind w:left="851"/>
        <w:rPr>
          <w:sz w:val="24"/>
          <w:szCs w:val="24"/>
        </w:rPr>
      </w:pPr>
      <w:r w:rsidRPr="00770213">
        <w:rPr>
          <w:sz w:val="24"/>
          <w:szCs w:val="24"/>
        </w:rPr>
        <w:t>Kartonæske med 5 oralsprøjter, der indeholder 52,5 gram pasta</w:t>
      </w:r>
      <w:r w:rsidR="00712587">
        <w:rPr>
          <w:sz w:val="24"/>
          <w:szCs w:val="24"/>
        </w:rPr>
        <w:t>.</w:t>
      </w:r>
    </w:p>
    <w:p w14:paraId="122E6944" w14:textId="439C8C66" w:rsidR="00770213" w:rsidRPr="00770213" w:rsidRDefault="00770213" w:rsidP="00770213">
      <w:pPr>
        <w:tabs>
          <w:tab w:val="left" w:pos="851"/>
        </w:tabs>
        <w:ind w:left="851"/>
        <w:rPr>
          <w:sz w:val="24"/>
          <w:szCs w:val="24"/>
        </w:rPr>
      </w:pPr>
      <w:r w:rsidRPr="00770213">
        <w:rPr>
          <w:sz w:val="24"/>
          <w:szCs w:val="24"/>
        </w:rPr>
        <w:t>Kartonæske med 6 oralsprøjter, der indeholder 52,5 gram pasta</w:t>
      </w:r>
      <w:r w:rsidR="00712587">
        <w:rPr>
          <w:sz w:val="24"/>
          <w:szCs w:val="24"/>
        </w:rPr>
        <w:t>.</w:t>
      </w:r>
    </w:p>
    <w:p w14:paraId="198901D7" w14:textId="67C2F3B1" w:rsidR="00770213" w:rsidRPr="00770213" w:rsidRDefault="00770213" w:rsidP="00770213">
      <w:pPr>
        <w:tabs>
          <w:tab w:val="left" w:pos="851"/>
        </w:tabs>
        <w:ind w:left="851"/>
        <w:rPr>
          <w:sz w:val="24"/>
          <w:szCs w:val="24"/>
        </w:rPr>
      </w:pPr>
      <w:r w:rsidRPr="00770213">
        <w:rPr>
          <w:sz w:val="24"/>
          <w:szCs w:val="24"/>
        </w:rPr>
        <w:t>Kartonæske med 10 oralsprøjter, der indeholder 52,5 gram pasta</w:t>
      </w:r>
      <w:r w:rsidR="00712587">
        <w:rPr>
          <w:sz w:val="24"/>
          <w:szCs w:val="24"/>
        </w:rPr>
        <w:t>.</w:t>
      </w:r>
    </w:p>
    <w:p w14:paraId="3818480F" w14:textId="77777777" w:rsidR="00770213" w:rsidRPr="00770213" w:rsidRDefault="00770213" w:rsidP="00770213">
      <w:pPr>
        <w:tabs>
          <w:tab w:val="left" w:pos="851"/>
        </w:tabs>
        <w:ind w:left="851"/>
        <w:rPr>
          <w:sz w:val="24"/>
          <w:szCs w:val="24"/>
        </w:rPr>
      </w:pPr>
    </w:p>
    <w:p w14:paraId="16912EB5" w14:textId="77777777" w:rsidR="00770213" w:rsidRPr="00770213" w:rsidRDefault="00770213" w:rsidP="00770213">
      <w:pPr>
        <w:tabs>
          <w:tab w:val="left" w:pos="851"/>
        </w:tabs>
        <w:ind w:left="851"/>
        <w:rPr>
          <w:sz w:val="24"/>
          <w:szCs w:val="24"/>
        </w:rPr>
      </w:pPr>
      <w:r w:rsidRPr="00770213">
        <w:rPr>
          <w:sz w:val="24"/>
          <w:szCs w:val="24"/>
        </w:rPr>
        <w:t>Ikke alle pakningsstørrelser er nødvendigvis markedsført.</w:t>
      </w:r>
      <w:bookmarkEnd w:id="6"/>
      <w:bookmarkEnd w:id="7"/>
    </w:p>
    <w:p w14:paraId="60DA25A3" w14:textId="77777777" w:rsidR="008203A8" w:rsidRPr="00406EE7" w:rsidRDefault="008203A8" w:rsidP="008203A8">
      <w:pPr>
        <w:tabs>
          <w:tab w:val="left" w:pos="851"/>
        </w:tabs>
        <w:ind w:left="851"/>
        <w:rPr>
          <w:sz w:val="24"/>
          <w:szCs w:val="24"/>
        </w:rPr>
      </w:pPr>
    </w:p>
    <w:p w14:paraId="2BE2CDEF"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1AA9C99E" w14:textId="77777777" w:rsidR="00712587" w:rsidRPr="00712587" w:rsidRDefault="00712587" w:rsidP="00712587">
      <w:pPr>
        <w:tabs>
          <w:tab w:val="left" w:pos="851"/>
        </w:tabs>
        <w:ind w:left="851"/>
        <w:rPr>
          <w:sz w:val="24"/>
          <w:szCs w:val="24"/>
        </w:rPr>
      </w:pPr>
      <w:r w:rsidRPr="00712587">
        <w:rPr>
          <w:sz w:val="24"/>
          <w:szCs w:val="24"/>
        </w:rPr>
        <w:t>Lægemidler må ikke bortskaffes sammen med spildevand eller husholdningsaffald.</w:t>
      </w:r>
    </w:p>
    <w:p w14:paraId="7EA87694" w14:textId="77777777" w:rsidR="00712587" w:rsidRPr="00712587" w:rsidRDefault="00712587" w:rsidP="00712587">
      <w:pPr>
        <w:tabs>
          <w:tab w:val="left" w:pos="851"/>
        </w:tabs>
        <w:ind w:left="851"/>
        <w:rPr>
          <w:sz w:val="24"/>
          <w:szCs w:val="24"/>
        </w:rPr>
      </w:pPr>
      <w:r w:rsidRPr="00712587">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0D7C2DF1" w14:textId="77777777" w:rsidR="008203A8" w:rsidRDefault="008203A8" w:rsidP="008203A8">
      <w:pPr>
        <w:tabs>
          <w:tab w:val="left" w:pos="851"/>
        </w:tabs>
        <w:ind w:left="851"/>
        <w:rPr>
          <w:sz w:val="24"/>
          <w:szCs w:val="24"/>
        </w:rPr>
      </w:pPr>
    </w:p>
    <w:p w14:paraId="6FFB3F14" w14:textId="77777777" w:rsidR="008203A8" w:rsidRPr="00070728" w:rsidRDefault="008203A8" w:rsidP="008203A8">
      <w:pPr>
        <w:tabs>
          <w:tab w:val="left" w:pos="851"/>
        </w:tabs>
        <w:ind w:left="851"/>
        <w:rPr>
          <w:sz w:val="24"/>
          <w:szCs w:val="24"/>
        </w:rPr>
      </w:pPr>
    </w:p>
    <w:p w14:paraId="14AFDBE1"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692CF442" w14:textId="77777777" w:rsidR="00712587" w:rsidRPr="00712587" w:rsidRDefault="00712587" w:rsidP="00712587">
      <w:pPr>
        <w:tabs>
          <w:tab w:val="left" w:pos="851"/>
        </w:tabs>
        <w:ind w:left="851"/>
        <w:rPr>
          <w:iCs/>
          <w:sz w:val="24"/>
          <w:szCs w:val="24"/>
        </w:rPr>
      </w:pPr>
      <w:r w:rsidRPr="00712587">
        <w:rPr>
          <w:sz w:val="24"/>
          <w:szCs w:val="24"/>
        </w:rPr>
        <w:t>CP-Pharma Handelsgesellschaft mbH</w:t>
      </w:r>
    </w:p>
    <w:p w14:paraId="336E034B" w14:textId="77777777" w:rsidR="00D509D8" w:rsidRPr="00D509D8" w:rsidRDefault="00D509D8" w:rsidP="00D509D8">
      <w:pPr>
        <w:tabs>
          <w:tab w:val="left" w:pos="851"/>
        </w:tabs>
        <w:ind w:left="851"/>
        <w:rPr>
          <w:sz w:val="24"/>
          <w:szCs w:val="24"/>
        </w:rPr>
      </w:pPr>
      <w:r w:rsidRPr="00D509D8">
        <w:rPr>
          <w:sz w:val="24"/>
          <w:szCs w:val="24"/>
        </w:rPr>
        <w:t>Ostlandring 13</w:t>
      </w:r>
    </w:p>
    <w:p w14:paraId="1E811D3B" w14:textId="77777777" w:rsidR="00D509D8" w:rsidRPr="00D509D8" w:rsidRDefault="00D509D8" w:rsidP="00D509D8">
      <w:pPr>
        <w:tabs>
          <w:tab w:val="left" w:pos="851"/>
        </w:tabs>
        <w:ind w:left="851"/>
        <w:rPr>
          <w:sz w:val="24"/>
          <w:szCs w:val="24"/>
        </w:rPr>
      </w:pPr>
      <w:r w:rsidRPr="00D509D8">
        <w:rPr>
          <w:sz w:val="24"/>
          <w:szCs w:val="24"/>
        </w:rPr>
        <w:t>31303 Burgdorf, Lower Saxony</w:t>
      </w:r>
    </w:p>
    <w:p w14:paraId="7CA383C1" w14:textId="3AB069DA" w:rsidR="00712587" w:rsidRPr="00712587" w:rsidRDefault="00D509D8" w:rsidP="00712587">
      <w:pPr>
        <w:tabs>
          <w:tab w:val="left" w:pos="851"/>
        </w:tabs>
        <w:ind w:left="851"/>
        <w:rPr>
          <w:sz w:val="24"/>
          <w:szCs w:val="24"/>
          <w:lang w:val="de-DE"/>
        </w:rPr>
      </w:pPr>
      <w:r w:rsidRPr="00D509D8">
        <w:rPr>
          <w:sz w:val="24"/>
          <w:szCs w:val="24"/>
        </w:rPr>
        <w:t>T</w:t>
      </w:r>
      <w:r>
        <w:rPr>
          <w:sz w:val="24"/>
          <w:szCs w:val="24"/>
        </w:rPr>
        <w:t>yskland</w:t>
      </w:r>
    </w:p>
    <w:p w14:paraId="55766E95" w14:textId="77777777" w:rsidR="008203A8" w:rsidRPr="00712587" w:rsidRDefault="008203A8" w:rsidP="008203A8">
      <w:pPr>
        <w:tabs>
          <w:tab w:val="left" w:pos="851"/>
        </w:tabs>
        <w:ind w:left="851"/>
        <w:rPr>
          <w:sz w:val="24"/>
          <w:szCs w:val="24"/>
          <w:lang w:val="de-DE"/>
        </w:rPr>
      </w:pPr>
    </w:p>
    <w:p w14:paraId="3B7D3FFE" w14:textId="77777777" w:rsidR="008203A8" w:rsidRPr="00D10EE1" w:rsidRDefault="008203A8" w:rsidP="008203A8">
      <w:pPr>
        <w:tabs>
          <w:tab w:val="left" w:pos="851"/>
        </w:tabs>
        <w:ind w:left="851"/>
        <w:rPr>
          <w:b/>
          <w:sz w:val="24"/>
          <w:szCs w:val="24"/>
        </w:rPr>
      </w:pPr>
      <w:r w:rsidRPr="00D10EE1">
        <w:rPr>
          <w:b/>
          <w:sz w:val="24"/>
          <w:szCs w:val="24"/>
        </w:rPr>
        <w:t>Repræsentant</w:t>
      </w:r>
    </w:p>
    <w:p w14:paraId="1B87AAD4" w14:textId="77777777" w:rsidR="00712587" w:rsidRPr="00712587" w:rsidRDefault="00712587" w:rsidP="00712587">
      <w:pPr>
        <w:tabs>
          <w:tab w:val="left" w:pos="851"/>
        </w:tabs>
        <w:ind w:left="851"/>
        <w:rPr>
          <w:sz w:val="24"/>
          <w:szCs w:val="24"/>
          <w:lang w:val="de-DE"/>
        </w:rPr>
      </w:pPr>
      <w:r w:rsidRPr="00712587">
        <w:rPr>
          <w:sz w:val="24"/>
          <w:szCs w:val="24"/>
          <w:lang w:val="de-DE"/>
        </w:rPr>
        <w:t>Biovet ApS</w:t>
      </w:r>
    </w:p>
    <w:p w14:paraId="3EB15A56" w14:textId="77777777" w:rsidR="00712587" w:rsidRPr="00712587" w:rsidRDefault="00712587" w:rsidP="00712587">
      <w:pPr>
        <w:tabs>
          <w:tab w:val="left" w:pos="851"/>
        </w:tabs>
        <w:ind w:left="851"/>
        <w:rPr>
          <w:sz w:val="24"/>
          <w:szCs w:val="24"/>
          <w:lang w:val="de-DE"/>
        </w:rPr>
      </w:pPr>
      <w:r w:rsidRPr="00712587">
        <w:rPr>
          <w:sz w:val="24"/>
          <w:szCs w:val="24"/>
          <w:lang w:val="de-DE"/>
        </w:rPr>
        <w:t>Kongevejen 66</w:t>
      </w:r>
    </w:p>
    <w:p w14:paraId="34E36E7C" w14:textId="271C3797" w:rsidR="00712587" w:rsidRPr="00712587" w:rsidRDefault="00712587" w:rsidP="00712587">
      <w:pPr>
        <w:tabs>
          <w:tab w:val="left" w:pos="851"/>
        </w:tabs>
        <w:ind w:left="851"/>
        <w:rPr>
          <w:sz w:val="24"/>
          <w:szCs w:val="24"/>
          <w:lang w:val="de-DE"/>
        </w:rPr>
      </w:pPr>
      <w:r w:rsidRPr="00712587">
        <w:rPr>
          <w:sz w:val="24"/>
          <w:szCs w:val="24"/>
          <w:lang w:val="de-DE"/>
        </w:rPr>
        <w:t>3480 Fredensborg</w:t>
      </w:r>
    </w:p>
    <w:p w14:paraId="378A95B4" w14:textId="77777777" w:rsidR="008203A8" w:rsidRPr="00406EE7" w:rsidRDefault="008203A8" w:rsidP="008203A8">
      <w:pPr>
        <w:tabs>
          <w:tab w:val="left" w:pos="851"/>
        </w:tabs>
        <w:ind w:left="851"/>
        <w:rPr>
          <w:sz w:val="24"/>
          <w:szCs w:val="24"/>
        </w:rPr>
      </w:pPr>
    </w:p>
    <w:p w14:paraId="5A9DDB47" w14:textId="77777777" w:rsidR="008203A8" w:rsidRPr="00406EE7" w:rsidRDefault="008203A8" w:rsidP="008203A8">
      <w:pPr>
        <w:ind w:left="851" w:hanging="851"/>
        <w:rPr>
          <w:b/>
          <w:sz w:val="24"/>
          <w:szCs w:val="24"/>
        </w:rPr>
      </w:pPr>
      <w:r>
        <w:rPr>
          <w:b/>
          <w:sz w:val="24"/>
          <w:szCs w:val="24"/>
        </w:rPr>
        <w:t>7</w:t>
      </w:r>
      <w:r w:rsidRPr="00406EE7">
        <w:rPr>
          <w:b/>
          <w:sz w:val="24"/>
          <w:szCs w:val="24"/>
        </w:rPr>
        <w:t>.</w:t>
      </w:r>
      <w:r w:rsidRPr="00406EE7">
        <w:rPr>
          <w:b/>
          <w:sz w:val="24"/>
          <w:szCs w:val="24"/>
        </w:rPr>
        <w:tab/>
        <w:t>MARKEDSFØRINGSTILLADELSESNUMMER (</w:t>
      </w:r>
      <w:r>
        <w:rPr>
          <w:b/>
          <w:sz w:val="24"/>
          <w:szCs w:val="24"/>
        </w:rPr>
        <w:t>-</w:t>
      </w:r>
      <w:r w:rsidRPr="00406EE7">
        <w:rPr>
          <w:b/>
          <w:sz w:val="24"/>
          <w:szCs w:val="24"/>
        </w:rPr>
        <w:t>NUMRE)</w:t>
      </w:r>
    </w:p>
    <w:p w14:paraId="74F2182B" w14:textId="0AC8F52D" w:rsidR="008203A8" w:rsidRPr="00406EE7" w:rsidRDefault="00D509D8" w:rsidP="008203A8">
      <w:pPr>
        <w:tabs>
          <w:tab w:val="left" w:pos="851"/>
        </w:tabs>
        <w:ind w:left="851"/>
        <w:rPr>
          <w:sz w:val="24"/>
          <w:szCs w:val="24"/>
        </w:rPr>
      </w:pPr>
      <w:r>
        <w:rPr>
          <w:sz w:val="24"/>
          <w:szCs w:val="24"/>
        </w:rPr>
        <w:t>71436</w:t>
      </w:r>
    </w:p>
    <w:p w14:paraId="0696209C" w14:textId="77777777" w:rsidR="008203A8" w:rsidRPr="00406EE7" w:rsidRDefault="008203A8" w:rsidP="008203A8">
      <w:pPr>
        <w:tabs>
          <w:tab w:val="left" w:pos="851"/>
        </w:tabs>
        <w:ind w:left="851"/>
        <w:rPr>
          <w:sz w:val="24"/>
          <w:szCs w:val="24"/>
        </w:rPr>
      </w:pPr>
    </w:p>
    <w:p w14:paraId="486DC53B"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363449FE" w14:textId="53B47FA7" w:rsidR="008203A8" w:rsidRPr="00406EE7" w:rsidRDefault="006B32D4" w:rsidP="008203A8">
      <w:pPr>
        <w:tabs>
          <w:tab w:val="left" w:pos="851"/>
        </w:tabs>
        <w:ind w:left="851"/>
        <w:rPr>
          <w:sz w:val="24"/>
          <w:szCs w:val="24"/>
        </w:rPr>
      </w:pPr>
      <w:r>
        <w:rPr>
          <w:sz w:val="24"/>
          <w:szCs w:val="24"/>
        </w:rPr>
        <w:t>21. august 2025</w:t>
      </w:r>
    </w:p>
    <w:p w14:paraId="0F075BC9" w14:textId="77777777" w:rsidR="008203A8" w:rsidRPr="00406EE7" w:rsidRDefault="008203A8" w:rsidP="008203A8">
      <w:pPr>
        <w:tabs>
          <w:tab w:val="left" w:pos="851"/>
        </w:tabs>
        <w:ind w:left="851"/>
        <w:rPr>
          <w:sz w:val="24"/>
          <w:szCs w:val="24"/>
        </w:rPr>
      </w:pPr>
    </w:p>
    <w:p w14:paraId="2858DE93"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745F7BD9" w14:textId="0D1C88F4" w:rsidR="008203A8" w:rsidRPr="00406EE7" w:rsidRDefault="00D509D8" w:rsidP="008203A8">
      <w:pPr>
        <w:tabs>
          <w:tab w:val="left" w:pos="851"/>
        </w:tabs>
        <w:ind w:left="851"/>
        <w:rPr>
          <w:sz w:val="24"/>
          <w:szCs w:val="24"/>
        </w:rPr>
      </w:pPr>
      <w:r>
        <w:rPr>
          <w:sz w:val="24"/>
          <w:szCs w:val="24"/>
        </w:rPr>
        <w:t>-</w:t>
      </w:r>
    </w:p>
    <w:p w14:paraId="0E1F3ADB" w14:textId="77777777" w:rsidR="008203A8" w:rsidRPr="00406EE7" w:rsidRDefault="008203A8" w:rsidP="008203A8">
      <w:pPr>
        <w:tabs>
          <w:tab w:val="left" w:pos="851"/>
        </w:tabs>
        <w:ind w:left="851"/>
        <w:rPr>
          <w:sz w:val="24"/>
          <w:szCs w:val="24"/>
        </w:rPr>
      </w:pPr>
    </w:p>
    <w:p w14:paraId="5F21A352"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288370BC" w14:textId="128B482C" w:rsidR="008203A8" w:rsidRDefault="00D509D8" w:rsidP="008203A8">
      <w:pPr>
        <w:pStyle w:val="Sidehoved"/>
        <w:tabs>
          <w:tab w:val="clear" w:pos="4819"/>
          <w:tab w:val="left" w:pos="851"/>
        </w:tabs>
        <w:ind w:left="851"/>
        <w:rPr>
          <w:szCs w:val="24"/>
        </w:rPr>
      </w:pPr>
      <w:r>
        <w:rPr>
          <w:szCs w:val="24"/>
        </w:rPr>
        <w:t>BP</w:t>
      </w:r>
    </w:p>
    <w:p w14:paraId="045C6F0B" w14:textId="15DB30F2" w:rsidR="00D509D8" w:rsidRDefault="00D509D8" w:rsidP="008203A8">
      <w:pPr>
        <w:pStyle w:val="Sidehoved"/>
        <w:tabs>
          <w:tab w:val="clear" w:pos="4819"/>
          <w:tab w:val="left" w:pos="851"/>
        </w:tabs>
        <w:ind w:left="851"/>
        <w:rPr>
          <w:szCs w:val="24"/>
        </w:rPr>
      </w:pPr>
    </w:p>
    <w:p w14:paraId="55889E02" w14:textId="129BFD8C" w:rsidR="0003527F" w:rsidRPr="00D509D8" w:rsidRDefault="00D509D8" w:rsidP="00D509D8">
      <w:pPr>
        <w:pStyle w:val="Sidehoved"/>
        <w:tabs>
          <w:tab w:val="left" w:pos="851"/>
        </w:tabs>
        <w:ind w:left="851"/>
        <w:rPr>
          <w:szCs w:val="24"/>
        </w:rPr>
      </w:pPr>
      <w:r w:rsidRPr="00D509D8">
        <w:rPr>
          <w:szCs w:val="24"/>
        </w:rPr>
        <w:t xml:space="preserve">Der findes detaljerede oplysninger om dette veterinærlægemiddel i </w:t>
      </w:r>
      <w:hyperlink r:id="rId8" w:history="1">
        <w:r w:rsidRPr="00D509D8">
          <w:rPr>
            <w:rStyle w:val="Hyperlink"/>
            <w:szCs w:val="24"/>
          </w:rPr>
          <w:t>EU-lægemiddeldatabasen</w:t>
        </w:r>
      </w:hyperlink>
      <w:r w:rsidRPr="00D509D8">
        <w:rPr>
          <w:szCs w:val="24"/>
        </w:rPr>
        <w:t xml:space="preserve"> (</w:t>
      </w:r>
      <w:hyperlink r:id="rId9" w:history="1">
        <w:r w:rsidRPr="00D509D8">
          <w:rPr>
            <w:rStyle w:val="Hyperlink"/>
            <w:szCs w:val="24"/>
          </w:rPr>
          <w:t>https://medicines.health.europa.eu/veterinary</w:t>
        </w:r>
      </w:hyperlink>
      <w:r w:rsidRPr="00D509D8">
        <w:rPr>
          <w:szCs w:val="24"/>
        </w:rPr>
        <w:t>).</w:t>
      </w:r>
    </w:p>
    <w:sectPr w:rsidR="0003527F" w:rsidRPr="00D509D8"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8B6D1" w14:textId="77777777" w:rsidR="00516D74" w:rsidRDefault="00516D74">
      <w:r>
        <w:separator/>
      </w:r>
    </w:p>
  </w:endnote>
  <w:endnote w:type="continuationSeparator" w:id="0">
    <w:p w14:paraId="6DAB76A6" w14:textId="77777777" w:rsidR="00516D74" w:rsidRDefault="0051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707E8" w14:textId="77777777" w:rsidR="004A62CC" w:rsidRDefault="004A62CC">
    <w:pPr>
      <w:pStyle w:val="Sidefod"/>
      <w:pBdr>
        <w:bottom w:val="single" w:sz="6" w:space="1" w:color="auto"/>
      </w:pBdr>
      <w:tabs>
        <w:tab w:val="clear" w:pos="4819"/>
        <w:tab w:val="left" w:pos="8647"/>
      </w:tabs>
      <w:rPr>
        <w:i/>
        <w:snapToGrid w:val="0"/>
        <w:sz w:val="18"/>
      </w:rPr>
    </w:pPr>
  </w:p>
  <w:p w14:paraId="54674BA9" w14:textId="77777777" w:rsidR="004A62CC" w:rsidRDefault="004A62CC">
    <w:pPr>
      <w:pStyle w:val="Sidefod"/>
      <w:tabs>
        <w:tab w:val="clear" w:pos="4819"/>
        <w:tab w:val="left" w:pos="8647"/>
      </w:tabs>
      <w:rPr>
        <w:i/>
        <w:snapToGrid w:val="0"/>
        <w:sz w:val="18"/>
      </w:rPr>
    </w:pPr>
  </w:p>
  <w:p w14:paraId="19CE8051" w14:textId="20149AAB"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275F7">
      <w:rPr>
        <w:i/>
        <w:noProof/>
        <w:snapToGrid w:val="0"/>
        <w:sz w:val="18"/>
      </w:rPr>
      <w:t>Sultrilon Vet., oral pasta 333+67 mg-g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4692" w14:textId="77777777" w:rsidR="004A62CC" w:rsidRDefault="004A62CC">
    <w:pPr>
      <w:pStyle w:val="Sidefod"/>
      <w:pBdr>
        <w:bottom w:val="single" w:sz="6" w:space="1" w:color="auto"/>
      </w:pBdr>
      <w:tabs>
        <w:tab w:val="clear" w:pos="4819"/>
        <w:tab w:val="left" w:pos="8647"/>
      </w:tabs>
      <w:rPr>
        <w:i/>
        <w:snapToGrid w:val="0"/>
        <w:sz w:val="18"/>
      </w:rPr>
    </w:pPr>
  </w:p>
  <w:p w14:paraId="70C8437A" w14:textId="77777777" w:rsidR="004A62CC" w:rsidRDefault="004A62CC">
    <w:pPr>
      <w:pStyle w:val="Sidefod"/>
      <w:tabs>
        <w:tab w:val="clear" w:pos="4819"/>
        <w:tab w:val="left" w:pos="8647"/>
      </w:tabs>
      <w:rPr>
        <w:i/>
        <w:snapToGrid w:val="0"/>
        <w:sz w:val="18"/>
      </w:rPr>
    </w:pPr>
  </w:p>
  <w:p w14:paraId="4DD183A6" w14:textId="74496FDD"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275F7">
      <w:rPr>
        <w:i/>
        <w:noProof/>
        <w:snapToGrid w:val="0"/>
        <w:sz w:val="18"/>
      </w:rPr>
      <w:t>Sultrilon Vet., oral pasta 333+67 mg-g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98856" w14:textId="77777777" w:rsidR="00516D74" w:rsidRDefault="00516D74">
      <w:r>
        <w:separator/>
      </w:r>
    </w:p>
  </w:footnote>
  <w:footnote w:type="continuationSeparator" w:id="0">
    <w:p w14:paraId="07AD54BB" w14:textId="77777777" w:rsidR="00516D74" w:rsidRDefault="0051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EB49"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AEA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74"/>
    <w:rsid w:val="000241E8"/>
    <w:rsid w:val="0003527F"/>
    <w:rsid w:val="0004390D"/>
    <w:rsid w:val="0005355A"/>
    <w:rsid w:val="00065C7D"/>
    <w:rsid w:val="00076EA2"/>
    <w:rsid w:val="00092AFF"/>
    <w:rsid w:val="000B102C"/>
    <w:rsid w:val="000C6CD4"/>
    <w:rsid w:val="000D6611"/>
    <w:rsid w:val="00131D7A"/>
    <w:rsid w:val="00150DC8"/>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E4B6F"/>
    <w:rsid w:val="00406EE7"/>
    <w:rsid w:val="00407013"/>
    <w:rsid w:val="00412537"/>
    <w:rsid w:val="004126A8"/>
    <w:rsid w:val="00415D7C"/>
    <w:rsid w:val="00417225"/>
    <w:rsid w:val="00451FEF"/>
    <w:rsid w:val="004A62CC"/>
    <w:rsid w:val="004C733C"/>
    <w:rsid w:val="00514C36"/>
    <w:rsid w:val="00516D74"/>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B32D4"/>
    <w:rsid w:val="006C2FE7"/>
    <w:rsid w:val="006F0D27"/>
    <w:rsid w:val="006F5621"/>
    <w:rsid w:val="00701164"/>
    <w:rsid w:val="00712587"/>
    <w:rsid w:val="0071651B"/>
    <w:rsid w:val="00734E54"/>
    <w:rsid w:val="00750478"/>
    <w:rsid w:val="00751513"/>
    <w:rsid w:val="007564C7"/>
    <w:rsid w:val="00765DD4"/>
    <w:rsid w:val="00770213"/>
    <w:rsid w:val="00776C2C"/>
    <w:rsid w:val="00781329"/>
    <w:rsid w:val="007A684C"/>
    <w:rsid w:val="007C688A"/>
    <w:rsid w:val="007E2A00"/>
    <w:rsid w:val="007E5464"/>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300C"/>
    <w:rsid w:val="009E5184"/>
    <w:rsid w:val="009F1F5E"/>
    <w:rsid w:val="00A00D9C"/>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B022C"/>
    <w:rsid w:val="00CE3A44"/>
    <w:rsid w:val="00CE3F86"/>
    <w:rsid w:val="00CF75B4"/>
    <w:rsid w:val="00D10EE1"/>
    <w:rsid w:val="00D14DBC"/>
    <w:rsid w:val="00D509D8"/>
    <w:rsid w:val="00D87E2B"/>
    <w:rsid w:val="00D910BA"/>
    <w:rsid w:val="00D96D04"/>
    <w:rsid w:val="00DD6D71"/>
    <w:rsid w:val="00DF32BE"/>
    <w:rsid w:val="00E14F0A"/>
    <w:rsid w:val="00E321D6"/>
    <w:rsid w:val="00E323FB"/>
    <w:rsid w:val="00E61E78"/>
    <w:rsid w:val="00E645EA"/>
    <w:rsid w:val="00E84DC6"/>
    <w:rsid w:val="00EB5778"/>
    <w:rsid w:val="00EB61EC"/>
    <w:rsid w:val="00EE14EA"/>
    <w:rsid w:val="00EE5253"/>
    <w:rsid w:val="00EF3C59"/>
    <w:rsid w:val="00F275F7"/>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F8FC7"/>
  <w15:chartTrackingRefBased/>
  <w15:docId w15:val="{419881B7-C95A-4AE6-85C8-BDAB2BB3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D509D8"/>
    <w:rPr>
      <w:color w:val="0563C1" w:themeColor="hyperlink"/>
      <w:u w:val="single"/>
    </w:rPr>
  </w:style>
  <w:style w:type="character" w:styleId="Ulstomtale">
    <w:name w:val="Unresolved Mention"/>
    <w:basedOn w:val="Standardskrifttypeiafsnit"/>
    <w:uiPriority w:val="99"/>
    <w:semiHidden/>
    <w:unhideWhenUsed/>
    <w:rsid w:val="00D5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48965424">
      <w:bodyDiv w:val="1"/>
      <w:marLeft w:val="0"/>
      <w:marRight w:val="0"/>
      <w:marTop w:val="0"/>
      <w:marBottom w:val="0"/>
      <w:divBdr>
        <w:top w:val="none" w:sz="0" w:space="0" w:color="auto"/>
        <w:left w:val="none" w:sz="0" w:space="0" w:color="auto"/>
        <w:bottom w:val="none" w:sz="0" w:space="0" w:color="auto"/>
        <w:right w:val="none" w:sz="0" w:space="0" w:color="auto"/>
      </w:divBdr>
    </w:div>
    <w:div w:id="71858472">
      <w:bodyDiv w:val="1"/>
      <w:marLeft w:val="0"/>
      <w:marRight w:val="0"/>
      <w:marTop w:val="0"/>
      <w:marBottom w:val="0"/>
      <w:divBdr>
        <w:top w:val="none" w:sz="0" w:space="0" w:color="auto"/>
        <w:left w:val="none" w:sz="0" w:space="0" w:color="auto"/>
        <w:bottom w:val="none" w:sz="0" w:space="0" w:color="auto"/>
        <w:right w:val="none" w:sz="0" w:space="0" w:color="auto"/>
      </w:divBdr>
    </w:div>
    <w:div w:id="144511641">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19562836">
      <w:bodyDiv w:val="1"/>
      <w:marLeft w:val="0"/>
      <w:marRight w:val="0"/>
      <w:marTop w:val="0"/>
      <w:marBottom w:val="0"/>
      <w:divBdr>
        <w:top w:val="none" w:sz="0" w:space="0" w:color="auto"/>
        <w:left w:val="none" w:sz="0" w:space="0" w:color="auto"/>
        <w:bottom w:val="none" w:sz="0" w:space="0" w:color="auto"/>
        <w:right w:val="none" w:sz="0" w:space="0" w:color="auto"/>
      </w:divBdr>
    </w:div>
    <w:div w:id="221984323">
      <w:bodyDiv w:val="1"/>
      <w:marLeft w:val="0"/>
      <w:marRight w:val="0"/>
      <w:marTop w:val="0"/>
      <w:marBottom w:val="0"/>
      <w:divBdr>
        <w:top w:val="none" w:sz="0" w:space="0" w:color="auto"/>
        <w:left w:val="none" w:sz="0" w:space="0" w:color="auto"/>
        <w:bottom w:val="none" w:sz="0" w:space="0" w:color="auto"/>
        <w:right w:val="none" w:sz="0" w:space="0" w:color="auto"/>
      </w:divBdr>
    </w:div>
    <w:div w:id="242955778">
      <w:bodyDiv w:val="1"/>
      <w:marLeft w:val="0"/>
      <w:marRight w:val="0"/>
      <w:marTop w:val="0"/>
      <w:marBottom w:val="0"/>
      <w:divBdr>
        <w:top w:val="none" w:sz="0" w:space="0" w:color="auto"/>
        <w:left w:val="none" w:sz="0" w:space="0" w:color="auto"/>
        <w:bottom w:val="none" w:sz="0" w:space="0" w:color="auto"/>
        <w:right w:val="none" w:sz="0" w:space="0" w:color="auto"/>
      </w:divBdr>
    </w:div>
    <w:div w:id="249655939">
      <w:bodyDiv w:val="1"/>
      <w:marLeft w:val="0"/>
      <w:marRight w:val="0"/>
      <w:marTop w:val="0"/>
      <w:marBottom w:val="0"/>
      <w:divBdr>
        <w:top w:val="none" w:sz="0" w:space="0" w:color="auto"/>
        <w:left w:val="none" w:sz="0" w:space="0" w:color="auto"/>
        <w:bottom w:val="none" w:sz="0" w:space="0" w:color="auto"/>
        <w:right w:val="none" w:sz="0" w:space="0" w:color="auto"/>
      </w:divBdr>
    </w:div>
    <w:div w:id="269968540">
      <w:bodyDiv w:val="1"/>
      <w:marLeft w:val="0"/>
      <w:marRight w:val="0"/>
      <w:marTop w:val="0"/>
      <w:marBottom w:val="0"/>
      <w:divBdr>
        <w:top w:val="none" w:sz="0" w:space="0" w:color="auto"/>
        <w:left w:val="none" w:sz="0" w:space="0" w:color="auto"/>
        <w:bottom w:val="none" w:sz="0" w:space="0" w:color="auto"/>
        <w:right w:val="none" w:sz="0" w:space="0" w:color="auto"/>
      </w:divBdr>
    </w:div>
    <w:div w:id="294288951">
      <w:bodyDiv w:val="1"/>
      <w:marLeft w:val="0"/>
      <w:marRight w:val="0"/>
      <w:marTop w:val="0"/>
      <w:marBottom w:val="0"/>
      <w:divBdr>
        <w:top w:val="none" w:sz="0" w:space="0" w:color="auto"/>
        <w:left w:val="none" w:sz="0" w:space="0" w:color="auto"/>
        <w:bottom w:val="none" w:sz="0" w:space="0" w:color="auto"/>
        <w:right w:val="none" w:sz="0" w:space="0" w:color="auto"/>
      </w:divBdr>
    </w:div>
    <w:div w:id="326330733">
      <w:bodyDiv w:val="1"/>
      <w:marLeft w:val="0"/>
      <w:marRight w:val="0"/>
      <w:marTop w:val="0"/>
      <w:marBottom w:val="0"/>
      <w:divBdr>
        <w:top w:val="none" w:sz="0" w:space="0" w:color="auto"/>
        <w:left w:val="none" w:sz="0" w:space="0" w:color="auto"/>
        <w:bottom w:val="none" w:sz="0" w:space="0" w:color="auto"/>
        <w:right w:val="none" w:sz="0" w:space="0" w:color="auto"/>
      </w:divBdr>
    </w:div>
    <w:div w:id="334069650">
      <w:bodyDiv w:val="1"/>
      <w:marLeft w:val="0"/>
      <w:marRight w:val="0"/>
      <w:marTop w:val="0"/>
      <w:marBottom w:val="0"/>
      <w:divBdr>
        <w:top w:val="none" w:sz="0" w:space="0" w:color="auto"/>
        <w:left w:val="none" w:sz="0" w:space="0" w:color="auto"/>
        <w:bottom w:val="none" w:sz="0" w:space="0" w:color="auto"/>
        <w:right w:val="none" w:sz="0" w:space="0" w:color="auto"/>
      </w:divBdr>
    </w:div>
    <w:div w:id="352387844">
      <w:bodyDiv w:val="1"/>
      <w:marLeft w:val="0"/>
      <w:marRight w:val="0"/>
      <w:marTop w:val="0"/>
      <w:marBottom w:val="0"/>
      <w:divBdr>
        <w:top w:val="none" w:sz="0" w:space="0" w:color="auto"/>
        <w:left w:val="none" w:sz="0" w:space="0" w:color="auto"/>
        <w:bottom w:val="none" w:sz="0" w:space="0" w:color="auto"/>
        <w:right w:val="none" w:sz="0" w:space="0" w:color="auto"/>
      </w:divBdr>
    </w:div>
    <w:div w:id="358355256">
      <w:bodyDiv w:val="1"/>
      <w:marLeft w:val="0"/>
      <w:marRight w:val="0"/>
      <w:marTop w:val="0"/>
      <w:marBottom w:val="0"/>
      <w:divBdr>
        <w:top w:val="none" w:sz="0" w:space="0" w:color="auto"/>
        <w:left w:val="none" w:sz="0" w:space="0" w:color="auto"/>
        <w:bottom w:val="none" w:sz="0" w:space="0" w:color="auto"/>
        <w:right w:val="none" w:sz="0" w:space="0" w:color="auto"/>
      </w:divBdr>
    </w:div>
    <w:div w:id="420873778">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499739212">
      <w:bodyDiv w:val="1"/>
      <w:marLeft w:val="0"/>
      <w:marRight w:val="0"/>
      <w:marTop w:val="0"/>
      <w:marBottom w:val="0"/>
      <w:divBdr>
        <w:top w:val="none" w:sz="0" w:space="0" w:color="auto"/>
        <w:left w:val="none" w:sz="0" w:space="0" w:color="auto"/>
        <w:bottom w:val="none" w:sz="0" w:space="0" w:color="auto"/>
        <w:right w:val="none" w:sz="0" w:space="0" w:color="auto"/>
      </w:divBdr>
    </w:div>
    <w:div w:id="544174628">
      <w:bodyDiv w:val="1"/>
      <w:marLeft w:val="0"/>
      <w:marRight w:val="0"/>
      <w:marTop w:val="0"/>
      <w:marBottom w:val="0"/>
      <w:divBdr>
        <w:top w:val="none" w:sz="0" w:space="0" w:color="auto"/>
        <w:left w:val="none" w:sz="0" w:space="0" w:color="auto"/>
        <w:bottom w:val="none" w:sz="0" w:space="0" w:color="auto"/>
        <w:right w:val="none" w:sz="0" w:space="0" w:color="auto"/>
      </w:divBdr>
    </w:div>
    <w:div w:id="558907706">
      <w:bodyDiv w:val="1"/>
      <w:marLeft w:val="0"/>
      <w:marRight w:val="0"/>
      <w:marTop w:val="0"/>
      <w:marBottom w:val="0"/>
      <w:divBdr>
        <w:top w:val="none" w:sz="0" w:space="0" w:color="auto"/>
        <w:left w:val="none" w:sz="0" w:space="0" w:color="auto"/>
        <w:bottom w:val="none" w:sz="0" w:space="0" w:color="auto"/>
        <w:right w:val="none" w:sz="0" w:space="0" w:color="auto"/>
      </w:divBdr>
    </w:div>
    <w:div w:id="581530016">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29172740">
      <w:bodyDiv w:val="1"/>
      <w:marLeft w:val="0"/>
      <w:marRight w:val="0"/>
      <w:marTop w:val="0"/>
      <w:marBottom w:val="0"/>
      <w:divBdr>
        <w:top w:val="none" w:sz="0" w:space="0" w:color="auto"/>
        <w:left w:val="none" w:sz="0" w:space="0" w:color="auto"/>
        <w:bottom w:val="none" w:sz="0" w:space="0" w:color="auto"/>
        <w:right w:val="none" w:sz="0" w:space="0" w:color="auto"/>
      </w:divBdr>
    </w:div>
    <w:div w:id="634799009">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51832483">
      <w:bodyDiv w:val="1"/>
      <w:marLeft w:val="0"/>
      <w:marRight w:val="0"/>
      <w:marTop w:val="0"/>
      <w:marBottom w:val="0"/>
      <w:divBdr>
        <w:top w:val="none" w:sz="0" w:space="0" w:color="auto"/>
        <w:left w:val="none" w:sz="0" w:space="0" w:color="auto"/>
        <w:bottom w:val="none" w:sz="0" w:space="0" w:color="auto"/>
        <w:right w:val="none" w:sz="0" w:space="0" w:color="auto"/>
      </w:divBdr>
    </w:div>
    <w:div w:id="675034891">
      <w:bodyDiv w:val="1"/>
      <w:marLeft w:val="0"/>
      <w:marRight w:val="0"/>
      <w:marTop w:val="0"/>
      <w:marBottom w:val="0"/>
      <w:divBdr>
        <w:top w:val="none" w:sz="0" w:space="0" w:color="auto"/>
        <w:left w:val="none" w:sz="0" w:space="0" w:color="auto"/>
        <w:bottom w:val="none" w:sz="0" w:space="0" w:color="auto"/>
        <w:right w:val="none" w:sz="0" w:space="0" w:color="auto"/>
      </w:divBdr>
    </w:div>
    <w:div w:id="688794133">
      <w:bodyDiv w:val="1"/>
      <w:marLeft w:val="0"/>
      <w:marRight w:val="0"/>
      <w:marTop w:val="0"/>
      <w:marBottom w:val="0"/>
      <w:divBdr>
        <w:top w:val="none" w:sz="0" w:space="0" w:color="auto"/>
        <w:left w:val="none" w:sz="0" w:space="0" w:color="auto"/>
        <w:bottom w:val="none" w:sz="0" w:space="0" w:color="auto"/>
        <w:right w:val="none" w:sz="0" w:space="0" w:color="auto"/>
      </w:divBdr>
    </w:div>
    <w:div w:id="714039432">
      <w:bodyDiv w:val="1"/>
      <w:marLeft w:val="0"/>
      <w:marRight w:val="0"/>
      <w:marTop w:val="0"/>
      <w:marBottom w:val="0"/>
      <w:divBdr>
        <w:top w:val="none" w:sz="0" w:space="0" w:color="auto"/>
        <w:left w:val="none" w:sz="0" w:space="0" w:color="auto"/>
        <w:bottom w:val="none" w:sz="0" w:space="0" w:color="auto"/>
        <w:right w:val="none" w:sz="0" w:space="0" w:color="auto"/>
      </w:divBdr>
    </w:div>
    <w:div w:id="725564106">
      <w:bodyDiv w:val="1"/>
      <w:marLeft w:val="0"/>
      <w:marRight w:val="0"/>
      <w:marTop w:val="0"/>
      <w:marBottom w:val="0"/>
      <w:divBdr>
        <w:top w:val="none" w:sz="0" w:space="0" w:color="auto"/>
        <w:left w:val="none" w:sz="0" w:space="0" w:color="auto"/>
        <w:bottom w:val="none" w:sz="0" w:space="0" w:color="auto"/>
        <w:right w:val="none" w:sz="0" w:space="0" w:color="auto"/>
      </w:divBdr>
    </w:div>
    <w:div w:id="776098338">
      <w:bodyDiv w:val="1"/>
      <w:marLeft w:val="0"/>
      <w:marRight w:val="0"/>
      <w:marTop w:val="0"/>
      <w:marBottom w:val="0"/>
      <w:divBdr>
        <w:top w:val="none" w:sz="0" w:space="0" w:color="auto"/>
        <w:left w:val="none" w:sz="0" w:space="0" w:color="auto"/>
        <w:bottom w:val="none" w:sz="0" w:space="0" w:color="auto"/>
        <w:right w:val="none" w:sz="0" w:space="0" w:color="auto"/>
      </w:divBdr>
    </w:div>
    <w:div w:id="784689716">
      <w:bodyDiv w:val="1"/>
      <w:marLeft w:val="0"/>
      <w:marRight w:val="0"/>
      <w:marTop w:val="0"/>
      <w:marBottom w:val="0"/>
      <w:divBdr>
        <w:top w:val="none" w:sz="0" w:space="0" w:color="auto"/>
        <w:left w:val="none" w:sz="0" w:space="0" w:color="auto"/>
        <w:bottom w:val="none" w:sz="0" w:space="0" w:color="auto"/>
        <w:right w:val="none" w:sz="0" w:space="0" w:color="auto"/>
      </w:divBdr>
    </w:div>
    <w:div w:id="812598028">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51727663">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15280138">
      <w:bodyDiv w:val="1"/>
      <w:marLeft w:val="0"/>
      <w:marRight w:val="0"/>
      <w:marTop w:val="0"/>
      <w:marBottom w:val="0"/>
      <w:divBdr>
        <w:top w:val="none" w:sz="0" w:space="0" w:color="auto"/>
        <w:left w:val="none" w:sz="0" w:space="0" w:color="auto"/>
        <w:bottom w:val="none" w:sz="0" w:space="0" w:color="auto"/>
        <w:right w:val="none" w:sz="0" w:space="0" w:color="auto"/>
      </w:divBdr>
    </w:div>
    <w:div w:id="915359840">
      <w:bodyDiv w:val="1"/>
      <w:marLeft w:val="0"/>
      <w:marRight w:val="0"/>
      <w:marTop w:val="0"/>
      <w:marBottom w:val="0"/>
      <w:divBdr>
        <w:top w:val="none" w:sz="0" w:space="0" w:color="auto"/>
        <w:left w:val="none" w:sz="0" w:space="0" w:color="auto"/>
        <w:bottom w:val="none" w:sz="0" w:space="0" w:color="auto"/>
        <w:right w:val="none" w:sz="0" w:space="0" w:color="auto"/>
      </w:divBdr>
    </w:div>
    <w:div w:id="1005981074">
      <w:bodyDiv w:val="1"/>
      <w:marLeft w:val="0"/>
      <w:marRight w:val="0"/>
      <w:marTop w:val="0"/>
      <w:marBottom w:val="0"/>
      <w:divBdr>
        <w:top w:val="none" w:sz="0" w:space="0" w:color="auto"/>
        <w:left w:val="none" w:sz="0" w:space="0" w:color="auto"/>
        <w:bottom w:val="none" w:sz="0" w:space="0" w:color="auto"/>
        <w:right w:val="none" w:sz="0" w:space="0" w:color="auto"/>
      </w:divBdr>
    </w:div>
    <w:div w:id="1023673672">
      <w:bodyDiv w:val="1"/>
      <w:marLeft w:val="0"/>
      <w:marRight w:val="0"/>
      <w:marTop w:val="0"/>
      <w:marBottom w:val="0"/>
      <w:divBdr>
        <w:top w:val="none" w:sz="0" w:space="0" w:color="auto"/>
        <w:left w:val="none" w:sz="0" w:space="0" w:color="auto"/>
        <w:bottom w:val="none" w:sz="0" w:space="0" w:color="auto"/>
        <w:right w:val="none" w:sz="0" w:space="0" w:color="auto"/>
      </w:divBdr>
    </w:div>
    <w:div w:id="1086002408">
      <w:bodyDiv w:val="1"/>
      <w:marLeft w:val="0"/>
      <w:marRight w:val="0"/>
      <w:marTop w:val="0"/>
      <w:marBottom w:val="0"/>
      <w:divBdr>
        <w:top w:val="none" w:sz="0" w:space="0" w:color="auto"/>
        <w:left w:val="none" w:sz="0" w:space="0" w:color="auto"/>
        <w:bottom w:val="none" w:sz="0" w:space="0" w:color="auto"/>
        <w:right w:val="none" w:sz="0" w:space="0" w:color="auto"/>
      </w:divBdr>
    </w:div>
    <w:div w:id="1096170543">
      <w:bodyDiv w:val="1"/>
      <w:marLeft w:val="0"/>
      <w:marRight w:val="0"/>
      <w:marTop w:val="0"/>
      <w:marBottom w:val="0"/>
      <w:divBdr>
        <w:top w:val="none" w:sz="0" w:space="0" w:color="auto"/>
        <w:left w:val="none" w:sz="0" w:space="0" w:color="auto"/>
        <w:bottom w:val="none" w:sz="0" w:space="0" w:color="auto"/>
        <w:right w:val="none" w:sz="0" w:space="0" w:color="auto"/>
      </w:divBdr>
    </w:div>
    <w:div w:id="1101879203">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69048480">
      <w:bodyDiv w:val="1"/>
      <w:marLeft w:val="0"/>
      <w:marRight w:val="0"/>
      <w:marTop w:val="0"/>
      <w:marBottom w:val="0"/>
      <w:divBdr>
        <w:top w:val="none" w:sz="0" w:space="0" w:color="auto"/>
        <w:left w:val="none" w:sz="0" w:space="0" w:color="auto"/>
        <w:bottom w:val="none" w:sz="0" w:space="0" w:color="auto"/>
        <w:right w:val="none" w:sz="0" w:space="0" w:color="auto"/>
      </w:divBdr>
    </w:div>
    <w:div w:id="1301807984">
      <w:bodyDiv w:val="1"/>
      <w:marLeft w:val="0"/>
      <w:marRight w:val="0"/>
      <w:marTop w:val="0"/>
      <w:marBottom w:val="0"/>
      <w:divBdr>
        <w:top w:val="none" w:sz="0" w:space="0" w:color="auto"/>
        <w:left w:val="none" w:sz="0" w:space="0" w:color="auto"/>
        <w:bottom w:val="none" w:sz="0" w:space="0" w:color="auto"/>
        <w:right w:val="none" w:sz="0" w:space="0" w:color="auto"/>
      </w:divBdr>
    </w:div>
    <w:div w:id="1317219076">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27848527">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44305824">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25171531">
      <w:bodyDiv w:val="1"/>
      <w:marLeft w:val="0"/>
      <w:marRight w:val="0"/>
      <w:marTop w:val="0"/>
      <w:marBottom w:val="0"/>
      <w:divBdr>
        <w:top w:val="none" w:sz="0" w:space="0" w:color="auto"/>
        <w:left w:val="none" w:sz="0" w:space="0" w:color="auto"/>
        <w:bottom w:val="none" w:sz="0" w:space="0" w:color="auto"/>
        <w:right w:val="none" w:sz="0" w:space="0" w:color="auto"/>
      </w:divBdr>
    </w:div>
    <w:div w:id="1531721239">
      <w:bodyDiv w:val="1"/>
      <w:marLeft w:val="0"/>
      <w:marRight w:val="0"/>
      <w:marTop w:val="0"/>
      <w:marBottom w:val="0"/>
      <w:divBdr>
        <w:top w:val="none" w:sz="0" w:space="0" w:color="auto"/>
        <w:left w:val="none" w:sz="0" w:space="0" w:color="auto"/>
        <w:bottom w:val="none" w:sz="0" w:space="0" w:color="auto"/>
        <w:right w:val="none" w:sz="0" w:space="0" w:color="auto"/>
      </w:divBdr>
    </w:div>
    <w:div w:id="1793865325">
      <w:bodyDiv w:val="1"/>
      <w:marLeft w:val="0"/>
      <w:marRight w:val="0"/>
      <w:marTop w:val="0"/>
      <w:marBottom w:val="0"/>
      <w:divBdr>
        <w:top w:val="none" w:sz="0" w:space="0" w:color="auto"/>
        <w:left w:val="none" w:sz="0" w:space="0" w:color="auto"/>
        <w:bottom w:val="none" w:sz="0" w:space="0" w:color="auto"/>
        <w:right w:val="none" w:sz="0" w:space="0" w:color="auto"/>
      </w:divBdr>
    </w:div>
    <w:div w:id="1816292146">
      <w:bodyDiv w:val="1"/>
      <w:marLeft w:val="0"/>
      <w:marRight w:val="0"/>
      <w:marTop w:val="0"/>
      <w:marBottom w:val="0"/>
      <w:divBdr>
        <w:top w:val="none" w:sz="0" w:space="0" w:color="auto"/>
        <w:left w:val="none" w:sz="0" w:space="0" w:color="auto"/>
        <w:bottom w:val="none" w:sz="0" w:space="0" w:color="auto"/>
        <w:right w:val="none" w:sz="0" w:space="0" w:color="auto"/>
      </w:divBdr>
    </w:div>
    <w:div w:id="2053311484">
      <w:bodyDiv w:val="1"/>
      <w:marLeft w:val="0"/>
      <w:marRight w:val="0"/>
      <w:marTop w:val="0"/>
      <w:marBottom w:val="0"/>
      <w:divBdr>
        <w:top w:val="none" w:sz="0" w:space="0" w:color="auto"/>
        <w:left w:val="none" w:sz="0" w:space="0" w:color="auto"/>
        <w:bottom w:val="none" w:sz="0" w:space="0" w:color="auto"/>
        <w:right w:val="none" w:sz="0" w:space="0" w:color="auto"/>
      </w:divBdr>
    </w:div>
    <w:div w:id="2053576460">
      <w:bodyDiv w:val="1"/>
      <w:marLeft w:val="0"/>
      <w:marRight w:val="0"/>
      <w:marTop w:val="0"/>
      <w:marBottom w:val="0"/>
      <w:divBdr>
        <w:top w:val="none" w:sz="0" w:space="0" w:color="auto"/>
        <w:left w:val="none" w:sz="0" w:space="0" w:color="auto"/>
        <w:bottom w:val="none" w:sz="0" w:space="0" w:color="auto"/>
        <w:right w:val="none" w:sz="0" w:space="0" w:color="auto"/>
      </w:divBdr>
    </w:div>
    <w:div w:id="2068644495">
      <w:bodyDiv w:val="1"/>
      <w:marLeft w:val="0"/>
      <w:marRight w:val="0"/>
      <w:marTop w:val="0"/>
      <w:marBottom w:val="0"/>
      <w:divBdr>
        <w:top w:val="none" w:sz="0" w:space="0" w:color="auto"/>
        <w:left w:val="none" w:sz="0" w:space="0" w:color="auto"/>
        <w:bottom w:val="none" w:sz="0" w:space="0" w:color="auto"/>
        <w:right w:val="none" w:sz="0" w:space="0" w:color="auto"/>
      </w:divBdr>
    </w:div>
    <w:div w:id="2070182084">
      <w:bodyDiv w:val="1"/>
      <w:marLeft w:val="0"/>
      <w:marRight w:val="0"/>
      <w:marTop w:val="0"/>
      <w:marBottom w:val="0"/>
      <w:divBdr>
        <w:top w:val="none" w:sz="0" w:space="0" w:color="auto"/>
        <w:left w:val="none" w:sz="0" w:space="0" w:color="auto"/>
        <w:bottom w:val="none" w:sz="0" w:space="0" w:color="auto"/>
        <w:right w:val="none" w:sz="0" w:space="0" w:color="auto"/>
      </w:divBdr>
    </w:div>
    <w:div w:id="20920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select-language?destination=/node/2109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Template>
  <TotalTime>21</TotalTime>
  <Pages>6</Pages>
  <Words>1556</Words>
  <Characters>10818</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2024032006 mt</dc:description>
  <cp:lastModifiedBy>Hanne Thy Iversen</cp:lastModifiedBy>
  <cp:revision>15</cp:revision>
  <cp:lastPrinted>2022-05-18T14:03:00Z</cp:lastPrinted>
  <dcterms:created xsi:type="dcterms:W3CDTF">2025-08-19T11:59:00Z</dcterms:created>
  <dcterms:modified xsi:type="dcterms:W3CDTF">2025-08-21T07:43:00Z</dcterms:modified>
</cp:coreProperties>
</file>