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2E1DBE">
        <w:rPr>
          <w:b/>
          <w:sz w:val="24"/>
          <w:szCs w:val="24"/>
        </w:rPr>
        <w:t>21. februar 2022</w:t>
      </w: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206090" w:rsidP="005B0036">
      <w:pPr>
        <w:tabs>
          <w:tab w:val="left" w:pos="8222"/>
        </w:tabs>
        <w:jc w:val="center"/>
        <w:rPr>
          <w:b/>
          <w:sz w:val="24"/>
          <w:szCs w:val="24"/>
        </w:rPr>
      </w:pPr>
      <w:r>
        <w:rPr>
          <w:b/>
          <w:sz w:val="24"/>
          <w:szCs w:val="24"/>
        </w:rPr>
        <w:t>Sultrivet, injektionsvæske, opløsning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401830">
      <w:pPr>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986664" w:rsidP="00401830">
      <w:pPr>
        <w:ind w:left="851"/>
        <w:rPr>
          <w:sz w:val="24"/>
          <w:szCs w:val="24"/>
        </w:rPr>
      </w:pPr>
      <w:r>
        <w:rPr>
          <w:sz w:val="24"/>
          <w:szCs w:val="24"/>
        </w:rPr>
        <w:t>32227</w:t>
      </w:r>
    </w:p>
    <w:p w:rsidR="005B0036" w:rsidRPr="00406EE7" w:rsidRDefault="005B0036" w:rsidP="00401830">
      <w:pPr>
        <w:ind w:left="851"/>
        <w:rPr>
          <w:sz w:val="24"/>
          <w:szCs w:val="24"/>
        </w:rPr>
      </w:pPr>
    </w:p>
    <w:p w:rsidR="005B0036" w:rsidRPr="00406EE7" w:rsidRDefault="005B0036" w:rsidP="00401830">
      <w:pPr>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986664" w:rsidP="00401830">
      <w:pPr>
        <w:ind w:left="851"/>
        <w:rPr>
          <w:sz w:val="24"/>
          <w:szCs w:val="24"/>
        </w:rPr>
      </w:pPr>
      <w:r>
        <w:rPr>
          <w:sz w:val="24"/>
          <w:szCs w:val="24"/>
        </w:rPr>
        <w:t>Sultrivet</w:t>
      </w:r>
    </w:p>
    <w:p w:rsidR="005B0036" w:rsidRPr="00406EE7" w:rsidRDefault="005B0036" w:rsidP="00401830">
      <w:pPr>
        <w:ind w:left="851"/>
        <w:rPr>
          <w:sz w:val="24"/>
          <w:szCs w:val="24"/>
        </w:rPr>
      </w:pPr>
    </w:p>
    <w:p w:rsidR="005B0036" w:rsidRPr="00406EE7" w:rsidRDefault="005B0036" w:rsidP="00401830">
      <w:pPr>
        <w:ind w:left="851" w:hanging="851"/>
        <w:rPr>
          <w:b/>
          <w:sz w:val="24"/>
          <w:szCs w:val="24"/>
        </w:rPr>
      </w:pPr>
      <w:r w:rsidRPr="00406EE7">
        <w:rPr>
          <w:b/>
          <w:sz w:val="24"/>
          <w:szCs w:val="24"/>
        </w:rPr>
        <w:t>2.</w:t>
      </w:r>
      <w:r w:rsidRPr="00406EE7">
        <w:rPr>
          <w:b/>
          <w:sz w:val="24"/>
          <w:szCs w:val="24"/>
        </w:rPr>
        <w:tab/>
        <w:t>KVALITATIV OG KVANTITATIV SAMMENSÆTNING</w:t>
      </w:r>
    </w:p>
    <w:p w:rsidR="004A36D9" w:rsidRPr="004A36D9" w:rsidRDefault="004A36D9" w:rsidP="00401830">
      <w:pPr>
        <w:ind w:left="851"/>
        <w:rPr>
          <w:sz w:val="24"/>
          <w:szCs w:val="24"/>
        </w:rPr>
      </w:pPr>
      <w:r w:rsidRPr="004A36D9">
        <w:rPr>
          <w:sz w:val="24"/>
          <w:szCs w:val="24"/>
        </w:rPr>
        <w:t xml:space="preserve">1 ml indeholder: </w:t>
      </w:r>
    </w:p>
    <w:p w:rsidR="004A36D9" w:rsidRPr="004A36D9" w:rsidRDefault="004A36D9" w:rsidP="00401830">
      <w:pPr>
        <w:ind w:left="851"/>
        <w:rPr>
          <w:b/>
          <w:bCs/>
          <w:sz w:val="24"/>
          <w:szCs w:val="24"/>
        </w:rPr>
      </w:pPr>
    </w:p>
    <w:p w:rsidR="004A36D9" w:rsidRPr="004A36D9" w:rsidRDefault="004A36D9" w:rsidP="00401830">
      <w:pPr>
        <w:ind w:left="851"/>
        <w:rPr>
          <w:sz w:val="24"/>
          <w:szCs w:val="24"/>
          <w:u w:val="single"/>
        </w:rPr>
      </w:pPr>
      <w:r w:rsidRPr="004A36D9">
        <w:rPr>
          <w:bCs/>
          <w:sz w:val="24"/>
          <w:szCs w:val="24"/>
          <w:u w:val="single"/>
        </w:rPr>
        <w:t>Aktive stoffer</w:t>
      </w:r>
    </w:p>
    <w:p w:rsidR="004A36D9" w:rsidRPr="004A36D9" w:rsidRDefault="004A36D9" w:rsidP="0090070D">
      <w:pPr>
        <w:tabs>
          <w:tab w:val="left" w:pos="2552"/>
        </w:tabs>
        <w:ind w:left="851"/>
        <w:rPr>
          <w:sz w:val="24"/>
          <w:szCs w:val="24"/>
        </w:rPr>
      </w:pPr>
      <w:r w:rsidRPr="004A36D9">
        <w:rPr>
          <w:sz w:val="24"/>
          <w:szCs w:val="24"/>
        </w:rPr>
        <w:t>Sulfadoxin</w:t>
      </w:r>
      <w:r w:rsidR="001504BA">
        <w:rPr>
          <w:sz w:val="24"/>
          <w:szCs w:val="24"/>
        </w:rPr>
        <w:tab/>
      </w:r>
      <w:r w:rsidRPr="004A36D9">
        <w:rPr>
          <w:sz w:val="24"/>
          <w:szCs w:val="24"/>
        </w:rPr>
        <w:t>200 mg</w:t>
      </w:r>
    </w:p>
    <w:p w:rsidR="004A36D9" w:rsidRPr="004A36D9" w:rsidRDefault="004A36D9" w:rsidP="0090070D">
      <w:pPr>
        <w:tabs>
          <w:tab w:val="left" w:pos="2552"/>
        </w:tabs>
        <w:ind w:left="851"/>
        <w:rPr>
          <w:sz w:val="24"/>
          <w:szCs w:val="24"/>
        </w:rPr>
      </w:pPr>
      <w:r w:rsidRPr="004A36D9">
        <w:rPr>
          <w:sz w:val="24"/>
          <w:szCs w:val="24"/>
        </w:rPr>
        <w:t>Trimethoprim</w:t>
      </w:r>
      <w:r w:rsidR="001504BA">
        <w:rPr>
          <w:sz w:val="24"/>
          <w:szCs w:val="24"/>
        </w:rPr>
        <w:tab/>
      </w:r>
      <w:r w:rsidRPr="004A36D9">
        <w:rPr>
          <w:sz w:val="24"/>
          <w:szCs w:val="24"/>
        </w:rPr>
        <w:t>40 mg</w:t>
      </w:r>
    </w:p>
    <w:p w:rsidR="004A36D9" w:rsidRPr="004A36D9" w:rsidRDefault="004A36D9" w:rsidP="00401830">
      <w:pPr>
        <w:ind w:left="851"/>
        <w:rPr>
          <w:sz w:val="24"/>
          <w:szCs w:val="24"/>
        </w:rPr>
      </w:pPr>
    </w:p>
    <w:p w:rsidR="004A36D9" w:rsidRPr="004A36D9" w:rsidRDefault="004A36D9" w:rsidP="00401830">
      <w:pPr>
        <w:ind w:left="851"/>
        <w:rPr>
          <w:sz w:val="24"/>
          <w:szCs w:val="24"/>
        </w:rPr>
      </w:pPr>
      <w:r w:rsidRPr="004A36D9">
        <w:rPr>
          <w:sz w:val="24"/>
          <w:szCs w:val="24"/>
        </w:rPr>
        <w:t>Alle hjælpestoffer er anført under pkt. 6.1.</w:t>
      </w:r>
    </w:p>
    <w:p w:rsidR="005B0036" w:rsidRPr="00406EE7" w:rsidRDefault="005B0036" w:rsidP="00401830">
      <w:pPr>
        <w:ind w:left="851"/>
        <w:rPr>
          <w:sz w:val="24"/>
          <w:szCs w:val="24"/>
        </w:rPr>
      </w:pPr>
    </w:p>
    <w:p w:rsidR="005B0036" w:rsidRPr="00406EE7" w:rsidRDefault="005B0036" w:rsidP="00401830">
      <w:pPr>
        <w:ind w:left="851" w:hanging="851"/>
        <w:rPr>
          <w:b/>
          <w:sz w:val="24"/>
          <w:szCs w:val="24"/>
        </w:rPr>
      </w:pPr>
      <w:r w:rsidRPr="00406EE7">
        <w:rPr>
          <w:b/>
          <w:sz w:val="24"/>
          <w:szCs w:val="24"/>
        </w:rPr>
        <w:t>3.</w:t>
      </w:r>
      <w:r w:rsidRPr="00406EE7">
        <w:rPr>
          <w:b/>
          <w:sz w:val="24"/>
          <w:szCs w:val="24"/>
        </w:rPr>
        <w:tab/>
        <w:t>LÆGEMIDDELFORM</w:t>
      </w:r>
    </w:p>
    <w:p w:rsidR="001504BA" w:rsidRPr="001504BA" w:rsidRDefault="001504BA" w:rsidP="00401830">
      <w:pPr>
        <w:tabs>
          <w:tab w:val="left" w:pos="851"/>
        </w:tabs>
        <w:ind w:left="851"/>
        <w:rPr>
          <w:sz w:val="24"/>
          <w:szCs w:val="24"/>
        </w:rPr>
      </w:pPr>
      <w:r w:rsidRPr="001504BA">
        <w:rPr>
          <w:sz w:val="24"/>
          <w:szCs w:val="24"/>
        </w:rPr>
        <w:t>Injektionsvæske, opløsning</w:t>
      </w:r>
    </w:p>
    <w:p w:rsidR="001504BA" w:rsidRPr="001504BA" w:rsidRDefault="001504BA" w:rsidP="00401830">
      <w:pPr>
        <w:tabs>
          <w:tab w:val="left" w:pos="851"/>
        </w:tabs>
        <w:ind w:left="851"/>
        <w:rPr>
          <w:sz w:val="24"/>
          <w:szCs w:val="24"/>
        </w:rPr>
      </w:pPr>
    </w:p>
    <w:p w:rsidR="001504BA" w:rsidRPr="001504BA" w:rsidRDefault="001504BA" w:rsidP="00401830">
      <w:pPr>
        <w:tabs>
          <w:tab w:val="left" w:pos="851"/>
        </w:tabs>
        <w:ind w:left="851"/>
        <w:rPr>
          <w:sz w:val="24"/>
          <w:szCs w:val="24"/>
        </w:rPr>
      </w:pPr>
      <w:bookmarkStart w:id="0" w:name="_Hlk50381680"/>
      <w:r w:rsidRPr="001504BA">
        <w:rPr>
          <w:sz w:val="24"/>
          <w:szCs w:val="24"/>
        </w:rPr>
        <w:t>Klar gullig, brunlig eller rødlig opløsning.</w:t>
      </w:r>
      <w:bookmarkEnd w:id="0"/>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u w:val="single"/>
        </w:rPr>
      </w:pPr>
      <w:r w:rsidRPr="00406EE7">
        <w:rPr>
          <w:b/>
          <w:sz w:val="24"/>
          <w:szCs w:val="24"/>
        </w:rPr>
        <w:t>4.1</w:t>
      </w:r>
      <w:r w:rsidRPr="00406EE7">
        <w:rPr>
          <w:b/>
          <w:sz w:val="24"/>
          <w:szCs w:val="24"/>
        </w:rPr>
        <w:tab/>
        <w:t>Dyrearter</w:t>
      </w:r>
    </w:p>
    <w:p w:rsidR="004170B9" w:rsidRDefault="004170B9" w:rsidP="00401830">
      <w:pPr>
        <w:ind w:left="851"/>
        <w:rPr>
          <w:sz w:val="24"/>
          <w:szCs w:val="24"/>
        </w:rPr>
      </w:pPr>
      <w:r w:rsidRPr="004170B9">
        <w:rPr>
          <w:sz w:val="24"/>
          <w:szCs w:val="24"/>
        </w:rPr>
        <w:t>Hest</w:t>
      </w:r>
    </w:p>
    <w:p w:rsidR="004170B9" w:rsidRDefault="004170B9" w:rsidP="00401830">
      <w:pPr>
        <w:ind w:left="851"/>
        <w:rPr>
          <w:sz w:val="24"/>
          <w:szCs w:val="24"/>
        </w:rPr>
      </w:pPr>
      <w:r w:rsidRPr="004170B9">
        <w:rPr>
          <w:sz w:val="24"/>
          <w:szCs w:val="24"/>
        </w:rPr>
        <w:t>Kvæg</w:t>
      </w:r>
    </w:p>
    <w:p w:rsidR="004170B9" w:rsidRPr="004170B9" w:rsidRDefault="004170B9" w:rsidP="00401830">
      <w:pPr>
        <w:ind w:left="851"/>
        <w:rPr>
          <w:sz w:val="24"/>
          <w:szCs w:val="24"/>
        </w:rPr>
      </w:pPr>
      <w:r w:rsidRPr="004170B9">
        <w:rPr>
          <w:sz w:val="24"/>
          <w:szCs w:val="24"/>
        </w:rPr>
        <w:t>Svin</w:t>
      </w:r>
    </w:p>
    <w:p w:rsidR="005B0036" w:rsidRPr="00406EE7" w:rsidRDefault="005B0036" w:rsidP="00401830">
      <w:pPr>
        <w:ind w:left="851"/>
        <w:rPr>
          <w:sz w:val="24"/>
          <w:szCs w:val="24"/>
        </w:rPr>
      </w:pPr>
    </w:p>
    <w:p w:rsidR="005B0036" w:rsidRPr="00406EE7" w:rsidRDefault="005B0036" w:rsidP="00401830">
      <w:pPr>
        <w:pStyle w:val="Sidehoved"/>
        <w:tabs>
          <w:tab w:val="clear" w:pos="4819"/>
        </w:tabs>
        <w:ind w:left="851" w:hanging="851"/>
        <w:rPr>
          <w:b/>
          <w:szCs w:val="24"/>
        </w:rPr>
      </w:pPr>
      <w:r w:rsidRPr="00406EE7">
        <w:rPr>
          <w:b/>
          <w:szCs w:val="24"/>
        </w:rPr>
        <w:t>4.2</w:t>
      </w:r>
      <w:r w:rsidRPr="00406EE7">
        <w:rPr>
          <w:b/>
          <w:szCs w:val="24"/>
        </w:rPr>
        <w:tab/>
        <w:t>Terapeutiske indikationer</w:t>
      </w:r>
    </w:p>
    <w:p w:rsidR="004170B9" w:rsidRPr="004170B9" w:rsidRDefault="004170B9" w:rsidP="00401830">
      <w:pPr>
        <w:pStyle w:val="Sidehoved"/>
        <w:ind w:left="851"/>
        <w:rPr>
          <w:szCs w:val="24"/>
        </w:rPr>
      </w:pPr>
      <w:r w:rsidRPr="004170B9">
        <w:rPr>
          <w:szCs w:val="24"/>
        </w:rPr>
        <w:t>Infektioner forårsaget af sulfonamid-/trimethoprimfølsomme mikroorganismer.</w:t>
      </w:r>
    </w:p>
    <w:p w:rsidR="005B0036" w:rsidRPr="00406EE7" w:rsidRDefault="005B0036" w:rsidP="00401830">
      <w:pPr>
        <w:pStyle w:val="Sidehoved"/>
        <w:tabs>
          <w:tab w:val="clear" w:pos="4819"/>
        </w:tabs>
        <w:ind w:left="851"/>
        <w:rPr>
          <w:szCs w:val="24"/>
        </w:rPr>
      </w:pPr>
    </w:p>
    <w:p w:rsidR="005B0036" w:rsidRPr="00406EE7" w:rsidRDefault="005B0036" w:rsidP="00401830">
      <w:pPr>
        <w:pStyle w:val="Sidehoved"/>
        <w:tabs>
          <w:tab w:val="clear" w:pos="4819"/>
          <w:tab w:val="left" w:pos="851"/>
        </w:tabs>
        <w:rPr>
          <w:b/>
          <w:szCs w:val="24"/>
        </w:rPr>
      </w:pPr>
      <w:r w:rsidRPr="00406EE7">
        <w:rPr>
          <w:b/>
          <w:szCs w:val="24"/>
        </w:rPr>
        <w:t>4.3</w:t>
      </w:r>
      <w:r w:rsidRPr="00406EE7">
        <w:rPr>
          <w:b/>
          <w:szCs w:val="24"/>
        </w:rPr>
        <w:tab/>
        <w:t>Kontraindikationer</w:t>
      </w:r>
    </w:p>
    <w:p w:rsidR="002F09B8" w:rsidRPr="002F09B8" w:rsidRDefault="002F09B8" w:rsidP="00401830">
      <w:pPr>
        <w:pStyle w:val="Sidehoved"/>
        <w:ind w:left="851"/>
        <w:rPr>
          <w:szCs w:val="24"/>
        </w:rPr>
      </w:pPr>
      <w:r w:rsidRPr="002F09B8">
        <w:rPr>
          <w:szCs w:val="24"/>
        </w:rPr>
        <w:t>Bør ikke anvendes i tilfælde af overfølsomhed over for de aktive stoffer eller over for et eller flere af hjælpestofferne.</w:t>
      </w:r>
    </w:p>
    <w:p w:rsidR="002F09B8" w:rsidRPr="002F09B8" w:rsidRDefault="002F09B8" w:rsidP="00401830">
      <w:pPr>
        <w:pStyle w:val="Sidehoved"/>
        <w:ind w:left="851"/>
        <w:rPr>
          <w:szCs w:val="24"/>
        </w:rPr>
      </w:pPr>
      <w:r w:rsidRPr="002F09B8">
        <w:rPr>
          <w:szCs w:val="24"/>
        </w:rPr>
        <w:t>Må ikke anvendes til heste behandlet med Domosedan (Detomidin NFN).</w:t>
      </w:r>
    </w:p>
    <w:p w:rsidR="005B0036" w:rsidRPr="00406EE7" w:rsidRDefault="005B0036" w:rsidP="00401830">
      <w:pPr>
        <w:pStyle w:val="Sidehoved"/>
        <w:tabs>
          <w:tab w:val="clear" w:pos="4819"/>
        </w:tabs>
        <w:ind w:left="851"/>
        <w:rPr>
          <w:szCs w:val="24"/>
        </w:rPr>
      </w:pPr>
    </w:p>
    <w:p w:rsidR="005B0036" w:rsidRPr="00406EE7" w:rsidRDefault="005B0036" w:rsidP="00401830">
      <w:pPr>
        <w:tabs>
          <w:tab w:val="left" w:pos="851"/>
        </w:tabs>
        <w:rPr>
          <w:b/>
          <w:sz w:val="24"/>
          <w:szCs w:val="24"/>
        </w:rPr>
      </w:pPr>
      <w:r w:rsidRPr="00406EE7">
        <w:rPr>
          <w:b/>
          <w:sz w:val="24"/>
          <w:szCs w:val="24"/>
        </w:rPr>
        <w:lastRenderedPageBreak/>
        <w:t>4.4</w:t>
      </w:r>
      <w:r w:rsidRPr="00406EE7">
        <w:rPr>
          <w:b/>
          <w:sz w:val="24"/>
          <w:szCs w:val="24"/>
        </w:rPr>
        <w:tab/>
        <w:t>Særlige advarsler</w:t>
      </w:r>
    </w:p>
    <w:p w:rsidR="002F09B8" w:rsidRPr="002F09B8" w:rsidRDefault="002F09B8" w:rsidP="00401830">
      <w:pPr>
        <w:pStyle w:val="Sidehoved"/>
        <w:ind w:left="851"/>
        <w:rPr>
          <w:szCs w:val="24"/>
        </w:rPr>
      </w:pPr>
      <w:r w:rsidRPr="002F09B8">
        <w:rPr>
          <w:szCs w:val="24"/>
        </w:rPr>
        <w:t>Kan forårsage fatale, kardiale arytmier hos detomidinbehandlede heste.</w:t>
      </w:r>
    </w:p>
    <w:p w:rsidR="005B0036" w:rsidRPr="00406EE7" w:rsidRDefault="005B0036" w:rsidP="00401830">
      <w:pPr>
        <w:pStyle w:val="Sidehoved"/>
        <w:tabs>
          <w:tab w:val="clear" w:pos="4819"/>
        </w:tabs>
        <w:ind w:left="851"/>
        <w:rPr>
          <w:szCs w:val="24"/>
        </w:rPr>
      </w:pPr>
    </w:p>
    <w:p w:rsidR="005B0036" w:rsidRPr="00406EE7" w:rsidRDefault="005B0036" w:rsidP="00401830">
      <w:pPr>
        <w:tabs>
          <w:tab w:val="left" w:pos="851"/>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401830">
      <w:pPr>
        <w:tabs>
          <w:tab w:val="left" w:pos="851"/>
        </w:tabs>
        <w:ind w:left="851"/>
        <w:rPr>
          <w:sz w:val="24"/>
          <w:szCs w:val="24"/>
        </w:rPr>
      </w:pPr>
    </w:p>
    <w:p w:rsidR="005B0036" w:rsidRPr="00406EE7" w:rsidRDefault="005B0036" w:rsidP="00401830">
      <w:pPr>
        <w:tabs>
          <w:tab w:val="left" w:pos="851"/>
        </w:tabs>
        <w:ind w:left="851"/>
        <w:rPr>
          <w:b/>
          <w:sz w:val="24"/>
          <w:szCs w:val="24"/>
        </w:rPr>
      </w:pPr>
      <w:r w:rsidRPr="00406EE7">
        <w:rPr>
          <w:b/>
          <w:sz w:val="24"/>
          <w:szCs w:val="24"/>
        </w:rPr>
        <w:t>Særlige forsigtighedsregler for dyret</w:t>
      </w:r>
    </w:p>
    <w:p w:rsidR="00D05B93" w:rsidRPr="00D05B93" w:rsidRDefault="00D05B93" w:rsidP="00401830">
      <w:pPr>
        <w:tabs>
          <w:tab w:val="left" w:pos="851"/>
        </w:tabs>
        <w:ind w:left="851"/>
        <w:rPr>
          <w:sz w:val="24"/>
          <w:szCs w:val="24"/>
        </w:rPr>
      </w:pPr>
      <w:r w:rsidRPr="00D05B93">
        <w:rPr>
          <w:sz w:val="24"/>
          <w:szCs w:val="24"/>
        </w:rPr>
        <w:t>Hos nyfødte dyr, samt dyr med nedsat lever- og nyrefunktion kan dosering over længere tid medføre akkumulation af TMP/sulfadoxin og metabolitter.</w:t>
      </w:r>
    </w:p>
    <w:p w:rsidR="00D05B93" w:rsidRPr="00D05B93" w:rsidRDefault="00D05B93" w:rsidP="00401830">
      <w:pPr>
        <w:tabs>
          <w:tab w:val="left" w:pos="851"/>
        </w:tabs>
        <w:ind w:left="851"/>
        <w:rPr>
          <w:sz w:val="24"/>
          <w:szCs w:val="24"/>
        </w:rPr>
      </w:pPr>
      <w:r w:rsidRPr="00D05B93">
        <w:rPr>
          <w:sz w:val="24"/>
          <w:szCs w:val="24"/>
        </w:rPr>
        <w:t>Brugen af produktet bør baseres på test af bakteriens følsomhed isoleret fra dyret. Hvis dette ikke er muligt, bør behandling baseres på lokale (regionale, bedriftsniveau) epidemiologiske oplysninger om målbakteriens følsomhed.</w:t>
      </w:r>
    </w:p>
    <w:p w:rsidR="005B0036" w:rsidRPr="00406EE7" w:rsidRDefault="00D05B93" w:rsidP="00401830">
      <w:pPr>
        <w:tabs>
          <w:tab w:val="left" w:pos="851"/>
        </w:tabs>
        <w:ind w:left="851"/>
        <w:rPr>
          <w:sz w:val="24"/>
          <w:szCs w:val="24"/>
        </w:rPr>
      </w:pPr>
      <w:r w:rsidRPr="00D05B93">
        <w:rPr>
          <w:sz w:val="24"/>
          <w:szCs w:val="24"/>
        </w:rPr>
        <w:t>Ved intravenøs anvendelse bør opløsningen opvarmes til kropstemperatur inden injektion. Ved første tegn på intolerance bør injektionen afbrydes, og shockbehandling påbegyndes. Skal gives som en langsom injektion over så lang en periode, som det er praktisk muligt</w:t>
      </w:r>
    </w:p>
    <w:p w:rsidR="00D05B93" w:rsidRDefault="00D05B93" w:rsidP="00401830">
      <w:pPr>
        <w:tabs>
          <w:tab w:val="left" w:pos="851"/>
        </w:tabs>
        <w:ind w:left="851"/>
        <w:rPr>
          <w:b/>
          <w:sz w:val="24"/>
          <w:szCs w:val="24"/>
        </w:rPr>
      </w:pPr>
    </w:p>
    <w:p w:rsidR="005B0036" w:rsidRPr="00406EE7" w:rsidRDefault="005B0036" w:rsidP="00401830">
      <w:pPr>
        <w:tabs>
          <w:tab w:val="left" w:pos="851"/>
        </w:tabs>
        <w:ind w:left="851"/>
        <w:rPr>
          <w:b/>
          <w:sz w:val="24"/>
          <w:szCs w:val="24"/>
        </w:rPr>
      </w:pPr>
      <w:r w:rsidRPr="00406EE7">
        <w:rPr>
          <w:b/>
          <w:sz w:val="24"/>
          <w:szCs w:val="24"/>
        </w:rPr>
        <w:t>Særlige forsigtighedsregler for personer, der administrerer lægemidlet</w:t>
      </w:r>
    </w:p>
    <w:p w:rsidR="00D05B93" w:rsidRPr="00D05B93" w:rsidRDefault="00D05B93" w:rsidP="00401830">
      <w:pPr>
        <w:tabs>
          <w:tab w:val="left" w:pos="851"/>
        </w:tabs>
        <w:ind w:left="851"/>
        <w:rPr>
          <w:sz w:val="24"/>
          <w:szCs w:val="24"/>
        </w:rPr>
      </w:pPr>
      <w:r w:rsidRPr="00D05B93">
        <w:rPr>
          <w:sz w:val="24"/>
          <w:szCs w:val="24"/>
        </w:rPr>
        <w:t>Produktet kan forårsage en allergisk reaktion hos personer, der er overfølsomme overfor sulfonamider.</w:t>
      </w:r>
    </w:p>
    <w:p w:rsidR="00D05B93" w:rsidRPr="00D05B93" w:rsidRDefault="00D05B93" w:rsidP="00401830">
      <w:pPr>
        <w:tabs>
          <w:tab w:val="left" w:pos="851"/>
        </w:tabs>
        <w:ind w:left="851"/>
        <w:rPr>
          <w:sz w:val="24"/>
          <w:szCs w:val="24"/>
        </w:rPr>
      </w:pPr>
      <w:r w:rsidRPr="00D05B93">
        <w:rPr>
          <w:sz w:val="24"/>
          <w:szCs w:val="24"/>
        </w:rPr>
        <w:t>Ved kendt overfølsomhed overfor sulfonamider bør kontakt med lægemidlet undgås.</w:t>
      </w:r>
    </w:p>
    <w:p w:rsidR="00D05B93" w:rsidRPr="00D05B93" w:rsidRDefault="00D05B93" w:rsidP="00401830">
      <w:pPr>
        <w:tabs>
          <w:tab w:val="left" w:pos="851"/>
        </w:tabs>
        <w:ind w:left="851"/>
        <w:rPr>
          <w:sz w:val="24"/>
          <w:szCs w:val="24"/>
        </w:rPr>
      </w:pPr>
      <w:r w:rsidRPr="00D05B93">
        <w:rPr>
          <w:sz w:val="24"/>
          <w:szCs w:val="24"/>
        </w:rPr>
        <w:t>Hvis du, efter eksponering, udvikler symptomer såsom hududslæt, bør du søge lægehjælp og vise denne advarsel til lægen. Hævelse af ansigt, læber eller øjne eller vejrtrækningsbesvær er mere alvorlige symptomer og kræver akut lægehjælp.</w:t>
      </w:r>
    </w:p>
    <w:p w:rsidR="00D05B93" w:rsidRPr="00D05B93" w:rsidRDefault="00D05B93" w:rsidP="00401830">
      <w:pPr>
        <w:tabs>
          <w:tab w:val="left" w:pos="851"/>
        </w:tabs>
        <w:ind w:left="851"/>
        <w:rPr>
          <w:sz w:val="24"/>
          <w:szCs w:val="24"/>
        </w:rPr>
      </w:pPr>
      <w:r w:rsidRPr="00D05B93">
        <w:rPr>
          <w:sz w:val="24"/>
          <w:szCs w:val="24"/>
        </w:rPr>
        <w:t>Undgå kontakt med hud og øjne.</w:t>
      </w:r>
    </w:p>
    <w:p w:rsidR="00D05B93" w:rsidRPr="00D05B93" w:rsidRDefault="00D05B93" w:rsidP="00401830">
      <w:pPr>
        <w:tabs>
          <w:tab w:val="left" w:pos="851"/>
        </w:tabs>
        <w:ind w:left="851"/>
        <w:rPr>
          <w:sz w:val="24"/>
          <w:szCs w:val="24"/>
        </w:rPr>
      </w:pPr>
      <w:r w:rsidRPr="00D05B93">
        <w:rPr>
          <w:sz w:val="24"/>
          <w:szCs w:val="24"/>
        </w:rPr>
        <w:t xml:space="preserve">I tilfælde af kontakt med huden eller øjnene, skal området straks vaskes med store mængder rent vand. </w:t>
      </w:r>
      <w:bookmarkStart w:id="1" w:name="_Hlk88727996"/>
      <w:r w:rsidRPr="00D05B93">
        <w:rPr>
          <w:sz w:val="24"/>
          <w:szCs w:val="24"/>
        </w:rPr>
        <w:t>Du bør søge lægehjælp, hvis der opstår irritation.</w:t>
      </w:r>
      <w:bookmarkEnd w:id="1"/>
    </w:p>
    <w:p w:rsidR="00D05B93" w:rsidRPr="00D05B93" w:rsidRDefault="00D05B93" w:rsidP="00401830">
      <w:pPr>
        <w:tabs>
          <w:tab w:val="left" w:pos="851"/>
        </w:tabs>
        <w:ind w:left="851"/>
        <w:rPr>
          <w:sz w:val="24"/>
          <w:szCs w:val="24"/>
        </w:rPr>
      </w:pPr>
      <w:r w:rsidRPr="00D05B93">
        <w:rPr>
          <w:sz w:val="24"/>
          <w:szCs w:val="24"/>
        </w:rPr>
        <w:t>I tilfælde af selvinjektion ved hændeligt uheld skal der straks søges lægehjælp, og indlægssedlen eller etiketten bør vises til lægen.</w:t>
      </w:r>
    </w:p>
    <w:p w:rsidR="00D05B93" w:rsidRPr="00D05B93" w:rsidRDefault="00D05B93" w:rsidP="00401830">
      <w:pPr>
        <w:tabs>
          <w:tab w:val="left" w:pos="851"/>
        </w:tabs>
        <w:ind w:left="851"/>
        <w:rPr>
          <w:sz w:val="24"/>
          <w:szCs w:val="24"/>
        </w:rPr>
      </w:pPr>
      <w:r w:rsidRPr="00D05B93">
        <w:rPr>
          <w:sz w:val="24"/>
          <w:szCs w:val="24"/>
        </w:rPr>
        <w:t>Vask hænderne efter brug.</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ind w:left="851"/>
        <w:rPr>
          <w:b/>
          <w:sz w:val="24"/>
          <w:szCs w:val="24"/>
        </w:rPr>
      </w:pPr>
      <w:r w:rsidRPr="00406EE7">
        <w:rPr>
          <w:b/>
          <w:sz w:val="24"/>
          <w:szCs w:val="24"/>
        </w:rPr>
        <w:t>Andre forsigtighedsregler</w:t>
      </w:r>
    </w:p>
    <w:p w:rsidR="00F027A0" w:rsidRPr="00F027A0" w:rsidRDefault="00F027A0" w:rsidP="00401830">
      <w:pPr>
        <w:tabs>
          <w:tab w:val="left" w:pos="851"/>
        </w:tabs>
        <w:ind w:left="851"/>
        <w:rPr>
          <w:sz w:val="24"/>
          <w:szCs w:val="24"/>
        </w:rPr>
      </w:pPr>
      <w:r w:rsidRPr="00F027A0">
        <w:rPr>
          <w:sz w:val="24"/>
          <w:szCs w:val="24"/>
        </w:rPr>
        <w:t xml:space="preserve">Behandlede dyr bør ikke have adgang til overfladevand </w:t>
      </w:r>
      <w:bookmarkStart w:id="2" w:name="_Hlk87615838"/>
      <w:r w:rsidRPr="00F027A0">
        <w:rPr>
          <w:sz w:val="24"/>
          <w:szCs w:val="24"/>
        </w:rPr>
        <w:t xml:space="preserve">i 2 </w:t>
      </w:r>
      <w:bookmarkEnd w:id="2"/>
      <w:r w:rsidRPr="00F027A0">
        <w:rPr>
          <w:sz w:val="24"/>
          <w:szCs w:val="24"/>
        </w:rPr>
        <w:t>dage efter behandling, for at undgå uønskede virkninger på vandlevende organismer.</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rPr>
          <w:b/>
          <w:sz w:val="24"/>
          <w:szCs w:val="24"/>
        </w:rPr>
      </w:pPr>
      <w:r w:rsidRPr="00406EE7">
        <w:rPr>
          <w:b/>
          <w:sz w:val="24"/>
          <w:szCs w:val="24"/>
        </w:rPr>
        <w:t>4.6</w:t>
      </w:r>
      <w:r w:rsidRPr="00406EE7">
        <w:rPr>
          <w:b/>
          <w:sz w:val="24"/>
          <w:szCs w:val="24"/>
        </w:rPr>
        <w:tab/>
        <w:t>Bivirkninger</w:t>
      </w:r>
    </w:p>
    <w:p w:rsidR="00157309" w:rsidRPr="00157309" w:rsidRDefault="00157309" w:rsidP="00401830">
      <w:pPr>
        <w:tabs>
          <w:tab w:val="left" w:pos="851"/>
        </w:tabs>
        <w:ind w:left="851"/>
        <w:rPr>
          <w:sz w:val="24"/>
          <w:szCs w:val="24"/>
        </w:rPr>
      </w:pPr>
      <w:r w:rsidRPr="00157309">
        <w:rPr>
          <w:sz w:val="24"/>
          <w:szCs w:val="24"/>
        </w:rPr>
        <w:t>Overfølsomhedsreaktioner kan forekomme.</w:t>
      </w:r>
    </w:p>
    <w:p w:rsidR="00157309" w:rsidRPr="00157309" w:rsidRDefault="00157309" w:rsidP="00401830">
      <w:pPr>
        <w:tabs>
          <w:tab w:val="left" w:pos="851"/>
        </w:tabs>
        <w:ind w:left="851"/>
        <w:rPr>
          <w:sz w:val="24"/>
          <w:szCs w:val="24"/>
        </w:rPr>
      </w:pPr>
      <w:r w:rsidRPr="00157309">
        <w:rPr>
          <w:sz w:val="24"/>
          <w:szCs w:val="24"/>
        </w:rPr>
        <w:t>Hos heste er hjerte- og respiratorisk shock observeret, hyppigst efter intravenøs injektion. Intravenøs injektion bør derfor kun anvendes, hvis det er terapeutisk velbegrundet.</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rPr>
          <w:b/>
          <w:sz w:val="24"/>
          <w:szCs w:val="24"/>
        </w:rPr>
      </w:pPr>
      <w:r w:rsidRPr="00406EE7">
        <w:rPr>
          <w:b/>
          <w:sz w:val="24"/>
          <w:szCs w:val="24"/>
        </w:rPr>
        <w:t>4.7</w:t>
      </w:r>
      <w:r w:rsidRPr="00406EE7">
        <w:rPr>
          <w:b/>
          <w:sz w:val="24"/>
          <w:szCs w:val="24"/>
        </w:rPr>
        <w:tab/>
        <w:t>Drægtighed, diegivning eller æglægning</w:t>
      </w:r>
    </w:p>
    <w:p w:rsidR="00157309" w:rsidRPr="00157309" w:rsidRDefault="00157309" w:rsidP="00401830">
      <w:pPr>
        <w:tabs>
          <w:tab w:val="left" w:pos="851"/>
        </w:tabs>
        <w:ind w:left="851"/>
        <w:rPr>
          <w:sz w:val="24"/>
          <w:szCs w:val="24"/>
        </w:rPr>
      </w:pPr>
      <w:r w:rsidRPr="00157309">
        <w:rPr>
          <w:sz w:val="24"/>
          <w:szCs w:val="24"/>
        </w:rPr>
        <w:t>Lægemidlets sikkerhed under drægtighed og laktation er ikke fastlagt. Da føtotoksiske og teratogene virkninger er rapporteret hos laboratoriedyr efter signifikant daglig eksponering for glycerol formal, bør produktet kun anvendes i overensstemmelse med den ansvarlige dyrlæges vurdering af benefit-risk-forholdet.</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rPr>
          <w:b/>
          <w:sz w:val="24"/>
          <w:szCs w:val="24"/>
        </w:rPr>
      </w:pPr>
      <w:r w:rsidRPr="00406EE7">
        <w:rPr>
          <w:b/>
          <w:sz w:val="24"/>
          <w:szCs w:val="24"/>
        </w:rPr>
        <w:t>4.8</w:t>
      </w:r>
      <w:r w:rsidRPr="00406EE7">
        <w:rPr>
          <w:b/>
          <w:sz w:val="24"/>
          <w:szCs w:val="24"/>
        </w:rPr>
        <w:tab/>
        <w:t>Interaktion med andre lægemidler og andre former for interaktion</w:t>
      </w:r>
    </w:p>
    <w:p w:rsidR="00891994" w:rsidRPr="00891994" w:rsidRDefault="00891994" w:rsidP="00401830">
      <w:pPr>
        <w:tabs>
          <w:tab w:val="left" w:pos="851"/>
        </w:tabs>
        <w:ind w:left="851"/>
        <w:rPr>
          <w:sz w:val="24"/>
          <w:szCs w:val="24"/>
        </w:rPr>
      </w:pPr>
      <w:r w:rsidRPr="00891994">
        <w:rPr>
          <w:sz w:val="24"/>
          <w:szCs w:val="24"/>
        </w:rPr>
        <w:t>Der er observeret tilfælde af fatale hjertearytmier pga. interaktion mellem sulfonamid-trimethoprim kombinationen og visse midler til sedering og bedøvelse af hest (</w:t>
      </w:r>
      <w:r>
        <w:rPr>
          <w:sz w:val="24"/>
          <w:szCs w:val="24"/>
        </w:rPr>
        <w:t>fx</w:t>
      </w:r>
      <w:r w:rsidRPr="00891994">
        <w:rPr>
          <w:sz w:val="24"/>
          <w:szCs w:val="24"/>
        </w:rPr>
        <w:t xml:space="preserve"> Detomidin) (se pkt. 4.3).</w:t>
      </w:r>
    </w:p>
    <w:p w:rsidR="00891994" w:rsidRDefault="00891994" w:rsidP="00401830">
      <w:pPr>
        <w:rPr>
          <w:sz w:val="24"/>
          <w:szCs w:val="24"/>
        </w:rPr>
      </w:pPr>
      <w:r>
        <w:rPr>
          <w:sz w:val="24"/>
          <w:szCs w:val="24"/>
        </w:rPr>
        <w:br w:type="page"/>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rPr>
          <w:b/>
          <w:sz w:val="24"/>
          <w:szCs w:val="24"/>
        </w:rPr>
      </w:pPr>
      <w:r w:rsidRPr="00406EE7">
        <w:rPr>
          <w:b/>
          <w:sz w:val="24"/>
          <w:szCs w:val="24"/>
        </w:rPr>
        <w:t>4.9</w:t>
      </w:r>
      <w:r w:rsidRPr="00406EE7">
        <w:rPr>
          <w:b/>
          <w:sz w:val="24"/>
          <w:szCs w:val="24"/>
        </w:rPr>
        <w:tab/>
        <w:t>Dosering og indgivelsesmåde</w:t>
      </w:r>
    </w:p>
    <w:p w:rsidR="00891994" w:rsidRPr="00891994" w:rsidRDefault="00891994" w:rsidP="00401830">
      <w:pPr>
        <w:tabs>
          <w:tab w:val="left" w:pos="851"/>
        </w:tabs>
        <w:ind w:left="851"/>
        <w:rPr>
          <w:sz w:val="24"/>
          <w:szCs w:val="24"/>
        </w:rPr>
      </w:pPr>
      <w:bookmarkStart w:id="3" w:name="_Hlk79751530"/>
      <w:r w:rsidRPr="00891994">
        <w:rPr>
          <w:sz w:val="24"/>
          <w:szCs w:val="24"/>
        </w:rPr>
        <w:t>Undgå kontaminering af hætteglasset under anvendelse.</w:t>
      </w:r>
      <w:bookmarkEnd w:id="3"/>
      <w:r w:rsidRPr="00891994">
        <w:rPr>
          <w:sz w:val="24"/>
          <w:szCs w:val="24"/>
        </w:rPr>
        <w:tab/>
      </w:r>
    </w:p>
    <w:p w:rsidR="00891994" w:rsidRPr="00891994" w:rsidRDefault="00891994" w:rsidP="00401830">
      <w:pPr>
        <w:tabs>
          <w:tab w:val="left" w:pos="851"/>
        </w:tabs>
        <w:ind w:left="851"/>
        <w:rPr>
          <w:sz w:val="24"/>
          <w:szCs w:val="24"/>
        </w:rPr>
      </w:pPr>
      <w:r w:rsidRPr="00891994">
        <w:rPr>
          <w:sz w:val="24"/>
          <w:szCs w:val="24"/>
        </w:rPr>
        <w:t xml:space="preserve">1 ml/15 kg legemsvægt 1 gang </w:t>
      </w:r>
      <w:r w:rsidR="00406964">
        <w:rPr>
          <w:sz w:val="24"/>
          <w:szCs w:val="24"/>
        </w:rPr>
        <w:t>daglig</w:t>
      </w:r>
      <w:r w:rsidRPr="00891994">
        <w:rPr>
          <w:sz w:val="24"/>
          <w:szCs w:val="24"/>
        </w:rPr>
        <w:t xml:space="preserve"> 4-6 dage.</w:t>
      </w:r>
    </w:p>
    <w:p w:rsidR="00891994" w:rsidRPr="00891994" w:rsidRDefault="00891994" w:rsidP="00401830">
      <w:pPr>
        <w:tabs>
          <w:tab w:val="left" w:pos="851"/>
        </w:tabs>
        <w:ind w:left="851"/>
        <w:rPr>
          <w:sz w:val="24"/>
          <w:szCs w:val="24"/>
        </w:rPr>
      </w:pPr>
      <w:r w:rsidRPr="00891994">
        <w:rPr>
          <w:sz w:val="24"/>
          <w:szCs w:val="24"/>
        </w:rPr>
        <w:t>Intramuskulær, intravenøs eller subkutan anvendelse.</w:t>
      </w:r>
    </w:p>
    <w:p w:rsidR="00891994" w:rsidRPr="00891994" w:rsidRDefault="00891994" w:rsidP="00401830">
      <w:pPr>
        <w:tabs>
          <w:tab w:val="left" w:pos="851"/>
        </w:tabs>
        <w:ind w:left="851"/>
        <w:rPr>
          <w:sz w:val="24"/>
          <w:szCs w:val="24"/>
        </w:rPr>
      </w:pPr>
      <w:bookmarkStart w:id="4" w:name="_Hlk79971487"/>
      <w:r w:rsidRPr="00891994">
        <w:rPr>
          <w:sz w:val="24"/>
          <w:szCs w:val="24"/>
        </w:rPr>
        <w:t xml:space="preserve">Ved behandling af dyr med en legemsvægt over 300 kg skal dosen opdeles, så højst 15 ml injiceres intramuskulært eller subkutant samme sted. </w:t>
      </w:r>
      <w:bookmarkEnd w:id="4"/>
      <w:r w:rsidRPr="00891994">
        <w:rPr>
          <w:sz w:val="24"/>
          <w:szCs w:val="24"/>
        </w:rPr>
        <w:t>Store doser bør administreres intravenøst.</w:t>
      </w:r>
    </w:p>
    <w:p w:rsidR="00891994" w:rsidRPr="00891994" w:rsidRDefault="00891994" w:rsidP="00401830">
      <w:pPr>
        <w:tabs>
          <w:tab w:val="left" w:pos="851"/>
        </w:tabs>
        <w:ind w:left="851"/>
        <w:rPr>
          <w:sz w:val="24"/>
          <w:szCs w:val="24"/>
        </w:rPr>
      </w:pPr>
      <w:r w:rsidRPr="00891994">
        <w:rPr>
          <w:sz w:val="24"/>
          <w:szCs w:val="24"/>
        </w:rPr>
        <w:t>Intravenøs injektion skal foregå langsomt, da dødsfald, hæmolyse eller shock kan forekomme i tilfælde af for hurtig administration.</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rPr>
          <w:b/>
          <w:sz w:val="24"/>
          <w:szCs w:val="24"/>
        </w:rPr>
      </w:pPr>
      <w:r w:rsidRPr="00406EE7">
        <w:rPr>
          <w:b/>
          <w:sz w:val="24"/>
          <w:szCs w:val="24"/>
        </w:rPr>
        <w:t>4.10</w:t>
      </w:r>
      <w:r w:rsidRPr="00406EE7">
        <w:rPr>
          <w:b/>
          <w:sz w:val="24"/>
          <w:szCs w:val="24"/>
        </w:rPr>
        <w:tab/>
        <w:t>Overdosering</w:t>
      </w:r>
    </w:p>
    <w:p w:rsidR="005B0036" w:rsidRPr="00406EE7" w:rsidRDefault="00406964" w:rsidP="00401830">
      <w:pPr>
        <w:tabs>
          <w:tab w:val="left" w:pos="851"/>
        </w:tabs>
        <w:ind w:left="851"/>
        <w:rPr>
          <w:sz w:val="24"/>
          <w:szCs w:val="24"/>
        </w:rPr>
      </w:pPr>
      <w:r>
        <w:rPr>
          <w:sz w:val="24"/>
          <w:szCs w:val="24"/>
        </w:rPr>
        <w:t>Ingen</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rPr>
          <w:b/>
          <w:sz w:val="24"/>
          <w:szCs w:val="24"/>
        </w:rPr>
      </w:pPr>
      <w:r w:rsidRPr="00406EE7">
        <w:rPr>
          <w:b/>
          <w:sz w:val="24"/>
          <w:szCs w:val="24"/>
        </w:rPr>
        <w:t>4.11</w:t>
      </w:r>
      <w:r w:rsidRPr="00406EE7">
        <w:rPr>
          <w:b/>
          <w:sz w:val="24"/>
          <w:szCs w:val="24"/>
        </w:rPr>
        <w:tab/>
        <w:t>Tilbageholdelsestid</w:t>
      </w:r>
    </w:p>
    <w:p w:rsidR="00406964" w:rsidRDefault="00406964" w:rsidP="00401830">
      <w:pPr>
        <w:pStyle w:val="Sidehoved"/>
        <w:tabs>
          <w:tab w:val="clear" w:pos="4819"/>
          <w:tab w:val="left" w:pos="3402"/>
        </w:tabs>
        <w:ind w:left="851"/>
        <w:rPr>
          <w:szCs w:val="24"/>
        </w:rPr>
      </w:pPr>
      <w:r w:rsidRPr="00406964">
        <w:rPr>
          <w:szCs w:val="24"/>
        </w:rPr>
        <w:t>Slagtning</w:t>
      </w:r>
      <w:r w:rsidR="00635EE1">
        <w:rPr>
          <w:szCs w:val="24"/>
        </w:rPr>
        <w:t>,</w:t>
      </w:r>
      <w:r w:rsidRPr="00406964">
        <w:rPr>
          <w:szCs w:val="24"/>
        </w:rPr>
        <w:t xml:space="preserve"> i.m. eller s.c.:</w:t>
      </w:r>
      <w:r w:rsidRPr="00406964">
        <w:rPr>
          <w:szCs w:val="24"/>
        </w:rPr>
        <w:tab/>
        <w:t>30 dage (ved i.m. injektion af mere end 4 ml).</w:t>
      </w:r>
    </w:p>
    <w:p w:rsidR="00406964" w:rsidRDefault="00406964" w:rsidP="00401830">
      <w:pPr>
        <w:pStyle w:val="Sidehoved"/>
        <w:tabs>
          <w:tab w:val="clear" w:pos="4819"/>
          <w:tab w:val="left" w:pos="3402"/>
        </w:tabs>
        <w:ind w:left="851"/>
        <w:rPr>
          <w:szCs w:val="24"/>
        </w:rPr>
      </w:pPr>
      <w:r w:rsidRPr="00406964">
        <w:rPr>
          <w:szCs w:val="24"/>
        </w:rPr>
        <w:t xml:space="preserve">i.m.: </w:t>
      </w:r>
      <w:r w:rsidRPr="00406964">
        <w:rPr>
          <w:szCs w:val="24"/>
        </w:rPr>
        <w:tab/>
        <w:t>15 dage (ved i.m. injektion af op til 4 ml).</w:t>
      </w:r>
    </w:p>
    <w:p w:rsidR="00406964" w:rsidRPr="00406964" w:rsidRDefault="00406964" w:rsidP="00401830">
      <w:pPr>
        <w:pStyle w:val="Sidehoved"/>
        <w:tabs>
          <w:tab w:val="clear" w:pos="4819"/>
          <w:tab w:val="left" w:pos="3402"/>
        </w:tabs>
        <w:ind w:left="851"/>
        <w:rPr>
          <w:szCs w:val="24"/>
        </w:rPr>
      </w:pPr>
      <w:r w:rsidRPr="00406964">
        <w:rPr>
          <w:szCs w:val="24"/>
        </w:rPr>
        <w:t>i.v.:</w:t>
      </w:r>
      <w:r w:rsidRPr="00406964">
        <w:rPr>
          <w:szCs w:val="24"/>
        </w:rPr>
        <w:tab/>
        <w:t>6 dage.</w:t>
      </w:r>
    </w:p>
    <w:p w:rsidR="00406964" w:rsidRPr="00401830" w:rsidRDefault="00406964" w:rsidP="00401830">
      <w:pPr>
        <w:pStyle w:val="Sidehoved"/>
        <w:tabs>
          <w:tab w:val="clear" w:pos="4819"/>
          <w:tab w:val="left" w:pos="3402"/>
        </w:tabs>
        <w:ind w:left="851"/>
        <w:rPr>
          <w:szCs w:val="24"/>
        </w:rPr>
      </w:pPr>
      <w:r w:rsidRPr="00401830">
        <w:rPr>
          <w:szCs w:val="24"/>
        </w:rPr>
        <w:t>Mælk:</w:t>
      </w:r>
      <w:r w:rsidR="00761CC3" w:rsidRPr="00401830">
        <w:rPr>
          <w:szCs w:val="24"/>
        </w:rPr>
        <w:tab/>
      </w:r>
      <w:r w:rsidRPr="00401830">
        <w:rPr>
          <w:szCs w:val="24"/>
        </w:rPr>
        <w:t>4 dage.</w:t>
      </w:r>
    </w:p>
    <w:p w:rsidR="005B0036" w:rsidRPr="00401830" w:rsidRDefault="005B0036" w:rsidP="00401830">
      <w:pPr>
        <w:pStyle w:val="Sidehoved"/>
        <w:tabs>
          <w:tab w:val="clear" w:pos="4819"/>
        </w:tabs>
        <w:ind w:left="851"/>
        <w:rPr>
          <w:szCs w:val="24"/>
        </w:rPr>
      </w:pPr>
    </w:p>
    <w:p w:rsidR="005B0036" w:rsidRPr="00401830"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1830">
        <w:rPr>
          <w:b/>
          <w:sz w:val="24"/>
          <w:szCs w:val="24"/>
        </w:rPr>
        <w:t>5.</w:t>
      </w:r>
      <w:r w:rsidRPr="00401830">
        <w:rPr>
          <w:b/>
          <w:sz w:val="24"/>
          <w:szCs w:val="24"/>
        </w:rPr>
        <w:tab/>
        <w:t>FARMAKOLOGISKE EGENSKABER</w:t>
      </w:r>
    </w:p>
    <w:p w:rsidR="005B0036" w:rsidRDefault="005B0036" w:rsidP="00401830">
      <w:pPr>
        <w:ind w:left="851"/>
        <w:rPr>
          <w:sz w:val="24"/>
          <w:szCs w:val="24"/>
        </w:rPr>
      </w:pPr>
    </w:p>
    <w:p w:rsidR="00183DB1" w:rsidRPr="00183DB1" w:rsidRDefault="00183DB1" w:rsidP="00401830">
      <w:pPr>
        <w:ind w:left="851"/>
        <w:rPr>
          <w:sz w:val="24"/>
          <w:szCs w:val="24"/>
        </w:rPr>
      </w:pPr>
      <w:r w:rsidRPr="00183DB1">
        <w:rPr>
          <w:sz w:val="24"/>
          <w:szCs w:val="24"/>
        </w:rPr>
        <w:t>Farmakoterapeutisk gruppe: Sulfonamider og trimethoprim inkl</w:t>
      </w:r>
      <w:r>
        <w:rPr>
          <w:sz w:val="24"/>
          <w:szCs w:val="24"/>
        </w:rPr>
        <w:t>usive</w:t>
      </w:r>
      <w:r w:rsidRPr="00183DB1">
        <w:rPr>
          <w:sz w:val="24"/>
          <w:szCs w:val="24"/>
        </w:rPr>
        <w:t xml:space="preserve"> derivater.</w:t>
      </w:r>
    </w:p>
    <w:p w:rsidR="00183DB1" w:rsidRPr="0076235F" w:rsidRDefault="00183DB1" w:rsidP="00401830">
      <w:pPr>
        <w:ind w:left="851"/>
        <w:rPr>
          <w:sz w:val="24"/>
          <w:szCs w:val="24"/>
        </w:rPr>
      </w:pPr>
      <w:r w:rsidRPr="0076235F">
        <w:rPr>
          <w:sz w:val="24"/>
          <w:szCs w:val="24"/>
        </w:rPr>
        <w:t>ATCvet-kode: QJ 01 EW 13.</w:t>
      </w:r>
    </w:p>
    <w:p w:rsidR="005B0036" w:rsidRPr="0076235F" w:rsidRDefault="005B0036" w:rsidP="00401830">
      <w:pPr>
        <w:ind w:left="851"/>
        <w:rPr>
          <w:sz w:val="24"/>
          <w:szCs w:val="24"/>
        </w:rPr>
      </w:pPr>
    </w:p>
    <w:p w:rsidR="005B0036" w:rsidRPr="0076235F" w:rsidRDefault="005B0036" w:rsidP="00401830">
      <w:pPr>
        <w:tabs>
          <w:tab w:val="left" w:pos="851"/>
        </w:tabs>
        <w:rPr>
          <w:b/>
          <w:sz w:val="24"/>
          <w:szCs w:val="24"/>
        </w:rPr>
      </w:pPr>
      <w:r w:rsidRPr="0076235F">
        <w:rPr>
          <w:b/>
          <w:sz w:val="24"/>
          <w:szCs w:val="24"/>
        </w:rPr>
        <w:t>5.1</w:t>
      </w:r>
      <w:r w:rsidRPr="0076235F">
        <w:rPr>
          <w:b/>
          <w:sz w:val="24"/>
          <w:szCs w:val="24"/>
        </w:rPr>
        <w:tab/>
        <w:t>Farmakodynamiske og immunologiske egenskaber</w:t>
      </w:r>
    </w:p>
    <w:p w:rsidR="00AF6AAD" w:rsidRPr="0076235F" w:rsidRDefault="00AF6AAD" w:rsidP="00401830">
      <w:pPr>
        <w:tabs>
          <w:tab w:val="left" w:pos="851"/>
        </w:tabs>
        <w:ind w:left="851"/>
        <w:rPr>
          <w:sz w:val="24"/>
          <w:szCs w:val="24"/>
        </w:rPr>
      </w:pPr>
      <w:r w:rsidRPr="0076235F">
        <w:rPr>
          <w:sz w:val="24"/>
          <w:szCs w:val="24"/>
        </w:rPr>
        <w:t>Sultrivet er et potentieret, bredspektret sulfonamid-præparat og indeholder trimethoprim (TMP) og sulfadoxin i forholdet 1:5.</w:t>
      </w:r>
    </w:p>
    <w:p w:rsidR="00AF6AAD" w:rsidRPr="0076235F" w:rsidRDefault="00AF6AAD" w:rsidP="00401830">
      <w:pPr>
        <w:tabs>
          <w:tab w:val="left" w:pos="851"/>
        </w:tabs>
        <w:ind w:left="851"/>
        <w:rPr>
          <w:sz w:val="24"/>
          <w:szCs w:val="24"/>
        </w:rPr>
      </w:pPr>
      <w:r w:rsidRPr="0076235F">
        <w:rPr>
          <w:sz w:val="24"/>
          <w:szCs w:val="24"/>
        </w:rPr>
        <w:t>TMP og sulfadoxin er hver for sig bakteriostatiske, men har tilsammen synergistisk baktericid virkning, idet de griber ind i to på hinanden følgende trin i bakteriernes folinsyresyntese. Kombinationen TMP/sulfadoxin´s antibakterielle spektrum omfatter de fleste grampositive og gramnegative bakterier med undtagelse af Pseudomonas, Mycobacterium spp. og visse Proteus-stammer.</w:t>
      </w:r>
    </w:p>
    <w:p w:rsidR="00AF6AAD" w:rsidRPr="0076235F" w:rsidRDefault="00AF6AAD" w:rsidP="00401830">
      <w:pPr>
        <w:tabs>
          <w:tab w:val="left" w:pos="851"/>
        </w:tabs>
        <w:ind w:left="851"/>
        <w:rPr>
          <w:sz w:val="24"/>
          <w:szCs w:val="24"/>
        </w:rPr>
      </w:pPr>
      <w:r w:rsidRPr="0076235F">
        <w:rPr>
          <w:sz w:val="24"/>
          <w:szCs w:val="24"/>
        </w:rPr>
        <w:t>Bakteriel resistens forekommer og er plasmidbåren eller mutagen.</w:t>
      </w:r>
    </w:p>
    <w:p w:rsidR="005B0036" w:rsidRPr="0076235F" w:rsidRDefault="005B0036" w:rsidP="00401830">
      <w:pPr>
        <w:tabs>
          <w:tab w:val="left" w:pos="851"/>
        </w:tabs>
        <w:ind w:left="851"/>
        <w:rPr>
          <w:sz w:val="24"/>
          <w:szCs w:val="24"/>
        </w:rPr>
      </w:pPr>
    </w:p>
    <w:p w:rsidR="005B0036" w:rsidRPr="0076235F" w:rsidRDefault="005B0036" w:rsidP="00401830">
      <w:pPr>
        <w:tabs>
          <w:tab w:val="left" w:pos="851"/>
        </w:tabs>
        <w:rPr>
          <w:b/>
          <w:sz w:val="24"/>
          <w:szCs w:val="24"/>
        </w:rPr>
      </w:pPr>
      <w:r w:rsidRPr="0076235F">
        <w:rPr>
          <w:b/>
          <w:sz w:val="24"/>
          <w:szCs w:val="24"/>
        </w:rPr>
        <w:t>5.2</w:t>
      </w:r>
      <w:r w:rsidRPr="0076235F">
        <w:rPr>
          <w:b/>
          <w:sz w:val="24"/>
          <w:szCs w:val="24"/>
        </w:rPr>
        <w:tab/>
        <w:t>Farmakokinetiske egenskaber</w:t>
      </w:r>
    </w:p>
    <w:p w:rsidR="00AF6AAD" w:rsidRPr="00AF6AAD" w:rsidRDefault="00AF6AAD" w:rsidP="00401830">
      <w:pPr>
        <w:tabs>
          <w:tab w:val="left" w:pos="851"/>
        </w:tabs>
        <w:ind w:left="851"/>
        <w:rPr>
          <w:sz w:val="24"/>
          <w:szCs w:val="24"/>
        </w:rPr>
      </w:pPr>
      <w:r w:rsidRPr="0076235F">
        <w:rPr>
          <w:sz w:val="24"/>
          <w:szCs w:val="24"/>
        </w:rPr>
        <w:t>Efter intramuskulær og intravenøs administration opnås maksimale serumkon</w:t>
      </w:r>
      <w:r w:rsidRPr="0076235F">
        <w:rPr>
          <w:sz w:val="24"/>
          <w:szCs w:val="24"/>
        </w:rPr>
        <w:softHyphen/>
        <w:t>centrationer</w:t>
      </w:r>
      <w:r w:rsidRPr="00AF6AAD">
        <w:rPr>
          <w:sz w:val="24"/>
          <w:szCs w:val="24"/>
        </w:rPr>
        <w:t xml:space="preserve"> efter 1-3 timer.</w:t>
      </w:r>
    </w:p>
    <w:p w:rsidR="00AF6AAD" w:rsidRPr="00AF6AAD" w:rsidRDefault="00AF6AAD" w:rsidP="00401830">
      <w:pPr>
        <w:tabs>
          <w:tab w:val="left" w:pos="851"/>
        </w:tabs>
        <w:ind w:left="851"/>
        <w:rPr>
          <w:sz w:val="24"/>
          <w:szCs w:val="24"/>
        </w:rPr>
      </w:pPr>
      <w:r w:rsidRPr="00AF6AAD">
        <w:rPr>
          <w:sz w:val="24"/>
          <w:szCs w:val="24"/>
        </w:rPr>
        <w:t>TMP har et højt fordelingsvolumen (&gt;1,2 l/kg), der medfører at vævskon</w:t>
      </w:r>
      <w:r w:rsidRPr="00AF6AAD">
        <w:rPr>
          <w:sz w:val="24"/>
          <w:szCs w:val="24"/>
        </w:rPr>
        <w:softHyphen/>
        <w:t>centrationer er større end plasmakoncentrationen. Sulfadoxin har et lavt fordelingsvolumen (0,3 l/kg) og lavere koncentrationer i væv end i plasma.</w:t>
      </w:r>
    </w:p>
    <w:p w:rsidR="00AF6AAD" w:rsidRPr="00AF6AAD" w:rsidRDefault="00AF6AAD" w:rsidP="00401830">
      <w:pPr>
        <w:tabs>
          <w:tab w:val="left" w:pos="851"/>
        </w:tabs>
        <w:ind w:left="851"/>
        <w:rPr>
          <w:sz w:val="24"/>
          <w:szCs w:val="24"/>
        </w:rPr>
      </w:pPr>
      <w:r w:rsidRPr="00AF6AAD">
        <w:rPr>
          <w:sz w:val="24"/>
          <w:szCs w:val="24"/>
        </w:rPr>
        <w:t>TMP metaboliseres i udstrakt grad og kun få procenter af dosis udskilles uomdannet i urin og fæces. Plasmahalveringstiden varierer mellem 1 og 4 timer. Sulfadoxin metaboliseres delvis og udskilles såvel uomdannet som metaboliseret i urin og fæces. Plasmahalveringstiden varierer mellem 8 og 11 timer.</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rPr>
          <w:b/>
          <w:sz w:val="24"/>
          <w:szCs w:val="24"/>
        </w:rPr>
      </w:pPr>
      <w:r w:rsidRPr="00406EE7">
        <w:rPr>
          <w:b/>
          <w:sz w:val="24"/>
          <w:szCs w:val="24"/>
        </w:rPr>
        <w:t>5.3</w:t>
      </w:r>
      <w:r w:rsidRPr="00406EE7">
        <w:rPr>
          <w:b/>
          <w:sz w:val="24"/>
          <w:szCs w:val="24"/>
        </w:rPr>
        <w:tab/>
        <w:t>Miljømæssige forhold</w:t>
      </w:r>
    </w:p>
    <w:p w:rsidR="005B0036" w:rsidRPr="00406EE7" w:rsidRDefault="0076235F" w:rsidP="00401830">
      <w:pPr>
        <w:tabs>
          <w:tab w:val="left" w:pos="851"/>
        </w:tabs>
        <w:ind w:left="851"/>
        <w:rPr>
          <w:sz w:val="24"/>
          <w:szCs w:val="24"/>
        </w:rPr>
      </w:pPr>
      <w:r>
        <w:rPr>
          <w:sz w:val="24"/>
          <w:szCs w:val="24"/>
        </w:rPr>
        <w:t>-</w:t>
      </w:r>
    </w:p>
    <w:p w:rsidR="005B0036" w:rsidRPr="00406EE7" w:rsidRDefault="005B0036" w:rsidP="00401830">
      <w:pPr>
        <w:ind w:left="851"/>
        <w:rPr>
          <w:sz w:val="24"/>
          <w:szCs w:val="24"/>
        </w:rPr>
      </w:pP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6EE7">
        <w:rPr>
          <w:b/>
          <w:sz w:val="24"/>
          <w:szCs w:val="24"/>
        </w:rPr>
        <w:t>6.1</w:t>
      </w:r>
      <w:r w:rsidRPr="00406EE7">
        <w:rPr>
          <w:b/>
          <w:sz w:val="24"/>
          <w:szCs w:val="24"/>
        </w:rPr>
        <w:tab/>
        <w:t>Hjælpestoffer</w:t>
      </w:r>
    </w:p>
    <w:p w:rsidR="0076235F" w:rsidRPr="0076235F" w:rsidRDefault="0076235F" w:rsidP="00401830">
      <w:pPr>
        <w:keepNext/>
        <w:tabs>
          <w:tab w:val="left" w:pos="851"/>
        </w:tabs>
        <w:ind w:left="855"/>
        <w:rPr>
          <w:sz w:val="24"/>
          <w:szCs w:val="24"/>
        </w:rPr>
      </w:pPr>
      <w:r w:rsidRPr="0076235F">
        <w:rPr>
          <w:sz w:val="24"/>
          <w:szCs w:val="24"/>
        </w:rPr>
        <w:t>Natriumhydroxid</w:t>
      </w:r>
    </w:p>
    <w:p w:rsidR="0076235F" w:rsidRPr="0076235F" w:rsidRDefault="0076235F" w:rsidP="00401830">
      <w:pPr>
        <w:keepNext/>
        <w:tabs>
          <w:tab w:val="left" w:pos="851"/>
        </w:tabs>
        <w:ind w:left="855"/>
        <w:rPr>
          <w:sz w:val="24"/>
          <w:szCs w:val="24"/>
          <w:lang w:eastAsia="da-DK"/>
        </w:rPr>
      </w:pPr>
      <w:r w:rsidRPr="0076235F">
        <w:rPr>
          <w:sz w:val="24"/>
          <w:szCs w:val="24"/>
        </w:rPr>
        <w:t>Glycerol formal</w:t>
      </w:r>
    </w:p>
    <w:p w:rsidR="0076235F" w:rsidRPr="0076235F" w:rsidRDefault="0076235F" w:rsidP="00401830">
      <w:pPr>
        <w:keepNext/>
        <w:tabs>
          <w:tab w:val="left" w:pos="851"/>
        </w:tabs>
        <w:ind w:left="855"/>
        <w:rPr>
          <w:sz w:val="24"/>
          <w:szCs w:val="24"/>
          <w:lang w:eastAsia="da-DK"/>
        </w:rPr>
      </w:pPr>
      <w:r w:rsidRPr="0076235F">
        <w:rPr>
          <w:sz w:val="24"/>
          <w:szCs w:val="24"/>
        </w:rPr>
        <w:t>Vand til injektionsvæsker</w:t>
      </w: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6EE7">
        <w:rPr>
          <w:b/>
          <w:sz w:val="24"/>
          <w:szCs w:val="24"/>
        </w:rPr>
        <w:t>6.2</w:t>
      </w:r>
      <w:r w:rsidRPr="00406EE7">
        <w:rPr>
          <w:b/>
          <w:sz w:val="24"/>
          <w:szCs w:val="24"/>
        </w:rPr>
        <w:tab/>
        <w:t>Uforligeligheder</w:t>
      </w:r>
    </w:p>
    <w:p w:rsidR="00171A35" w:rsidRPr="00171A35" w:rsidRDefault="00171A35" w:rsidP="00401830">
      <w:pPr>
        <w:tabs>
          <w:tab w:val="left" w:pos="851"/>
        </w:tabs>
        <w:ind w:left="851"/>
        <w:rPr>
          <w:sz w:val="24"/>
          <w:szCs w:val="24"/>
        </w:rPr>
      </w:pPr>
      <w:r w:rsidRPr="00171A35">
        <w:rPr>
          <w:sz w:val="24"/>
          <w:szCs w:val="24"/>
        </w:rPr>
        <w:t>Da der ikke foreligger undersøgelser vedrørende eventuelle uforligeligheder, bør dette lægemiddel ikke blandes med andre lægemidler.</w:t>
      </w: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6EE7">
        <w:rPr>
          <w:b/>
          <w:sz w:val="24"/>
          <w:szCs w:val="24"/>
        </w:rPr>
        <w:t>6.3</w:t>
      </w:r>
      <w:r w:rsidRPr="00406EE7">
        <w:rPr>
          <w:b/>
          <w:sz w:val="24"/>
          <w:szCs w:val="24"/>
        </w:rPr>
        <w:tab/>
        <w:t>Opbevaringstid</w:t>
      </w:r>
    </w:p>
    <w:p w:rsidR="00171A35" w:rsidRDefault="00171A35" w:rsidP="00401830">
      <w:pPr>
        <w:tabs>
          <w:tab w:val="left" w:pos="851"/>
        </w:tabs>
        <w:ind w:left="851"/>
        <w:rPr>
          <w:sz w:val="24"/>
          <w:szCs w:val="24"/>
        </w:rPr>
      </w:pPr>
      <w:r w:rsidRPr="00171A35">
        <w:rPr>
          <w:sz w:val="24"/>
          <w:szCs w:val="24"/>
        </w:rPr>
        <w:t>I salgspakning: 3 år.</w:t>
      </w:r>
    </w:p>
    <w:p w:rsidR="00171A35" w:rsidRPr="00171A35" w:rsidRDefault="00171A35" w:rsidP="00401830">
      <w:pPr>
        <w:tabs>
          <w:tab w:val="left" w:pos="851"/>
        </w:tabs>
        <w:ind w:left="851"/>
        <w:rPr>
          <w:sz w:val="24"/>
          <w:szCs w:val="24"/>
        </w:rPr>
      </w:pPr>
    </w:p>
    <w:p w:rsidR="00171A35" w:rsidRPr="00171A35" w:rsidRDefault="00171A35" w:rsidP="00401830">
      <w:pPr>
        <w:tabs>
          <w:tab w:val="left" w:pos="851"/>
        </w:tabs>
        <w:ind w:left="851"/>
        <w:rPr>
          <w:sz w:val="24"/>
          <w:szCs w:val="24"/>
        </w:rPr>
      </w:pPr>
      <w:r w:rsidRPr="00171A35">
        <w:rPr>
          <w:sz w:val="24"/>
          <w:szCs w:val="24"/>
        </w:rPr>
        <w:t xml:space="preserve">Efter første åbning af den indre emballage: 7 dage ved </w:t>
      </w:r>
      <w:bookmarkStart w:id="5" w:name="_Hlk95213264"/>
      <w:r w:rsidRPr="00171A35">
        <w:rPr>
          <w:sz w:val="24"/>
          <w:szCs w:val="24"/>
        </w:rPr>
        <w:t>25</w:t>
      </w:r>
      <w:r>
        <w:rPr>
          <w:sz w:val="24"/>
          <w:szCs w:val="24"/>
        </w:rPr>
        <w:t xml:space="preserve"> </w:t>
      </w:r>
      <w:r w:rsidRPr="00171A35">
        <w:rPr>
          <w:sz w:val="24"/>
          <w:szCs w:val="24"/>
        </w:rPr>
        <w:t>ºC</w:t>
      </w:r>
      <w:bookmarkEnd w:id="5"/>
      <w:r w:rsidRPr="00171A35">
        <w:rPr>
          <w:sz w:val="24"/>
          <w:szCs w:val="24"/>
        </w:rPr>
        <w:t>.</w:t>
      </w: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6EE7">
        <w:rPr>
          <w:b/>
          <w:sz w:val="24"/>
          <w:szCs w:val="24"/>
        </w:rPr>
        <w:t>6.4</w:t>
      </w:r>
      <w:r w:rsidRPr="00406EE7">
        <w:rPr>
          <w:b/>
          <w:sz w:val="24"/>
          <w:szCs w:val="24"/>
        </w:rPr>
        <w:tab/>
        <w:t>Særlige opbevaringsforhold</w:t>
      </w:r>
    </w:p>
    <w:p w:rsidR="005A26F8" w:rsidRPr="005A26F8" w:rsidRDefault="005A26F8" w:rsidP="00401830">
      <w:pPr>
        <w:tabs>
          <w:tab w:val="left" w:pos="851"/>
        </w:tabs>
        <w:ind w:left="851"/>
        <w:rPr>
          <w:sz w:val="24"/>
          <w:szCs w:val="24"/>
        </w:rPr>
      </w:pPr>
      <w:r w:rsidRPr="005A26F8">
        <w:rPr>
          <w:sz w:val="24"/>
          <w:szCs w:val="24"/>
        </w:rPr>
        <w:t>Dette lægemiddel kræver ingen særlige forholdsregler vedrørende opbevaringen.</w:t>
      </w:r>
    </w:p>
    <w:p w:rsidR="005A26F8" w:rsidRPr="005A26F8" w:rsidRDefault="005A26F8" w:rsidP="00401830">
      <w:pPr>
        <w:tabs>
          <w:tab w:val="left" w:pos="851"/>
        </w:tabs>
        <w:ind w:left="851"/>
        <w:rPr>
          <w:sz w:val="24"/>
          <w:szCs w:val="24"/>
        </w:rPr>
      </w:pPr>
    </w:p>
    <w:p w:rsidR="005A26F8" w:rsidRPr="005A26F8" w:rsidRDefault="005A26F8" w:rsidP="00401830">
      <w:pPr>
        <w:tabs>
          <w:tab w:val="left" w:pos="851"/>
        </w:tabs>
        <w:ind w:left="851"/>
        <w:rPr>
          <w:sz w:val="24"/>
          <w:szCs w:val="24"/>
        </w:rPr>
      </w:pPr>
      <w:r w:rsidRPr="005A26F8">
        <w:rPr>
          <w:sz w:val="24"/>
          <w:szCs w:val="24"/>
        </w:rPr>
        <w:t>Opbevaringsforhold efter anbrud, se pkt. 6.3.</w:t>
      </w:r>
    </w:p>
    <w:p w:rsidR="005B0036" w:rsidRPr="00406EE7" w:rsidRDefault="005B0036" w:rsidP="00401830">
      <w:pPr>
        <w:tabs>
          <w:tab w:val="left" w:pos="851"/>
        </w:tabs>
        <w:rPr>
          <w:sz w:val="24"/>
          <w:szCs w:val="24"/>
        </w:rPr>
      </w:pPr>
    </w:p>
    <w:p w:rsidR="005B0036" w:rsidRPr="00406EE7" w:rsidRDefault="005B0036" w:rsidP="00401830">
      <w:pPr>
        <w:ind w:left="851" w:hanging="851"/>
        <w:rPr>
          <w:b/>
          <w:sz w:val="24"/>
          <w:szCs w:val="24"/>
        </w:rPr>
      </w:pPr>
      <w:r w:rsidRPr="00406EE7">
        <w:rPr>
          <w:b/>
          <w:sz w:val="24"/>
          <w:szCs w:val="24"/>
        </w:rPr>
        <w:t>6.5</w:t>
      </w:r>
      <w:r w:rsidRPr="00406EE7">
        <w:rPr>
          <w:b/>
          <w:sz w:val="24"/>
          <w:szCs w:val="24"/>
        </w:rPr>
        <w:tab/>
        <w:t>Emballage</w:t>
      </w:r>
    </w:p>
    <w:p w:rsidR="00B8792A" w:rsidRPr="00B8792A" w:rsidRDefault="00B8792A" w:rsidP="00401830">
      <w:pPr>
        <w:tabs>
          <w:tab w:val="left" w:pos="851"/>
        </w:tabs>
        <w:ind w:left="851"/>
        <w:rPr>
          <w:sz w:val="24"/>
          <w:szCs w:val="24"/>
        </w:rPr>
      </w:pPr>
      <w:r w:rsidRPr="00B8792A">
        <w:rPr>
          <w:sz w:val="24"/>
          <w:szCs w:val="24"/>
        </w:rPr>
        <w:t xml:space="preserve">Hætteglas type II med en brombutyl gummiprop og aluminiumsforsegling. </w:t>
      </w:r>
    </w:p>
    <w:p w:rsidR="00B8792A" w:rsidRPr="00B8792A" w:rsidRDefault="00B8792A" w:rsidP="00401830">
      <w:pPr>
        <w:tabs>
          <w:tab w:val="left" w:pos="851"/>
        </w:tabs>
        <w:ind w:left="851"/>
        <w:rPr>
          <w:sz w:val="24"/>
          <w:szCs w:val="24"/>
        </w:rPr>
      </w:pPr>
    </w:p>
    <w:p w:rsidR="00B8792A" w:rsidRPr="00B8792A" w:rsidRDefault="00B8792A" w:rsidP="00401830">
      <w:pPr>
        <w:tabs>
          <w:tab w:val="left" w:pos="851"/>
        </w:tabs>
        <w:ind w:left="851"/>
        <w:rPr>
          <w:sz w:val="24"/>
          <w:szCs w:val="24"/>
        </w:rPr>
      </w:pPr>
      <w:r w:rsidRPr="00B8792A">
        <w:rPr>
          <w:sz w:val="24"/>
          <w:szCs w:val="24"/>
          <w:u w:val="single"/>
        </w:rPr>
        <w:t>Pakningsstørrelser</w:t>
      </w:r>
    </w:p>
    <w:p w:rsidR="00B8792A" w:rsidRPr="00B8792A" w:rsidRDefault="00B8792A" w:rsidP="00401830">
      <w:pPr>
        <w:tabs>
          <w:tab w:val="left" w:pos="851"/>
        </w:tabs>
        <w:ind w:left="851"/>
        <w:rPr>
          <w:sz w:val="24"/>
          <w:szCs w:val="24"/>
        </w:rPr>
      </w:pPr>
      <w:r w:rsidRPr="00B8792A">
        <w:rPr>
          <w:sz w:val="24"/>
          <w:szCs w:val="24"/>
        </w:rPr>
        <w:t>1</w:t>
      </w:r>
      <w:r>
        <w:rPr>
          <w:sz w:val="24"/>
          <w:szCs w:val="24"/>
        </w:rPr>
        <w:t>×</w:t>
      </w:r>
      <w:r w:rsidRPr="00B8792A">
        <w:rPr>
          <w:sz w:val="24"/>
          <w:szCs w:val="24"/>
        </w:rPr>
        <w:t>100 ml, 4</w:t>
      </w:r>
      <w:r>
        <w:rPr>
          <w:sz w:val="24"/>
          <w:szCs w:val="24"/>
        </w:rPr>
        <w:t>×</w:t>
      </w:r>
      <w:r w:rsidRPr="00B8792A">
        <w:rPr>
          <w:sz w:val="24"/>
          <w:szCs w:val="24"/>
        </w:rPr>
        <w:t>100 ml, 6</w:t>
      </w:r>
      <w:r>
        <w:rPr>
          <w:sz w:val="24"/>
          <w:szCs w:val="24"/>
        </w:rPr>
        <w:t>×</w:t>
      </w:r>
      <w:r w:rsidRPr="00B8792A">
        <w:rPr>
          <w:sz w:val="24"/>
          <w:szCs w:val="24"/>
        </w:rPr>
        <w:t>100 ml og 12</w:t>
      </w:r>
      <w:r>
        <w:rPr>
          <w:sz w:val="24"/>
          <w:szCs w:val="24"/>
        </w:rPr>
        <w:t>×</w:t>
      </w:r>
      <w:r w:rsidRPr="00B8792A">
        <w:rPr>
          <w:sz w:val="24"/>
          <w:szCs w:val="24"/>
        </w:rPr>
        <w:t>100 ml</w:t>
      </w:r>
      <w:r>
        <w:rPr>
          <w:sz w:val="24"/>
          <w:szCs w:val="24"/>
        </w:rPr>
        <w:t>.</w:t>
      </w:r>
    </w:p>
    <w:p w:rsidR="00B8792A" w:rsidRPr="00B8792A" w:rsidRDefault="00B8792A" w:rsidP="00401830">
      <w:pPr>
        <w:tabs>
          <w:tab w:val="left" w:pos="851"/>
        </w:tabs>
        <w:ind w:left="851"/>
        <w:rPr>
          <w:sz w:val="24"/>
          <w:szCs w:val="24"/>
        </w:rPr>
      </w:pPr>
      <w:r w:rsidRPr="00B8792A">
        <w:rPr>
          <w:sz w:val="24"/>
          <w:szCs w:val="24"/>
        </w:rPr>
        <w:t>1</w:t>
      </w:r>
      <w:r>
        <w:rPr>
          <w:sz w:val="24"/>
          <w:szCs w:val="24"/>
        </w:rPr>
        <w:t>×</w:t>
      </w:r>
      <w:r w:rsidRPr="00B8792A">
        <w:rPr>
          <w:sz w:val="24"/>
          <w:szCs w:val="24"/>
        </w:rPr>
        <w:t>250 ml, 6</w:t>
      </w:r>
      <w:r>
        <w:rPr>
          <w:sz w:val="24"/>
          <w:szCs w:val="24"/>
        </w:rPr>
        <w:t>×</w:t>
      </w:r>
      <w:r w:rsidRPr="00B8792A">
        <w:rPr>
          <w:sz w:val="24"/>
          <w:szCs w:val="24"/>
        </w:rPr>
        <w:t>250 ml og 12</w:t>
      </w:r>
      <w:r>
        <w:rPr>
          <w:sz w:val="24"/>
          <w:szCs w:val="24"/>
        </w:rPr>
        <w:t>×</w:t>
      </w:r>
      <w:r w:rsidRPr="00B8792A">
        <w:rPr>
          <w:sz w:val="24"/>
          <w:szCs w:val="24"/>
        </w:rPr>
        <w:t>250 ml</w:t>
      </w:r>
      <w:r>
        <w:rPr>
          <w:sz w:val="24"/>
          <w:szCs w:val="24"/>
        </w:rPr>
        <w:t>.</w:t>
      </w:r>
    </w:p>
    <w:p w:rsidR="00B8792A" w:rsidRPr="00B8792A" w:rsidRDefault="00B8792A" w:rsidP="00401830">
      <w:pPr>
        <w:tabs>
          <w:tab w:val="left" w:pos="851"/>
        </w:tabs>
        <w:ind w:left="851"/>
        <w:rPr>
          <w:sz w:val="24"/>
          <w:szCs w:val="24"/>
        </w:rPr>
      </w:pPr>
    </w:p>
    <w:p w:rsidR="00B8792A" w:rsidRPr="00B8792A" w:rsidRDefault="00B8792A" w:rsidP="00401830">
      <w:pPr>
        <w:tabs>
          <w:tab w:val="left" w:pos="851"/>
        </w:tabs>
        <w:ind w:left="851"/>
        <w:rPr>
          <w:sz w:val="24"/>
          <w:szCs w:val="24"/>
        </w:rPr>
      </w:pPr>
      <w:r w:rsidRPr="00B8792A">
        <w:rPr>
          <w:sz w:val="24"/>
          <w:szCs w:val="24"/>
        </w:rPr>
        <w:t>Ikke alle pakningsstørrelser er nødvendigvis markedsført.</w:t>
      </w:r>
    </w:p>
    <w:p w:rsidR="005B0036" w:rsidRPr="00406EE7" w:rsidRDefault="005B0036" w:rsidP="00401830">
      <w:pPr>
        <w:tabs>
          <w:tab w:val="left" w:pos="851"/>
        </w:tabs>
        <w:ind w:left="851"/>
        <w:rPr>
          <w:sz w:val="24"/>
          <w:szCs w:val="24"/>
        </w:rPr>
      </w:pPr>
    </w:p>
    <w:p w:rsidR="005B0036" w:rsidRPr="00406EE7" w:rsidRDefault="005B0036" w:rsidP="00401830">
      <w:pPr>
        <w:tabs>
          <w:tab w:val="left" w:pos="851"/>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401830" w:rsidRPr="00401830" w:rsidRDefault="00401830" w:rsidP="00401830">
      <w:pPr>
        <w:tabs>
          <w:tab w:val="left" w:pos="851"/>
        </w:tabs>
        <w:ind w:left="851"/>
        <w:rPr>
          <w:sz w:val="24"/>
          <w:szCs w:val="24"/>
        </w:rPr>
      </w:pPr>
      <w:r w:rsidRPr="00401830">
        <w:rPr>
          <w:sz w:val="24"/>
          <w:szCs w:val="24"/>
        </w:rPr>
        <w:t>Ikke anvendte veterinærlægemidler samt affald heraf bør destrueres i henhold til lokale retningslinjer.</w:t>
      </w:r>
    </w:p>
    <w:p w:rsidR="005B0036" w:rsidRPr="00070728" w:rsidRDefault="005B0036" w:rsidP="00401830">
      <w:pPr>
        <w:tabs>
          <w:tab w:val="left" w:pos="851"/>
        </w:tabs>
        <w:ind w:left="851"/>
        <w:rPr>
          <w:sz w:val="24"/>
          <w:szCs w:val="24"/>
        </w:rPr>
      </w:pPr>
    </w:p>
    <w:p w:rsidR="005B0036" w:rsidRPr="00406EE7" w:rsidRDefault="005B0036" w:rsidP="00401830">
      <w:pPr>
        <w:tabs>
          <w:tab w:val="left" w:pos="851"/>
        </w:tabs>
        <w:ind w:left="851" w:hanging="851"/>
        <w:rPr>
          <w:b/>
          <w:sz w:val="24"/>
          <w:szCs w:val="24"/>
        </w:rPr>
      </w:pPr>
      <w:r w:rsidRPr="00406EE7">
        <w:rPr>
          <w:b/>
          <w:sz w:val="24"/>
          <w:szCs w:val="24"/>
        </w:rPr>
        <w:t>7.</w:t>
      </w:r>
      <w:r w:rsidRPr="00406EE7">
        <w:rPr>
          <w:b/>
          <w:sz w:val="24"/>
          <w:szCs w:val="24"/>
        </w:rPr>
        <w:tab/>
        <w:t>INDEHAVER AF MARKEDSFØRINGSTILLADELSEN</w:t>
      </w:r>
    </w:p>
    <w:p w:rsidR="00401830" w:rsidRPr="00401830" w:rsidRDefault="00401830" w:rsidP="00401830">
      <w:pPr>
        <w:tabs>
          <w:tab w:val="left" w:pos="851"/>
        </w:tabs>
        <w:ind w:left="851"/>
        <w:rPr>
          <w:sz w:val="24"/>
          <w:szCs w:val="24"/>
        </w:rPr>
      </w:pPr>
      <w:bookmarkStart w:id="6" w:name="_Hlk49779290"/>
      <w:r w:rsidRPr="00401830">
        <w:rPr>
          <w:sz w:val="24"/>
          <w:szCs w:val="24"/>
        </w:rPr>
        <w:t>Biovet ApS</w:t>
      </w:r>
    </w:p>
    <w:bookmarkEnd w:id="6"/>
    <w:p w:rsidR="00401830" w:rsidRPr="00401830" w:rsidRDefault="00401830" w:rsidP="00401830">
      <w:pPr>
        <w:tabs>
          <w:tab w:val="left" w:pos="851"/>
        </w:tabs>
        <w:ind w:left="851"/>
        <w:rPr>
          <w:sz w:val="24"/>
          <w:szCs w:val="24"/>
        </w:rPr>
      </w:pPr>
      <w:r w:rsidRPr="00401830">
        <w:rPr>
          <w:sz w:val="24"/>
          <w:szCs w:val="24"/>
        </w:rPr>
        <w:t>Kongevejen 66</w:t>
      </w:r>
    </w:p>
    <w:p w:rsidR="00401830" w:rsidRPr="00401830" w:rsidRDefault="00401830" w:rsidP="00401830">
      <w:pPr>
        <w:tabs>
          <w:tab w:val="left" w:pos="851"/>
        </w:tabs>
        <w:ind w:left="851"/>
        <w:rPr>
          <w:sz w:val="24"/>
          <w:szCs w:val="24"/>
        </w:rPr>
      </w:pPr>
      <w:r w:rsidRPr="00401830">
        <w:rPr>
          <w:sz w:val="24"/>
          <w:szCs w:val="24"/>
        </w:rPr>
        <w:t>3480 Fredensborg</w:t>
      </w:r>
    </w:p>
    <w:p w:rsidR="005B0036" w:rsidRPr="00406EE7" w:rsidRDefault="005B0036" w:rsidP="00401830">
      <w:pPr>
        <w:tabs>
          <w:tab w:val="left" w:pos="851"/>
        </w:tabs>
        <w:ind w:left="851"/>
        <w:rPr>
          <w:sz w:val="24"/>
          <w:szCs w:val="24"/>
        </w:rPr>
      </w:pPr>
    </w:p>
    <w:p w:rsidR="005B0036" w:rsidRPr="00406EE7" w:rsidRDefault="005B0036" w:rsidP="00401830">
      <w:pPr>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522E34" w:rsidP="00417C7D">
      <w:pPr>
        <w:tabs>
          <w:tab w:val="left" w:pos="851"/>
        </w:tabs>
        <w:ind w:left="851"/>
        <w:rPr>
          <w:sz w:val="24"/>
          <w:szCs w:val="24"/>
        </w:rPr>
      </w:pPr>
      <w:r>
        <w:rPr>
          <w:sz w:val="24"/>
          <w:szCs w:val="24"/>
        </w:rPr>
        <w:t>65106</w:t>
      </w:r>
    </w:p>
    <w:p w:rsidR="005B0036" w:rsidRPr="00406EE7" w:rsidRDefault="005B0036" w:rsidP="00417C7D">
      <w:pPr>
        <w:tabs>
          <w:tab w:val="left" w:pos="851"/>
        </w:tabs>
        <w:ind w:left="851"/>
        <w:rPr>
          <w:sz w:val="24"/>
          <w:szCs w:val="24"/>
        </w:rPr>
      </w:pPr>
    </w:p>
    <w:p w:rsidR="005B0036" w:rsidRPr="00406EE7" w:rsidRDefault="005B0036" w:rsidP="00417C7D">
      <w:pPr>
        <w:tabs>
          <w:tab w:val="left" w:pos="851"/>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2E1DBE" w:rsidP="00417C7D">
      <w:pPr>
        <w:tabs>
          <w:tab w:val="left" w:pos="851"/>
        </w:tabs>
        <w:ind w:left="851"/>
        <w:rPr>
          <w:sz w:val="24"/>
          <w:szCs w:val="24"/>
        </w:rPr>
      </w:pPr>
      <w:r>
        <w:rPr>
          <w:sz w:val="24"/>
          <w:szCs w:val="24"/>
        </w:rPr>
        <w:t>21. februar 2022</w:t>
      </w:r>
      <w:bookmarkStart w:id="7" w:name="_GoBack"/>
      <w:bookmarkEnd w:id="7"/>
    </w:p>
    <w:p w:rsidR="005B0036" w:rsidRPr="00406EE7" w:rsidRDefault="005B0036" w:rsidP="00417C7D">
      <w:pPr>
        <w:tabs>
          <w:tab w:val="left" w:pos="851"/>
        </w:tabs>
        <w:ind w:left="851"/>
        <w:rPr>
          <w:sz w:val="24"/>
          <w:szCs w:val="24"/>
        </w:rPr>
      </w:pPr>
    </w:p>
    <w:p w:rsidR="005B0036" w:rsidRPr="00406EE7" w:rsidRDefault="005B0036" w:rsidP="00417C7D">
      <w:pPr>
        <w:tabs>
          <w:tab w:val="left" w:pos="851"/>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522E34" w:rsidP="00417C7D">
      <w:pPr>
        <w:tabs>
          <w:tab w:val="left" w:pos="851"/>
        </w:tabs>
        <w:ind w:left="851"/>
        <w:rPr>
          <w:sz w:val="24"/>
          <w:szCs w:val="24"/>
        </w:rPr>
      </w:pPr>
      <w:r>
        <w:rPr>
          <w:sz w:val="24"/>
          <w:szCs w:val="24"/>
        </w:rPr>
        <w:t>-</w:t>
      </w:r>
    </w:p>
    <w:p w:rsidR="005B0036" w:rsidRPr="00406EE7" w:rsidRDefault="005B0036" w:rsidP="00417C7D">
      <w:pPr>
        <w:tabs>
          <w:tab w:val="left" w:pos="851"/>
        </w:tabs>
        <w:ind w:left="851"/>
        <w:rPr>
          <w:sz w:val="24"/>
          <w:szCs w:val="24"/>
        </w:rPr>
      </w:pPr>
    </w:p>
    <w:p w:rsidR="005B0036" w:rsidRPr="00406EE7" w:rsidRDefault="005B0036" w:rsidP="00417C7D">
      <w:pPr>
        <w:tabs>
          <w:tab w:val="left" w:pos="851"/>
        </w:tabs>
        <w:rPr>
          <w:b/>
          <w:sz w:val="24"/>
          <w:szCs w:val="24"/>
        </w:rPr>
      </w:pPr>
      <w:r w:rsidRPr="00406EE7">
        <w:rPr>
          <w:b/>
          <w:sz w:val="24"/>
          <w:szCs w:val="24"/>
        </w:rPr>
        <w:t>11.</w:t>
      </w:r>
      <w:r w:rsidRPr="00406EE7">
        <w:rPr>
          <w:b/>
          <w:sz w:val="24"/>
          <w:szCs w:val="24"/>
        </w:rPr>
        <w:tab/>
        <w:t>UDLEVERINGSBESTEMMELSE</w:t>
      </w:r>
    </w:p>
    <w:p w:rsidR="0003527F" w:rsidRPr="002E1DBE" w:rsidRDefault="00FF460E" w:rsidP="002E1DBE">
      <w:pPr>
        <w:pStyle w:val="Sidehoved"/>
        <w:tabs>
          <w:tab w:val="clear" w:pos="4819"/>
          <w:tab w:val="left" w:pos="851"/>
        </w:tabs>
        <w:ind w:left="851"/>
        <w:rPr>
          <w:szCs w:val="24"/>
        </w:rPr>
      </w:pPr>
      <w:r>
        <w:rPr>
          <w:szCs w:val="24"/>
        </w:rPr>
        <w:t>BP</w:t>
      </w:r>
    </w:p>
    <w:sectPr w:rsidR="0003527F" w:rsidRPr="002E1DB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090" w:rsidRDefault="00206090">
      <w:r>
        <w:separator/>
      </w:r>
    </w:p>
  </w:endnote>
  <w:endnote w:type="continuationSeparator" w:id="0">
    <w:p w:rsidR="00206090" w:rsidRDefault="0020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70B9">
      <w:rPr>
        <w:i/>
        <w:noProof/>
        <w:snapToGrid w:val="0"/>
        <w:sz w:val="18"/>
      </w:rPr>
      <w:t>Sultrivet, injektionsvæske, opløsning 200+40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70B9">
      <w:rPr>
        <w:i/>
        <w:noProof/>
        <w:snapToGrid w:val="0"/>
        <w:sz w:val="18"/>
      </w:rPr>
      <w:t>Sultrivet, injektionsvæske, opløsning 200+40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090" w:rsidRDefault="00206090">
      <w:r>
        <w:separator/>
      </w:r>
    </w:p>
  </w:footnote>
  <w:footnote w:type="continuationSeparator" w:id="0">
    <w:p w:rsidR="00206090" w:rsidRDefault="0020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90"/>
    <w:rsid w:val="0003527F"/>
    <w:rsid w:val="00065C7D"/>
    <w:rsid w:val="000C6CD4"/>
    <w:rsid w:val="001504BA"/>
    <w:rsid w:val="00157309"/>
    <w:rsid w:val="001577E4"/>
    <w:rsid w:val="00171A35"/>
    <w:rsid w:val="00183DB1"/>
    <w:rsid w:val="001858CA"/>
    <w:rsid w:val="001C4AEF"/>
    <w:rsid w:val="001D3CC5"/>
    <w:rsid w:val="00206090"/>
    <w:rsid w:val="002E1DBE"/>
    <w:rsid w:val="002F09B8"/>
    <w:rsid w:val="00322BDE"/>
    <w:rsid w:val="003D372D"/>
    <w:rsid w:val="00401830"/>
    <w:rsid w:val="00406964"/>
    <w:rsid w:val="00406EE7"/>
    <w:rsid w:val="00407013"/>
    <w:rsid w:val="004170B9"/>
    <w:rsid w:val="00417C7D"/>
    <w:rsid w:val="004A36D9"/>
    <w:rsid w:val="004A62CC"/>
    <w:rsid w:val="00522E34"/>
    <w:rsid w:val="00565A74"/>
    <w:rsid w:val="005A26F8"/>
    <w:rsid w:val="005B0036"/>
    <w:rsid w:val="005F5831"/>
    <w:rsid w:val="00635EE1"/>
    <w:rsid w:val="00662012"/>
    <w:rsid w:val="00666B01"/>
    <w:rsid w:val="006B1539"/>
    <w:rsid w:val="006F5621"/>
    <w:rsid w:val="00761CC3"/>
    <w:rsid w:val="0076235F"/>
    <w:rsid w:val="007E2A00"/>
    <w:rsid w:val="008010F2"/>
    <w:rsid w:val="00891994"/>
    <w:rsid w:val="0090070D"/>
    <w:rsid w:val="009202AE"/>
    <w:rsid w:val="00986664"/>
    <w:rsid w:val="009D66C6"/>
    <w:rsid w:val="00A12F1C"/>
    <w:rsid w:val="00A96525"/>
    <w:rsid w:val="00AE29E5"/>
    <w:rsid w:val="00AE5757"/>
    <w:rsid w:val="00AF6AAD"/>
    <w:rsid w:val="00B25EB8"/>
    <w:rsid w:val="00B8792A"/>
    <w:rsid w:val="00BC634B"/>
    <w:rsid w:val="00BF2AE0"/>
    <w:rsid w:val="00C479BF"/>
    <w:rsid w:val="00D05B93"/>
    <w:rsid w:val="00D5245E"/>
    <w:rsid w:val="00DD6D71"/>
    <w:rsid w:val="00DF32BE"/>
    <w:rsid w:val="00E14F0A"/>
    <w:rsid w:val="00EB5778"/>
    <w:rsid w:val="00EE5253"/>
    <w:rsid w:val="00F027A0"/>
    <w:rsid w:val="00FA66E4"/>
    <w:rsid w:val="00FD6433"/>
    <w:rsid w:val="00FF46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5EDF6"/>
  <w15:chartTrackingRefBased/>
  <w15:docId w15:val="{BA044035-0656-45E1-B4E8-2D459DE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4205">
      <w:bodyDiv w:val="1"/>
      <w:marLeft w:val="0"/>
      <w:marRight w:val="0"/>
      <w:marTop w:val="0"/>
      <w:marBottom w:val="0"/>
      <w:divBdr>
        <w:top w:val="none" w:sz="0" w:space="0" w:color="auto"/>
        <w:left w:val="none" w:sz="0" w:space="0" w:color="auto"/>
        <w:bottom w:val="none" w:sz="0" w:space="0" w:color="auto"/>
        <w:right w:val="none" w:sz="0" w:space="0" w:color="auto"/>
      </w:divBdr>
    </w:div>
    <w:div w:id="29964472">
      <w:bodyDiv w:val="1"/>
      <w:marLeft w:val="0"/>
      <w:marRight w:val="0"/>
      <w:marTop w:val="0"/>
      <w:marBottom w:val="0"/>
      <w:divBdr>
        <w:top w:val="none" w:sz="0" w:space="0" w:color="auto"/>
        <w:left w:val="none" w:sz="0" w:space="0" w:color="auto"/>
        <w:bottom w:val="none" w:sz="0" w:space="0" w:color="auto"/>
        <w:right w:val="none" w:sz="0" w:space="0" w:color="auto"/>
      </w:divBdr>
    </w:div>
    <w:div w:id="64030368">
      <w:bodyDiv w:val="1"/>
      <w:marLeft w:val="0"/>
      <w:marRight w:val="0"/>
      <w:marTop w:val="0"/>
      <w:marBottom w:val="0"/>
      <w:divBdr>
        <w:top w:val="none" w:sz="0" w:space="0" w:color="auto"/>
        <w:left w:val="none" w:sz="0" w:space="0" w:color="auto"/>
        <w:bottom w:val="none" w:sz="0" w:space="0" w:color="auto"/>
        <w:right w:val="none" w:sz="0" w:space="0" w:color="auto"/>
      </w:divBdr>
    </w:div>
    <w:div w:id="94180928">
      <w:bodyDiv w:val="1"/>
      <w:marLeft w:val="0"/>
      <w:marRight w:val="0"/>
      <w:marTop w:val="0"/>
      <w:marBottom w:val="0"/>
      <w:divBdr>
        <w:top w:val="none" w:sz="0" w:space="0" w:color="auto"/>
        <w:left w:val="none" w:sz="0" w:space="0" w:color="auto"/>
        <w:bottom w:val="none" w:sz="0" w:space="0" w:color="auto"/>
        <w:right w:val="none" w:sz="0" w:space="0" w:color="auto"/>
      </w:divBdr>
    </w:div>
    <w:div w:id="123892497">
      <w:bodyDiv w:val="1"/>
      <w:marLeft w:val="0"/>
      <w:marRight w:val="0"/>
      <w:marTop w:val="0"/>
      <w:marBottom w:val="0"/>
      <w:divBdr>
        <w:top w:val="none" w:sz="0" w:space="0" w:color="auto"/>
        <w:left w:val="none" w:sz="0" w:space="0" w:color="auto"/>
        <w:bottom w:val="none" w:sz="0" w:space="0" w:color="auto"/>
        <w:right w:val="none" w:sz="0" w:space="0" w:color="auto"/>
      </w:divBdr>
    </w:div>
    <w:div w:id="15816161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2383421">
      <w:bodyDiv w:val="1"/>
      <w:marLeft w:val="0"/>
      <w:marRight w:val="0"/>
      <w:marTop w:val="0"/>
      <w:marBottom w:val="0"/>
      <w:divBdr>
        <w:top w:val="none" w:sz="0" w:space="0" w:color="auto"/>
        <w:left w:val="none" w:sz="0" w:space="0" w:color="auto"/>
        <w:bottom w:val="none" w:sz="0" w:space="0" w:color="auto"/>
        <w:right w:val="none" w:sz="0" w:space="0" w:color="auto"/>
      </w:divBdr>
    </w:div>
    <w:div w:id="220757071">
      <w:bodyDiv w:val="1"/>
      <w:marLeft w:val="0"/>
      <w:marRight w:val="0"/>
      <w:marTop w:val="0"/>
      <w:marBottom w:val="0"/>
      <w:divBdr>
        <w:top w:val="none" w:sz="0" w:space="0" w:color="auto"/>
        <w:left w:val="none" w:sz="0" w:space="0" w:color="auto"/>
        <w:bottom w:val="none" w:sz="0" w:space="0" w:color="auto"/>
        <w:right w:val="none" w:sz="0" w:space="0" w:color="auto"/>
      </w:divBdr>
    </w:div>
    <w:div w:id="271665537">
      <w:bodyDiv w:val="1"/>
      <w:marLeft w:val="0"/>
      <w:marRight w:val="0"/>
      <w:marTop w:val="0"/>
      <w:marBottom w:val="0"/>
      <w:divBdr>
        <w:top w:val="none" w:sz="0" w:space="0" w:color="auto"/>
        <w:left w:val="none" w:sz="0" w:space="0" w:color="auto"/>
        <w:bottom w:val="none" w:sz="0" w:space="0" w:color="auto"/>
        <w:right w:val="none" w:sz="0" w:space="0" w:color="auto"/>
      </w:divBdr>
    </w:div>
    <w:div w:id="297152011">
      <w:bodyDiv w:val="1"/>
      <w:marLeft w:val="0"/>
      <w:marRight w:val="0"/>
      <w:marTop w:val="0"/>
      <w:marBottom w:val="0"/>
      <w:divBdr>
        <w:top w:val="none" w:sz="0" w:space="0" w:color="auto"/>
        <w:left w:val="none" w:sz="0" w:space="0" w:color="auto"/>
        <w:bottom w:val="none" w:sz="0" w:space="0" w:color="auto"/>
        <w:right w:val="none" w:sz="0" w:space="0" w:color="auto"/>
      </w:divBdr>
    </w:div>
    <w:div w:id="299504119">
      <w:bodyDiv w:val="1"/>
      <w:marLeft w:val="0"/>
      <w:marRight w:val="0"/>
      <w:marTop w:val="0"/>
      <w:marBottom w:val="0"/>
      <w:divBdr>
        <w:top w:val="none" w:sz="0" w:space="0" w:color="auto"/>
        <w:left w:val="none" w:sz="0" w:space="0" w:color="auto"/>
        <w:bottom w:val="none" w:sz="0" w:space="0" w:color="auto"/>
        <w:right w:val="none" w:sz="0" w:space="0" w:color="auto"/>
      </w:divBdr>
    </w:div>
    <w:div w:id="300618594">
      <w:bodyDiv w:val="1"/>
      <w:marLeft w:val="0"/>
      <w:marRight w:val="0"/>
      <w:marTop w:val="0"/>
      <w:marBottom w:val="0"/>
      <w:divBdr>
        <w:top w:val="none" w:sz="0" w:space="0" w:color="auto"/>
        <w:left w:val="none" w:sz="0" w:space="0" w:color="auto"/>
        <w:bottom w:val="none" w:sz="0" w:space="0" w:color="auto"/>
        <w:right w:val="none" w:sz="0" w:space="0" w:color="auto"/>
      </w:divBdr>
    </w:div>
    <w:div w:id="307251741">
      <w:bodyDiv w:val="1"/>
      <w:marLeft w:val="0"/>
      <w:marRight w:val="0"/>
      <w:marTop w:val="0"/>
      <w:marBottom w:val="0"/>
      <w:divBdr>
        <w:top w:val="none" w:sz="0" w:space="0" w:color="auto"/>
        <w:left w:val="none" w:sz="0" w:space="0" w:color="auto"/>
        <w:bottom w:val="none" w:sz="0" w:space="0" w:color="auto"/>
        <w:right w:val="none" w:sz="0" w:space="0" w:color="auto"/>
      </w:divBdr>
    </w:div>
    <w:div w:id="330760575">
      <w:bodyDiv w:val="1"/>
      <w:marLeft w:val="0"/>
      <w:marRight w:val="0"/>
      <w:marTop w:val="0"/>
      <w:marBottom w:val="0"/>
      <w:divBdr>
        <w:top w:val="none" w:sz="0" w:space="0" w:color="auto"/>
        <w:left w:val="none" w:sz="0" w:space="0" w:color="auto"/>
        <w:bottom w:val="none" w:sz="0" w:space="0" w:color="auto"/>
        <w:right w:val="none" w:sz="0" w:space="0" w:color="auto"/>
      </w:divBdr>
    </w:div>
    <w:div w:id="363791063">
      <w:bodyDiv w:val="1"/>
      <w:marLeft w:val="0"/>
      <w:marRight w:val="0"/>
      <w:marTop w:val="0"/>
      <w:marBottom w:val="0"/>
      <w:divBdr>
        <w:top w:val="none" w:sz="0" w:space="0" w:color="auto"/>
        <w:left w:val="none" w:sz="0" w:space="0" w:color="auto"/>
        <w:bottom w:val="none" w:sz="0" w:space="0" w:color="auto"/>
        <w:right w:val="none" w:sz="0" w:space="0" w:color="auto"/>
      </w:divBdr>
    </w:div>
    <w:div w:id="411395395">
      <w:bodyDiv w:val="1"/>
      <w:marLeft w:val="0"/>
      <w:marRight w:val="0"/>
      <w:marTop w:val="0"/>
      <w:marBottom w:val="0"/>
      <w:divBdr>
        <w:top w:val="none" w:sz="0" w:space="0" w:color="auto"/>
        <w:left w:val="none" w:sz="0" w:space="0" w:color="auto"/>
        <w:bottom w:val="none" w:sz="0" w:space="0" w:color="auto"/>
        <w:right w:val="none" w:sz="0" w:space="0" w:color="auto"/>
      </w:divBdr>
    </w:div>
    <w:div w:id="581833557">
      <w:bodyDiv w:val="1"/>
      <w:marLeft w:val="0"/>
      <w:marRight w:val="0"/>
      <w:marTop w:val="0"/>
      <w:marBottom w:val="0"/>
      <w:divBdr>
        <w:top w:val="none" w:sz="0" w:space="0" w:color="auto"/>
        <w:left w:val="none" w:sz="0" w:space="0" w:color="auto"/>
        <w:bottom w:val="none" w:sz="0" w:space="0" w:color="auto"/>
        <w:right w:val="none" w:sz="0" w:space="0" w:color="auto"/>
      </w:divBdr>
    </w:div>
    <w:div w:id="594870999">
      <w:bodyDiv w:val="1"/>
      <w:marLeft w:val="0"/>
      <w:marRight w:val="0"/>
      <w:marTop w:val="0"/>
      <w:marBottom w:val="0"/>
      <w:divBdr>
        <w:top w:val="none" w:sz="0" w:space="0" w:color="auto"/>
        <w:left w:val="none" w:sz="0" w:space="0" w:color="auto"/>
        <w:bottom w:val="none" w:sz="0" w:space="0" w:color="auto"/>
        <w:right w:val="none" w:sz="0" w:space="0" w:color="auto"/>
      </w:divBdr>
    </w:div>
    <w:div w:id="626661095">
      <w:bodyDiv w:val="1"/>
      <w:marLeft w:val="0"/>
      <w:marRight w:val="0"/>
      <w:marTop w:val="0"/>
      <w:marBottom w:val="0"/>
      <w:divBdr>
        <w:top w:val="none" w:sz="0" w:space="0" w:color="auto"/>
        <w:left w:val="none" w:sz="0" w:space="0" w:color="auto"/>
        <w:bottom w:val="none" w:sz="0" w:space="0" w:color="auto"/>
        <w:right w:val="none" w:sz="0" w:space="0" w:color="auto"/>
      </w:divBdr>
    </w:div>
    <w:div w:id="660430237">
      <w:bodyDiv w:val="1"/>
      <w:marLeft w:val="0"/>
      <w:marRight w:val="0"/>
      <w:marTop w:val="0"/>
      <w:marBottom w:val="0"/>
      <w:divBdr>
        <w:top w:val="none" w:sz="0" w:space="0" w:color="auto"/>
        <w:left w:val="none" w:sz="0" w:space="0" w:color="auto"/>
        <w:bottom w:val="none" w:sz="0" w:space="0" w:color="auto"/>
        <w:right w:val="none" w:sz="0" w:space="0" w:color="auto"/>
      </w:divBdr>
    </w:div>
    <w:div w:id="677658928">
      <w:bodyDiv w:val="1"/>
      <w:marLeft w:val="0"/>
      <w:marRight w:val="0"/>
      <w:marTop w:val="0"/>
      <w:marBottom w:val="0"/>
      <w:divBdr>
        <w:top w:val="none" w:sz="0" w:space="0" w:color="auto"/>
        <w:left w:val="none" w:sz="0" w:space="0" w:color="auto"/>
        <w:bottom w:val="none" w:sz="0" w:space="0" w:color="auto"/>
        <w:right w:val="none" w:sz="0" w:space="0" w:color="auto"/>
      </w:divBdr>
    </w:div>
    <w:div w:id="689720972">
      <w:bodyDiv w:val="1"/>
      <w:marLeft w:val="0"/>
      <w:marRight w:val="0"/>
      <w:marTop w:val="0"/>
      <w:marBottom w:val="0"/>
      <w:divBdr>
        <w:top w:val="none" w:sz="0" w:space="0" w:color="auto"/>
        <w:left w:val="none" w:sz="0" w:space="0" w:color="auto"/>
        <w:bottom w:val="none" w:sz="0" w:space="0" w:color="auto"/>
        <w:right w:val="none" w:sz="0" w:space="0" w:color="auto"/>
      </w:divBdr>
    </w:div>
    <w:div w:id="740375033">
      <w:bodyDiv w:val="1"/>
      <w:marLeft w:val="0"/>
      <w:marRight w:val="0"/>
      <w:marTop w:val="0"/>
      <w:marBottom w:val="0"/>
      <w:divBdr>
        <w:top w:val="none" w:sz="0" w:space="0" w:color="auto"/>
        <w:left w:val="none" w:sz="0" w:space="0" w:color="auto"/>
        <w:bottom w:val="none" w:sz="0" w:space="0" w:color="auto"/>
        <w:right w:val="none" w:sz="0" w:space="0" w:color="auto"/>
      </w:divBdr>
    </w:div>
    <w:div w:id="782765493">
      <w:bodyDiv w:val="1"/>
      <w:marLeft w:val="0"/>
      <w:marRight w:val="0"/>
      <w:marTop w:val="0"/>
      <w:marBottom w:val="0"/>
      <w:divBdr>
        <w:top w:val="none" w:sz="0" w:space="0" w:color="auto"/>
        <w:left w:val="none" w:sz="0" w:space="0" w:color="auto"/>
        <w:bottom w:val="none" w:sz="0" w:space="0" w:color="auto"/>
        <w:right w:val="none" w:sz="0" w:space="0" w:color="auto"/>
      </w:divBdr>
    </w:div>
    <w:div w:id="842360998">
      <w:bodyDiv w:val="1"/>
      <w:marLeft w:val="0"/>
      <w:marRight w:val="0"/>
      <w:marTop w:val="0"/>
      <w:marBottom w:val="0"/>
      <w:divBdr>
        <w:top w:val="none" w:sz="0" w:space="0" w:color="auto"/>
        <w:left w:val="none" w:sz="0" w:space="0" w:color="auto"/>
        <w:bottom w:val="none" w:sz="0" w:space="0" w:color="auto"/>
        <w:right w:val="none" w:sz="0" w:space="0" w:color="auto"/>
      </w:divBdr>
    </w:div>
    <w:div w:id="862018151">
      <w:bodyDiv w:val="1"/>
      <w:marLeft w:val="0"/>
      <w:marRight w:val="0"/>
      <w:marTop w:val="0"/>
      <w:marBottom w:val="0"/>
      <w:divBdr>
        <w:top w:val="none" w:sz="0" w:space="0" w:color="auto"/>
        <w:left w:val="none" w:sz="0" w:space="0" w:color="auto"/>
        <w:bottom w:val="none" w:sz="0" w:space="0" w:color="auto"/>
        <w:right w:val="none" w:sz="0" w:space="0" w:color="auto"/>
      </w:divBdr>
    </w:div>
    <w:div w:id="870384952">
      <w:bodyDiv w:val="1"/>
      <w:marLeft w:val="0"/>
      <w:marRight w:val="0"/>
      <w:marTop w:val="0"/>
      <w:marBottom w:val="0"/>
      <w:divBdr>
        <w:top w:val="none" w:sz="0" w:space="0" w:color="auto"/>
        <w:left w:val="none" w:sz="0" w:space="0" w:color="auto"/>
        <w:bottom w:val="none" w:sz="0" w:space="0" w:color="auto"/>
        <w:right w:val="none" w:sz="0" w:space="0" w:color="auto"/>
      </w:divBdr>
    </w:div>
    <w:div w:id="1076784808">
      <w:bodyDiv w:val="1"/>
      <w:marLeft w:val="0"/>
      <w:marRight w:val="0"/>
      <w:marTop w:val="0"/>
      <w:marBottom w:val="0"/>
      <w:divBdr>
        <w:top w:val="none" w:sz="0" w:space="0" w:color="auto"/>
        <w:left w:val="none" w:sz="0" w:space="0" w:color="auto"/>
        <w:bottom w:val="none" w:sz="0" w:space="0" w:color="auto"/>
        <w:right w:val="none" w:sz="0" w:space="0" w:color="auto"/>
      </w:divBdr>
    </w:div>
    <w:div w:id="1092241839">
      <w:bodyDiv w:val="1"/>
      <w:marLeft w:val="0"/>
      <w:marRight w:val="0"/>
      <w:marTop w:val="0"/>
      <w:marBottom w:val="0"/>
      <w:divBdr>
        <w:top w:val="none" w:sz="0" w:space="0" w:color="auto"/>
        <w:left w:val="none" w:sz="0" w:space="0" w:color="auto"/>
        <w:bottom w:val="none" w:sz="0" w:space="0" w:color="auto"/>
        <w:right w:val="none" w:sz="0" w:space="0" w:color="auto"/>
      </w:divBdr>
    </w:div>
    <w:div w:id="1124933415">
      <w:bodyDiv w:val="1"/>
      <w:marLeft w:val="0"/>
      <w:marRight w:val="0"/>
      <w:marTop w:val="0"/>
      <w:marBottom w:val="0"/>
      <w:divBdr>
        <w:top w:val="none" w:sz="0" w:space="0" w:color="auto"/>
        <w:left w:val="none" w:sz="0" w:space="0" w:color="auto"/>
        <w:bottom w:val="none" w:sz="0" w:space="0" w:color="auto"/>
        <w:right w:val="none" w:sz="0" w:space="0" w:color="auto"/>
      </w:divBdr>
    </w:div>
    <w:div w:id="1148014351">
      <w:bodyDiv w:val="1"/>
      <w:marLeft w:val="0"/>
      <w:marRight w:val="0"/>
      <w:marTop w:val="0"/>
      <w:marBottom w:val="0"/>
      <w:divBdr>
        <w:top w:val="none" w:sz="0" w:space="0" w:color="auto"/>
        <w:left w:val="none" w:sz="0" w:space="0" w:color="auto"/>
        <w:bottom w:val="none" w:sz="0" w:space="0" w:color="auto"/>
        <w:right w:val="none" w:sz="0" w:space="0" w:color="auto"/>
      </w:divBdr>
    </w:div>
    <w:div w:id="1214194976">
      <w:bodyDiv w:val="1"/>
      <w:marLeft w:val="0"/>
      <w:marRight w:val="0"/>
      <w:marTop w:val="0"/>
      <w:marBottom w:val="0"/>
      <w:divBdr>
        <w:top w:val="none" w:sz="0" w:space="0" w:color="auto"/>
        <w:left w:val="none" w:sz="0" w:space="0" w:color="auto"/>
        <w:bottom w:val="none" w:sz="0" w:space="0" w:color="auto"/>
        <w:right w:val="none" w:sz="0" w:space="0" w:color="auto"/>
      </w:divBdr>
    </w:div>
    <w:div w:id="1244604692">
      <w:bodyDiv w:val="1"/>
      <w:marLeft w:val="0"/>
      <w:marRight w:val="0"/>
      <w:marTop w:val="0"/>
      <w:marBottom w:val="0"/>
      <w:divBdr>
        <w:top w:val="none" w:sz="0" w:space="0" w:color="auto"/>
        <w:left w:val="none" w:sz="0" w:space="0" w:color="auto"/>
        <w:bottom w:val="none" w:sz="0" w:space="0" w:color="auto"/>
        <w:right w:val="none" w:sz="0" w:space="0" w:color="auto"/>
      </w:divBdr>
    </w:div>
    <w:div w:id="1319991250">
      <w:bodyDiv w:val="1"/>
      <w:marLeft w:val="0"/>
      <w:marRight w:val="0"/>
      <w:marTop w:val="0"/>
      <w:marBottom w:val="0"/>
      <w:divBdr>
        <w:top w:val="none" w:sz="0" w:space="0" w:color="auto"/>
        <w:left w:val="none" w:sz="0" w:space="0" w:color="auto"/>
        <w:bottom w:val="none" w:sz="0" w:space="0" w:color="auto"/>
        <w:right w:val="none" w:sz="0" w:space="0" w:color="auto"/>
      </w:divBdr>
    </w:div>
    <w:div w:id="1382286588">
      <w:bodyDiv w:val="1"/>
      <w:marLeft w:val="0"/>
      <w:marRight w:val="0"/>
      <w:marTop w:val="0"/>
      <w:marBottom w:val="0"/>
      <w:divBdr>
        <w:top w:val="none" w:sz="0" w:space="0" w:color="auto"/>
        <w:left w:val="none" w:sz="0" w:space="0" w:color="auto"/>
        <w:bottom w:val="none" w:sz="0" w:space="0" w:color="auto"/>
        <w:right w:val="none" w:sz="0" w:space="0" w:color="auto"/>
      </w:divBdr>
    </w:div>
    <w:div w:id="1550411050">
      <w:bodyDiv w:val="1"/>
      <w:marLeft w:val="0"/>
      <w:marRight w:val="0"/>
      <w:marTop w:val="0"/>
      <w:marBottom w:val="0"/>
      <w:divBdr>
        <w:top w:val="none" w:sz="0" w:space="0" w:color="auto"/>
        <w:left w:val="none" w:sz="0" w:space="0" w:color="auto"/>
        <w:bottom w:val="none" w:sz="0" w:space="0" w:color="auto"/>
        <w:right w:val="none" w:sz="0" w:space="0" w:color="auto"/>
      </w:divBdr>
    </w:div>
    <w:div w:id="1647468568">
      <w:bodyDiv w:val="1"/>
      <w:marLeft w:val="0"/>
      <w:marRight w:val="0"/>
      <w:marTop w:val="0"/>
      <w:marBottom w:val="0"/>
      <w:divBdr>
        <w:top w:val="none" w:sz="0" w:space="0" w:color="auto"/>
        <w:left w:val="none" w:sz="0" w:space="0" w:color="auto"/>
        <w:bottom w:val="none" w:sz="0" w:space="0" w:color="auto"/>
        <w:right w:val="none" w:sz="0" w:space="0" w:color="auto"/>
      </w:divBdr>
    </w:div>
    <w:div w:id="1660158977">
      <w:bodyDiv w:val="1"/>
      <w:marLeft w:val="0"/>
      <w:marRight w:val="0"/>
      <w:marTop w:val="0"/>
      <w:marBottom w:val="0"/>
      <w:divBdr>
        <w:top w:val="none" w:sz="0" w:space="0" w:color="auto"/>
        <w:left w:val="none" w:sz="0" w:space="0" w:color="auto"/>
        <w:bottom w:val="none" w:sz="0" w:space="0" w:color="auto"/>
        <w:right w:val="none" w:sz="0" w:space="0" w:color="auto"/>
      </w:divBdr>
    </w:div>
    <w:div w:id="1707900492">
      <w:bodyDiv w:val="1"/>
      <w:marLeft w:val="0"/>
      <w:marRight w:val="0"/>
      <w:marTop w:val="0"/>
      <w:marBottom w:val="0"/>
      <w:divBdr>
        <w:top w:val="none" w:sz="0" w:space="0" w:color="auto"/>
        <w:left w:val="none" w:sz="0" w:space="0" w:color="auto"/>
        <w:bottom w:val="none" w:sz="0" w:space="0" w:color="auto"/>
        <w:right w:val="none" w:sz="0" w:space="0" w:color="auto"/>
      </w:divBdr>
    </w:div>
    <w:div w:id="1732801802">
      <w:bodyDiv w:val="1"/>
      <w:marLeft w:val="0"/>
      <w:marRight w:val="0"/>
      <w:marTop w:val="0"/>
      <w:marBottom w:val="0"/>
      <w:divBdr>
        <w:top w:val="none" w:sz="0" w:space="0" w:color="auto"/>
        <w:left w:val="none" w:sz="0" w:space="0" w:color="auto"/>
        <w:bottom w:val="none" w:sz="0" w:space="0" w:color="auto"/>
        <w:right w:val="none" w:sz="0" w:space="0" w:color="auto"/>
      </w:divBdr>
    </w:div>
    <w:div w:id="1857377562">
      <w:bodyDiv w:val="1"/>
      <w:marLeft w:val="0"/>
      <w:marRight w:val="0"/>
      <w:marTop w:val="0"/>
      <w:marBottom w:val="0"/>
      <w:divBdr>
        <w:top w:val="none" w:sz="0" w:space="0" w:color="auto"/>
        <w:left w:val="none" w:sz="0" w:space="0" w:color="auto"/>
        <w:bottom w:val="none" w:sz="0" w:space="0" w:color="auto"/>
        <w:right w:val="none" w:sz="0" w:space="0" w:color="auto"/>
      </w:divBdr>
    </w:div>
    <w:div w:id="1879511673">
      <w:bodyDiv w:val="1"/>
      <w:marLeft w:val="0"/>
      <w:marRight w:val="0"/>
      <w:marTop w:val="0"/>
      <w:marBottom w:val="0"/>
      <w:divBdr>
        <w:top w:val="none" w:sz="0" w:space="0" w:color="auto"/>
        <w:left w:val="none" w:sz="0" w:space="0" w:color="auto"/>
        <w:bottom w:val="none" w:sz="0" w:space="0" w:color="auto"/>
        <w:right w:val="none" w:sz="0" w:space="0" w:color="auto"/>
      </w:divBdr>
    </w:div>
    <w:div w:id="1930850420">
      <w:bodyDiv w:val="1"/>
      <w:marLeft w:val="0"/>
      <w:marRight w:val="0"/>
      <w:marTop w:val="0"/>
      <w:marBottom w:val="0"/>
      <w:divBdr>
        <w:top w:val="none" w:sz="0" w:space="0" w:color="auto"/>
        <w:left w:val="none" w:sz="0" w:space="0" w:color="auto"/>
        <w:bottom w:val="none" w:sz="0" w:space="0" w:color="auto"/>
        <w:right w:val="none" w:sz="0" w:space="0" w:color="auto"/>
      </w:divBdr>
    </w:div>
    <w:div w:id="1932927398">
      <w:bodyDiv w:val="1"/>
      <w:marLeft w:val="0"/>
      <w:marRight w:val="0"/>
      <w:marTop w:val="0"/>
      <w:marBottom w:val="0"/>
      <w:divBdr>
        <w:top w:val="none" w:sz="0" w:space="0" w:color="auto"/>
        <w:left w:val="none" w:sz="0" w:space="0" w:color="auto"/>
        <w:bottom w:val="none" w:sz="0" w:space="0" w:color="auto"/>
        <w:right w:val="none" w:sz="0" w:space="0" w:color="auto"/>
      </w:divBdr>
    </w:div>
    <w:div w:id="1995333167">
      <w:bodyDiv w:val="1"/>
      <w:marLeft w:val="0"/>
      <w:marRight w:val="0"/>
      <w:marTop w:val="0"/>
      <w:marBottom w:val="0"/>
      <w:divBdr>
        <w:top w:val="none" w:sz="0" w:space="0" w:color="auto"/>
        <w:left w:val="none" w:sz="0" w:space="0" w:color="auto"/>
        <w:bottom w:val="none" w:sz="0" w:space="0" w:color="auto"/>
        <w:right w:val="none" w:sz="0" w:space="0" w:color="auto"/>
      </w:divBdr>
    </w:div>
    <w:div w:id="2066179096">
      <w:bodyDiv w:val="1"/>
      <w:marLeft w:val="0"/>
      <w:marRight w:val="0"/>
      <w:marTop w:val="0"/>
      <w:marBottom w:val="0"/>
      <w:divBdr>
        <w:top w:val="none" w:sz="0" w:space="0" w:color="auto"/>
        <w:left w:val="none" w:sz="0" w:space="0" w:color="auto"/>
        <w:bottom w:val="none" w:sz="0" w:space="0" w:color="auto"/>
        <w:right w:val="none" w:sz="0" w:space="0" w:color="auto"/>
      </w:divBdr>
    </w:div>
    <w:div w:id="2073262540">
      <w:bodyDiv w:val="1"/>
      <w:marLeft w:val="0"/>
      <w:marRight w:val="0"/>
      <w:marTop w:val="0"/>
      <w:marBottom w:val="0"/>
      <w:divBdr>
        <w:top w:val="none" w:sz="0" w:space="0" w:color="auto"/>
        <w:left w:val="none" w:sz="0" w:space="0" w:color="auto"/>
        <w:bottom w:val="none" w:sz="0" w:space="0" w:color="auto"/>
        <w:right w:val="none" w:sz="0" w:space="0" w:color="auto"/>
      </w:divBdr>
    </w:div>
    <w:div w:id="2075083636">
      <w:bodyDiv w:val="1"/>
      <w:marLeft w:val="0"/>
      <w:marRight w:val="0"/>
      <w:marTop w:val="0"/>
      <w:marBottom w:val="0"/>
      <w:divBdr>
        <w:top w:val="none" w:sz="0" w:space="0" w:color="auto"/>
        <w:left w:val="none" w:sz="0" w:space="0" w:color="auto"/>
        <w:bottom w:val="none" w:sz="0" w:space="0" w:color="auto"/>
        <w:right w:val="none" w:sz="0" w:space="0" w:color="auto"/>
      </w:divBdr>
    </w:div>
    <w:div w:id="20827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24</TotalTime>
  <Pages>4</Pages>
  <Words>895</Words>
  <Characters>5923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2020093602 mt</dc:description>
  <cp:lastModifiedBy>Hanne Thy Iversen</cp:lastModifiedBy>
  <cp:revision>12</cp:revision>
  <dcterms:created xsi:type="dcterms:W3CDTF">2022-02-17T14:10:00Z</dcterms:created>
  <dcterms:modified xsi:type="dcterms:W3CDTF">2022-02-21T12:21:00Z</dcterms:modified>
</cp:coreProperties>
</file>