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115BEA">
        <w:rPr>
          <w:b/>
          <w:sz w:val="24"/>
          <w:szCs w:val="24"/>
        </w:rPr>
        <w:t>3. maj 2019</w:t>
      </w:r>
    </w:p>
    <w:p w:rsidR="00C479BF" w:rsidRDefault="00C479BF" w:rsidP="005B0036">
      <w:pPr>
        <w:tabs>
          <w:tab w:val="left" w:pos="8222"/>
        </w:tabs>
        <w:jc w:val="center"/>
        <w:rPr>
          <w:b/>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CC3EDF" w:rsidP="005B0036">
      <w:pPr>
        <w:tabs>
          <w:tab w:val="left" w:pos="8222"/>
        </w:tabs>
        <w:jc w:val="center"/>
        <w:rPr>
          <w:b/>
          <w:sz w:val="24"/>
          <w:szCs w:val="24"/>
        </w:rPr>
      </w:pPr>
      <w:r>
        <w:rPr>
          <w:b/>
          <w:sz w:val="24"/>
          <w:szCs w:val="24"/>
        </w:rPr>
        <w:t>Sympagesic, injektionsvæske, opløsning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CC3EDF" w:rsidP="005B0036">
      <w:pPr>
        <w:tabs>
          <w:tab w:val="left" w:pos="8222"/>
        </w:tabs>
        <w:ind w:left="851"/>
        <w:rPr>
          <w:sz w:val="24"/>
          <w:szCs w:val="24"/>
        </w:rPr>
      </w:pPr>
      <w:r>
        <w:rPr>
          <w:sz w:val="24"/>
          <w:szCs w:val="24"/>
        </w:rPr>
        <w:t>31230</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CC3EDF" w:rsidP="005B0036">
      <w:pPr>
        <w:tabs>
          <w:tab w:val="left" w:pos="8222"/>
        </w:tabs>
        <w:ind w:left="851"/>
        <w:rPr>
          <w:sz w:val="24"/>
          <w:szCs w:val="24"/>
        </w:rPr>
      </w:pPr>
      <w:r>
        <w:rPr>
          <w:sz w:val="24"/>
          <w:szCs w:val="24"/>
        </w:rPr>
        <w:t>Sympagesic</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9D405F" w:rsidRDefault="009D405F" w:rsidP="009D405F">
      <w:pPr>
        <w:tabs>
          <w:tab w:val="left" w:pos="1304"/>
        </w:tabs>
        <w:ind w:left="851"/>
        <w:rPr>
          <w:sz w:val="24"/>
          <w:szCs w:val="24"/>
          <w:lang w:eastAsia="da-DK"/>
        </w:rPr>
      </w:pPr>
      <w:r>
        <w:rPr>
          <w:sz w:val="24"/>
          <w:szCs w:val="24"/>
        </w:rPr>
        <w:t>Hver ml indeholder:</w:t>
      </w:r>
    </w:p>
    <w:p w:rsidR="009D405F" w:rsidRDefault="009D405F" w:rsidP="009D405F">
      <w:pPr>
        <w:tabs>
          <w:tab w:val="left" w:pos="1304"/>
        </w:tabs>
        <w:ind w:left="851"/>
        <w:rPr>
          <w:sz w:val="24"/>
          <w:szCs w:val="24"/>
        </w:rPr>
      </w:pPr>
    </w:p>
    <w:p w:rsidR="009D405F" w:rsidRPr="009D405F" w:rsidRDefault="009D405F" w:rsidP="009D405F">
      <w:pPr>
        <w:tabs>
          <w:tab w:val="left" w:pos="1304"/>
        </w:tabs>
        <w:ind w:left="851"/>
        <w:rPr>
          <w:sz w:val="24"/>
          <w:szCs w:val="24"/>
          <w:u w:val="single"/>
        </w:rPr>
      </w:pPr>
      <w:r>
        <w:rPr>
          <w:sz w:val="24"/>
          <w:szCs w:val="24"/>
          <w:u w:val="single"/>
        </w:rPr>
        <w:t>Aktive stoffer</w:t>
      </w:r>
    </w:p>
    <w:p w:rsidR="009D405F" w:rsidRDefault="009D405F" w:rsidP="009D405F">
      <w:pPr>
        <w:tabs>
          <w:tab w:val="left" w:pos="1304"/>
          <w:tab w:val="left" w:pos="4253"/>
        </w:tabs>
        <w:ind w:left="851"/>
        <w:rPr>
          <w:sz w:val="24"/>
          <w:szCs w:val="24"/>
        </w:rPr>
      </w:pPr>
      <w:r>
        <w:rPr>
          <w:sz w:val="24"/>
          <w:szCs w:val="24"/>
        </w:rPr>
        <w:t>Metamizolnatriummonohydrat</w:t>
      </w:r>
      <w:r>
        <w:rPr>
          <w:sz w:val="24"/>
          <w:szCs w:val="24"/>
        </w:rPr>
        <w:tab/>
        <w:t>500,0 mg</w:t>
      </w:r>
    </w:p>
    <w:p w:rsidR="009D405F" w:rsidRDefault="009D405F" w:rsidP="009D405F">
      <w:pPr>
        <w:tabs>
          <w:tab w:val="left" w:pos="1304"/>
        </w:tabs>
        <w:ind w:left="851"/>
        <w:rPr>
          <w:sz w:val="24"/>
          <w:szCs w:val="24"/>
        </w:rPr>
      </w:pPr>
      <w:r>
        <w:rPr>
          <w:sz w:val="24"/>
          <w:szCs w:val="24"/>
        </w:rPr>
        <w:t>(svarende til 443 mg metamizol)</w:t>
      </w:r>
    </w:p>
    <w:p w:rsidR="009D405F" w:rsidRDefault="009D405F" w:rsidP="009D405F">
      <w:pPr>
        <w:tabs>
          <w:tab w:val="left" w:pos="1304"/>
        </w:tabs>
        <w:ind w:left="851"/>
        <w:rPr>
          <w:sz w:val="24"/>
          <w:szCs w:val="24"/>
        </w:rPr>
      </w:pPr>
    </w:p>
    <w:p w:rsidR="009D405F" w:rsidRDefault="009D405F" w:rsidP="009D405F">
      <w:pPr>
        <w:tabs>
          <w:tab w:val="left" w:pos="1304"/>
          <w:tab w:val="left" w:pos="4253"/>
        </w:tabs>
        <w:ind w:left="851"/>
        <w:rPr>
          <w:sz w:val="24"/>
          <w:szCs w:val="24"/>
        </w:rPr>
      </w:pPr>
      <w:r>
        <w:rPr>
          <w:sz w:val="24"/>
          <w:szCs w:val="24"/>
        </w:rPr>
        <w:t>Hyoscinbutylbromid</w:t>
      </w:r>
      <w:r>
        <w:rPr>
          <w:sz w:val="24"/>
          <w:szCs w:val="24"/>
        </w:rPr>
        <w:tab/>
        <w:t>4,0 mg</w:t>
      </w:r>
    </w:p>
    <w:p w:rsidR="009D405F" w:rsidRDefault="009D405F" w:rsidP="009D405F">
      <w:pPr>
        <w:tabs>
          <w:tab w:val="left" w:pos="1304"/>
        </w:tabs>
        <w:ind w:left="851"/>
        <w:rPr>
          <w:sz w:val="24"/>
          <w:szCs w:val="24"/>
        </w:rPr>
      </w:pPr>
      <w:r>
        <w:rPr>
          <w:sz w:val="24"/>
          <w:szCs w:val="24"/>
        </w:rPr>
        <w:t>(svarende til 2,76 mg hyoscin)</w:t>
      </w:r>
    </w:p>
    <w:p w:rsidR="009D405F" w:rsidRDefault="009D405F" w:rsidP="009D405F">
      <w:pPr>
        <w:tabs>
          <w:tab w:val="left" w:pos="1304"/>
        </w:tabs>
        <w:ind w:left="851"/>
        <w:rPr>
          <w:sz w:val="24"/>
          <w:szCs w:val="24"/>
        </w:rPr>
      </w:pPr>
    </w:p>
    <w:p w:rsidR="009D405F" w:rsidRPr="009D405F" w:rsidRDefault="009D405F" w:rsidP="008E59B7">
      <w:pPr>
        <w:tabs>
          <w:tab w:val="left" w:pos="1304"/>
        </w:tabs>
        <w:ind w:left="851"/>
        <w:rPr>
          <w:sz w:val="24"/>
          <w:szCs w:val="24"/>
          <w:u w:val="single"/>
        </w:rPr>
      </w:pPr>
      <w:r>
        <w:rPr>
          <w:sz w:val="24"/>
          <w:szCs w:val="24"/>
          <w:u w:val="single"/>
        </w:rPr>
        <w:t>Hjælpestof</w:t>
      </w:r>
    </w:p>
    <w:p w:rsidR="009D405F" w:rsidRDefault="008E59B7" w:rsidP="008E59B7">
      <w:pPr>
        <w:tabs>
          <w:tab w:val="left" w:pos="1304"/>
          <w:tab w:val="left" w:pos="4253"/>
        </w:tabs>
        <w:ind w:left="851"/>
        <w:rPr>
          <w:sz w:val="24"/>
          <w:szCs w:val="24"/>
        </w:rPr>
      </w:pPr>
      <w:r>
        <w:rPr>
          <w:sz w:val="24"/>
          <w:szCs w:val="24"/>
        </w:rPr>
        <w:t>Phenol</w:t>
      </w:r>
      <w:r>
        <w:rPr>
          <w:sz w:val="24"/>
          <w:szCs w:val="24"/>
        </w:rPr>
        <w:tab/>
      </w:r>
      <w:r w:rsidR="009D405F">
        <w:rPr>
          <w:sz w:val="24"/>
          <w:szCs w:val="24"/>
        </w:rPr>
        <w:t>5,0 mg</w:t>
      </w:r>
    </w:p>
    <w:p w:rsidR="009D405F" w:rsidRDefault="009D405F" w:rsidP="009D405F">
      <w:pPr>
        <w:tabs>
          <w:tab w:val="left" w:pos="1304"/>
        </w:tabs>
        <w:ind w:left="851"/>
        <w:rPr>
          <w:sz w:val="24"/>
          <w:szCs w:val="24"/>
        </w:rPr>
      </w:pPr>
    </w:p>
    <w:p w:rsidR="009D405F" w:rsidRDefault="009D405F" w:rsidP="009D405F">
      <w:pPr>
        <w:tabs>
          <w:tab w:val="left" w:pos="1304"/>
        </w:tabs>
        <w:ind w:left="851"/>
        <w:rPr>
          <w:sz w:val="24"/>
          <w:szCs w:val="24"/>
        </w:rPr>
      </w:pPr>
      <w:r>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7E0259" w:rsidRDefault="007E0259" w:rsidP="007E0259">
      <w:pPr>
        <w:ind w:left="851"/>
        <w:rPr>
          <w:sz w:val="24"/>
          <w:szCs w:val="24"/>
          <w:lang w:eastAsia="da-DK"/>
        </w:rPr>
      </w:pPr>
      <w:r>
        <w:rPr>
          <w:sz w:val="24"/>
          <w:szCs w:val="24"/>
          <w:lang w:eastAsia="da-DK"/>
        </w:rPr>
        <w:t>Injektionsvæske, opløsning</w:t>
      </w:r>
    </w:p>
    <w:p w:rsidR="007E0259" w:rsidRPr="007E0259" w:rsidRDefault="007E0259" w:rsidP="007E0259">
      <w:pPr>
        <w:ind w:left="851"/>
        <w:rPr>
          <w:sz w:val="24"/>
          <w:szCs w:val="24"/>
          <w:lang w:eastAsia="da-DK"/>
        </w:rPr>
      </w:pPr>
    </w:p>
    <w:p w:rsidR="007E0259" w:rsidRPr="007E0259" w:rsidRDefault="007E0259" w:rsidP="007E0259">
      <w:pPr>
        <w:ind w:left="851"/>
        <w:rPr>
          <w:sz w:val="24"/>
          <w:szCs w:val="24"/>
          <w:lang w:eastAsia="da-DK"/>
        </w:rPr>
      </w:pPr>
      <w:r w:rsidRPr="007E0259">
        <w:rPr>
          <w:sz w:val="24"/>
          <w:szCs w:val="24"/>
          <w:lang w:eastAsia="da-DK"/>
        </w:rPr>
        <w:t>Klar, gullig opløsning.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Default="00E7386E" w:rsidP="005B0036">
      <w:pPr>
        <w:tabs>
          <w:tab w:val="left" w:pos="8222"/>
        </w:tabs>
        <w:ind w:left="851"/>
        <w:rPr>
          <w:sz w:val="24"/>
          <w:szCs w:val="24"/>
        </w:rPr>
      </w:pPr>
      <w:r>
        <w:rPr>
          <w:sz w:val="24"/>
          <w:szCs w:val="24"/>
        </w:rPr>
        <w:t>Hest</w:t>
      </w:r>
    </w:p>
    <w:p w:rsidR="00E7386E" w:rsidRDefault="00E7386E" w:rsidP="005B0036">
      <w:pPr>
        <w:tabs>
          <w:tab w:val="left" w:pos="8222"/>
        </w:tabs>
        <w:ind w:left="851"/>
        <w:rPr>
          <w:sz w:val="24"/>
          <w:szCs w:val="24"/>
        </w:rPr>
      </w:pPr>
      <w:r>
        <w:rPr>
          <w:sz w:val="24"/>
          <w:szCs w:val="24"/>
        </w:rPr>
        <w:t>Kvæg</w:t>
      </w:r>
    </w:p>
    <w:p w:rsidR="00E7386E" w:rsidRDefault="00E7386E" w:rsidP="005B0036">
      <w:pPr>
        <w:tabs>
          <w:tab w:val="left" w:pos="8222"/>
        </w:tabs>
        <w:ind w:left="851"/>
        <w:rPr>
          <w:sz w:val="24"/>
          <w:szCs w:val="24"/>
        </w:rPr>
      </w:pPr>
      <w:r>
        <w:rPr>
          <w:sz w:val="24"/>
          <w:szCs w:val="24"/>
        </w:rPr>
        <w:t>Gris</w:t>
      </w:r>
    </w:p>
    <w:p w:rsidR="00E7386E" w:rsidRPr="00406EE7" w:rsidRDefault="00E7386E" w:rsidP="005B0036">
      <w:pPr>
        <w:tabs>
          <w:tab w:val="left" w:pos="8222"/>
        </w:tabs>
        <w:ind w:left="851"/>
        <w:rPr>
          <w:sz w:val="24"/>
          <w:szCs w:val="24"/>
        </w:rPr>
      </w:pPr>
      <w:r>
        <w:rPr>
          <w:sz w:val="24"/>
          <w:szCs w:val="24"/>
        </w:rPr>
        <w:t>Hund</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lastRenderedPageBreak/>
        <w:t>4.2</w:t>
      </w:r>
      <w:r w:rsidRPr="00406EE7">
        <w:rPr>
          <w:b/>
          <w:szCs w:val="24"/>
        </w:rPr>
        <w:tab/>
        <w:t>Terapeutiske indikationer</w:t>
      </w:r>
    </w:p>
    <w:p w:rsidR="00410704" w:rsidRDefault="00410704" w:rsidP="00410704">
      <w:pPr>
        <w:tabs>
          <w:tab w:val="left" w:pos="1304"/>
        </w:tabs>
        <w:ind w:left="851"/>
        <w:rPr>
          <w:sz w:val="24"/>
          <w:szCs w:val="24"/>
        </w:rPr>
      </w:pPr>
      <w:bookmarkStart w:id="0" w:name="_Hlk528741804"/>
    </w:p>
    <w:p w:rsidR="00410704" w:rsidRPr="00410704" w:rsidRDefault="00410704" w:rsidP="00410704">
      <w:pPr>
        <w:tabs>
          <w:tab w:val="left" w:pos="1304"/>
        </w:tabs>
        <w:ind w:left="851"/>
        <w:rPr>
          <w:sz w:val="24"/>
          <w:szCs w:val="24"/>
          <w:u w:val="single"/>
        </w:rPr>
      </w:pPr>
      <w:r w:rsidRPr="00410704">
        <w:rPr>
          <w:sz w:val="24"/>
          <w:szCs w:val="24"/>
          <w:u w:val="single"/>
        </w:rPr>
        <w:t>Hest, kvæg, gris, hund</w:t>
      </w:r>
    </w:p>
    <w:p w:rsidR="00410704" w:rsidRDefault="00410704" w:rsidP="00410704">
      <w:pPr>
        <w:tabs>
          <w:tab w:val="left" w:pos="1304"/>
        </w:tabs>
        <w:ind w:left="851"/>
        <w:rPr>
          <w:sz w:val="24"/>
          <w:szCs w:val="24"/>
          <w:lang w:eastAsia="da-DK"/>
        </w:rPr>
      </w:pPr>
      <w:r>
        <w:rPr>
          <w:sz w:val="24"/>
          <w:szCs w:val="24"/>
        </w:rPr>
        <w:t>B</w:t>
      </w:r>
      <w:bookmarkStart w:id="1" w:name="_Hlk535414880"/>
      <w:r>
        <w:rPr>
          <w:sz w:val="24"/>
          <w:szCs w:val="24"/>
        </w:rPr>
        <w:t>ehandling af glatte muskelspasmer og smerter</w:t>
      </w:r>
      <w:bookmarkEnd w:id="1"/>
      <w:r>
        <w:rPr>
          <w:sz w:val="24"/>
          <w:szCs w:val="24"/>
        </w:rPr>
        <w:t xml:space="preserve"> forbundet med underliggende sygdomme i mave-tarm-kanalen, det urogenitale system og galdeudskillende organer.</w:t>
      </w:r>
    </w:p>
    <w:p w:rsidR="00410704" w:rsidRDefault="00410704" w:rsidP="00410704">
      <w:pPr>
        <w:tabs>
          <w:tab w:val="left" w:pos="1304"/>
        </w:tabs>
        <w:ind w:left="851"/>
        <w:rPr>
          <w:sz w:val="24"/>
          <w:szCs w:val="24"/>
        </w:rPr>
      </w:pPr>
    </w:p>
    <w:p w:rsidR="00410704" w:rsidRPr="00410704" w:rsidRDefault="004F6DA5" w:rsidP="00410704">
      <w:pPr>
        <w:tabs>
          <w:tab w:val="left" w:pos="1304"/>
        </w:tabs>
        <w:ind w:left="851"/>
        <w:rPr>
          <w:sz w:val="24"/>
          <w:szCs w:val="24"/>
          <w:u w:val="single"/>
        </w:rPr>
      </w:pPr>
      <w:r>
        <w:rPr>
          <w:sz w:val="24"/>
          <w:szCs w:val="24"/>
          <w:u w:val="single"/>
        </w:rPr>
        <w:t>H</w:t>
      </w:r>
      <w:r w:rsidR="00410704" w:rsidRPr="00410704">
        <w:rPr>
          <w:sz w:val="24"/>
          <w:szCs w:val="24"/>
          <w:u w:val="single"/>
        </w:rPr>
        <w:t>est</w:t>
      </w:r>
    </w:p>
    <w:p w:rsidR="00410704" w:rsidRDefault="00410704" w:rsidP="00410704">
      <w:pPr>
        <w:tabs>
          <w:tab w:val="left" w:pos="1304"/>
        </w:tabs>
        <w:ind w:left="851"/>
        <w:rPr>
          <w:sz w:val="24"/>
          <w:szCs w:val="24"/>
        </w:rPr>
      </w:pPr>
      <w:r>
        <w:rPr>
          <w:sz w:val="24"/>
          <w:szCs w:val="24"/>
        </w:rPr>
        <w:t>Spasmodisk kolik.</w:t>
      </w:r>
    </w:p>
    <w:p w:rsidR="000E1BEF" w:rsidRDefault="000E1BEF" w:rsidP="00410704">
      <w:pPr>
        <w:tabs>
          <w:tab w:val="left" w:pos="1304"/>
        </w:tabs>
        <w:ind w:left="851"/>
        <w:rPr>
          <w:sz w:val="24"/>
          <w:szCs w:val="24"/>
        </w:rPr>
      </w:pPr>
    </w:p>
    <w:p w:rsidR="000E1BEF" w:rsidRPr="000E1BEF" w:rsidRDefault="00410704" w:rsidP="00410704">
      <w:pPr>
        <w:tabs>
          <w:tab w:val="left" w:pos="1304"/>
        </w:tabs>
        <w:ind w:left="851"/>
        <w:rPr>
          <w:sz w:val="24"/>
          <w:szCs w:val="24"/>
          <w:u w:val="single"/>
        </w:rPr>
      </w:pPr>
      <w:r w:rsidRPr="000E1BEF">
        <w:rPr>
          <w:sz w:val="24"/>
          <w:szCs w:val="24"/>
          <w:u w:val="single"/>
        </w:rPr>
        <w:t>Kvæg, gris</w:t>
      </w:r>
      <w:r w:rsidR="000E1BEF" w:rsidRPr="000E1BEF">
        <w:rPr>
          <w:sz w:val="24"/>
          <w:szCs w:val="24"/>
          <w:u w:val="single"/>
        </w:rPr>
        <w:t>, hund</w:t>
      </w:r>
    </w:p>
    <w:p w:rsidR="00410704" w:rsidRDefault="00410704" w:rsidP="00410704">
      <w:pPr>
        <w:tabs>
          <w:tab w:val="left" w:pos="1304"/>
        </w:tabs>
        <w:ind w:left="851"/>
        <w:rPr>
          <w:sz w:val="24"/>
          <w:szCs w:val="24"/>
        </w:rPr>
      </w:pPr>
      <w:r>
        <w:rPr>
          <w:sz w:val="24"/>
          <w:szCs w:val="24"/>
        </w:rPr>
        <w:t>Støttebehandling mod akut diarré og gastroenteritis.</w:t>
      </w:r>
      <w:bookmarkEnd w:id="0"/>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EB2547" w:rsidRDefault="00EB2547" w:rsidP="00EB2547">
      <w:pPr>
        <w:tabs>
          <w:tab w:val="left" w:pos="1304"/>
        </w:tabs>
        <w:ind w:left="851"/>
        <w:rPr>
          <w:sz w:val="24"/>
          <w:szCs w:val="24"/>
          <w:lang w:eastAsia="da-DK"/>
        </w:rPr>
      </w:pPr>
      <w:r>
        <w:rPr>
          <w:sz w:val="24"/>
          <w:szCs w:val="24"/>
        </w:rPr>
        <w:t>Bør ikke anvendes i tilfælde af overfølsomhed over for de aktive stoffer eller over for et eller flere af hjælpestofferne.</w:t>
      </w:r>
    </w:p>
    <w:p w:rsidR="00EB2547" w:rsidRDefault="00EB2547" w:rsidP="00EB2547">
      <w:pPr>
        <w:tabs>
          <w:tab w:val="left" w:pos="1304"/>
        </w:tabs>
        <w:ind w:left="851"/>
        <w:rPr>
          <w:sz w:val="24"/>
          <w:szCs w:val="24"/>
        </w:rPr>
      </w:pPr>
    </w:p>
    <w:p w:rsidR="00EB2547" w:rsidRPr="00EB2547" w:rsidRDefault="00EB2547" w:rsidP="00EB2547">
      <w:pPr>
        <w:tabs>
          <w:tab w:val="left" w:pos="1304"/>
        </w:tabs>
        <w:ind w:left="851"/>
        <w:rPr>
          <w:sz w:val="24"/>
          <w:szCs w:val="24"/>
          <w:u w:val="single"/>
        </w:rPr>
      </w:pPr>
      <w:r>
        <w:rPr>
          <w:sz w:val="24"/>
          <w:szCs w:val="24"/>
          <w:u w:val="single"/>
        </w:rPr>
        <w:t>Bør ikke anvendes i tilfælde af</w:t>
      </w:r>
    </w:p>
    <w:p w:rsidR="00EB2547" w:rsidRDefault="00EB2547" w:rsidP="00EB2547">
      <w:pPr>
        <w:tabs>
          <w:tab w:val="left" w:pos="1304"/>
        </w:tabs>
        <w:ind w:left="851"/>
        <w:rPr>
          <w:sz w:val="24"/>
          <w:szCs w:val="24"/>
        </w:rPr>
      </w:pPr>
      <w:r>
        <w:rPr>
          <w:sz w:val="24"/>
          <w:szCs w:val="24"/>
        </w:rPr>
        <w:t>- mave-tarm-ulcus</w:t>
      </w:r>
    </w:p>
    <w:p w:rsidR="00EB2547" w:rsidRDefault="00EB2547" w:rsidP="00EB2547">
      <w:pPr>
        <w:tabs>
          <w:tab w:val="left" w:pos="1304"/>
        </w:tabs>
        <w:ind w:left="851"/>
        <w:rPr>
          <w:sz w:val="24"/>
          <w:szCs w:val="24"/>
        </w:rPr>
      </w:pPr>
      <w:r>
        <w:rPr>
          <w:sz w:val="24"/>
          <w:szCs w:val="24"/>
        </w:rPr>
        <w:t>- kroniske mave-tarmsygdomme</w:t>
      </w:r>
    </w:p>
    <w:p w:rsidR="00EB2547" w:rsidRDefault="00EB2547" w:rsidP="00EB2547">
      <w:pPr>
        <w:tabs>
          <w:tab w:val="left" w:pos="1304"/>
        </w:tabs>
        <w:ind w:left="851"/>
        <w:rPr>
          <w:sz w:val="24"/>
          <w:szCs w:val="24"/>
        </w:rPr>
      </w:pPr>
      <w:r>
        <w:rPr>
          <w:sz w:val="24"/>
          <w:szCs w:val="24"/>
        </w:rPr>
        <w:t>- mekanisk obstruktion i mave-tarm-systemet</w:t>
      </w:r>
    </w:p>
    <w:p w:rsidR="00EB2547" w:rsidRDefault="00EB2547" w:rsidP="00EB2547">
      <w:pPr>
        <w:tabs>
          <w:tab w:val="left" w:pos="1304"/>
        </w:tabs>
        <w:ind w:left="851"/>
        <w:rPr>
          <w:sz w:val="24"/>
          <w:szCs w:val="24"/>
        </w:rPr>
      </w:pPr>
      <w:r>
        <w:rPr>
          <w:sz w:val="24"/>
          <w:szCs w:val="24"/>
        </w:rPr>
        <w:t xml:space="preserve">- paralytisk ileus </w:t>
      </w:r>
    </w:p>
    <w:p w:rsidR="00EB2547" w:rsidRDefault="00EB2547" w:rsidP="00EB2547">
      <w:pPr>
        <w:tabs>
          <w:tab w:val="left" w:pos="1304"/>
        </w:tabs>
        <w:ind w:left="851"/>
        <w:rPr>
          <w:sz w:val="24"/>
          <w:szCs w:val="24"/>
        </w:rPr>
      </w:pPr>
      <w:r>
        <w:rPr>
          <w:sz w:val="24"/>
          <w:szCs w:val="24"/>
        </w:rPr>
        <w:t>- sygdomme i det hæmatopoietiske system</w:t>
      </w:r>
    </w:p>
    <w:p w:rsidR="00EB2547" w:rsidRDefault="00EB2547" w:rsidP="00EB2547">
      <w:pPr>
        <w:tabs>
          <w:tab w:val="left" w:pos="1304"/>
        </w:tabs>
        <w:ind w:left="851"/>
        <w:rPr>
          <w:sz w:val="24"/>
          <w:szCs w:val="24"/>
        </w:rPr>
      </w:pPr>
      <w:r>
        <w:rPr>
          <w:sz w:val="24"/>
          <w:szCs w:val="24"/>
        </w:rPr>
        <w:t>- koagulopatier</w:t>
      </w:r>
    </w:p>
    <w:p w:rsidR="00EB2547" w:rsidRDefault="00EB2547" w:rsidP="00EB2547">
      <w:pPr>
        <w:tabs>
          <w:tab w:val="left" w:pos="1304"/>
        </w:tabs>
        <w:ind w:left="851"/>
        <w:rPr>
          <w:sz w:val="24"/>
          <w:szCs w:val="24"/>
        </w:rPr>
      </w:pPr>
      <w:r>
        <w:rPr>
          <w:sz w:val="24"/>
          <w:szCs w:val="24"/>
        </w:rPr>
        <w:t>- nedsat nyrefunktion</w:t>
      </w:r>
    </w:p>
    <w:p w:rsidR="00EB2547" w:rsidRDefault="00EB2547" w:rsidP="00EB2547">
      <w:pPr>
        <w:tabs>
          <w:tab w:val="left" w:pos="1304"/>
        </w:tabs>
        <w:ind w:left="851"/>
        <w:rPr>
          <w:sz w:val="24"/>
          <w:szCs w:val="24"/>
        </w:rPr>
      </w:pPr>
      <w:r>
        <w:rPr>
          <w:sz w:val="24"/>
          <w:szCs w:val="24"/>
        </w:rPr>
        <w:t>- takyarytmi</w:t>
      </w:r>
    </w:p>
    <w:p w:rsidR="00EB2547" w:rsidRDefault="00EB2547" w:rsidP="00EB2547">
      <w:pPr>
        <w:tabs>
          <w:tab w:val="left" w:pos="1304"/>
        </w:tabs>
        <w:ind w:left="851"/>
        <w:rPr>
          <w:sz w:val="24"/>
          <w:szCs w:val="24"/>
        </w:rPr>
      </w:pPr>
      <w:r>
        <w:rPr>
          <w:sz w:val="24"/>
          <w:szCs w:val="24"/>
        </w:rPr>
        <w:t>- glaukom</w:t>
      </w:r>
    </w:p>
    <w:p w:rsidR="00EB2547" w:rsidRDefault="00EB2547" w:rsidP="00EB2547">
      <w:pPr>
        <w:tabs>
          <w:tab w:val="left" w:pos="1304"/>
        </w:tabs>
        <w:ind w:left="851"/>
        <w:rPr>
          <w:sz w:val="24"/>
          <w:szCs w:val="24"/>
        </w:rPr>
      </w:pPr>
      <w:r>
        <w:rPr>
          <w:sz w:val="24"/>
          <w:szCs w:val="24"/>
        </w:rPr>
        <w:t>- prostataadenom.</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5B0036" w:rsidRPr="00406EE7" w:rsidRDefault="003B2226" w:rsidP="005B0036">
      <w:pPr>
        <w:tabs>
          <w:tab w:val="left" w:pos="851"/>
          <w:tab w:val="left" w:pos="8222"/>
        </w:tabs>
        <w:ind w:left="851"/>
        <w:rPr>
          <w:sz w:val="24"/>
          <w:szCs w:val="24"/>
        </w:rPr>
      </w:pPr>
      <w:r>
        <w:rPr>
          <w:sz w:val="24"/>
          <w:szCs w:val="24"/>
        </w:rPr>
        <w:t>Ingen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4F6DA5" w:rsidRDefault="004F6DA5" w:rsidP="004F6DA5">
      <w:pPr>
        <w:tabs>
          <w:tab w:val="left" w:pos="1304"/>
        </w:tabs>
        <w:ind w:left="851"/>
        <w:rPr>
          <w:sz w:val="24"/>
          <w:szCs w:val="24"/>
          <w:lang w:eastAsia="da-DK"/>
        </w:rPr>
      </w:pPr>
      <w:r>
        <w:rPr>
          <w:sz w:val="24"/>
          <w:szCs w:val="24"/>
        </w:rPr>
        <w:t>På grund af risikoen for anafylaktisk shock, skal opløsninger indeholdende metamizol administreres langsomt, når de gives intravenøst.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4F6DA5" w:rsidRDefault="004F6DA5" w:rsidP="004F6DA5">
      <w:pPr>
        <w:tabs>
          <w:tab w:val="left" w:pos="1304"/>
        </w:tabs>
        <w:ind w:left="851"/>
        <w:rPr>
          <w:sz w:val="24"/>
          <w:szCs w:val="24"/>
          <w:lang w:eastAsia="da-DK"/>
        </w:rPr>
      </w:pPr>
      <w:r>
        <w:rPr>
          <w:sz w:val="24"/>
          <w:szCs w:val="24"/>
        </w:rPr>
        <w:t>Hos et meget lille antal personer, kan metamizol forårsage reversibel, men potentielt alvorlig agranulocytose og andre reaktioner, såsom hudallergi. Vær forsigtig, så selvinjektion undgås.</w:t>
      </w:r>
    </w:p>
    <w:p w:rsidR="004F6DA5" w:rsidRDefault="004F6DA5" w:rsidP="004F6DA5">
      <w:pPr>
        <w:tabs>
          <w:tab w:val="left" w:pos="1304"/>
        </w:tabs>
        <w:ind w:left="851"/>
        <w:rPr>
          <w:sz w:val="24"/>
          <w:szCs w:val="24"/>
        </w:rPr>
      </w:pPr>
      <w:r>
        <w:rPr>
          <w:sz w:val="24"/>
          <w:szCs w:val="24"/>
        </w:rPr>
        <w:t>I tilfælde af selvinjektion ved hændeligt uheld skal der straks søges lægehjælp, og indlægssedlen eller etiketten bør vises til lægen.</w:t>
      </w:r>
    </w:p>
    <w:p w:rsidR="00A850DB" w:rsidRDefault="00A850DB" w:rsidP="004F6DA5">
      <w:pPr>
        <w:tabs>
          <w:tab w:val="left" w:pos="1304"/>
        </w:tabs>
        <w:ind w:left="851"/>
        <w:rPr>
          <w:sz w:val="24"/>
          <w:szCs w:val="24"/>
        </w:rPr>
      </w:pPr>
      <w:r>
        <w:rPr>
          <w:sz w:val="24"/>
          <w:szCs w:val="24"/>
        </w:rPr>
        <w:t>Undgå hud- og øjenkontakt.</w:t>
      </w:r>
    </w:p>
    <w:p w:rsidR="004F6DA5" w:rsidRDefault="004F6DA5" w:rsidP="004F6DA5">
      <w:pPr>
        <w:tabs>
          <w:tab w:val="left" w:pos="1304"/>
        </w:tabs>
        <w:ind w:left="851"/>
        <w:rPr>
          <w:sz w:val="24"/>
          <w:szCs w:val="24"/>
        </w:rPr>
      </w:pPr>
      <w:r>
        <w:rPr>
          <w:sz w:val="24"/>
          <w:szCs w:val="24"/>
        </w:rPr>
        <w:t>Ved overfølsomhed over for metamizol eller hyoscinbutylbromid bør kontakt med lægemidlet undgås. Undgå at anvende præparatet, hvis det er kendt, at du er følsom over for pyrazoloner, eller du er følsom over for acetylsalicylsyre.</w:t>
      </w:r>
    </w:p>
    <w:p w:rsidR="004F6DA5" w:rsidRDefault="004F6DA5" w:rsidP="004F6DA5">
      <w:pPr>
        <w:tabs>
          <w:tab w:val="left" w:pos="1304"/>
        </w:tabs>
        <w:ind w:left="851"/>
        <w:rPr>
          <w:sz w:val="24"/>
          <w:szCs w:val="24"/>
        </w:rPr>
      </w:pPr>
      <w:r>
        <w:rPr>
          <w:sz w:val="24"/>
          <w:szCs w:val="24"/>
        </w:rPr>
        <w:t>Vask straks stænk væk fra hud og øjne.</w:t>
      </w:r>
    </w:p>
    <w:p w:rsidR="00A850DB" w:rsidRDefault="00A850DB">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A850DB" w:rsidRDefault="00A850DB" w:rsidP="00A850DB">
      <w:pPr>
        <w:tabs>
          <w:tab w:val="left" w:pos="1304"/>
        </w:tabs>
        <w:ind w:left="851"/>
        <w:rPr>
          <w:sz w:val="24"/>
          <w:szCs w:val="24"/>
          <w:lang w:eastAsia="da-DK"/>
        </w:rPr>
      </w:pPr>
      <w:bookmarkStart w:id="2" w:name="_Hlk528572572"/>
      <w:r>
        <w:rPr>
          <w:sz w:val="24"/>
          <w:szCs w:val="24"/>
        </w:rPr>
        <w:t>I meget sjældne tilfælde kan der opstå anafylaktiske reaktioner, og de skal behandles symptomatisk.</w:t>
      </w:r>
    </w:p>
    <w:p w:rsidR="00A850DB" w:rsidRDefault="00A850DB" w:rsidP="00A850DB">
      <w:pPr>
        <w:tabs>
          <w:tab w:val="left" w:pos="1304"/>
        </w:tabs>
        <w:ind w:left="851"/>
        <w:rPr>
          <w:sz w:val="24"/>
          <w:szCs w:val="24"/>
        </w:rPr>
      </w:pPr>
      <w:r>
        <w:rPr>
          <w:sz w:val="24"/>
          <w:szCs w:val="24"/>
        </w:rPr>
        <w:t>I meget sjældne tilfælde kan der opstå kardiovaskulært shock, hvis den intravenøse injektion administreres for hurtigt.</w:t>
      </w:r>
    </w:p>
    <w:p w:rsidR="00A850DB" w:rsidRDefault="00A850DB" w:rsidP="00A850DB">
      <w:pPr>
        <w:tabs>
          <w:tab w:val="left" w:pos="1304"/>
        </w:tabs>
        <w:ind w:left="851"/>
        <w:rPr>
          <w:sz w:val="24"/>
          <w:szCs w:val="24"/>
        </w:rPr>
      </w:pPr>
      <w:r>
        <w:rPr>
          <w:sz w:val="24"/>
          <w:szCs w:val="24"/>
        </w:rPr>
        <w:t>Hos heste kan der lejlighedsvist observeres let takykardi på grund af den parasympatolytiske aktivitet af hyoscinbutylbromid.</w:t>
      </w:r>
    </w:p>
    <w:p w:rsidR="00A850DB" w:rsidRDefault="00A850DB" w:rsidP="00A850DB">
      <w:pPr>
        <w:tabs>
          <w:tab w:val="left" w:pos="1304"/>
        </w:tabs>
        <w:ind w:left="851"/>
        <w:rPr>
          <w:sz w:val="24"/>
          <w:szCs w:val="24"/>
        </w:rPr>
      </w:pPr>
      <w:bookmarkStart w:id="3" w:name="_Hlk528741891"/>
      <w:r>
        <w:rPr>
          <w:sz w:val="24"/>
          <w:szCs w:val="24"/>
        </w:rPr>
        <w:t>Hos hunde kan der opstå smertefulde reaktioner på injektionsstedet umiddelbart efter injektion, hvilket fortager sig hurtigt, og ikke har nogen negativ virkning på den forventede terapeutiske fordel.</w:t>
      </w:r>
    </w:p>
    <w:bookmarkEnd w:id="3"/>
    <w:p w:rsidR="00A850DB" w:rsidRDefault="00A850DB" w:rsidP="00A850DB">
      <w:pPr>
        <w:tabs>
          <w:tab w:val="left" w:pos="1304"/>
        </w:tabs>
        <w:ind w:left="851"/>
        <w:rPr>
          <w:sz w:val="24"/>
          <w:szCs w:val="24"/>
        </w:rPr>
      </w:pPr>
    </w:p>
    <w:p w:rsidR="00A850DB" w:rsidRPr="006D73F3" w:rsidRDefault="00A850DB" w:rsidP="00A850DB">
      <w:pPr>
        <w:keepNext/>
        <w:ind w:left="851"/>
        <w:rPr>
          <w:sz w:val="24"/>
          <w:szCs w:val="24"/>
          <w:u w:val="single"/>
        </w:rPr>
      </w:pPr>
      <w:r w:rsidRPr="006D73F3">
        <w:rPr>
          <w:sz w:val="24"/>
          <w:szCs w:val="24"/>
          <w:u w:val="single"/>
        </w:rPr>
        <w:t>Hyppigheden af bivirkninger er defineret som:</w:t>
      </w:r>
    </w:p>
    <w:p w:rsidR="00A850DB" w:rsidRDefault="006D73F3" w:rsidP="006D73F3">
      <w:pPr>
        <w:tabs>
          <w:tab w:val="left" w:pos="1134"/>
        </w:tabs>
        <w:ind w:left="1134" w:hanging="283"/>
        <w:rPr>
          <w:sz w:val="24"/>
          <w:szCs w:val="24"/>
        </w:rPr>
      </w:pPr>
      <w:r>
        <w:rPr>
          <w:sz w:val="24"/>
          <w:szCs w:val="24"/>
        </w:rPr>
        <w:t>-</w:t>
      </w:r>
      <w:r>
        <w:rPr>
          <w:sz w:val="24"/>
          <w:szCs w:val="24"/>
        </w:rPr>
        <w:tab/>
      </w:r>
      <w:r w:rsidR="00A850DB">
        <w:rPr>
          <w:sz w:val="24"/>
          <w:szCs w:val="24"/>
        </w:rPr>
        <w:t>Meget almindelig (flere end 1 ud af 10 behandlede dyr, der viser bivirkninger i løbet af en behandling)</w:t>
      </w:r>
    </w:p>
    <w:p w:rsidR="00A850DB" w:rsidRDefault="006D73F3" w:rsidP="006D73F3">
      <w:pPr>
        <w:tabs>
          <w:tab w:val="left" w:pos="1134"/>
        </w:tabs>
        <w:ind w:left="1134" w:hanging="283"/>
        <w:rPr>
          <w:sz w:val="24"/>
          <w:szCs w:val="24"/>
        </w:rPr>
      </w:pPr>
      <w:r>
        <w:rPr>
          <w:sz w:val="24"/>
          <w:szCs w:val="24"/>
        </w:rPr>
        <w:t>-</w:t>
      </w:r>
      <w:r>
        <w:rPr>
          <w:sz w:val="24"/>
          <w:szCs w:val="24"/>
        </w:rPr>
        <w:tab/>
      </w:r>
      <w:r w:rsidR="00A850DB">
        <w:rPr>
          <w:sz w:val="24"/>
          <w:szCs w:val="24"/>
        </w:rPr>
        <w:t>Almindelige (flere end 1, men færre end 10 dyr af 100 behandlede dyr)</w:t>
      </w:r>
    </w:p>
    <w:p w:rsidR="00A850DB" w:rsidRDefault="006D73F3" w:rsidP="006D73F3">
      <w:pPr>
        <w:tabs>
          <w:tab w:val="left" w:pos="1134"/>
        </w:tabs>
        <w:ind w:left="1134" w:hanging="283"/>
        <w:rPr>
          <w:sz w:val="24"/>
          <w:szCs w:val="24"/>
        </w:rPr>
      </w:pPr>
      <w:r>
        <w:rPr>
          <w:sz w:val="24"/>
          <w:szCs w:val="24"/>
        </w:rPr>
        <w:t>-</w:t>
      </w:r>
      <w:r>
        <w:rPr>
          <w:sz w:val="24"/>
          <w:szCs w:val="24"/>
        </w:rPr>
        <w:tab/>
      </w:r>
      <w:r w:rsidR="00A850DB">
        <w:rPr>
          <w:sz w:val="24"/>
          <w:szCs w:val="24"/>
        </w:rPr>
        <w:t>Ikke almindelige (flere end 1, men færre end 10 dyr af 1.000 behandlede dyr)</w:t>
      </w:r>
    </w:p>
    <w:p w:rsidR="00A850DB" w:rsidRDefault="00A850DB" w:rsidP="006D73F3">
      <w:pPr>
        <w:tabs>
          <w:tab w:val="left" w:pos="1134"/>
        </w:tabs>
        <w:ind w:left="1134" w:hanging="283"/>
        <w:rPr>
          <w:sz w:val="24"/>
          <w:szCs w:val="24"/>
        </w:rPr>
      </w:pPr>
      <w:r>
        <w:rPr>
          <w:sz w:val="24"/>
          <w:szCs w:val="24"/>
        </w:rPr>
        <w:t>-</w:t>
      </w:r>
      <w:r w:rsidR="006D73F3">
        <w:rPr>
          <w:sz w:val="24"/>
          <w:szCs w:val="24"/>
        </w:rPr>
        <w:tab/>
      </w:r>
      <w:r>
        <w:rPr>
          <w:sz w:val="24"/>
          <w:szCs w:val="24"/>
        </w:rPr>
        <w:t>Sjældne (flere end 1, men færre end 10 dyr ud af 10.000 behandlede dyr)</w:t>
      </w:r>
    </w:p>
    <w:p w:rsidR="00A850DB" w:rsidRDefault="00A850DB" w:rsidP="006D73F3">
      <w:pPr>
        <w:tabs>
          <w:tab w:val="left" w:pos="1134"/>
        </w:tabs>
        <w:ind w:left="1134" w:hanging="283"/>
        <w:rPr>
          <w:sz w:val="24"/>
          <w:szCs w:val="24"/>
        </w:rPr>
      </w:pPr>
      <w:r>
        <w:rPr>
          <w:sz w:val="24"/>
          <w:szCs w:val="24"/>
        </w:rPr>
        <w:t>-</w:t>
      </w:r>
      <w:r w:rsidR="006D73F3">
        <w:rPr>
          <w:sz w:val="24"/>
          <w:szCs w:val="24"/>
        </w:rPr>
        <w:tab/>
      </w:r>
      <w:r>
        <w:rPr>
          <w:sz w:val="24"/>
          <w:szCs w:val="24"/>
        </w:rPr>
        <w:t>Meget sjælden (færre end 1 dyr ud af 10.000 behandlede dyr, herunder isolerede rapporter)</w:t>
      </w:r>
      <w:bookmarkEnd w:id="2"/>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433C2F" w:rsidRDefault="00433C2F" w:rsidP="00433C2F">
      <w:pPr>
        <w:tabs>
          <w:tab w:val="left" w:pos="1304"/>
        </w:tabs>
        <w:ind w:left="851"/>
        <w:rPr>
          <w:sz w:val="24"/>
          <w:szCs w:val="24"/>
        </w:rPr>
      </w:pPr>
      <w:bookmarkStart w:id="4" w:name="_Hlk528741944"/>
      <w:r>
        <w:rPr>
          <w:sz w:val="24"/>
          <w:szCs w:val="24"/>
        </w:rPr>
        <w:t>Studier med laboratoriedyr (kaniner, rotter) har ikke givet evidens for en teratogen virkning. Der foreligger ingen oplysninger om anvendelsen under drægtighed hos målarten. Metabolitterne af metamizol krydser placenta og udskilles i mælken. Derfor bør dette præparat kun anvendes i overensstemmelse med en vurdering af benefit/risk-forholdet af den ansvarlige dyrlæge.</w:t>
      </w:r>
      <w:bookmarkEnd w:id="4"/>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433C2F" w:rsidRDefault="00433C2F" w:rsidP="00433C2F">
      <w:pPr>
        <w:tabs>
          <w:tab w:val="left" w:pos="1304"/>
        </w:tabs>
        <w:ind w:left="851"/>
        <w:rPr>
          <w:sz w:val="24"/>
          <w:szCs w:val="24"/>
          <w:lang w:eastAsia="da-DK"/>
        </w:rPr>
      </w:pPr>
      <w:bookmarkStart w:id="5" w:name="_Hlk528741991"/>
      <w:r>
        <w:rPr>
          <w:sz w:val="24"/>
          <w:szCs w:val="24"/>
        </w:rPr>
        <w:t>Virkningen af metamizol og/eller hyoscinbutylbromid kan potenseres af samtidig anvendelse af andre antikolinerge eller analgetiske stoffer.</w:t>
      </w:r>
    </w:p>
    <w:p w:rsidR="00433C2F" w:rsidRDefault="00433C2F" w:rsidP="00433C2F">
      <w:pPr>
        <w:tabs>
          <w:tab w:val="left" w:pos="1304"/>
        </w:tabs>
        <w:ind w:left="851"/>
        <w:rPr>
          <w:sz w:val="24"/>
          <w:szCs w:val="24"/>
        </w:rPr>
      </w:pPr>
      <w:r>
        <w:rPr>
          <w:sz w:val="24"/>
          <w:szCs w:val="24"/>
        </w:rPr>
        <w:t>Samtidig anvendelse af induktorer af hepatiske mikrosomale enzymer (f.eks. barbiturater, phenylbutazon) nedsætter halveringstiden og dermed hvor længe, metamizol virker. Samtidig administration af neuroleptika, især phenothiazinderivater, kan føre til svær hypotermi. Desuden er risikoen for mave-tarmblødning forhøjet ved samtidig anvendelse af glukokortikoider. Den diuretiske virkning af furosemid er nedsat.</w:t>
      </w:r>
    </w:p>
    <w:p w:rsidR="00433C2F" w:rsidRDefault="00433C2F" w:rsidP="00433C2F">
      <w:pPr>
        <w:tabs>
          <w:tab w:val="left" w:pos="1304"/>
        </w:tabs>
        <w:ind w:left="851"/>
        <w:rPr>
          <w:sz w:val="24"/>
          <w:szCs w:val="24"/>
        </w:rPr>
      </w:pPr>
      <w:r>
        <w:rPr>
          <w:sz w:val="24"/>
          <w:szCs w:val="24"/>
        </w:rPr>
        <w:t>Samtidig administration af andre svage analgetika øger virkningerne og bivirkningerne ved metamizol.</w:t>
      </w:r>
    </w:p>
    <w:p w:rsidR="00433C2F" w:rsidRDefault="00433C2F" w:rsidP="00433C2F">
      <w:pPr>
        <w:tabs>
          <w:tab w:val="left" w:pos="1304"/>
        </w:tabs>
        <w:ind w:left="851"/>
        <w:rPr>
          <w:sz w:val="24"/>
          <w:szCs w:val="24"/>
        </w:rPr>
      </w:pPr>
      <w:r>
        <w:rPr>
          <w:sz w:val="24"/>
          <w:szCs w:val="24"/>
        </w:rPr>
        <w:t>Den anticholinerge virkning af quinidin og antihistaminer samt takykardi-virkningerne af β</w:t>
      </w:r>
      <w:r>
        <w:rPr>
          <w:sz w:val="24"/>
          <w:szCs w:val="24"/>
        </w:rPr>
        <w:noBreakHyphen/>
        <w:t>sympatomimetika kan være forstærket af dette veterinærlægemiddel.</w:t>
      </w:r>
      <w:bookmarkEnd w:id="5"/>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C24058" w:rsidRDefault="00C24058" w:rsidP="00C24058">
      <w:pPr>
        <w:tabs>
          <w:tab w:val="left" w:pos="1304"/>
        </w:tabs>
        <w:ind w:left="851"/>
        <w:rPr>
          <w:sz w:val="24"/>
          <w:szCs w:val="24"/>
        </w:rPr>
      </w:pPr>
      <w:bookmarkStart w:id="6" w:name="_Hlk535414965"/>
      <w:bookmarkStart w:id="7" w:name="_Hlk528742219"/>
      <w:bookmarkStart w:id="8" w:name="_Hlk509905604"/>
    </w:p>
    <w:p w:rsidR="00C24058" w:rsidRPr="00C24058" w:rsidRDefault="00C24058" w:rsidP="00C24058">
      <w:pPr>
        <w:tabs>
          <w:tab w:val="left" w:pos="1304"/>
        </w:tabs>
        <w:ind w:left="851"/>
        <w:rPr>
          <w:sz w:val="24"/>
          <w:szCs w:val="24"/>
          <w:u w:val="single"/>
        </w:rPr>
      </w:pPr>
      <w:r w:rsidRPr="00C24058">
        <w:rPr>
          <w:sz w:val="24"/>
          <w:szCs w:val="24"/>
          <w:u w:val="single"/>
        </w:rPr>
        <w:t>Hest</w:t>
      </w:r>
    </w:p>
    <w:p w:rsidR="00C24058" w:rsidRDefault="00C24058" w:rsidP="00C24058">
      <w:pPr>
        <w:tabs>
          <w:tab w:val="left" w:pos="1304"/>
        </w:tabs>
        <w:ind w:left="851"/>
        <w:rPr>
          <w:sz w:val="24"/>
          <w:szCs w:val="24"/>
          <w:lang w:eastAsia="da-DK"/>
        </w:rPr>
      </w:pPr>
      <w:r>
        <w:rPr>
          <w:sz w:val="24"/>
          <w:szCs w:val="24"/>
        </w:rPr>
        <w:t>Langsom, intravenøs anvendelse</w:t>
      </w:r>
    </w:p>
    <w:p w:rsidR="008608C2" w:rsidRDefault="008608C2" w:rsidP="008608C2">
      <w:pPr>
        <w:tabs>
          <w:tab w:val="left" w:pos="1304"/>
        </w:tabs>
        <w:ind w:left="851"/>
        <w:rPr>
          <w:sz w:val="24"/>
          <w:szCs w:val="24"/>
        </w:rPr>
      </w:pPr>
    </w:p>
    <w:p w:rsidR="008608C2" w:rsidRPr="008608C2" w:rsidRDefault="008608C2" w:rsidP="008608C2">
      <w:pPr>
        <w:tabs>
          <w:tab w:val="left" w:pos="1304"/>
        </w:tabs>
        <w:ind w:left="851"/>
        <w:rPr>
          <w:sz w:val="24"/>
          <w:szCs w:val="24"/>
          <w:u w:val="single"/>
        </w:rPr>
      </w:pPr>
      <w:r w:rsidRPr="008608C2">
        <w:rPr>
          <w:sz w:val="24"/>
          <w:szCs w:val="24"/>
          <w:u w:val="single"/>
        </w:rPr>
        <w:t>Kvæg</w:t>
      </w:r>
    </w:p>
    <w:p w:rsidR="008608C2" w:rsidRDefault="008608C2" w:rsidP="008608C2">
      <w:pPr>
        <w:tabs>
          <w:tab w:val="left" w:pos="1304"/>
        </w:tabs>
        <w:ind w:left="851"/>
        <w:rPr>
          <w:sz w:val="24"/>
          <w:szCs w:val="24"/>
        </w:rPr>
      </w:pPr>
      <w:r>
        <w:rPr>
          <w:sz w:val="24"/>
          <w:szCs w:val="24"/>
        </w:rPr>
        <w:t>Langsom, intravenøs anvendelse eller intramuskulær anvendelse</w:t>
      </w:r>
      <w:r w:rsidR="005521EB">
        <w:rPr>
          <w:sz w:val="24"/>
          <w:szCs w:val="24"/>
        </w:rPr>
        <w:t>.</w:t>
      </w:r>
    </w:p>
    <w:p w:rsidR="008608C2" w:rsidRDefault="005521EB" w:rsidP="008608C2">
      <w:pPr>
        <w:tabs>
          <w:tab w:val="left" w:pos="1304"/>
        </w:tabs>
        <w:ind w:left="851"/>
        <w:rPr>
          <w:sz w:val="24"/>
          <w:szCs w:val="24"/>
        </w:rPr>
      </w:pPr>
      <w:r>
        <w:rPr>
          <w:sz w:val="24"/>
          <w:szCs w:val="24"/>
        </w:rPr>
        <w:t>Op til to gange daglig</w:t>
      </w:r>
      <w:r w:rsidR="008608C2">
        <w:rPr>
          <w:sz w:val="24"/>
          <w:szCs w:val="24"/>
        </w:rPr>
        <w:t xml:space="preserve"> i 3 dage, 20</w:t>
      </w:r>
      <w:r>
        <w:rPr>
          <w:sz w:val="24"/>
          <w:szCs w:val="24"/>
        </w:rPr>
        <w:t>-</w:t>
      </w:r>
      <w:r w:rsidR="008608C2">
        <w:rPr>
          <w:sz w:val="24"/>
          <w:szCs w:val="24"/>
        </w:rPr>
        <w:t>25 mg metamizolnatriummonohydrat/kg legemsvægt og 0,16</w:t>
      </w:r>
      <w:r w:rsidR="008608C2">
        <w:rPr>
          <w:sz w:val="24"/>
          <w:szCs w:val="24"/>
        </w:rPr>
        <w:noBreakHyphen/>
        <w:t>0,2 mg hyoscinbutylbromid/kg legemsvægt, dvs. 4</w:t>
      </w:r>
      <w:r>
        <w:rPr>
          <w:sz w:val="24"/>
          <w:szCs w:val="24"/>
        </w:rPr>
        <w:t>-5 ml pr. 100 kg to gange daglig</w:t>
      </w:r>
      <w:r w:rsidR="008608C2">
        <w:rPr>
          <w:sz w:val="24"/>
          <w:szCs w:val="24"/>
        </w:rPr>
        <w:t xml:space="preserve"> i op til 3 dage.</w:t>
      </w:r>
    </w:p>
    <w:p w:rsidR="00C24058" w:rsidRDefault="00C24058" w:rsidP="00C24058">
      <w:pPr>
        <w:tabs>
          <w:tab w:val="left" w:pos="1304"/>
        </w:tabs>
        <w:ind w:left="851"/>
        <w:rPr>
          <w:sz w:val="24"/>
          <w:szCs w:val="24"/>
        </w:rPr>
      </w:pPr>
    </w:p>
    <w:p w:rsidR="00C24058" w:rsidRPr="00C24058" w:rsidRDefault="00C24058" w:rsidP="00C24058">
      <w:pPr>
        <w:tabs>
          <w:tab w:val="left" w:pos="1304"/>
        </w:tabs>
        <w:ind w:left="851"/>
        <w:rPr>
          <w:sz w:val="24"/>
          <w:szCs w:val="24"/>
          <w:u w:val="single"/>
        </w:rPr>
      </w:pPr>
      <w:r w:rsidRPr="00C24058">
        <w:rPr>
          <w:sz w:val="24"/>
          <w:szCs w:val="24"/>
          <w:u w:val="single"/>
        </w:rPr>
        <w:t>Gris</w:t>
      </w:r>
    </w:p>
    <w:p w:rsidR="00C24058" w:rsidRDefault="00C24058" w:rsidP="00C24058">
      <w:pPr>
        <w:tabs>
          <w:tab w:val="left" w:pos="1304"/>
        </w:tabs>
        <w:ind w:left="851"/>
        <w:rPr>
          <w:sz w:val="24"/>
          <w:szCs w:val="24"/>
        </w:rPr>
      </w:pPr>
      <w:r>
        <w:rPr>
          <w:sz w:val="24"/>
          <w:szCs w:val="24"/>
        </w:rPr>
        <w:t>Langsom, intravenøs anvendelse eller intramuskulær anvendelse</w:t>
      </w:r>
      <w:r w:rsidR="008608C2">
        <w:rPr>
          <w:sz w:val="24"/>
          <w:szCs w:val="24"/>
        </w:rPr>
        <w:t>.</w:t>
      </w:r>
    </w:p>
    <w:p w:rsidR="00C24058" w:rsidRDefault="008608C2" w:rsidP="00C24058">
      <w:pPr>
        <w:tabs>
          <w:tab w:val="left" w:pos="1304"/>
        </w:tabs>
        <w:ind w:left="851"/>
        <w:rPr>
          <w:sz w:val="24"/>
          <w:szCs w:val="24"/>
        </w:rPr>
      </w:pPr>
      <w:r>
        <w:rPr>
          <w:sz w:val="24"/>
          <w:szCs w:val="24"/>
        </w:rPr>
        <w:t>E</w:t>
      </w:r>
      <w:r w:rsidR="00C24058">
        <w:rPr>
          <w:sz w:val="24"/>
          <w:szCs w:val="24"/>
        </w:rPr>
        <w:t>nkelt injektion med 20</w:t>
      </w:r>
      <w:r w:rsidR="005521EB">
        <w:rPr>
          <w:sz w:val="24"/>
          <w:szCs w:val="24"/>
        </w:rPr>
        <w:t>-</w:t>
      </w:r>
      <w:r w:rsidR="00C24058">
        <w:rPr>
          <w:sz w:val="24"/>
          <w:szCs w:val="24"/>
        </w:rPr>
        <w:t>25 mg metamizolnatriummonohydrat/kg legemsvægt, og 0,16</w:t>
      </w:r>
      <w:r w:rsidR="00C24058">
        <w:rPr>
          <w:sz w:val="24"/>
          <w:szCs w:val="24"/>
        </w:rPr>
        <w:noBreakHyphen/>
        <w:t>0,2 mg hyoscinbutylbromid/kg legemsvægt, dvs. en injektion med 4-5 ml pr. 100 kg.</w:t>
      </w:r>
    </w:p>
    <w:p w:rsidR="00C24058" w:rsidRDefault="00C24058" w:rsidP="00C24058">
      <w:pPr>
        <w:tabs>
          <w:tab w:val="left" w:pos="1304"/>
        </w:tabs>
        <w:ind w:left="851"/>
        <w:rPr>
          <w:sz w:val="24"/>
          <w:szCs w:val="24"/>
        </w:rPr>
      </w:pPr>
      <w:bookmarkStart w:id="9" w:name="_Hlk2235682"/>
      <w:r>
        <w:rPr>
          <w:sz w:val="24"/>
          <w:szCs w:val="24"/>
        </w:rPr>
        <w:t>For grise er det maksimale injektionsvolumen 5 ml pr. injektionssted.</w:t>
      </w:r>
    </w:p>
    <w:bookmarkEnd w:id="9"/>
    <w:p w:rsidR="00C24058" w:rsidRDefault="00C24058" w:rsidP="00C24058">
      <w:pPr>
        <w:tabs>
          <w:tab w:val="left" w:pos="1304"/>
        </w:tabs>
        <w:ind w:left="851"/>
        <w:rPr>
          <w:sz w:val="24"/>
          <w:szCs w:val="24"/>
        </w:rPr>
      </w:pPr>
    </w:p>
    <w:p w:rsidR="008608C2" w:rsidRPr="008608C2" w:rsidRDefault="00C24058" w:rsidP="00C24058">
      <w:pPr>
        <w:tabs>
          <w:tab w:val="left" w:pos="1304"/>
        </w:tabs>
        <w:ind w:left="851"/>
        <w:rPr>
          <w:sz w:val="24"/>
          <w:szCs w:val="24"/>
          <w:u w:val="single"/>
        </w:rPr>
      </w:pPr>
      <w:r w:rsidRPr="008608C2">
        <w:rPr>
          <w:sz w:val="24"/>
          <w:szCs w:val="24"/>
          <w:u w:val="single"/>
        </w:rPr>
        <w:t>Hund</w:t>
      </w:r>
    </w:p>
    <w:p w:rsidR="00C24058" w:rsidRDefault="008608C2" w:rsidP="00C24058">
      <w:pPr>
        <w:tabs>
          <w:tab w:val="left" w:pos="1304"/>
        </w:tabs>
        <w:ind w:left="851"/>
        <w:rPr>
          <w:sz w:val="24"/>
          <w:szCs w:val="24"/>
        </w:rPr>
      </w:pPr>
      <w:r>
        <w:rPr>
          <w:sz w:val="24"/>
          <w:szCs w:val="24"/>
        </w:rPr>
        <w:t>I</w:t>
      </w:r>
      <w:r w:rsidR="00C24058">
        <w:rPr>
          <w:sz w:val="24"/>
          <w:szCs w:val="24"/>
        </w:rPr>
        <w:t xml:space="preserve">ntravenøs (langsom) </w:t>
      </w:r>
      <w:r w:rsidR="005521EB">
        <w:rPr>
          <w:sz w:val="24"/>
          <w:szCs w:val="24"/>
        </w:rPr>
        <w:t>eller intramuskulær anvendelse.</w:t>
      </w:r>
    </w:p>
    <w:p w:rsidR="00C24058" w:rsidRDefault="005521EB" w:rsidP="00C24058">
      <w:pPr>
        <w:tabs>
          <w:tab w:val="left" w:pos="1304"/>
        </w:tabs>
        <w:ind w:left="851"/>
        <w:rPr>
          <w:sz w:val="24"/>
          <w:szCs w:val="24"/>
        </w:rPr>
      </w:pPr>
      <w:r>
        <w:rPr>
          <w:sz w:val="24"/>
          <w:szCs w:val="24"/>
        </w:rPr>
        <w:t>E</w:t>
      </w:r>
      <w:r w:rsidR="00C24058">
        <w:rPr>
          <w:sz w:val="24"/>
          <w:szCs w:val="24"/>
        </w:rPr>
        <w:t>nkelt injektion med 50 mg metamizolnatriummonohydrat/kg legemsvægt, og 0,4 mg hyoscinbutylbromid/kg legemsvægt, dvs. en injektion med 0,5 ml pr. 5 kg. Behandlingen kan gentages efter 24 timer, hvis det er nødvendigt.</w:t>
      </w:r>
    </w:p>
    <w:bookmarkEnd w:id="6"/>
    <w:p w:rsidR="00C24058" w:rsidRDefault="00C24058" w:rsidP="00C24058">
      <w:pPr>
        <w:tabs>
          <w:tab w:val="left" w:pos="1304"/>
        </w:tabs>
        <w:ind w:left="851"/>
        <w:rPr>
          <w:sz w:val="24"/>
          <w:szCs w:val="24"/>
        </w:rPr>
      </w:pPr>
    </w:p>
    <w:p w:rsidR="00C24058" w:rsidRDefault="00C24058" w:rsidP="00C24058">
      <w:pPr>
        <w:tabs>
          <w:tab w:val="left" w:pos="1304"/>
        </w:tabs>
        <w:ind w:left="851"/>
        <w:rPr>
          <w:sz w:val="24"/>
          <w:szCs w:val="24"/>
        </w:rPr>
      </w:pPr>
      <w:r>
        <w:rPr>
          <w:sz w:val="24"/>
          <w:szCs w:val="24"/>
        </w:rPr>
        <w:t>Proppen må ikke punkteres over 25 gange.</w:t>
      </w:r>
      <w:bookmarkEnd w:id="7"/>
      <w:bookmarkEnd w:id="8"/>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4955E4" w:rsidRDefault="004955E4" w:rsidP="004955E4">
      <w:pPr>
        <w:tabs>
          <w:tab w:val="left" w:pos="1304"/>
        </w:tabs>
        <w:ind w:left="851"/>
        <w:rPr>
          <w:sz w:val="24"/>
          <w:szCs w:val="24"/>
          <w:lang w:eastAsia="da-DK"/>
        </w:rPr>
      </w:pPr>
      <w:bookmarkStart w:id="10" w:name="_Hlk528582972"/>
      <w:r>
        <w:rPr>
          <w:sz w:val="24"/>
          <w:szCs w:val="24"/>
        </w:rPr>
        <w:t>I tilfælde af en overdosering kan der observeres symptomer på atropinforgiftning (tørre slimhinder, mydriasis, takykardi) på grund af den parasympatolytiske aktivitet af hyoscinbutylbromid.</w:t>
      </w:r>
    </w:p>
    <w:p w:rsidR="004955E4" w:rsidRDefault="004955E4" w:rsidP="004955E4">
      <w:pPr>
        <w:tabs>
          <w:tab w:val="left" w:pos="1304"/>
        </w:tabs>
        <w:ind w:left="851"/>
        <w:rPr>
          <w:sz w:val="24"/>
          <w:szCs w:val="24"/>
        </w:rPr>
      </w:pPr>
      <w:bookmarkStart w:id="11" w:name="_Hlk528742040"/>
      <w:r>
        <w:rPr>
          <w:sz w:val="24"/>
          <w:szCs w:val="24"/>
        </w:rPr>
        <w:t xml:space="preserve">I tilfælde af en overdosering skal behandlingen seponeres. </w:t>
      </w:r>
      <w:bookmarkStart w:id="12" w:name="_Hlk535414997"/>
      <w:bookmarkStart w:id="13" w:name="_Hlk535402247"/>
      <w:r>
        <w:rPr>
          <w:sz w:val="24"/>
          <w:szCs w:val="24"/>
        </w:rPr>
        <w:t>Parasympatikomimetika, såsom physostigmin og neostigmin, anbefales som antidoter for hyoscinbutylbromid.</w:t>
      </w:r>
      <w:bookmarkEnd w:id="12"/>
      <w:bookmarkEnd w:id="13"/>
      <w:r>
        <w:rPr>
          <w:sz w:val="24"/>
          <w:szCs w:val="24"/>
        </w:rPr>
        <w:t xml:space="preserve"> En specifik antidot for metamizolnatrium er ikke tilgængelig. Derfor skal der iværksættes symptomatisk behandling i tilfælde af en overdosering.</w:t>
      </w:r>
      <w:bookmarkEnd w:id="10"/>
      <w:bookmarkEnd w:id="11"/>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B273DF" w:rsidRDefault="00B273DF" w:rsidP="00B273DF">
      <w:pPr>
        <w:tabs>
          <w:tab w:val="left" w:pos="1304"/>
        </w:tabs>
        <w:ind w:left="851"/>
        <w:rPr>
          <w:sz w:val="24"/>
          <w:szCs w:val="24"/>
        </w:rPr>
      </w:pPr>
    </w:p>
    <w:p w:rsidR="00B273DF" w:rsidRPr="00B273DF" w:rsidRDefault="00B273DF" w:rsidP="00B273DF">
      <w:pPr>
        <w:tabs>
          <w:tab w:val="left" w:pos="1304"/>
        </w:tabs>
        <w:ind w:left="851"/>
        <w:rPr>
          <w:sz w:val="24"/>
          <w:szCs w:val="24"/>
          <w:u w:val="single"/>
        </w:rPr>
      </w:pPr>
      <w:r>
        <w:rPr>
          <w:sz w:val="24"/>
          <w:szCs w:val="24"/>
          <w:u w:val="single"/>
        </w:rPr>
        <w:t>Hest</w:t>
      </w:r>
    </w:p>
    <w:p w:rsidR="00B273DF" w:rsidRDefault="00B273DF" w:rsidP="00B273DF">
      <w:pPr>
        <w:tabs>
          <w:tab w:val="left" w:pos="1304"/>
        </w:tabs>
        <w:ind w:left="851"/>
        <w:rPr>
          <w:sz w:val="24"/>
          <w:szCs w:val="24"/>
        </w:rPr>
      </w:pPr>
      <w:r>
        <w:rPr>
          <w:sz w:val="24"/>
          <w:szCs w:val="24"/>
        </w:rPr>
        <w:t>Slagtning: 15 dage.</w:t>
      </w:r>
    </w:p>
    <w:p w:rsidR="00B273DF" w:rsidRDefault="00B273DF" w:rsidP="00B273DF">
      <w:pPr>
        <w:tabs>
          <w:tab w:val="left" w:pos="1304"/>
        </w:tabs>
        <w:ind w:left="851"/>
        <w:rPr>
          <w:sz w:val="24"/>
          <w:szCs w:val="24"/>
        </w:rPr>
      </w:pPr>
      <w:r>
        <w:rPr>
          <w:sz w:val="24"/>
          <w:szCs w:val="24"/>
        </w:rPr>
        <w:t xml:space="preserve">Må ikke anvendes til dyr, hvis mælk er bestemt til menneskeføde. </w:t>
      </w:r>
    </w:p>
    <w:p w:rsidR="00B273DF" w:rsidRDefault="00B273DF" w:rsidP="00B273DF">
      <w:pPr>
        <w:tabs>
          <w:tab w:val="left" w:pos="1304"/>
        </w:tabs>
        <w:ind w:left="851"/>
        <w:rPr>
          <w:sz w:val="24"/>
          <w:szCs w:val="24"/>
        </w:rPr>
      </w:pPr>
      <w:r>
        <w:rPr>
          <w:sz w:val="24"/>
          <w:szCs w:val="24"/>
        </w:rPr>
        <w:t>Må ikke anvendes til drægtige dyr, hvis mælk er bestemt til menneskeføde, inden for 2 måneder forud for den forventede fødselsdato.</w:t>
      </w:r>
    </w:p>
    <w:p w:rsidR="00B273DF" w:rsidRDefault="00B273DF" w:rsidP="00B273DF">
      <w:pPr>
        <w:tabs>
          <w:tab w:val="left" w:pos="1304"/>
        </w:tabs>
        <w:ind w:left="851"/>
        <w:rPr>
          <w:sz w:val="24"/>
          <w:szCs w:val="24"/>
          <w:lang w:eastAsia="da-DK"/>
        </w:rPr>
      </w:pPr>
    </w:p>
    <w:p w:rsidR="00B273DF" w:rsidRPr="00B273DF" w:rsidRDefault="00B273DF" w:rsidP="00B273DF">
      <w:pPr>
        <w:tabs>
          <w:tab w:val="left" w:pos="1304"/>
        </w:tabs>
        <w:ind w:left="851"/>
        <w:rPr>
          <w:sz w:val="24"/>
          <w:szCs w:val="24"/>
          <w:u w:val="single"/>
        </w:rPr>
      </w:pPr>
      <w:bookmarkStart w:id="14" w:name="_Hlk528742088"/>
      <w:r w:rsidRPr="00B273DF">
        <w:rPr>
          <w:sz w:val="24"/>
          <w:szCs w:val="24"/>
          <w:u w:val="single"/>
        </w:rPr>
        <w:t>Kvæg</w:t>
      </w:r>
    </w:p>
    <w:p w:rsidR="00B273DF" w:rsidRDefault="00B273DF" w:rsidP="00B273DF">
      <w:pPr>
        <w:tabs>
          <w:tab w:val="left" w:pos="1304"/>
        </w:tabs>
        <w:ind w:left="851"/>
        <w:rPr>
          <w:sz w:val="24"/>
          <w:szCs w:val="24"/>
        </w:rPr>
      </w:pPr>
      <w:r>
        <w:rPr>
          <w:sz w:val="24"/>
          <w:szCs w:val="24"/>
        </w:rPr>
        <w:t>Slagtning: 18 dage efter intravenøs administration.</w:t>
      </w:r>
    </w:p>
    <w:p w:rsidR="00B273DF" w:rsidRDefault="00B273DF" w:rsidP="00B273DF">
      <w:pPr>
        <w:tabs>
          <w:tab w:val="left" w:pos="1304"/>
        </w:tabs>
        <w:ind w:left="851"/>
        <w:rPr>
          <w:sz w:val="24"/>
          <w:szCs w:val="24"/>
        </w:rPr>
      </w:pPr>
      <w:r>
        <w:rPr>
          <w:sz w:val="24"/>
          <w:szCs w:val="24"/>
        </w:rPr>
        <w:t>Slagtning: 28 dage efter intramuskulær administration.</w:t>
      </w:r>
    </w:p>
    <w:p w:rsidR="00B273DF" w:rsidRDefault="00B273DF" w:rsidP="00B273DF">
      <w:pPr>
        <w:tabs>
          <w:tab w:val="left" w:pos="1304"/>
        </w:tabs>
        <w:ind w:left="851"/>
        <w:rPr>
          <w:sz w:val="24"/>
          <w:szCs w:val="24"/>
        </w:rPr>
      </w:pPr>
      <w:r>
        <w:rPr>
          <w:sz w:val="24"/>
          <w:szCs w:val="24"/>
        </w:rPr>
        <w:t xml:space="preserve">Må ikke anvendes til dyr, hvis mælk er bestemt til menneskeføde. </w:t>
      </w:r>
    </w:p>
    <w:p w:rsidR="00B273DF" w:rsidRDefault="00B273DF" w:rsidP="00741B49">
      <w:pPr>
        <w:tabs>
          <w:tab w:val="left" w:pos="1304"/>
        </w:tabs>
        <w:ind w:left="851"/>
        <w:rPr>
          <w:sz w:val="24"/>
          <w:szCs w:val="24"/>
        </w:rPr>
      </w:pPr>
      <w:r>
        <w:rPr>
          <w:sz w:val="24"/>
          <w:szCs w:val="24"/>
        </w:rPr>
        <w:t>Må ikke anvendes til drægtige dyr, hvis mælk er bestemt til menneskeføde, inden for 2 måneder forud for den forventede fødselsdato.</w:t>
      </w:r>
    </w:p>
    <w:p w:rsidR="00741B49" w:rsidRDefault="00741B49" w:rsidP="00741B49">
      <w:pPr>
        <w:tabs>
          <w:tab w:val="left" w:pos="1304"/>
        </w:tabs>
        <w:ind w:left="851"/>
        <w:rPr>
          <w:sz w:val="24"/>
          <w:szCs w:val="24"/>
        </w:rPr>
      </w:pPr>
    </w:p>
    <w:p w:rsidR="00B273DF" w:rsidRPr="00B273DF" w:rsidRDefault="00B273DF" w:rsidP="00B273DF">
      <w:pPr>
        <w:tabs>
          <w:tab w:val="left" w:pos="1304"/>
        </w:tabs>
        <w:ind w:left="851"/>
        <w:rPr>
          <w:sz w:val="24"/>
          <w:szCs w:val="24"/>
          <w:u w:val="single"/>
        </w:rPr>
      </w:pPr>
      <w:r>
        <w:rPr>
          <w:sz w:val="24"/>
          <w:szCs w:val="24"/>
          <w:u w:val="single"/>
        </w:rPr>
        <w:t>Gris</w:t>
      </w:r>
    </w:p>
    <w:p w:rsidR="00B273DF" w:rsidRPr="00741B49" w:rsidRDefault="00B273DF" w:rsidP="00B273DF">
      <w:pPr>
        <w:tabs>
          <w:tab w:val="left" w:pos="1304"/>
        </w:tabs>
        <w:ind w:left="851"/>
        <w:rPr>
          <w:sz w:val="24"/>
          <w:szCs w:val="24"/>
        </w:rPr>
      </w:pPr>
      <w:r w:rsidRPr="00741B49">
        <w:rPr>
          <w:sz w:val="24"/>
          <w:szCs w:val="24"/>
        </w:rPr>
        <w:t>Slagtning: 15 dage</w:t>
      </w:r>
      <w:bookmarkEnd w:id="14"/>
      <w:r w:rsidRPr="00741B49">
        <w:rPr>
          <w:sz w:val="24"/>
          <w:szCs w:val="24"/>
        </w:rPr>
        <w:t>.</w:t>
      </w:r>
    </w:p>
    <w:p w:rsidR="005B0036" w:rsidRPr="00741B49" w:rsidRDefault="005B0036" w:rsidP="005B0036">
      <w:pPr>
        <w:pStyle w:val="Sidehoved"/>
        <w:tabs>
          <w:tab w:val="clear" w:pos="4819"/>
          <w:tab w:val="left" w:pos="8222"/>
        </w:tabs>
        <w:ind w:left="851"/>
        <w:rPr>
          <w:szCs w:val="24"/>
        </w:rPr>
      </w:pPr>
    </w:p>
    <w:p w:rsidR="005B0036" w:rsidRPr="00741B49" w:rsidRDefault="005B0036" w:rsidP="005B0036">
      <w:pPr>
        <w:tabs>
          <w:tab w:val="left" w:pos="851"/>
          <w:tab w:val="left" w:pos="8222"/>
        </w:tabs>
        <w:ind w:left="851"/>
        <w:rPr>
          <w:sz w:val="24"/>
          <w:szCs w:val="24"/>
        </w:rPr>
      </w:pPr>
    </w:p>
    <w:p w:rsidR="005B0036" w:rsidRPr="00741B49" w:rsidRDefault="005B0036" w:rsidP="005B0036">
      <w:pPr>
        <w:tabs>
          <w:tab w:val="left" w:pos="8222"/>
        </w:tabs>
        <w:ind w:left="851" w:hanging="851"/>
        <w:rPr>
          <w:b/>
          <w:sz w:val="24"/>
          <w:szCs w:val="24"/>
        </w:rPr>
      </w:pPr>
      <w:r w:rsidRPr="00741B49">
        <w:rPr>
          <w:b/>
          <w:sz w:val="24"/>
          <w:szCs w:val="24"/>
        </w:rPr>
        <w:t>5.</w:t>
      </w:r>
      <w:r w:rsidRPr="00741B49">
        <w:rPr>
          <w:b/>
          <w:sz w:val="24"/>
          <w:szCs w:val="24"/>
        </w:rPr>
        <w:tab/>
        <w:t>FARMAKOLOGISKE EGENSKABER</w:t>
      </w:r>
    </w:p>
    <w:p w:rsidR="005B0036" w:rsidRPr="00741B49" w:rsidRDefault="005B0036" w:rsidP="005B0036">
      <w:pPr>
        <w:tabs>
          <w:tab w:val="left" w:pos="8222"/>
        </w:tabs>
        <w:ind w:left="851"/>
        <w:rPr>
          <w:sz w:val="24"/>
          <w:szCs w:val="24"/>
        </w:rPr>
      </w:pPr>
    </w:p>
    <w:p w:rsidR="00741B49" w:rsidRDefault="00741B49" w:rsidP="00741B49">
      <w:pPr>
        <w:tabs>
          <w:tab w:val="left" w:pos="1304"/>
        </w:tabs>
        <w:ind w:left="851"/>
        <w:rPr>
          <w:sz w:val="24"/>
          <w:szCs w:val="24"/>
          <w:lang w:eastAsia="da-DK"/>
        </w:rPr>
      </w:pPr>
      <w:bookmarkStart w:id="15" w:name="_Hlk528588165"/>
      <w:r>
        <w:rPr>
          <w:sz w:val="24"/>
          <w:szCs w:val="24"/>
        </w:rPr>
        <w:t>Farmakoterapeutisk gruppe: Midler mod funktionelle gastrointestinale forstyrrelser, belladonna og derivater i kombination med analgetika, butylscopolamin og analgetika</w:t>
      </w:r>
    </w:p>
    <w:p w:rsidR="00741B49" w:rsidRDefault="00741B49" w:rsidP="00741B49">
      <w:pPr>
        <w:tabs>
          <w:tab w:val="left" w:pos="1304"/>
        </w:tabs>
        <w:ind w:left="851"/>
        <w:rPr>
          <w:sz w:val="24"/>
          <w:szCs w:val="24"/>
        </w:rPr>
      </w:pPr>
      <w:r>
        <w:rPr>
          <w:sz w:val="24"/>
          <w:szCs w:val="24"/>
        </w:rPr>
        <w:t>ATCvet</w:t>
      </w:r>
      <w:r>
        <w:rPr>
          <w:sz w:val="24"/>
          <w:szCs w:val="24"/>
        </w:rPr>
        <w:noBreakHyphen/>
        <w:t>kode: QA 03 DB 04.</w:t>
      </w:r>
      <w:bookmarkEnd w:id="15"/>
    </w:p>
    <w:p w:rsidR="003570AE" w:rsidRDefault="003570AE">
      <w:pPr>
        <w:rPr>
          <w:sz w:val="24"/>
          <w:szCs w:val="24"/>
        </w:rPr>
      </w:pPr>
      <w:r>
        <w:rPr>
          <w:sz w:val="24"/>
          <w:szCs w:val="24"/>
        </w:rPr>
        <w:br w:type="page"/>
      </w:r>
    </w:p>
    <w:p w:rsidR="005B0036" w:rsidRPr="00741B49" w:rsidRDefault="005B0036" w:rsidP="005B0036">
      <w:pPr>
        <w:tabs>
          <w:tab w:val="left" w:pos="8222"/>
        </w:tabs>
        <w:ind w:left="851"/>
        <w:rPr>
          <w:sz w:val="24"/>
          <w:szCs w:val="24"/>
        </w:rPr>
      </w:pPr>
    </w:p>
    <w:p w:rsidR="005B0036" w:rsidRPr="00741B49" w:rsidRDefault="005B0036" w:rsidP="005B0036">
      <w:pPr>
        <w:tabs>
          <w:tab w:val="left" w:pos="851"/>
          <w:tab w:val="left" w:pos="8222"/>
        </w:tabs>
        <w:rPr>
          <w:b/>
          <w:sz w:val="24"/>
          <w:szCs w:val="24"/>
        </w:rPr>
      </w:pPr>
      <w:r w:rsidRPr="00741B49">
        <w:rPr>
          <w:b/>
          <w:sz w:val="24"/>
          <w:szCs w:val="24"/>
        </w:rPr>
        <w:t>5.1</w:t>
      </w:r>
      <w:r w:rsidRPr="00741B49">
        <w:rPr>
          <w:b/>
          <w:sz w:val="24"/>
          <w:szCs w:val="24"/>
        </w:rPr>
        <w:tab/>
        <w:t>Farmakodynamiske egenskaber</w:t>
      </w:r>
    </w:p>
    <w:p w:rsidR="003570AE" w:rsidRDefault="003570AE" w:rsidP="003570AE">
      <w:pPr>
        <w:tabs>
          <w:tab w:val="left" w:pos="1304"/>
        </w:tabs>
        <w:ind w:left="851"/>
        <w:rPr>
          <w:i/>
          <w:sz w:val="24"/>
          <w:szCs w:val="24"/>
          <w:u w:val="single"/>
          <w:lang w:eastAsia="da-DK"/>
        </w:rPr>
      </w:pPr>
    </w:p>
    <w:p w:rsidR="003570AE" w:rsidRDefault="003570AE" w:rsidP="003570AE">
      <w:pPr>
        <w:tabs>
          <w:tab w:val="left" w:pos="1304"/>
        </w:tabs>
        <w:ind w:left="851"/>
        <w:rPr>
          <w:sz w:val="24"/>
          <w:szCs w:val="24"/>
        </w:rPr>
      </w:pPr>
      <w:r>
        <w:rPr>
          <w:i/>
          <w:sz w:val="24"/>
          <w:szCs w:val="24"/>
          <w:u w:val="single"/>
        </w:rPr>
        <w:t xml:space="preserve">Hyoscinbutylbromid (butylscopolaminbromid) </w:t>
      </w:r>
      <w:r>
        <w:rPr>
          <w:sz w:val="24"/>
          <w:szCs w:val="24"/>
        </w:rPr>
        <w:t>er et kvarternært amminiumstof fra hyoscin, og et antispasmodisk stof, som afslapper den glatte muskulatur på organerne i hulrummene i abdomen og bækkenet. Det menes hovedsageligt at virke på intramurale parasympatiske ganglia i disse organer. Hyoscin er en antagonist for virkningerne af acetylcholin, medieret via den muskarine receptor. Det har også en vis antagonistisk virkning på nikotinreceptorer. Som følge af den kemiske struktur som et kvarternært ammoniumderivat, forventes hyoscin ikke at nå ind i det centrale nervesystem, derfor giver det ikke sekundære antikolinerge virkninger i centralnervesystemet.</w:t>
      </w:r>
    </w:p>
    <w:p w:rsidR="003570AE" w:rsidRDefault="003570AE" w:rsidP="003570AE">
      <w:pPr>
        <w:tabs>
          <w:tab w:val="left" w:pos="1304"/>
        </w:tabs>
        <w:ind w:left="851"/>
        <w:rPr>
          <w:sz w:val="24"/>
          <w:szCs w:val="24"/>
        </w:rPr>
      </w:pPr>
    </w:p>
    <w:p w:rsidR="003570AE" w:rsidRDefault="003570AE" w:rsidP="003570AE">
      <w:pPr>
        <w:tabs>
          <w:tab w:val="left" w:pos="1304"/>
        </w:tabs>
        <w:ind w:left="851"/>
        <w:rPr>
          <w:sz w:val="24"/>
          <w:szCs w:val="24"/>
        </w:rPr>
      </w:pPr>
      <w:r>
        <w:rPr>
          <w:i/>
          <w:sz w:val="24"/>
          <w:szCs w:val="24"/>
          <w:u w:val="single"/>
        </w:rPr>
        <w:t xml:space="preserve">Metamizol </w:t>
      </w:r>
      <w:r>
        <w:rPr>
          <w:sz w:val="24"/>
          <w:szCs w:val="24"/>
        </w:rPr>
        <w:t>tilhører gruppen af pyrazolonderivater, og anvendes som et analgetisk, antipyretisk og spasmolytisk stof. Det har signifikante centrale analgetiske og antipyretiske virkninger, men kun en lav antiinflammatorisk (svagt analgetisk) virkning. Metamizol hæmmer syntesen af prostaglandiner ved at blokere cyklooxygenase. Den analgetiske og antipyretiske virkning skyldes primært hæmningen af prostaglandin E</w:t>
      </w:r>
      <w:r>
        <w:rPr>
          <w:sz w:val="24"/>
          <w:szCs w:val="24"/>
          <w:vertAlign w:val="subscript"/>
        </w:rPr>
        <w:t>2</w:t>
      </w:r>
      <w:r>
        <w:rPr>
          <w:sz w:val="24"/>
          <w:szCs w:val="24"/>
        </w:rPr>
        <w:noBreakHyphen/>
        <w:t>syntesen. Desuden har metamizol en spasmolytisk virkning på de glatte muskelorganer. Metamizolnatrium antagoniserer desuden virkningen af bradykinin og histamin.</w:t>
      </w:r>
    </w:p>
    <w:p w:rsidR="005B0036" w:rsidRPr="00741B49"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741B49">
        <w:rPr>
          <w:b/>
          <w:sz w:val="24"/>
          <w:szCs w:val="24"/>
        </w:rPr>
        <w:t>5.2</w:t>
      </w:r>
      <w:r w:rsidRPr="00741B49">
        <w:rPr>
          <w:b/>
          <w:sz w:val="24"/>
          <w:szCs w:val="24"/>
        </w:rPr>
        <w:tab/>
        <w:t>Farmakokinetiske egenskaber</w:t>
      </w:r>
    </w:p>
    <w:p w:rsidR="003570AE" w:rsidRPr="003570AE" w:rsidRDefault="003570AE" w:rsidP="003570AE">
      <w:pPr>
        <w:ind w:left="851"/>
        <w:rPr>
          <w:sz w:val="24"/>
          <w:szCs w:val="24"/>
          <w:lang w:eastAsia="da-DK"/>
        </w:rPr>
      </w:pPr>
    </w:p>
    <w:p w:rsidR="003570AE" w:rsidRPr="003570AE" w:rsidRDefault="003570AE" w:rsidP="003570AE">
      <w:pPr>
        <w:ind w:left="851"/>
        <w:rPr>
          <w:i/>
          <w:sz w:val="24"/>
          <w:szCs w:val="24"/>
          <w:u w:val="single"/>
          <w:lang w:eastAsia="da-DK"/>
        </w:rPr>
      </w:pPr>
      <w:r w:rsidRPr="003570AE">
        <w:rPr>
          <w:i/>
          <w:sz w:val="24"/>
          <w:szCs w:val="24"/>
          <w:u w:val="single"/>
          <w:lang w:eastAsia="da-DK"/>
        </w:rPr>
        <w:t xml:space="preserve">Hyoscinbutylbromid </w:t>
      </w:r>
      <w:r w:rsidRPr="003570AE">
        <w:rPr>
          <w:sz w:val="24"/>
          <w:szCs w:val="24"/>
          <w:lang w:eastAsia="da-DK"/>
        </w:rPr>
        <w:t>er 17</w:t>
      </w:r>
      <w:r w:rsidR="00EF4B19">
        <w:rPr>
          <w:sz w:val="24"/>
          <w:szCs w:val="24"/>
          <w:lang w:eastAsia="da-DK"/>
        </w:rPr>
        <w:t>-</w:t>
      </w:r>
      <w:r w:rsidRPr="003570AE">
        <w:rPr>
          <w:sz w:val="24"/>
          <w:szCs w:val="24"/>
          <w:lang w:eastAsia="da-DK"/>
        </w:rPr>
        <w:t>24 % bundet til plasmaproteiner. Eliminationshalveringstiden er 2</w:t>
      </w:r>
      <w:r w:rsidR="00EF4B19">
        <w:rPr>
          <w:sz w:val="24"/>
          <w:szCs w:val="24"/>
          <w:lang w:eastAsia="da-DK"/>
        </w:rPr>
        <w:t>-</w:t>
      </w:r>
      <w:r w:rsidRPr="003570AE">
        <w:rPr>
          <w:sz w:val="24"/>
          <w:szCs w:val="24"/>
          <w:lang w:eastAsia="da-DK"/>
        </w:rPr>
        <w:t>3 timer. Hyoscinbutylbromid elimineres primært uændret i urinen (ca. 54 %).</w:t>
      </w:r>
    </w:p>
    <w:p w:rsidR="003570AE" w:rsidRPr="003570AE" w:rsidRDefault="003570AE" w:rsidP="003570AE">
      <w:pPr>
        <w:ind w:left="851"/>
        <w:rPr>
          <w:i/>
          <w:sz w:val="24"/>
          <w:szCs w:val="24"/>
          <w:u w:val="single"/>
          <w:lang w:eastAsia="da-DK"/>
        </w:rPr>
      </w:pPr>
    </w:p>
    <w:p w:rsidR="005B0036" w:rsidRPr="00EF4B19" w:rsidRDefault="003570AE" w:rsidP="00EF4B19">
      <w:pPr>
        <w:ind w:left="851"/>
        <w:rPr>
          <w:sz w:val="24"/>
          <w:szCs w:val="24"/>
          <w:u w:val="single"/>
          <w:lang w:eastAsia="da-DK"/>
        </w:rPr>
      </w:pPr>
      <w:r w:rsidRPr="003570AE">
        <w:rPr>
          <w:i/>
          <w:sz w:val="24"/>
          <w:szCs w:val="24"/>
          <w:u w:val="single"/>
          <w:lang w:eastAsia="da-DK"/>
        </w:rPr>
        <w:t xml:space="preserve">Metamizolnatrium </w:t>
      </w:r>
      <w:r w:rsidRPr="003570AE">
        <w:rPr>
          <w:sz w:val="24"/>
          <w:szCs w:val="24"/>
          <w:lang w:eastAsia="da-DK"/>
        </w:rPr>
        <w:t>nedbrydes hurtigt ved hydrolyse i den primære farmakologisk aktive metabolit 4 methyl-aminoantipyrin (MAA). Andre metabolitter (4</w:t>
      </w:r>
      <w:r w:rsidRPr="003570AE">
        <w:rPr>
          <w:sz w:val="24"/>
          <w:szCs w:val="24"/>
          <w:lang w:eastAsia="da-DK"/>
        </w:rPr>
        <w:noBreakHyphen/>
        <w:t>acetyl-aminoantipyrin (AAA), 4</w:t>
      </w:r>
      <w:r w:rsidRPr="003570AE">
        <w:rPr>
          <w:sz w:val="24"/>
          <w:szCs w:val="24"/>
          <w:lang w:eastAsia="da-DK"/>
        </w:rPr>
        <w:noBreakHyphen/>
        <w:t>formyl-aminoantipyrin (FAA) og aminoantipyrin (AA)) er til stede i mindre mængder. Plasmaproteinbindingen af metabolitterne er følgende: MAA: 56 %, AA: 40 %, FAA: 15 %, AAA 14 %. Eliminationshalveringstiden for MAA er 6 timer. Metamizol elimineres primært via nyrerne.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5D2285" w:rsidRDefault="005D2285" w:rsidP="005D2285">
      <w:pPr>
        <w:tabs>
          <w:tab w:val="left" w:pos="1304"/>
        </w:tabs>
        <w:ind w:left="851"/>
        <w:rPr>
          <w:sz w:val="24"/>
          <w:szCs w:val="24"/>
          <w:lang w:eastAsia="da-DK"/>
        </w:rPr>
      </w:pPr>
      <w:r>
        <w:rPr>
          <w:sz w:val="24"/>
          <w:szCs w:val="24"/>
        </w:rPr>
        <w:t>Phenol</w:t>
      </w:r>
    </w:p>
    <w:p w:rsidR="005D2285" w:rsidRDefault="0045712D" w:rsidP="005D2285">
      <w:pPr>
        <w:tabs>
          <w:tab w:val="left" w:pos="1304"/>
        </w:tabs>
        <w:ind w:left="851"/>
        <w:rPr>
          <w:sz w:val="24"/>
          <w:szCs w:val="24"/>
        </w:rPr>
      </w:pPr>
      <w:r>
        <w:rPr>
          <w:sz w:val="24"/>
          <w:szCs w:val="24"/>
        </w:rPr>
        <w:t>Vinsyre (E</w:t>
      </w:r>
      <w:r w:rsidR="005D2285">
        <w:rPr>
          <w:sz w:val="24"/>
          <w:szCs w:val="24"/>
        </w:rPr>
        <w:t>334)</w:t>
      </w:r>
    </w:p>
    <w:p w:rsidR="005D2285" w:rsidRDefault="005D2285" w:rsidP="005D2285">
      <w:pPr>
        <w:tabs>
          <w:tab w:val="left" w:pos="1304"/>
        </w:tabs>
        <w:ind w:left="851"/>
        <w:rPr>
          <w:sz w:val="24"/>
          <w:szCs w:val="24"/>
        </w:rPr>
      </w:pPr>
      <w:r>
        <w:rPr>
          <w:sz w:val="24"/>
          <w:szCs w:val="24"/>
        </w:rPr>
        <w:t>Vand til injektionsvæsker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5B0036" w:rsidRPr="00406EE7" w:rsidRDefault="00CD6C70" w:rsidP="00CD6C70">
      <w:pPr>
        <w:ind w:left="851"/>
        <w:rPr>
          <w:sz w:val="24"/>
          <w:szCs w:val="24"/>
          <w:lang w:eastAsia="da-DK"/>
        </w:rPr>
      </w:pPr>
      <w:bookmarkStart w:id="16" w:name="_Hlk529778048"/>
      <w:r w:rsidRPr="00CD6C70">
        <w:rPr>
          <w:sz w:val="24"/>
          <w:szCs w:val="24"/>
          <w:lang w:eastAsia="da-DK"/>
        </w:rPr>
        <w:t>Da der ikke foreligger undersøgelser vedrørende eventuelle uforligeligheder, bør dette lægemiddel ikke blandes med andre lægemidler.</w:t>
      </w:r>
      <w:bookmarkEnd w:id="16"/>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673A0E" w:rsidRDefault="00673A0E" w:rsidP="00673A0E">
      <w:pPr>
        <w:tabs>
          <w:tab w:val="left" w:pos="1304"/>
        </w:tabs>
        <w:ind w:left="851"/>
        <w:rPr>
          <w:sz w:val="24"/>
          <w:szCs w:val="24"/>
          <w:lang w:eastAsia="da-DK"/>
        </w:rPr>
      </w:pPr>
      <w:r>
        <w:rPr>
          <w:sz w:val="24"/>
          <w:szCs w:val="24"/>
        </w:rPr>
        <w:t>I salgspakning: 3 år.</w:t>
      </w:r>
    </w:p>
    <w:p w:rsidR="00673A0E" w:rsidRDefault="00673A0E" w:rsidP="00673A0E">
      <w:pPr>
        <w:tabs>
          <w:tab w:val="left" w:pos="1304"/>
        </w:tabs>
        <w:ind w:left="851"/>
        <w:rPr>
          <w:sz w:val="24"/>
          <w:szCs w:val="24"/>
        </w:rPr>
      </w:pPr>
      <w:r>
        <w:rPr>
          <w:sz w:val="24"/>
          <w:szCs w:val="24"/>
        </w:rPr>
        <w:t>Efter første åbning af den indre emballage: 28 dage.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5B0036" w:rsidRPr="00406EE7" w:rsidRDefault="00363910" w:rsidP="00AF1F30">
      <w:pPr>
        <w:ind w:left="851"/>
        <w:rPr>
          <w:sz w:val="24"/>
          <w:szCs w:val="24"/>
          <w:lang w:eastAsia="da-DK"/>
        </w:rPr>
      </w:pPr>
      <w:r w:rsidRPr="00363910">
        <w:rPr>
          <w:sz w:val="24"/>
          <w:szCs w:val="24"/>
          <w:lang w:eastAsia="da-DK"/>
        </w:rPr>
        <w:t>Efter den først</w:t>
      </w:r>
      <w:r w:rsidR="00AF1F30">
        <w:rPr>
          <w:sz w:val="24"/>
          <w:szCs w:val="24"/>
          <w:lang w:eastAsia="da-DK"/>
        </w:rPr>
        <w:t>e</w:t>
      </w:r>
      <w:r w:rsidRPr="00363910">
        <w:rPr>
          <w:sz w:val="24"/>
          <w:szCs w:val="24"/>
          <w:lang w:eastAsia="da-DK"/>
        </w:rPr>
        <w:t xml:space="preserve"> åbning af den indre emballage må præparatet ikke opbevares over 25 °C.</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lastRenderedPageBreak/>
        <w:t>6.5</w:t>
      </w:r>
      <w:r w:rsidRPr="00406EE7">
        <w:rPr>
          <w:b/>
          <w:sz w:val="24"/>
          <w:szCs w:val="24"/>
        </w:rPr>
        <w:tab/>
        <w:t>Emballage</w:t>
      </w:r>
    </w:p>
    <w:p w:rsidR="00AF1273" w:rsidRDefault="00AF1273" w:rsidP="00AF1273">
      <w:pPr>
        <w:ind w:left="851"/>
        <w:rPr>
          <w:sz w:val="24"/>
          <w:szCs w:val="24"/>
          <w:lang w:eastAsia="da-DK"/>
        </w:rPr>
      </w:pPr>
      <w:r>
        <w:rPr>
          <w:sz w:val="24"/>
          <w:szCs w:val="24"/>
          <w:lang w:eastAsia="da-DK"/>
        </w:rPr>
        <w:t>R</w:t>
      </w:r>
      <w:r w:rsidRPr="00AF1273">
        <w:rPr>
          <w:sz w:val="24"/>
          <w:szCs w:val="24"/>
          <w:lang w:eastAsia="da-DK"/>
        </w:rPr>
        <w:t>avfarvet hætteglas (type II</w:t>
      </w:r>
      <w:r w:rsidRPr="00AF1273">
        <w:rPr>
          <w:sz w:val="24"/>
          <w:szCs w:val="24"/>
          <w:lang w:eastAsia="da-DK"/>
        </w:rPr>
        <w:noBreakHyphen/>
        <w:t xml:space="preserve">glas) med en gummiprop </w:t>
      </w:r>
      <w:r>
        <w:rPr>
          <w:sz w:val="24"/>
          <w:szCs w:val="24"/>
          <w:lang w:eastAsia="da-DK"/>
        </w:rPr>
        <w:t>af brombutyl og aluminiumshætte, i kartonæske.</w:t>
      </w:r>
    </w:p>
    <w:p w:rsidR="00DA55EE" w:rsidRPr="00AF1273" w:rsidRDefault="00DA55EE" w:rsidP="00AF1273">
      <w:pPr>
        <w:ind w:left="851"/>
        <w:rPr>
          <w:sz w:val="24"/>
          <w:szCs w:val="24"/>
          <w:lang w:eastAsia="da-DK"/>
        </w:rPr>
      </w:pPr>
    </w:p>
    <w:p w:rsidR="00AF1273" w:rsidRPr="00AF1273" w:rsidRDefault="00AF1273" w:rsidP="00AF1273">
      <w:pPr>
        <w:ind w:left="851"/>
        <w:rPr>
          <w:sz w:val="24"/>
          <w:szCs w:val="24"/>
          <w:lang w:eastAsia="da-DK"/>
        </w:rPr>
      </w:pPr>
      <w:r w:rsidRPr="00AF1273">
        <w:rPr>
          <w:sz w:val="24"/>
          <w:szCs w:val="24"/>
          <w:lang w:eastAsia="da-DK"/>
        </w:rPr>
        <w:t>Pakningsstørrelser: 100 ml, 5</w:t>
      </w:r>
      <w:r w:rsidR="00DA55EE">
        <w:rPr>
          <w:sz w:val="24"/>
          <w:szCs w:val="24"/>
          <w:lang w:eastAsia="da-DK"/>
        </w:rPr>
        <w:t>×</w:t>
      </w:r>
      <w:r w:rsidRPr="00AF1273">
        <w:rPr>
          <w:sz w:val="24"/>
          <w:szCs w:val="24"/>
          <w:lang w:eastAsia="da-DK"/>
        </w:rPr>
        <w:t>100 ml</w:t>
      </w:r>
      <w:r w:rsidR="00DA55EE">
        <w:rPr>
          <w:sz w:val="24"/>
          <w:szCs w:val="24"/>
          <w:lang w:eastAsia="da-DK"/>
        </w:rPr>
        <w:t>.</w:t>
      </w:r>
    </w:p>
    <w:p w:rsidR="00DA55EE" w:rsidRPr="00406EE7" w:rsidRDefault="00AF1273" w:rsidP="00DA55EE">
      <w:pPr>
        <w:ind w:left="851"/>
        <w:rPr>
          <w:sz w:val="24"/>
          <w:szCs w:val="24"/>
          <w:lang w:eastAsia="da-DK"/>
        </w:rPr>
      </w:pPr>
      <w:r w:rsidRPr="00AF1273">
        <w:rPr>
          <w:sz w:val="24"/>
          <w:szCs w:val="24"/>
          <w:lang w:eastAsia="da-DK"/>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5B0036" w:rsidRPr="00DA55EE" w:rsidRDefault="00DA55EE" w:rsidP="00DA55EE">
      <w:pPr>
        <w:ind w:left="851"/>
        <w:rPr>
          <w:sz w:val="24"/>
          <w:szCs w:val="24"/>
          <w:lang w:eastAsia="da-DK"/>
        </w:rPr>
      </w:pPr>
      <w:r w:rsidRPr="00DA55EE">
        <w:rPr>
          <w:sz w:val="24"/>
          <w:szCs w:val="24"/>
          <w:lang w:eastAsia="da-DK"/>
        </w:rPr>
        <w:t>Ikke anvendte veterinærlægemidler samt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19198C" w:rsidRDefault="0019198C" w:rsidP="0019198C">
      <w:pPr>
        <w:tabs>
          <w:tab w:val="left" w:pos="1304"/>
        </w:tabs>
        <w:ind w:left="851"/>
        <w:rPr>
          <w:sz w:val="24"/>
          <w:szCs w:val="24"/>
          <w:lang w:eastAsia="da-DK"/>
        </w:rPr>
      </w:pPr>
      <w:r>
        <w:rPr>
          <w:sz w:val="24"/>
          <w:szCs w:val="24"/>
        </w:rPr>
        <w:t>Dechra Regulatory B.V.</w:t>
      </w:r>
    </w:p>
    <w:p w:rsidR="0019198C" w:rsidRDefault="0019198C" w:rsidP="0019198C">
      <w:pPr>
        <w:tabs>
          <w:tab w:val="left" w:pos="1304"/>
        </w:tabs>
        <w:ind w:left="851"/>
        <w:rPr>
          <w:sz w:val="24"/>
          <w:szCs w:val="24"/>
        </w:rPr>
      </w:pPr>
      <w:r>
        <w:rPr>
          <w:sz w:val="24"/>
          <w:szCs w:val="24"/>
        </w:rPr>
        <w:t>Handelsweg 25</w:t>
      </w:r>
    </w:p>
    <w:p w:rsidR="0019198C" w:rsidRDefault="0019198C" w:rsidP="0019198C">
      <w:pPr>
        <w:tabs>
          <w:tab w:val="left" w:pos="1304"/>
        </w:tabs>
        <w:ind w:left="851"/>
        <w:rPr>
          <w:sz w:val="24"/>
          <w:szCs w:val="24"/>
        </w:rPr>
      </w:pPr>
      <w:r>
        <w:rPr>
          <w:sz w:val="24"/>
          <w:szCs w:val="24"/>
        </w:rPr>
        <w:t>5531 AE Bladel</w:t>
      </w:r>
    </w:p>
    <w:p w:rsidR="0019198C" w:rsidRDefault="0019198C" w:rsidP="0019198C">
      <w:pPr>
        <w:tabs>
          <w:tab w:val="left" w:pos="1304"/>
        </w:tabs>
        <w:ind w:left="851"/>
        <w:rPr>
          <w:sz w:val="24"/>
          <w:szCs w:val="24"/>
        </w:rPr>
      </w:pPr>
      <w:r>
        <w:rPr>
          <w:sz w:val="24"/>
          <w:szCs w:val="24"/>
        </w:rPr>
        <w:t>Holland</w:t>
      </w:r>
    </w:p>
    <w:p w:rsidR="0019198C" w:rsidRDefault="0019198C" w:rsidP="0019198C">
      <w:pPr>
        <w:tabs>
          <w:tab w:val="left" w:pos="1304"/>
        </w:tabs>
        <w:ind w:left="851"/>
        <w:rPr>
          <w:sz w:val="24"/>
          <w:szCs w:val="24"/>
        </w:rPr>
      </w:pPr>
    </w:p>
    <w:p w:rsidR="0019198C" w:rsidRPr="00981233" w:rsidRDefault="0019198C" w:rsidP="0019198C">
      <w:pPr>
        <w:tabs>
          <w:tab w:val="left" w:pos="1304"/>
        </w:tabs>
        <w:ind w:left="851"/>
        <w:rPr>
          <w:b/>
          <w:sz w:val="24"/>
          <w:szCs w:val="24"/>
        </w:rPr>
      </w:pPr>
      <w:r w:rsidRPr="00981233">
        <w:rPr>
          <w:b/>
          <w:sz w:val="24"/>
          <w:szCs w:val="24"/>
        </w:rPr>
        <w:t>Repræsentant</w:t>
      </w:r>
    </w:p>
    <w:p w:rsidR="0019198C" w:rsidRPr="00981233" w:rsidRDefault="0019198C" w:rsidP="0019198C">
      <w:pPr>
        <w:tabs>
          <w:tab w:val="left" w:pos="1304"/>
        </w:tabs>
        <w:ind w:left="851"/>
        <w:rPr>
          <w:sz w:val="24"/>
          <w:szCs w:val="24"/>
        </w:rPr>
      </w:pPr>
      <w:r w:rsidRPr="00981233">
        <w:rPr>
          <w:sz w:val="24"/>
          <w:szCs w:val="24"/>
        </w:rPr>
        <w:t>Dechra Veterinary Products A/S</w:t>
      </w:r>
    </w:p>
    <w:p w:rsidR="0019198C" w:rsidRDefault="0019198C" w:rsidP="0019198C">
      <w:pPr>
        <w:tabs>
          <w:tab w:val="left" w:pos="1304"/>
        </w:tabs>
        <w:ind w:left="851"/>
        <w:rPr>
          <w:sz w:val="24"/>
          <w:szCs w:val="24"/>
        </w:rPr>
      </w:pPr>
      <w:r>
        <w:rPr>
          <w:sz w:val="24"/>
          <w:szCs w:val="24"/>
        </w:rPr>
        <w:t>Mekuvej 9</w:t>
      </w:r>
    </w:p>
    <w:p w:rsidR="005B0036" w:rsidRPr="00406EE7" w:rsidRDefault="0019198C" w:rsidP="0019198C">
      <w:pPr>
        <w:tabs>
          <w:tab w:val="left" w:pos="1304"/>
        </w:tabs>
        <w:ind w:left="851"/>
        <w:rPr>
          <w:sz w:val="24"/>
          <w:szCs w:val="24"/>
        </w:rPr>
      </w:pPr>
      <w:r>
        <w:rPr>
          <w:sz w:val="24"/>
          <w:szCs w:val="24"/>
        </w:rPr>
        <w:t>7171 Uldum</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981233" w:rsidP="005B0036">
      <w:pPr>
        <w:tabs>
          <w:tab w:val="left" w:pos="851"/>
          <w:tab w:val="left" w:pos="8222"/>
        </w:tabs>
        <w:ind w:left="851"/>
        <w:rPr>
          <w:sz w:val="24"/>
          <w:szCs w:val="24"/>
        </w:rPr>
      </w:pPr>
      <w:r>
        <w:rPr>
          <w:sz w:val="24"/>
          <w:szCs w:val="24"/>
        </w:rPr>
        <w:t>61295</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115BEA" w:rsidP="005B0036">
      <w:pPr>
        <w:tabs>
          <w:tab w:val="left" w:pos="851"/>
          <w:tab w:val="left" w:pos="8222"/>
        </w:tabs>
        <w:ind w:left="851"/>
        <w:rPr>
          <w:sz w:val="24"/>
          <w:szCs w:val="24"/>
        </w:rPr>
      </w:pPr>
      <w:r>
        <w:rPr>
          <w:sz w:val="24"/>
          <w:szCs w:val="24"/>
        </w:rPr>
        <w:t>3. maj 2019</w:t>
      </w:r>
      <w:bookmarkStart w:id="17" w:name="_GoBack"/>
      <w:bookmarkEnd w:id="17"/>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981233"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5B0036" w:rsidRPr="00406EE7" w:rsidRDefault="00981233" w:rsidP="005B0036">
      <w:pPr>
        <w:pStyle w:val="Sidehoved"/>
        <w:tabs>
          <w:tab w:val="clear" w:pos="4819"/>
          <w:tab w:val="left" w:pos="851"/>
          <w:tab w:val="left" w:pos="8222"/>
        </w:tabs>
        <w:ind w:left="851"/>
        <w:rPr>
          <w:szCs w:val="24"/>
        </w:rPr>
      </w:pPr>
      <w:r>
        <w:rPr>
          <w:szCs w:val="24"/>
        </w:rPr>
        <w:t>APK</w:t>
      </w:r>
    </w:p>
    <w:sectPr w:rsidR="005B0036" w:rsidRPr="00406EE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DF" w:rsidRDefault="00CC3EDF">
      <w:r>
        <w:separator/>
      </w:r>
    </w:p>
  </w:endnote>
  <w:endnote w:type="continuationSeparator" w:id="0">
    <w:p w:rsidR="00CC3EDF" w:rsidRDefault="00CC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15BEA">
      <w:rPr>
        <w:i/>
        <w:noProof/>
        <w:snapToGrid w:val="0"/>
        <w:sz w:val="18"/>
      </w:rPr>
      <w:t>Sympagesic, injektionsvæske, opløsning 500+4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115BEA">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115BEA">
      <w:rPr>
        <w:i/>
        <w:noProof/>
        <w:snapToGrid w:val="0"/>
        <w:sz w:val="18"/>
      </w:rPr>
      <w:t>6</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15BEA">
      <w:rPr>
        <w:i/>
        <w:noProof/>
        <w:snapToGrid w:val="0"/>
        <w:sz w:val="18"/>
      </w:rPr>
      <w:t>Sympagesic, injektionsvæske, opløsning 500+4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115BEA">
      <w:rPr>
        <w:i/>
        <w:noProof/>
        <w:snapToGrid w:val="0"/>
        <w:sz w:val="18"/>
      </w:rPr>
      <w:t>6</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115BEA">
      <w:rPr>
        <w:i/>
        <w:noProof/>
        <w:snapToGrid w:val="0"/>
        <w:sz w:val="18"/>
      </w:rPr>
      <w:t>6</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DF" w:rsidRDefault="00CC3EDF">
      <w:r>
        <w:separator/>
      </w:r>
    </w:p>
  </w:footnote>
  <w:footnote w:type="continuationSeparator" w:id="0">
    <w:p w:rsidR="00CC3EDF" w:rsidRDefault="00CC3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DF"/>
    <w:rsid w:val="0003527F"/>
    <w:rsid w:val="00065C7D"/>
    <w:rsid w:val="000C6CD4"/>
    <w:rsid w:val="000E1BEF"/>
    <w:rsid w:val="00115BEA"/>
    <w:rsid w:val="00157719"/>
    <w:rsid w:val="001577E4"/>
    <w:rsid w:val="001858CA"/>
    <w:rsid w:val="0019198C"/>
    <w:rsid w:val="001C4AEF"/>
    <w:rsid w:val="001D3CC5"/>
    <w:rsid w:val="00322BDE"/>
    <w:rsid w:val="003570AE"/>
    <w:rsid w:val="00363910"/>
    <w:rsid w:val="003B2226"/>
    <w:rsid w:val="00406EE7"/>
    <w:rsid w:val="00407013"/>
    <w:rsid w:val="00410704"/>
    <w:rsid w:val="00433C2F"/>
    <w:rsid w:val="0045712D"/>
    <w:rsid w:val="00461382"/>
    <w:rsid w:val="004955E4"/>
    <w:rsid w:val="004A62CC"/>
    <w:rsid w:val="004F6DA5"/>
    <w:rsid w:val="005521EB"/>
    <w:rsid w:val="00565A74"/>
    <w:rsid w:val="005B0036"/>
    <w:rsid w:val="005D2285"/>
    <w:rsid w:val="005F5831"/>
    <w:rsid w:val="00662012"/>
    <w:rsid w:val="00666B01"/>
    <w:rsid w:val="00673A0E"/>
    <w:rsid w:val="006B1539"/>
    <w:rsid w:val="006D73F3"/>
    <w:rsid w:val="006F5621"/>
    <w:rsid w:val="00741B49"/>
    <w:rsid w:val="007E0259"/>
    <w:rsid w:val="007E2A00"/>
    <w:rsid w:val="008010F2"/>
    <w:rsid w:val="008608C2"/>
    <w:rsid w:val="008E59B7"/>
    <w:rsid w:val="009202AE"/>
    <w:rsid w:val="00981233"/>
    <w:rsid w:val="009D405F"/>
    <w:rsid w:val="009D66C6"/>
    <w:rsid w:val="00A850DB"/>
    <w:rsid w:val="00A96525"/>
    <w:rsid w:val="00AE29E5"/>
    <w:rsid w:val="00AE5757"/>
    <w:rsid w:val="00AF1273"/>
    <w:rsid w:val="00AF1F30"/>
    <w:rsid w:val="00B25EB8"/>
    <w:rsid w:val="00B273DF"/>
    <w:rsid w:val="00BC634B"/>
    <w:rsid w:val="00BF2AE0"/>
    <w:rsid w:val="00C24058"/>
    <w:rsid w:val="00C479BF"/>
    <w:rsid w:val="00CC3EDF"/>
    <w:rsid w:val="00CD6C70"/>
    <w:rsid w:val="00DA55EE"/>
    <w:rsid w:val="00DD6D71"/>
    <w:rsid w:val="00DF32BE"/>
    <w:rsid w:val="00E14F0A"/>
    <w:rsid w:val="00E7386E"/>
    <w:rsid w:val="00EB2547"/>
    <w:rsid w:val="00EB5778"/>
    <w:rsid w:val="00EE5253"/>
    <w:rsid w:val="00EF4B19"/>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29254-5F4F-496F-9AE4-5CEFDA4A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27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5580215">
      <w:bodyDiv w:val="1"/>
      <w:marLeft w:val="0"/>
      <w:marRight w:val="0"/>
      <w:marTop w:val="0"/>
      <w:marBottom w:val="0"/>
      <w:divBdr>
        <w:top w:val="none" w:sz="0" w:space="0" w:color="auto"/>
        <w:left w:val="none" w:sz="0" w:space="0" w:color="auto"/>
        <w:bottom w:val="none" w:sz="0" w:space="0" w:color="auto"/>
        <w:right w:val="none" w:sz="0" w:space="0" w:color="auto"/>
      </w:divBdr>
    </w:div>
    <w:div w:id="214827024">
      <w:bodyDiv w:val="1"/>
      <w:marLeft w:val="0"/>
      <w:marRight w:val="0"/>
      <w:marTop w:val="0"/>
      <w:marBottom w:val="0"/>
      <w:divBdr>
        <w:top w:val="none" w:sz="0" w:space="0" w:color="auto"/>
        <w:left w:val="none" w:sz="0" w:space="0" w:color="auto"/>
        <w:bottom w:val="none" w:sz="0" w:space="0" w:color="auto"/>
        <w:right w:val="none" w:sz="0" w:space="0" w:color="auto"/>
      </w:divBdr>
    </w:div>
    <w:div w:id="440148023">
      <w:bodyDiv w:val="1"/>
      <w:marLeft w:val="0"/>
      <w:marRight w:val="0"/>
      <w:marTop w:val="0"/>
      <w:marBottom w:val="0"/>
      <w:divBdr>
        <w:top w:val="none" w:sz="0" w:space="0" w:color="auto"/>
        <w:left w:val="none" w:sz="0" w:space="0" w:color="auto"/>
        <w:bottom w:val="none" w:sz="0" w:space="0" w:color="auto"/>
        <w:right w:val="none" w:sz="0" w:space="0" w:color="auto"/>
      </w:divBdr>
    </w:div>
    <w:div w:id="482083360">
      <w:bodyDiv w:val="1"/>
      <w:marLeft w:val="0"/>
      <w:marRight w:val="0"/>
      <w:marTop w:val="0"/>
      <w:marBottom w:val="0"/>
      <w:divBdr>
        <w:top w:val="none" w:sz="0" w:space="0" w:color="auto"/>
        <w:left w:val="none" w:sz="0" w:space="0" w:color="auto"/>
        <w:bottom w:val="none" w:sz="0" w:space="0" w:color="auto"/>
        <w:right w:val="none" w:sz="0" w:space="0" w:color="auto"/>
      </w:divBdr>
    </w:div>
    <w:div w:id="553662135">
      <w:bodyDiv w:val="1"/>
      <w:marLeft w:val="0"/>
      <w:marRight w:val="0"/>
      <w:marTop w:val="0"/>
      <w:marBottom w:val="0"/>
      <w:divBdr>
        <w:top w:val="none" w:sz="0" w:space="0" w:color="auto"/>
        <w:left w:val="none" w:sz="0" w:space="0" w:color="auto"/>
        <w:bottom w:val="none" w:sz="0" w:space="0" w:color="auto"/>
        <w:right w:val="none" w:sz="0" w:space="0" w:color="auto"/>
      </w:divBdr>
    </w:div>
    <w:div w:id="594092165">
      <w:bodyDiv w:val="1"/>
      <w:marLeft w:val="0"/>
      <w:marRight w:val="0"/>
      <w:marTop w:val="0"/>
      <w:marBottom w:val="0"/>
      <w:divBdr>
        <w:top w:val="none" w:sz="0" w:space="0" w:color="auto"/>
        <w:left w:val="none" w:sz="0" w:space="0" w:color="auto"/>
        <w:bottom w:val="none" w:sz="0" w:space="0" w:color="auto"/>
        <w:right w:val="none" w:sz="0" w:space="0" w:color="auto"/>
      </w:divBdr>
    </w:div>
    <w:div w:id="607659722">
      <w:bodyDiv w:val="1"/>
      <w:marLeft w:val="0"/>
      <w:marRight w:val="0"/>
      <w:marTop w:val="0"/>
      <w:marBottom w:val="0"/>
      <w:divBdr>
        <w:top w:val="none" w:sz="0" w:space="0" w:color="auto"/>
        <w:left w:val="none" w:sz="0" w:space="0" w:color="auto"/>
        <w:bottom w:val="none" w:sz="0" w:space="0" w:color="auto"/>
        <w:right w:val="none" w:sz="0" w:space="0" w:color="auto"/>
      </w:divBdr>
    </w:div>
    <w:div w:id="920288144">
      <w:bodyDiv w:val="1"/>
      <w:marLeft w:val="0"/>
      <w:marRight w:val="0"/>
      <w:marTop w:val="0"/>
      <w:marBottom w:val="0"/>
      <w:divBdr>
        <w:top w:val="none" w:sz="0" w:space="0" w:color="auto"/>
        <w:left w:val="none" w:sz="0" w:space="0" w:color="auto"/>
        <w:bottom w:val="none" w:sz="0" w:space="0" w:color="auto"/>
        <w:right w:val="none" w:sz="0" w:space="0" w:color="auto"/>
      </w:divBdr>
    </w:div>
    <w:div w:id="929892411">
      <w:bodyDiv w:val="1"/>
      <w:marLeft w:val="0"/>
      <w:marRight w:val="0"/>
      <w:marTop w:val="0"/>
      <w:marBottom w:val="0"/>
      <w:divBdr>
        <w:top w:val="none" w:sz="0" w:space="0" w:color="auto"/>
        <w:left w:val="none" w:sz="0" w:space="0" w:color="auto"/>
        <w:bottom w:val="none" w:sz="0" w:space="0" w:color="auto"/>
        <w:right w:val="none" w:sz="0" w:space="0" w:color="auto"/>
      </w:divBdr>
    </w:div>
    <w:div w:id="1125924695">
      <w:bodyDiv w:val="1"/>
      <w:marLeft w:val="0"/>
      <w:marRight w:val="0"/>
      <w:marTop w:val="0"/>
      <w:marBottom w:val="0"/>
      <w:divBdr>
        <w:top w:val="none" w:sz="0" w:space="0" w:color="auto"/>
        <w:left w:val="none" w:sz="0" w:space="0" w:color="auto"/>
        <w:bottom w:val="none" w:sz="0" w:space="0" w:color="auto"/>
        <w:right w:val="none" w:sz="0" w:space="0" w:color="auto"/>
      </w:divBdr>
    </w:div>
    <w:div w:id="1645814284">
      <w:bodyDiv w:val="1"/>
      <w:marLeft w:val="0"/>
      <w:marRight w:val="0"/>
      <w:marTop w:val="0"/>
      <w:marBottom w:val="0"/>
      <w:divBdr>
        <w:top w:val="none" w:sz="0" w:space="0" w:color="auto"/>
        <w:left w:val="none" w:sz="0" w:space="0" w:color="auto"/>
        <w:bottom w:val="none" w:sz="0" w:space="0" w:color="auto"/>
        <w:right w:val="none" w:sz="0" w:space="0" w:color="auto"/>
      </w:divBdr>
    </w:div>
    <w:div w:id="1660496389">
      <w:bodyDiv w:val="1"/>
      <w:marLeft w:val="0"/>
      <w:marRight w:val="0"/>
      <w:marTop w:val="0"/>
      <w:marBottom w:val="0"/>
      <w:divBdr>
        <w:top w:val="none" w:sz="0" w:space="0" w:color="auto"/>
        <w:left w:val="none" w:sz="0" w:space="0" w:color="auto"/>
        <w:bottom w:val="none" w:sz="0" w:space="0" w:color="auto"/>
        <w:right w:val="none" w:sz="0" w:space="0" w:color="auto"/>
      </w:divBdr>
    </w:div>
    <w:div w:id="1711539487">
      <w:bodyDiv w:val="1"/>
      <w:marLeft w:val="0"/>
      <w:marRight w:val="0"/>
      <w:marTop w:val="0"/>
      <w:marBottom w:val="0"/>
      <w:divBdr>
        <w:top w:val="none" w:sz="0" w:space="0" w:color="auto"/>
        <w:left w:val="none" w:sz="0" w:space="0" w:color="auto"/>
        <w:bottom w:val="none" w:sz="0" w:space="0" w:color="auto"/>
        <w:right w:val="none" w:sz="0" w:space="0" w:color="auto"/>
      </w:divBdr>
    </w:div>
    <w:div w:id="1769159947">
      <w:bodyDiv w:val="1"/>
      <w:marLeft w:val="0"/>
      <w:marRight w:val="0"/>
      <w:marTop w:val="0"/>
      <w:marBottom w:val="0"/>
      <w:divBdr>
        <w:top w:val="none" w:sz="0" w:space="0" w:color="auto"/>
        <w:left w:val="none" w:sz="0" w:space="0" w:color="auto"/>
        <w:bottom w:val="none" w:sz="0" w:space="0" w:color="auto"/>
        <w:right w:val="none" w:sz="0" w:space="0" w:color="auto"/>
      </w:divBdr>
    </w:div>
    <w:div w:id="180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28</TotalTime>
  <Pages>6</Pages>
  <Words>1303</Words>
  <Characters>8647</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2018062402 mt</dc:description>
  <cp:lastModifiedBy>Hanne Thy Iversen</cp:lastModifiedBy>
  <cp:revision>22</cp:revision>
  <cp:lastPrinted>2019-05-03T09:06:00Z</cp:lastPrinted>
  <dcterms:created xsi:type="dcterms:W3CDTF">2019-04-29T11:53:00Z</dcterms:created>
  <dcterms:modified xsi:type="dcterms:W3CDTF">2019-05-03T09:06:00Z</dcterms:modified>
</cp:coreProperties>
</file>