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3AF" w:rsidRPr="00E25C6F" w:rsidRDefault="00F263AF" w:rsidP="00F263AF">
      <w:pPr>
        <w:rPr>
          <w:sz w:val="24"/>
          <w:szCs w:val="24"/>
        </w:rPr>
      </w:pPr>
      <w:r w:rsidRPr="00E25C6F">
        <w:rPr>
          <w:noProof/>
          <w:sz w:val="24"/>
          <w:szCs w:val="24"/>
          <w:lang w:eastAsia="da-DK"/>
        </w:rPr>
        <w:drawing>
          <wp:inline distT="0" distB="0" distL="0" distR="0" wp14:anchorId="18B755E6" wp14:editId="4C67285A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3AF" w:rsidRPr="00E25C6F" w:rsidRDefault="00F263AF" w:rsidP="00F263AF">
      <w:pPr>
        <w:rPr>
          <w:sz w:val="24"/>
          <w:szCs w:val="24"/>
        </w:rPr>
      </w:pPr>
    </w:p>
    <w:p w:rsidR="00F263AF" w:rsidRPr="00E25C6F" w:rsidRDefault="00F263AF" w:rsidP="00F263AF">
      <w:pPr>
        <w:tabs>
          <w:tab w:val="right" w:pos="9356"/>
        </w:tabs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ab/>
      </w:r>
      <w:r w:rsidR="00771A99">
        <w:rPr>
          <w:b/>
          <w:sz w:val="24"/>
          <w:szCs w:val="24"/>
        </w:rPr>
        <w:t>5. november</w:t>
      </w:r>
      <w:r w:rsidR="001B175E">
        <w:rPr>
          <w:b/>
          <w:sz w:val="24"/>
          <w:szCs w:val="24"/>
        </w:rPr>
        <w:t xml:space="preserve"> 2024</w:t>
      </w:r>
    </w:p>
    <w:p w:rsidR="00D720F5" w:rsidRPr="00E25C6F" w:rsidRDefault="00D720F5" w:rsidP="00F263AF">
      <w:pPr>
        <w:rPr>
          <w:sz w:val="24"/>
          <w:szCs w:val="24"/>
        </w:rPr>
      </w:pPr>
    </w:p>
    <w:p w:rsidR="00F263AF" w:rsidRPr="00E25C6F" w:rsidRDefault="00F263AF" w:rsidP="00F263AF">
      <w:pPr>
        <w:rPr>
          <w:sz w:val="24"/>
          <w:szCs w:val="24"/>
        </w:rPr>
      </w:pPr>
    </w:p>
    <w:p w:rsidR="00A2094E" w:rsidRPr="00E25C6F" w:rsidRDefault="00A2094E" w:rsidP="00F263AF">
      <w:pPr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222"/>
        </w:tabs>
        <w:jc w:val="center"/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PRODUKTRESUMÉ</w:t>
      </w:r>
    </w:p>
    <w:p w:rsidR="00F263AF" w:rsidRPr="00E25C6F" w:rsidRDefault="00F263AF" w:rsidP="00F263AF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263AF" w:rsidRPr="00E25C6F" w:rsidRDefault="00F263AF" w:rsidP="00F263AF">
      <w:pPr>
        <w:tabs>
          <w:tab w:val="left" w:pos="8222"/>
        </w:tabs>
        <w:jc w:val="center"/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for</w:t>
      </w:r>
    </w:p>
    <w:p w:rsidR="00F263AF" w:rsidRPr="00E25C6F" w:rsidRDefault="00F263AF" w:rsidP="00F263AF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F263AF" w:rsidRPr="00E25C6F" w:rsidRDefault="00F263AF" w:rsidP="00F263AF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 w:rsidRPr="00E25C6F">
        <w:rPr>
          <w:b/>
          <w:sz w:val="24"/>
          <w:szCs w:val="24"/>
        </w:rPr>
        <w:t>Syvacillin</w:t>
      </w:r>
      <w:proofErr w:type="spellEnd"/>
      <w:r w:rsidRPr="00E25C6F">
        <w:rPr>
          <w:b/>
          <w:sz w:val="24"/>
          <w:szCs w:val="24"/>
        </w:rPr>
        <w:t xml:space="preserve"> </w:t>
      </w:r>
      <w:proofErr w:type="spellStart"/>
      <w:r w:rsidRPr="00E25C6F">
        <w:rPr>
          <w:b/>
          <w:sz w:val="24"/>
          <w:szCs w:val="24"/>
        </w:rPr>
        <w:t>Vet</w:t>
      </w:r>
      <w:proofErr w:type="spellEnd"/>
      <w:r w:rsidRPr="00E25C6F">
        <w:rPr>
          <w:b/>
          <w:sz w:val="24"/>
          <w:szCs w:val="24"/>
        </w:rPr>
        <w:t>., injektionsvæske, suspension</w:t>
      </w:r>
    </w:p>
    <w:p w:rsidR="00F263AF" w:rsidRPr="00E25C6F" w:rsidRDefault="00F263AF" w:rsidP="00F263AF">
      <w:pPr>
        <w:tabs>
          <w:tab w:val="left" w:pos="8222"/>
        </w:tabs>
        <w:jc w:val="both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222"/>
        </w:tabs>
        <w:jc w:val="both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0.</w:t>
      </w:r>
      <w:r w:rsidRPr="00E25C6F">
        <w:rPr>
          <w:b/>
          <w:sz w:val="24"/>
          <w:szCs w:val="24"/>
        </w:rPr>
        <w:tab/>
        <w:t>D.SP.NR.</w:t>
      </w:r>
    </w:p>
    <w:p w:rsidR="00F263AF" w:rsidRPr="00E25C6F" w:rsidRDefault="00F263AF" w:rsidP="00F263AF">
      <w:pPr>
        <w:tabs>
          <w:tab w:val="left" w:pos="8222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>30944</w:t>
      </w:r>
    </w:p>
    <w:p w:rsidR="00F263AF" w:rsidRPr="00E25C6F" w:rsidRDefault="00F263AF" w:rsidP="00F263AF">
      <w:pPr>
        <w:tabs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1.</w:t>
      </w:r>
      <w:r w:rsidRPr="00E25C6F">
        <w:rPr>
          <w:b/>
          <w:sz w:val="24"/>
          <w:szCs w:val="24"/>
        </w:rPr>
        <w:tab/>
        <w:t>VETERINÆRLÆGEMIDLETS NAVN</w:t>
      </w:r>
    </w:p>
    <w:p w:rsidR="00F263AF" w:rsidRPr="00E25C6F" w:rsidRDefault="00F263AF" w:rsidP="00F263AF">
      <w:pPr>
        <w:tabs>
          <w:tab w:val="left" w:pos="8222"/>
        </w:tabs>
        <w:ind w:left="851"/>
        <w:rPr>
          <w:sz w:val="24"/>
          <w:szCs w:val="24"/>
        </w:rPr>
      </w:pPr>
      <w:proofErr w:type="spellStart"/>
      <w:r w:rsidRPr="00E25C6F">
        <w:rPr>
          <w:sz w:val="24"/>
          <w:szCs w:val="24"/>
        </w:rPr>
        <w:t>Syvacillin</w:t>
      </w:r>
      <w:proofErr w:type="spellEnd"/>
      <w:r w:rsidRPr="00E25C6F">
        <w:rPr>
          <w:sz w:val="24"/>
          <w:szCs w:val="24"/>
        </w:rPr>
        <w:t xml:space="preserve"> </w:t>
      </w:r>
      <w:proofErr w:type="spellStart"/>
      <w:r w:rsidRPr="00E25C6F">
        <w:rPr>
          <w:sz w:val="24"/>
          <w:szCs w:val="24"/>
        </w:rPr>
        <w:t>Vet</w:t>
      </w:r>
      <w:proofErr w:type="spellEnd"/>
      <w:r w:rsidRPr="00E25C6F">
        <w:rPr>
          <w:sz w:val="24"/>
          <w:szCs w:val="24"/>
        </w:rPr>
        <w:t>.</w:t>
      </w:r>
    </w:p>
    <w:p w:rsidR="00F263AF" w:rsidRPr="00E25C6F" w:rsidRDefault="00F263AF" w:rsidP="00F263AF">
      <w:pPr>
        <w:tabs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2.</w:t>
      </w:r>
      <w:r w:rsidRPr="00E25C6F">
        <w:rPr>
          <w:b/>
          <w:sz w:val="24"/>
          <w:szCs w:val="24"/>
        </w:rPr>
        <w:tab/>
        <w:t>KVALITATIV OG KVANTITATIV SAMMENSÆTNING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>Hver ml indeholder: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567"/>
        </w:tabs>
        <w:ind w:left="851"/>
        <w:rPr>
          <w:sz w:val="24"/>
          <w:szCs w:val="24"/>
          <w:u w:val="single"/>
        </w:rPr>
      </w:pPr>
      <w:r w:rsidRPr="00E25C6F">
        <w:rPr>
          <w:bCs/>
          <w:sz w:val="24"/>
          <w:szCs w:val="24"/>
          <w:u w:val="single"/>
        </w:rPr>
        <w:t>Aktivt stof</w:t>
      </w:r>
    </w:p>
    <w:p w:rsidR="00F263AF" w:rsidRPr="00E25C6F" w:rsidRDefault="00F263AF" w:rsidP="00F263AF">
      <w:pPr>
        <w:suppressAutoHyphens/>
        <w:ind w:left="851"/>
        <w:rPr>
          <w:sz w:val="24"/>
          <w:szCs w:val="24"/>
        </w:rPr>
      </w:pPr>
      <w:proofErr w:type="spellStart"/>
      <w:r w:rsidRPr="00E25C6F">
        <w:rPr>
          <w:sz w:val="24"/>
          <w:szCs w:val="24"/>
        </w:rPr>
        <w:t>Procainbenzylpenicillinmonohydrat</w:t>
      </w:r>
      <w:proofErr w:type="spellEnd"/>
      <w:proofErr w:type="gramStart"/>
      <w:r w:rsidRPr="00E25C6F">
        <w:rPr>
          <w:sz w:val="24"/>
          <w:szCs w:val="24"/>
        </w:rPr>
        <w:t>………….</w:t>
      </w:r>
      <w:proofErr w:type="gramEnd"/>
      <w:r w:rsidRPr="00E25C6F">
        <w:rPr>
          <w:sz w:val="24"/>
          <w:szCs w:val="24"/>
        </w:rPr>
        <w:t>.…..300 mg</w:t>
      </w:r>
    </w:p>
    <w:p w:rsidR="00F263AF" w:rsidRPr="00E25C6F" w:rsidRDefault="00F263AF" w:rsidP="00F263AF">
      <w:pPr>
        <w:suppressAutoHyphens/>
        <w:ind w:left="851"/>
        <w:rPr>
          <w:sz w:val="24"/>
          <w:szCs w:val="24"/>
        </w:rPr>
      </w:pPr>
      <w:r w:rsidRPr="00E25C6F">
        <w:rPr>
          <w:sz w:val="24"/>
          <w:szCs w:val="24"/>
        </w:rPr>
        <w:t>(svarende til 170</w:t>
      </w:r>
      <w:r w:rsidR="008F0C9E" w:rsidRPr="00E25C6F">
        <w:rPr>
          <w:sz w:val="24"/>
          <w:szCs w:val="24"/>
        </w:rPr>
        <w:t>,40</w:t>
      </w:r>
      <w:r w:rsidRPr="00E25C6F">
        <w:rPr>
          <w:sz w:val="24"/>
          <w:szCs w:val="24"/>
        </w:rPr>
        <w:t xml:space="preserve"> mg </w:t>
      </w:r>
      <w:proofErr w:type="spellStart"/>
      <w:r w:rsidRPr="00E25C6F">
        <w:rPr>
          <w:sz w:val="24"/>
          <w:szCs w:val="24"/>
        </w:rPr>
        <w:t>benzylpenicillin</w:t>
      </w:r>
      <w:proofErr w:type="spellEnd"/>
      <w:r w:rsidRPr="00E25C6F">
        <w:rPr>
          <w:sz w:val="24"/>
          <w:szCs w:val="24"/>
        </w:rPr>
        <w:t>)</w:t>
      </w:r>
    </w:p>
    <w:p w:rsidR="00F263AF" w:rsidRPr="00E25C6F" w:rsidRDefault="00F263AF" w:rsidP="00F263AF">
      <w:pPr>
        <w:suppressAutoHyphens/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567"/>
        </w:tabs>
        <w:ind w:left="851"/>
        <w:rPr>
          <w:sz w:val="24"/>
          <w:szCs w:val="24"/>
          <w:u w:val="single"/>
        </w:rPr>
      </w:pPr>
      <w:r w:rsidRPr="00E25C6F">
        <w:rPr>
          <w:bCs/>
          <w:sz w:val="24"/>
          <w:szCs w:val="24"/>
          <w:u w:val="single"/>
        </w:rPr>
        <w:t>Hjælpestoffer</w:t>
      </w:r>
    </w:p>
    <w:p w:rsidR="00F263AF" w:rsidRPr="00E25C6F" w:rsidRDefault="00F263AF" w:rsidP="00F263AF">
      <w:pPr>
        <w:suppressAutoHyphens/>
        <w:ind w:left="851"/>
        <w:rPr>
          <w:sz w:val="24"/>
          <w:szCs w:val="24"/>
        </w:rPr>
      </w:pPr>
      <w:proofErr w:type="spellStart"/>
      <w:r w:rsidRPr="00E25C6F">
        <w:rPr>
          <w:sz w:val="24"/>
          <w:szCs w:val="24"/>
        </w:rPr>
        <w:t>Natriummethylparahydroxybenzoat</w:t>
      </w:r>
      <w:proofErr w:type="spellEnd"/>
      <w:r w:rsidRPr="00E25C6F">
        <w:rPr>
          <w:sz w:val="24"/>
          <w:szCs w:val="24"/>
        </w:rPr>
        <w:t xml:space="preserve"> (E219)………1,25 mg</w:t>
      </w:r>
    </w:p>
    <w:p w:rsidR="00F263AF" w:rsidRPr="00E25C6F" w:rsidRDefault="00F263AF" w:rsidP="00F263AF">
      <w:pPr>
        <w:suppressAutoHyphens/>
        <w:ind w:left="851"/>
        <w:rPr>
          <w:sz w:val="24"/>
          <w:szCs w:val="24"/>
        </w:rPr>
      </w:pPr>
    </w:p>
    <w:p w:rsidR="00F263AF" w:rsidRPr="00E25C6F" w:rsidRDefault="00F263AF" w:rsidP="00F263AF">
      <w:pPr>
        <w:suppressAutoHyphens/>
        <w:ind w:left="851"/>
        <w:rPr>
          <w:sz w:val="24"/>
          <w:szCs w:val="24"/>
        </w:rPr>
      </w:pPr>
      <w:r w:rsidRPr="00E25C6F">
        <w:rPr>
          <w:sz w:val="24"/>
          <w:szCs w:val="24"/>
        </w:rPr>
        <w:t>Alle hjælpestoffer er anført under pkt. 6.1.</w:t>
      </w:r>
    </w:p>
    <w:p w:rsidR="00F263AF" w:rsidRPr="00E25C6F" w:rsidRDefault="00F263AF" w:rsidP="00F263AF">
      <w:pPr>
        <w:tabs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3.</w:t>
      </w:r>
      <w:r w:rsidRPr="00E25C6F">
        <w:rPr>
          <w:b/>
          <w:sz w:val="24"/>
          <w:szCs w:val="24"/>
        </w:rPr>
        <w:tab/>
        <w:t>LÆGEMIDDELFORM</w:t>
      </w:r>
    </w:p>
    <w:p w:rsidR="00F263AF" w:rsidRPr="00E25C6F" w:rsidRDefault="00F263AF" w:rsidP="00F263AF">
      <w:pPr>
        <w:suppressAutoHyphens/>
        <w:ind w:left="851"/>
        <w:rPr>
          <w:sz w:val="24"/>
          <w:szCs w:val="24"/>
        </w:rPr>
      </w:pPr>
      <w:r w:rsidRPr="00E25C6F">
        <w:rPr>
          <w:sz w:val="24"/>
          <w:szCs w:val="24"/>
        </w:rPr>
        <w:t>Injektionsvæske, suspension</w:t>
      </w:r>
    </w:p>
    <w:p w:rsidR="00F263AF" w:rsidRPr="00E25C6F" w:rsidRDefault="00F263AF" w:rsidP="00F263AF">
      <w:pPr>
        <w:suppressAutoHyphens/>
        <w:ind w:left="851"/>
        <w:rPr>
          <w:sz w:val="24"/>
          <w:szCs w:val="24"/>
        </w:rPr>
      </w:pPr>
    </w:p>
    <w:p w:rsidR="00F263AF" w:rsidRPr="00E25C6F" w:rsidRDefault="00F263AF" w:rsidP="00F263AF">
      <w:pPr>
        <w:suppressAutoHyphens/>
        <w:ind w:left="851"/>
        <w:rPr>
          <w:sz w:val="24"/>
          <w:szCs w:val="24"/>
        </w:rPr>
      </w:pPr>
      <w:r w:rsidRPr="00E25C6F">
        <w:rPr>
          <w:sz w:val="24"/>
          <w:szCs w:val="24"/>
        </w:rPr>
        <w:t>Hvid suspension.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4.</w:t>
      </w:r>
      <w:r w:rsidRPr="00E25C6F">
        <w:rPr>
          <w:b/>
          <w:sz w:val="24"/>
          <w:szCs w:val="24"/>
        </w:rPr>
        <w:tab/>
        <w:t>KLINISKE OPLYSNINGER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222"/>
        </w:tabs>
        <w:ind w:left="851" w:hanging="851"/>
        <w:rPr>
          <w:b/>
          <w:sz w:val="24"/>
          <w:szCs w:val="24"/>
          <w:u w:val="single"/>
        </w:rPr>
      </w:pPr>
      <w:r w:rsidRPr="00E25C6F">
        <w:rPr>
          <w:b/>
          <w:sz w:val="24"/>
          <w:szCs w:val="24"/>
        </w:rPr>
        <w:t>4.1</w:t>
      </w:r>
      <w:r w:rsidRPr="00E25C6F">
        <w:rPr>
          <w:b/>
          <w:sz w:val="24"/>
          <w:szCs w:val="24"/>
        </w:rPr>
        <w:tab/>
        <w:t>Dyrearter</w:t>
      </w:r>
    </w:p>
    <w:p w:rsidR="00F263AF" w:rsidRPr="00E25C6F" w:rsidRDefault="00F263AF" w:rsidP="00F263AF">
      <w:pPr>
        <w:tabs>
          <w:tab w:val="left" w:pos="8222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>Kvæg</w:t>
      </w:r>
      <w:r w:rsidR="008F0C9E" w:rsidRPr="00E25C6F">
        <w:rPr>
          <w:sz w:val="24"/>
          <w:szCs w:val="24"/>
        </w:rPr>
        <w:t xml:space="preserve">, får </w:t>
      </w:r>
      <w:r w:rsidRPr="00E25C6F">
        <w:rPr>
          <w:sz w:val="24"/>
          <w:szCs w:val="24"/>
        </w:rPr>
        <w:t>og svin</w:t>
      </w:r>
    </w:p>
    <w:p w:rsidR="00F263AF" w:rsidRPr="00E25C6F" w:rsidRDefault="00F263AF" w:rsidP="00F263AF">
      <w:pPr>
        <w:tabs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pStyle w:val="Sidehoved"/>
        <w:tabs>
          <w:tab w:val="clear" w:pos="4819"/>
          <w:tab w:val="left" w:pos="8222"/>
        </w:tabs>
        <w:ind w:left="851" w:hanging="851"/>
        <w:rPr>
          <w:b/>
          <w:szCs w:val="24"/>
        </w:rPr>
      </w:pPr>
      <w:r w:rsidRPr="00E25C6F">
        <w:rPr>
          <w:b/>
          <w:szCs w:val="24"/>
        </w:rPr>
        <w:t>4.2</w:t>
      </w:r>
      <w:r w:rsidRPr="00E25C6F">
        <w:rPr>
          <w:b/>
          <w:szCs w:val="24"/>
        </w:rPr>
        <w:tab/>
        <w:t>Terapeutiske indikationer</w:t>
      </w:r>
    </w:p>
    <w:p w:rsidR="00F263AF" w:rsidRPr="00E25C6F" w:rsidRDefault="008F0C9E" w:rsidP="00F263AF">
      <w:pPr>
        <w:tabs>
          <w:tab w:val="left" w:pos="567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 xml:space="preserve">Til behandling af systemiske infektioner hos kvæg, får og svin forårsaget af eller relateret til bakterier, der er følsomme over for </w:t>
      </w:r>
      <w:proofErr w:type="spellStart"/>
      <w:r w:rsidRPr="00E25C6F">
        <w:rPr>
          <w:sz w:val="24"/>
          <w:szCs w:val="24"/>
        </w:rPr>
        <w:t>benzylpenicillin</w:t>
      </w:r>
      <w:proofErr w:type="spellEnd"/>
      <w:r w:rsidRPr="00E25C6F">
        <w:rPr>
          <w:sz w:val="24"/>
          <w:szCs w:val="24"/>
        </w:rPr>
        <w:t>.</w:t>
      </w:r>
    </w:p>
    <w:p w:rsidR="00F263AF" w:rsidRPr="00E25C6F" w:rsidRDefault="00F263AF" w:rsidP="00F263AF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F263AF" w:rsidRPr="00E25C6F" w:rsidRDefault="00F263AF" w:rsidP="00F263AF">
      <w:pPr>
        <w:pStyle w:val="Sidehoved"/>
        <w:tabs>
          <w:tab w:val="clear" w:pos="4819"/>
          <w:tab w:val="left" w:pos="851"/>
          <w:tab w:val="left" w:pos="8222"/>
        </w:tabs>
        <w:rPr>
          <w:b/>
          <w:szCs w:val="24"/>
        </w:rPr>
      </w:pPr>
      <w:r w:rsidRPr="00E25C6F">
        <w:rPr>
          <w:b/>
          <w:szCs w:val="24"/>
        </w:rPr>
        <w:t>4.3</w:t>
      </w:r>
      <w:r w:rsidRPr="00E25C6F">
        <w:rPr>
          <w:b/>
          <w:szCs w:val="24"/>
        </w:rPr>
        <w:tab/>
        <w:t>Kontraindikationer</w:t>
      </w: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>Bør ikke injiceres intravenøst.</w:t>
      </w: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lastRenderedPageBreak/>
        <w:t xml:space="preserve">Bør ikke anvendes i tilfælde af kendt overfølsomhed over for penicilliner, </w:t>
      </w:r>
      <w:proofErr w:type="spellStart"/>
      <w:r w:rsidRPr="00E25C6F">
        <w:rPr>
          <w:sz w:val="24"/>
          <w:szCs w:val="24"/>
        </w:rPr>
        <w:t>cephalosporiner</w:t>
      </w:r>
      <w:proofErr w:type="spellEnd"/>
      <w:r w:rsidRPr="00E25C6F">
        <w:rPr>
          <w:sz w:val="24"/>
          <w:szCs w:val="24"/>
        </w:rPr>
        <w:t xml:space="preserve">, </w:t>
      </w:r>
      <w:proofErr w:type="spellStart"/>
      <w:r w:rsidRPr="00E25C6F">
        <w:rPr>
          <w:sz w:val="24"/>
          <w:szCs w:val="24"/>
        </w:rPr>
        <w:t>procain</w:t>
      </w:r>
      <w:proofErr w:type="spellEnd"/>
      <w:r w:rsidRPr="00E25C6F">
        <w:rPr>
          <w:sz w:val="24"/>
          <w:szCs w:val="24"/>
        </w:rPr>
        <w:t xml:space="preserve"> eller over for et eller flere af hjælpestofferne.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 xml:space="preserve">Bør ikke anvendes i tilfælde af alvorlig nyredysfunktion med </w:t>
      </w:r>
      <w:proofErr w:type="spellStart"/>
      <w:r w:rsidRPr="00E25C6F">
        <w:rPr>
          <w:sz w:val="24"/>
          <w:szCs w:val="24"/>
        </w:rPr>
        <w:t>anuri</w:t>
      </w:r>
      <w:proofErr w:type="spellEnd"/>
      <w:r w:rsidRPr="00E25C6F">
        <w:rPr>
          <w:sz w:val="24"/>
          <w:szCs w:val="24"/>
        </w:rPr>
        <w:t xml:space="preserve"> og </w:t>
      </w:r>
      <w:proofErr w:type="spellStart"/>
      <w:r w:rsidRPr="00E25C6F">
        <w:rPr>
          <w:sz w:val="24"/>
          <w:szCs w:val="24"/>
        </w:rPr>
        <w:t>oliguri</w:t>
      </w:r>
      <w:proofErr w:type="spellEnd"/>
      <w:r w:rsidRPr="00E25C6F">
        <w:rPr>
          <w:sz w:val="24"/>
          <w:szCs w:val="24"/>
        </w:rPr>
        <w:t>.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 xml:space="preserve">Bør ikke anvendes ved tilstedeværelse af </w:t>
      </w:r>
      <w:bookmarkStart w:id="0" w:name="OLE_LINK2"/>
      <w:bookmarkStart w:id="1" w:name="OLE_LINK1"/>
      <w:r w:rsidRPr="00E25C6F">
        <w:rPr>
          <w:sz w:val="24"/>
          <w:szCs w:val="24"/>
        </w:rPr>
        <w:t>beta</w:t>
      </w:r>
      <w:bookmarkEnd w:id="0"/>
      <w:bookmarkEnd w:id="1"/>
      <w:r w:rsidRPr="00E25C6F">
        <w:rPr>
          <w:sz w:val="24"/>
          <w:szCs w:val="24"/>
        </w:rPr>
        <w:t>-</w:t>
      </w:r>
      <w:proofErr w:type="spellStart"/>
      <w:r w:rsidRPr="00E25C6F">
        <w:rPr>
          <w:sz w:val="24"/>
          <w:szCs w:val="24"/>
        </w:rPr>
        <w:t>lactamase</w:t>
      </w:r>
      <w:proofErr w:type="spellEnd"/>
      <w:r w:rsidRPr="00E25C6F">
        <w:rPr>
          <w:sz w:val="24"/>
          <w:szCs w:val="24"/>
        </w:rPr>
        <w:t xml:space="preserve">-producerende </w:t>
      </w:r>
      <w:proofErr w:type="spellStart"/>
      <w:r w:rsidRPr="00E25C6F">
        <w:rPr>
          <w:sz w:val="24"/>
          <w:szCs w:val="24"/>
        </w:rPr>
        <w:t>patogener</w:t>
      </w:r>
      <w:proofErr w:type="spellEnd"/>
      <w:r w:rsidRPr="00E25C6F">
        <w:rPr>
          <w:sz w:val="24"/>
          <w:szCs w:val="24"/>
        </w:rPr>
        <w:t>.</w:t>
      </w: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>Bør ikke anvendes til meget små planteædere som marsvin, ørkenrotter og hamstere.</w:t>
      </w:r>
    </w:p>
    <w:p w:rsidR="00F263AF" w:rsidRPr="00E25C6F" w:rsidRDefault="00F263AF" w:rsidP="00F263AF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F263AF" w:rsidRPr="00E25C6F" w:rsidRDefault="00F263AF" w:rsidP="00F263A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4.4</w:t>
      </w:r>
      <w:r w:rsidRPr="00E25C6F">
        <w:rPr>
          <w:b/>
          <w:sz w:val="24"/>
          <w:szCs w:val="24"/>
        </w:rPr>
        <w:tab/>
        <w:t>Særlige advarsler</w:t>
      </w:r>
    </w:p>
    <w:p w:rsidR="00F263AF" w:rsidRDefault="008F0C9E" w:rsidP="00F263AF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  <w:r w:rsidRPr="00E25C6F">
        <w:rPr>
          <w:szCs w:val="24"/>
        </w:rPr>
        <w:t xml:space="preserve">Der er påvist komplet krydsresistens mellem </w:t>
      </w:r>
      <w:proofErr w:type="spellStart"/>
      <w:r w:rsidRPr="00E25C6F">
        <w:rPr>
          <w:szCs w:val="24"/>
        </w:rPr>
        <w:t>benzylpenicillinprocain</w:t>
      </w:r>
      <w:proofErr w:type="spellEnd"/>
      <w:r w:rsidRPr="00E25C6F">
        <w:rPr>
          <w:szCs w:val="24"/>
        </w:rPr>
        <w:t xml:space="preserve"> og andre penicilliner.</w:t>
      </w:r>
    </w:p>
    <w:p w:rsidR="00021D8C" w:rsidRDefault="00021D8C" w:rsidP="00F263AF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021D8C" w:rsidRDefault="00021D8C" w:rsidP="00021D8C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  <w:r>
        <w:rPr>
          <w:szCs w:val="24"/>
        </w:rPr>
        <w:t xml:space="preserve">Efter absorption trænger </w:t>
      </w:r>
      <w:proofErr w:type="spellStart"/>
      <w:r>
        <w:rPr>
          <w:szCs w:val="24"/>
        </w:rPr>
        <w:t>benzylpenicillin</w:t>
      </w:r>
      <w:proofErr w:type="spellEnd"/>
      <w:r>
        <w:rPr>
          <w:szCs w:val="24"/>
        </w:rPr>
        <w:t xml:space="preserve"> dårligt gennem biologiske membraner (f.eks. blod-hjerne-barrieren), da det er ioniseret og har ringe fedtopløselighed. Anvendelse af produktet til behandling af meningitis eller CNS-infektioner forårsaget af f.eks. </w:t>
      </w:r>
      <w:proofErr w:type="spellStart"/>
      <w:r>
        <w:rPr>
          <w:i/>
          <w:iCs/>
          <w:szCs w:val="24"/>
        </w:rPr>
        <w:t>Streptococcus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suis</w:t>
      </w:r>
      <w:proofErr w:type="spellEnd"/>
      <w:r>
        <w:rPr>
          <w:szCs w:val="24"/>
        </w:rPr>
        <w:t xml:space="preserve"> eller </w:t>
      </w:r>
      <w:r>
        <w:rPr>
          <w:i/>
          <w:iCs/>
          <w:szCs w:val="24"/>
        </w:rPr>
        <w:t xml:space="preserve">Listeria </w:t>
      </w:r>
      <w:proofErr w:type="spellStart"/>
      <w:r>
        <w:rPr>
          <w:i/>
          <w:iCs/>
          <w:szCs w:val="24"/>
        </w:rPr>
        <w:t>monocytogenes</w:t>
      </w:r>
      <w:proofErr w:type="spellEnd"/>
      <w:r>
        <w:rPr>
          <w:szCs w:val="24"/>
        </w:rPr>
        <w:t xml:space="preserve"> er muligvis ikke effektiv. </w:t>
      </w:r>
      <w:proofErr w:type="spellStart"/>
      <w:r>
        <w:rPr>
          <w:szCs w:val="24"/>
        </w:rPr>
        <w:t>Benzylpenicillin</w:t>
      </w:r>
      <w:proofErr w:type="spellEnd"/>
      <w:r>
        <w:rPr>
          <w:szCs w:val="24"/>
        </w:rPr>
        <w:t xml:space="preserve"> trænger desuden dårligt ind i pattedyrceller, og produktet kan derfor tænkes at have ringe effekt til behandling mod intracellulære </w:t>
      </w:r>
      <w:proofErr w:type="spellStart"/>
      <w:r>
        <w:rPr>
          <w:szCs w:val="24"/>
        </w:rPr>
        <w:t>patogener</w:t>
      </w:r>
      <w:proofErr w:type="spellEnd"/>
      <w:r>
        <w:rPr>
          <w:szCs w:val="24"/>
        </w:rPr>
        <w:t xml:space="preserve"> såsom </w:t>
      </w:r>
      <w:r>
        <w:rPr>
          <w:i/>
          <w:iCs/>
          <w:szCs w:val="24"/>
        </w:rPr>
        <w:t xml:space="preserve">Listeria </w:t>
      </w:r>
      <w:proofErr w:type="spellStart"/>
      <w:r>
        <w:rPr>
          <w:i/>
          <w:iCs/>
          <w:szCs w:val="24"/>
        </w:rPr>
        <w:t>monocytogenes</w:t>
      </w:r>
      <w:proofErr w:type="spellEnd"/>
      <w:r>
        <w:rPr>
          <w:szCs w:val="24"/>
        </w:rPr>
        <w:t>.</w:t>
      </w:r>
    </w:p>
    <w:p w:rsidR="00021D8C" w:rsidRDefault="00021D8C" w:rsidP="00021D8C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021D8C" w:rsidRDefault="00021D8C" w:rsidP="00021D8C">
      <w:pPr>
        <w:pStyle w:val="Sidehoved"/>
        <w:tabs>
          <w:tab w:val="left" w:pos="8222"/>
        </w:tabs>
        <w:ind w:left="851"/>
        <w:rPr>
          <w:szCs w:val="24"/>
        </w:rPr>
      </w:pPr>
      <w:r>
        <w:rPr>
          <w:szCs w:val="24"/>
        </w:rPr>
        <w:t xml:space="preserve">Der er indberettet forhøjede MIC-værdier eller </w:t>
      </w:r>
      <w:proofErr w:type="spellStart"/>
      <w:r>
        <w:rPr>
          <w:szCs w:val="24"/>
        </w:rPr>
        <w:t>bimodale</w:t>
      </w:r>
      <w:proofErr w:type="spellEnd"/>
      <w:r>
        <w:rPr>
          <w:szCs w:val="24"/>
        </w:rPr>
        <w:t xml:space="preserve"> fordelingsprofiler, der tyder på erhvervet resistens, for følgende bakterier:</w:t>
      </w:r>
    </w:p>
    <w:p w:rsidR="00021D8C" w:rsidRDefault="00021D8C" w:rsidP="00021D8C">
      <w:pPr>
        <w:pStyle w:val="Sidehoved"/>
        <w:tabs>
          <w:tab w:val="left" w:pos="8222"/>
        </w:tabs>
        <w:ind w:left="851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i/>
          <w:iCs/>
          <w:szCs w:val="24"/>
        </w:rPr>
        <w:t>Glaesserella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parasuis</w:t>
      </w:r>
      <w:proofErr w:type="spellEnd"/>
      <w:r>
        <w:rPr>
          <w:szCs w:val="24"/>
        </w:rPr>
        <w:t xml:space="preserve">, </w:t>
      </w:r>
      <w:proofErr w:type="spellStart"/>
      <w:r>
        <w:rPr>
          <w:i/>
          <w:iCs/>
          <w:szCs w:val="24"/>
        </w:rPr>
        <w:t>Staphylococcus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spp</w:t>
      </w:r>
      <w:proofErr w:type="spellEnd"/>
      <w:r>
        <w:rPr>
          <w:szCs w:val="24"/>
        </w:rPr>
        <w:t xml:space="preserve">., der forårsager MMA/PPDS, </w:t>
      </w:r>
      <w:proofErr w:type="spellStart"/>
      <w:r>
        <w:rPr>
          <w:i/>
          <w:iCs/>
          <w:szCs w:val="24"/>
        </w:rPr>
        <w:t>Streptococcus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spp</w:t>
      </w:r>
      <w:proofErr w:type="spellEnd"/>
      <w:r>
        <w:rPr>
          <w:szCs w:val="24"/>
        </w:rPr>
        <w:t xml:space="preserve">. og </w:t>
      </w:r>
      <w:r>
        <w:rPr>
          <w:i/>
          <w:iCs/>
          <w:szCs w:val="24"/>
        </w:rPr>
        <w:t xml:space="preserve">S. </w:t>
      </w:r>
      <w:proofErr w:type="spellStart"/>
      <w:r>
        <w:rPr>
          <w:i/>
          <w:iCs/>
          <w:szCs w:val="24"/>
        </w:rPr>
        <w:t>suis</w:t>
      </w:r>
      <w:proofErr w:type="spellEnd"/>
      <w:r>
        <w:rPr>
          <w:szCs w:val="24"/>
        </w:rPr>
        <w:t xml:space="preserve"> hos grise</w:t>
      </w:r>
    </w:p>
    <w:p w:rsidR="00021D8C" w:rsidRDefault="00021D8C" w:rsidP="00021D8C">
      <w:pPr>
        <w:pStyle w:val="Sidehoved"/>
        <w:tabs>
          <w:tab w:val="left" w:pos="8222"/>
        </w:tabs>
        <w:ind w:left="851"/>
        <w:rPr>
          <w:szCs w:val="24"/>
        </w:rPr>
      </w:pPr>
      <w:r>
        <w:rPr>
          <w:szCs w:val="24"/>
        </w:rPr>
        <w:t xml:space="preserve">- </w:t>
      </w:r>
      <w:proofErr w:type="spellStart"/>
      <w:r>
        <w:rPr>
          <w:i/>
          <w:iCs/>
          <w:szCs w:val="24"/>
        </w:rPr>
        <w:t>Fusobacterium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necrophorum</w:t>
      </w:r>
      <w:proofErr w:type="spellEnd"/>
      <w:r>
        <w:rPr>
          <w:szCs w:val="24"/>
        </w:rPr>
        <w:t xml:space="preserve">, der forårsager </w:t>
      </w:r>
      <w:proofErr w:type="spellStart"/>
      <w:r>
        <w:rPr>
          <w:szCs w:val="24"/>
        </w:rPr>
        <w:t>metritis</w:t>
      </w:r>
      <w:proofErr w:type="spellEnd"/>
      <w:r>
        <w:rPr>
          <w:szCs w:val="24"/>
        </w:rPr>
        <w:t xml:space="preserve"> og </w:t>
      </w:r>
      <w:proofErr w:type="spellStart"/>
      <w:r>
        <w:rPr>
          <w:i/>
          <w:iCs/>
          <w:szCs w:val="24"/>
        </w:rPr>
        <w:t>Mannheimia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haemolytica</w:t>
      </w:r>
      <w:proofErr w:type="spellEnd"/>
      <w:r>
        <w:rPr>
          <w:szCs w:val="24"/>
        </w:rPr>
        <w:t xml:space="preserve"> (kun i nogle medlemslande), samt </w:t>
      </w:r>
      <w:proofErr w:type="spellStart"/>
      <w:r>
        <w:rPr>
          <w:i/>
          <w:iCs/>
          <w:szCs w:val="24"/>
        </w:rPr>
        <w:t>Bacteroides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spp</w:t>
      </w:r>
      <w:proofErr w:type="spellEnd"/>
      <w:r>
        <w:rPr>
          <w:szCs w:val="24"/>
        </w:rPr>
        <w:t xml:space="preserve">., </w:t>
      </w:r>
      <w:proofErr w:type="spellStart"/>
      <w:r>
        <w:rPr>
          <w:i/>
          <w:iCs/>
          <w:szCs w:val="24"/>
        </w:rPr>
        <w:t>Staphylococcus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chromogenes</w:t>
      </w:r>
      <w:proofErr w:type="spellEnd"/>
      <w:r>
        <w:rPr>
          <w:szCs w:val="24"/>
        </w:rPr>
        <w:t xml:space="preserve">, </w:t>
      </w:r>
      <w:proofErr w:type="spellStart"/>
      <w:r>
        <w:rPr>
          <w:i/>
          <w:iCs/>
          <w:szCs w:val="24"/>
        </w:rPr>
        <w:t>Actinobacillus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lignieresii</w:t>
      </w:r>
      <w:proofErr w:type="spellEnd"/>
      <w:r>
        <w:rPr>
          <w:szCs w:val="24"/>
        </w:rPr>
        <w:t xml:space="preserve"> og </w:t>
      </w:r>
      <w:proofErr w:type="spellStart"/>
      <w:r>
        <w:rPr>
          <w:i/>
          <w:iCs/>
          <w:szCs w:val="24"/>
        </w:rPr>
        <w:t>Trueperella</w:t>
      </w:r>
      <w:proofErr w:type="spellEnd"/>
      <w:r>
        <w:rPr>
          <w:i/>
          <w:iCs/>
          <w:szCs w:val="24"/>
        </w:rPr>
        <w:t xml:space="preserve"> </w:t>
      </w:r>
      <w:proofErr w:type="spellStart"/>
      <w:r>
        <w:rPr>
          <w:i/>
          <w:iCs/>
          <w:szCs w:val="24"/>
        </w:rPr>
        <w:t>pyogenes</w:t>
      </w:r>
      <w:proofErr w:type="spellEnd"/>
      <w:r>
        <w:rPr>
          <w:szCs w:val="24"/>
        </w:rPr>
        <w:t xml:space="preserve"> hos kvæg.</w:t>
      </w:r>
    </w:p>
    <w:p w:rsidR="00021D8C" w:rsidRDefault="00021D8C" w:rsidP="00021D8C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  <w:r>
        <w:rPr>
          <w:szCs w:val="24"/>
        </w:rPr>
        <w:t>Brug af veterinærlægemidlet kan have manglende klinisk virkning ved behandling af infektioner forårsaget af disse bakterier.</w:t>
      </w:r>
    </w:p>
    <w:p w:rsidR="008F0C9E" w:rsidRPr="00E25C6F" w:rsidRDefault="008F0C9E" w:rsidP="00F263AF">
      <w:pPr>
        <w:pStyle w:val="Sidehoved"/>
        <w:tabs>
          <w:tab w:val="clear" w:pos="4819"/>
          <w:tab w:val="left" w:pos="8222"/>
        </w:tabs>
        <w:ind w:left="851"/>
        <w:rPr>
          <w:szCs w:val="24"/>
        </w:rPr>
      </w:pPr>
    </w:p>
    <w:p w:rsidR="00F263AF" w:rsidRPr="00E25C6F" w:rsidRDefault="00F263AF" w:rsidP="00F263A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4.5</w:t>
      </w:r>
      <w:r w:rsidRPr="00E25C6F">
        <w:rPr>
          <w:b/>
          <w:sz w:val="24"/>
          <w:szCs w:val="24"/>
        </w:rPr>
        <w:tab/>
        <w:t>Særlige forsigtighedsregler vedrørende brugen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Særlige forsigtighedsregler for dyret</w:t>
      </w: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>Må kun indgives som en dyb injektion.</w:t>
      </w: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>Brugen af produktet bør baseres på test af bakteriens følsomhed isoleret fra dyret. Hvis dette ikke er muligt, bør behandling baseres på lokale (regionale, bedriftsniveau) epidemiologiske oplysninger om målbakteriens følsomhed.</w:t>
      </w: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>Under brug af produktet skal der tages højde for officielle, nationale og regionale antimikrobielle politikker.</w:t>
      </w:r>
    </w:p>
    <w:p w:rsidR="00684D69" w:rsidRPr="00E25C6F" w:rsidRDefault="00684D69" w:rsidP="00684D69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 xml:space="preserve">Brug af produktet, som afviger fra anvisningerne i produktresuméet, kan øge forekomsten af </w:t>
      </w:r>
      <w:proofErr w:type="spellStart"/>
      <w:r w:rsidRPr="00E25C6F">
        <w:rPr>
          <w:sz w:val="24"/>
          <w:szCs w:val="24"/>
        </w:rPr>
        <w:t>benzylpenicillinresistente</w:t>
      </w:r>
      <w:proofErr w:type="spellEnd"/>
      <w:r w:rsidRPr="00E25C6F">
        <w:rPr>
          <w:sz w:val="24"/>
          <w:szCs w:val="24"/>
        </w:rPr>
        <w:t xml:space="preserve"> bakterier og kan reducere effektiviteten af behandling med andre penicilliner og </w:t>
      </w:r>
      <w:proofErr w:type="spellStart"/>
      <w:r w:rsidRPr="00E25C6F">
        <w:rPr>
          <w:sz w:val="24"/>
          <w:szCs w:val="24"/>
        </w:rPr>
        <w:t>cephalosporiner</w:t>
      </w:r>
      <w:proofErr w:type="spellEnd"/>
      <w:r w:rsidRPr="00E25C6F">
        <w:rPr>
          <w:sz w:val="24"/>
          <w:szCs w:val="24"/>
        </w:rPr>
        <w:t xml:space="preserve"> på grund af potentialet for krydsresistens.</w:t>
      </w:r>
    </w:p>
    <w:p w:rsidR="00684D69" w:rsidRPr="00E25C6F" w:rsidRDefault="00684D69" w:rsidP="00684D69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bookmarkStart w:id="2" w:name="_Hlk99736477"/>
      <w:r w:rsidRPr="00E25C6F">
        <w:rPr>
          <w:sz w:val="24"/>
          <w:szCs w:val="24"/>
        </w:rPr>
        <w:t>Fodring af kalve med spildmælk, der indeholder antibiotikarester, bør undgås indtil afslutningen af tilbageholdelsestiden for mælk (bortset fra kolostrumfasen), da det kan selektere for antibiotikaresistente bakterier i kalvens tarmflora og øge udskillelsen af disse bakterier i fæces</w:t>
      </w:r>
      <w:bookmarkEnd w:id="2"/>
      <w:r w:rsidRPr="00E25C6F">
        <w:rPr>
          <w:sz w:val="24"/>
          <w:szCs w:val="24"/>
        </w:rPr>
        <w:t>.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Særlige forsigtighedsregler for personer, der administrerer lægemidlet</w:t>
      </w:r>
    </w:p>
    <w:p w:rsidR="00684D69" w:rsidRPr="00E25C6F" w:rsidRDefault="00684D69" w:rsidP="00684D69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 xml:space="preserve">Penicilliner og </w:t>
      </w:r>
      <w:proofErr w:type="spellStart"/>
      <w:r w:rsidRPr="00E25C6F">
        <w:rPr>
          <w:sz w:val="24"/>
          <w:szCs w:val="24"/>
        </w:rPr>
        <w:t>cephalosporiner</w:t>
      </w:r>
      <w:proofErr w:type="spellEnd"/>
      <w:r w:rsidRPr="00E25C6F">
        <w:rPr>
          <w:sz w:val="24"/>
          <w:szCs w:val="24"/>
        </w:rPr>
        <w:t xml:space="preserve"> kan forårsage overfølsomhed (allergi) efter injektion, inhalation, indtagelse eller hudkontakt. Overfølsomhed over for penicilliner kan føre til krydsfølsomhed over for </w:t>
      </w:r>
      <w:proofErr w:type="spellStart"/>
      <w:r w:rsidRPr="00E25C6F">
        <w:rPr>
          <w:sz w:val="24"/>
          <w:szCs w:val="24"/>
        </w:rPr>
        <w:t>cephalosporiner</w:t>
      </w:r>
      <w:proofErr w:type="spellEnd"/>
      <w:r w:rsidRPr="00E25C6F">
        <w:rPr>
          <w:sz w:val="24"/>
          <w:szCs w:val="24"/>
        </w:rPr>
        <w:t xml:space="preserve"> og omvendt. Allergiske reaktioner over for disse stoffer kan undertiden være alvorlige. Dette lægemiddel indeholder også et paraben</w:t>
      </w:r>
      <w:r w:rsidR="00E25C6F">
        <w:rPr>
          <w:sz w:val="24"/>
          <w:szCs w:val="24"/>
        </w:rPr>
        <w:softHyphen/>
      </w:r>
      <w:r w:rsidRPr="00E25C6F">
        <w:rPr>
          <w:sz w:val="24"/>
          <w:szCs w:val="24"/>
        </w:rPr>
        <w:t>konserveringsmiddel, som kan forårsage en kontaktoverfølsomhedsreaktion hos tidligere sensibiliserede personer.</w:t>
      </w:r>
    </w:p>
    <w:p w:rsidR="00684D69" w:rsidRPr="00E25C6F" w:rsidRDefault="00684D69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numPr>
          <w:ilvl w:val="0"/>
          <w:numId w:val="4"/>
        </w:numPr>
        <w:autoSpaceDE w:val="0"/>
        <w:autoSpaceDN w:val="0"/>
        <w:adjustRightInd w:val="0"/>
        <w:ind w:left="1134" w:hanging="283"/>
        <w:rPr>
          <w:sz w:val="24"/>
          <w:szCs w:val="24"/>
        </w:rPr>
      </w:pPr>
      <w:r w:rsidRPr="00E25C6F">
        <w:rPr>
          <w:sz w:val="24"/>
          <w:szCs w:val="24"/>
        </w:rPr>
        <w:lastRenderedPageBreak/>
        <w:t>Ved overfølsomhed over for produktet, eller hvis du er blevet rådet til ikke at arbejde med sådanne præparater, bør kontakt med lægemidlet undgås.</w:t>
      </w:r>
    </w:p>
    <w:p w:rsidR="00F263AF" w:rsidRPr="00E25C6F" w:rsidRDefault="00F263AF" w:rsidP="00F263AF">
      <w:pPr>
        <w:numPr>
          <w:ilvl w:val="0"/>
          <w:numId w:val="4"/>
        </w:numPr>
        <w:autoSpaceDE w:val="0"/>
        <w:autoSpaceDN w:val="0"/>
        <w:adjustRightInd w:val="0"/>
        <w:ind w:left="1134" w:hanging="283"/>
        <w:rPr>
          <w:sz w:val="24"/>
          <w:szCs w:val="24"/>
        </w:rPr>
      </w:pPr>
      <w:r w:rsidRPr="00E25C6F">
        <w:rPr>
          <w:sz w:val="24"/>
          <w:szCs w:val="24"/>
        </w:rPr>
        <w:t>Håndtér dette produkt med stor forsigtighed for at undgå kontakt, og træf alle anbefalede forholdsregler.</w:t>
      </w:r>
    </w:p>
    <w:p w:rsidR="00F263AF" w:rsidRPr="00E25C6F" w:rsidRDefault="00F263AF" w:rsidP="00F263AF">
      <w:pPr>
        <w:numPr>
          <w:ilvl w:val="0"/>
          <w:numId w:val="4"/>
        </w:numPr>
        <w:autoSpaceDE w:val="0"/>
        <w:autoSpaceDN w:val="0"/>
        <w:adjustRightInd w:val="0"/>
        <w:ind w:left="1134" w:hanging="283"/>
        <w:rPr>
          <w:sz w:val="24"/>
          <w:szCs w:val="24"/>
        </w:rPr>
      </w:pPr>
      <w:r w:rsidRPr="00E25C6F">
        <w:rPr>
          <w:sz w:val="24"/>
          <w:szCs w:val="24"/>
        </w:rPr>
        <w:t>Hvis du udvikler symptomer efter kontakt, f.eks. hududslæt, bør du søge lægehjælp og vise lægen denne advarsel. Hævelse i ansigt, læber og øjne eller åndedrætsbesvær er mere alvorlige symptomer og kræver øjeblikkelig lægehjælp.</w:t>
      </w:r>
    </w:p>
    <w:p w:rsidR="00684D69" w:rsidRPr="00E25C6F" w:rsidRDefault="00684D69" w:rsidP="00684D69">
      <w:pPr>
        <w:autoSpaceDE w:val="0"/>
        <w:autoSpaceDN w:val="0"/>
        <w:adjustRightInd w:val="0"/>
        <w:rPr>
          <w:sz w:val="24"/>
          <w:szCs w:val="24"/>
        </w:rPr>
      </w:pPr>
    </w:p>
    <w:p w:rsidR="00DF52F4" w:rsidRPr="00E25C6F" w:rsidRDefault="00DF52F4" w:rsidP="00DF52F4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 xml:space="preserve">Personer, der udvikler en reaktion efter kontakt med produktet, bør i fremtiden undgå at håndtere produktet og andre produkter, der indeholder penicillin og </w:t>
      </w:r>
      <w:proofErr w:type="spellStart"/>
      <w:r w:rsidRPr="00E25C6F">
        <w:rPr>
          <w:sz w:val="24"/>
          <w:szCs w:val="24"/>
        </w:rPr>
        <w:t>cephalosporin</w:t>
      </w:r>
      <w:proofErr w:type="spellEnd"/>
      <w:r w:rsidRPr="00E25C6F">
        <w:rPr>
          <w:sz w:val="24"/>
          <w:szCs w:val="24"/>
        </w:rPr>
        <w:t>.</w:t>
      </w:r>
    </w:p>
    <w:p w:rsidR="00DF52F4" w:rsidRPr="00E25C6F" w:rsidRDefault="00DF52F4" w:rsidP="00DF52F4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>Det anbefales at bære handsker under håndtering og indgivelse af produktet.</w:t>
      </w:r>
    </w:p>
    <w:p w:rsidR="00DF52F4" w:rsidRPr="00E25C6F" w:rsidRDefault="00DF52F4" w:rsidP="00DF52F4">
      <w:pPr>
        <w:autoSpaceDE w:val="0"/>
        <w:autoSpaceDN w:val="0"/>
        <w:adjustRightInd w:val="0"/>
        <w:rPr>
          <w:sz w:val="24"/>
          <w:szCs w:val="24"/>
        </w:rPr>
      </w:pPr>
    </w:p>
    <w:p w:rsidR="00DF52F4" w:rsidRPr="00E25C6F" w:rsidRDefault="00DF52F4" w:rsidP="00CB5542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ab/>
        <w:t>I tilfælde af kontakt med øjne ved hændeligt uheld skylles med rigeligt vand.</w:t>
      </w:r>
    </w:p>
    <w:p w:rsidR="00DF52F4" w:rsidRPr="00E25C6F" w:rsidRDefault="00DF52F4" w:rsidP="00CB5542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 xml:space="preserve">I tilfælde af kontakt med huden ved hændeligt uheld vaskes den eksponerede hud grundigt med vand og sæbe. </w:t>
      </w:r>
    </w:p>
    <w:p w:rsidR="00DF52F4" w:rsidRPr="00E25C6F" w:rsidRDefault="00DF52F4" w:rsidP="00DF52F4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>I tilfælde af selvinjektion ved hændeligt uheld skal der straks søges lægehjælp, og indlægssedlen eller etiketten vises til lægen.</w:t>
      </w:r>
    </w:p>
    <w:p w:rsidR="00DF52F4" w:rsidRPr="00E25C6F" w:rsidRDefault="00DF52F4" w:rsidP="00DF52F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DF52F4" w:rsidRPr="00E25C6F" w:rsidRDefault="00DF52F4" w:rsidP="00DF52F4">
      <w:pPr>
        <w:tabs>
          <w:tab w:val="left" w:pos="851"/>
          <w:tab w:val="left" w:pos="8222"/>
        </w:tabs>
        <w:ind w:left="851"/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Andre forsigtighedsregler</w:t>
      </w:r>
    </w:p>
    <w:p w:rsidR="00DF52F4" w:rsidRPr="00E25C6F" w:rsidRDefault="00DF52F4" w:rsidP="00DF52F4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>-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4.6</w:t>
      </w:r>
      <w:r w:rsidRPr="00E25C6F">
        <w:rPr>
          <w:b/>
          <w:sz w:val="24"/>
          <w:szCs w:val="24"/>
        </w:rPr>
        <w:tab/>
        <w:t>Bivirkninger</w:t>
      </w:r>
    </w:p>
    <w:p w:rsidR="00F263A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 xml:space="preserve">Hos pattegrise og fedesvin er </w:t>
      </w:r>
      <w:proofErr w:type="spellStart"/>
      <w:r w:rsidRPr="00E25C6F">
        <w:rPr>
          <w:sz w:val="24"/>
          <w:szCs w:val="24"/>
        </w:rPr>
        <w:t>pyreksi</w:t>
      </w:r>
      <w:proofErr w:type="spellEnd"/>
      <w:r w:rsidRPr="00E25C6F">
        <w:rPr>
          <w:sz w:val="24"/>
          <w:szCs w:val="24"/>
        </w:rPr>
        <w:t xml:space="preserve">, opkastning, kulderystelser, sløvhed og manglende koordination, </w:t>
      </w:r>
      <w:bookmarkStart w:id="3" w:name="OLE_LINK4"/>
      <w:bookmarkStart w:id="4" w:name="OLE_LINK3"/>
      <w:r w:rsidRPr="00E25C6F">
        <w:rPr>
          <w:sz w:val="24"/>
          <w:szCs w:val="24"/>
        </w:rPr>
        <w:t xml:space="preserve">som kan være forårsaget af frigivelsen af </w:t>
      </w:r>
      <w:proofErr w:type="spellStart"/>
      <w:r w:rsidRPr="00E25C6F">
        <w:rPr>
          <w:sz w:val="24"/>
          <w:szCs w:val="24"/>
        </w:rPr>
        <w:t>procain</w:t>
      </w:r>
      <w:bookmarkEnd w:id="3"/>
      <w:bookmarkEnd w:id="4"/>
      <w:proofErr w:type="spellEnd"/>
      <w:r w:rsidRPr="00E25C6F">
        <w:rPr>
          <w:sz w:val="24"/>
          <w:szCs w:val="24"/>
        </w:rPr>
        <w:t>, blevet rapporteret i sjældne tilfælde.</w:t>
      </w:r>
    </w:p>
    <w:p w:rsidR="00021D8C" w:rsidRDefault="00021D8C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</w:p>
    <w:p w:rsidR="00021D8C" w:rsidRDefault="00021D8C" w:rsidP="00021D8C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>
        <w:rPr>
          <w:sz w:val="24"/>
          <w:szCs w:val="24"/>
        </w:rPr>
        <w:t>Der er iagttaget systemiske toksiske virkninger hos unge smågrise, som er forbigående, men kan være potentielt dødelige, navnlig ved højere doser.</w:t>
      </w: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 xml:space="preserve">Hos drægtige søer og </w:t>
      </w:r>
      <w:proofErr w:type="spellStart"/>
      <w:r w:rsidRPr="00E25C6F">
        <w:rPr>
          <w:sz w:val="24"/>
          <w:szCs w:val="24"/>
        </w:rPr>
        <w:t>gylte</w:t>
      </w:r>
      <w:proofErr w:type="spellEnd"/>
      <w:r w:rsidRPr="00E25C6F">
        <w:rPr>
          <w:sz w:val="24"/>
          <w:szCs w:val="24"/>
        </w:rPr>
        <w:t xml:space="preserve"> er et vaginalt udflåd, som kunne være forbundet med abort, blevet rapporteret i sjældne tilfælde.</w:t>
      </w: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 xml:space="preserve">Hos kvæg er </w:t>
      </w:r>
      <w:proofErr w:type="spellStart"/>
      <w:r w:rsidRPr="00E25C6F">
        <w:rPr>
          <w:sz w:val="24"/>
          <w:szCs w:val="24"/>
        </w:rPr>
        <w:t>anafylaksereaktioner</w:t>
      </w:r>
      <w:proofErr w:type="spellEnd"/>
      <w:r w:rsidRPr="00E25C6F">
        <w:rPr>
          <w:sz w:val="24"/>
          <w:szCs w:val="24"/>
        </w:rPr>
        <w:t xml:space="preserve">, som kan være forårsaget af indholdet af </w:t>
      </w:r>
      <w:proofErr w:type="spellStart"/>
      <w:r w:rsidRPr="00E25C6F">
        <w:rPr>
          <w:sz w:val="24"/>
          <w:szCs w:val="24"/>
        </w:rPr>
        <w:t>povidon</w:t>
      </w:r>
      <w:proofErr w:type="spellEnd"/>
      <w:r w:rsidRPr="00E25C6F">
        <w:rPr>
          <w:sz w:val="24"/>
          <w:szCs w:val="24"/>
        </w:rPr>
        <w:t>, blevet rapporteret i sjældne tilfælde.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</w:p>
    <w:p w:rsidR="00DF52F4" w:rsidRPr="00E25C6F" w:rsidRDefault="00DF52F4" w:rsidP="00DF52F4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 xml:space="preserve">Penicilliner og </w:t>
      </w:r>
      <w:proofErr w:type="spellStart"/>
      <w:r w:rsidRPr="00E25C6F">
        <w:rPr>
          <w:sz w:val="24"/>
          <w:szCs w:val="24"/>
        </w:rPr>
        <w:t>cephalosporiner</w:t>
      </w:r>
      <w:proofErr w:type="spellEnd"/>
      <w:r w:rsidRPr="00E25C6F">
        <w:rPr>
          <w:sz w:val="24"/>
          <w:szCs w:val="24"/>
        </w:rPr>
        <w:t xml:space="preserve"> kan forårsage overfølsomhed (allergi) efter indgift af produktet. Allergiske reaktioner over for disse stoffer kan undertiden være alvorlige og indbefatte </w:t>
      </w:r>
      <w:proofErr w:type="spellStart"/>
      <w:r w:rsidRPr="00E25C6F">
        <w:rPr>
          <w:sz w:val="24"/>
          <w:szCs w:val="24"/>
        </w:rPr>
        <w:t>anafylaktisk</w:t>
      </w:r>
      <w:proofErr w:type="spellEnd"/>
      <w:r w:rsidRPr="00E25C6F">
        <w:rPr>
          <w:sz w:val="24"/>
          <w:szCs w:val="24"/>
        </w:rPr>
        <w:t xml:space="preserve"> </w:t>
      </w:r>
      <w:proofErr w:type="spellStart"/>
      <w:r w:rsidRPr="00E25C6F">
        <w:rPr>
          <w:sz w:val="24"/>
          <w:szCs w:val="24"/>
        </w:rPr>
        <w:t>shock</w:t>
      </w:r>
      <w:proofErr w:type="spellEnd"/>
      <w:r w:rsidRPr="00E25C6F">
        <w:rPr>
          <w:sz w:val="24"/>
          <w:szCs w:val="24"/>
        </w:rPr>
        <w:t>.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</w:p>
    <w:p w:rsidR="00F263AF" w:rsidRPr="00E25C6F" w:rsidRDefault="00F263AF" w:rsidP="00F263AF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>I tilfælde af bivirkninger skal dyret behandles symptomatisk.</w:t>
      </w: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>Hyppigheden af bivirkninger er defineret som:</w:t>
      </w:r>
    </w:p>
    <w:p w:rsidR="00F263AF" w:rsidRPr="00E25C6F" w:rsidRDefault="00F263AF" w:rsidP="00F263AF">
      <w:pPr>
        <w:ind w:left="1134" w:hanging="283"/>
        <w:rPr>
          <w:sz w:val="24"/>
          <w:szCs w:val="24"/>
        </w:rPr>
      </w:pPr>
      <w:r w:rsidRPr="00E25C6F">
        <w:rPr>
          <w:sz w:val="24"/>
          <w:szCs w:val="24"/>
        </w:rPr>
        <w:t>-</w:t>
      </w:r>
      <w:r w:rsidRPr="00E25C6F">
        <w:rPr>
          <w:sz w:val="24"/>
          <w:szCs w:val="24"/>
        </w:rPr>
        <w:tab/>
        <w:t>Meget almindelig (flere end 1 ud af 10 behandlede dyr, der viser bivirkninger i løbet af en behandling)</w:t>
      </w:r>
    </w:p>
    <w:p w:rsidR="00F263AF" w:rsidRPr="00E25C6F" w:rsidRDefault="00F263AF" w:rsidP="00F263AF">
      <w:pPr>
        <w:ind w:left="1134" w:hanging="283"/>
        <w:rPr>
          <w:sz w:val="24"/>
          <w:szCs w:val="24"/>
        </w:rPr>
      </w:pPr>
      <w:r w:rsidRPr="00E25C6F">
        <w:rPr>
          <w:sz w:val="24"/>
          <w:szCs w:val="24"/>
        </w:rPr>
        <w:t>-</w:t>
      </w:r>
      <w:r w:rsidRPr="00E25C6F">
        <w:rPr>
          <w:sz w:val="24"/>
          <w:szCs w:val="24"/>
        </w:rPr>
        <w:tab/>
        <w:t>Almindelig (flere end 1, men færre end 10 dyr af 100 behandlede dyr)</w:t>
      </w:r>
    </w:p>
    <w:p w:rsidR="00F263AF" w:rsidRPr="00E25C6F" w:rsidRDefault="00F263AF" w:rsidP="00F263AF">
      <w:pPr>
        <w:ind w:left="1134" w:hanging="283"/>
        <w:rPr>
          <w:sz w:val="24"/>
          <w:szCs w:val="24"/>
        </w:rPr>
      </w:pPr>
      <w:r w:rsidRPr="00E25C6F">
        <w:rPr>
          <w:sz w:val="24"/>
          <w:szCs w:val="24"/>
        </w:rPr>
        <w:t>-</w:t>
      </w:r>
      <w:r w:rsidRPr="00E25C6F">
        <w:rPr>
          <w:sz w:val="24"/>
          <w:szCs w:val="24"/>
        </w:rPr>
        <w:tab/>
        <w:t>Ikke almindelig (flere end 1, men færre end 10 dyr af 1.000 behandlede dyr)</w:t>
      </w:r>
    </w:p>
    <w:p w:rsidR="00F263AF" w:rsidRPr="00E25C6F" w:rsidRDefault="00F263AF" w:rsidP="00F263AF">
      <w:pPr>
        <w:ind w:left="1134" w:hanging="283"/>
        <w:rPr>
          <w:sz w:val="24"/>
          <w:szCs w:val="24"/>
        </w:rPr>
      </w:pPr>
      <w:r w:rsidRPr="00E25C6F">
        <w:rPr>
          <w:sz w:val="24"/>
          <w:szCs w:val="24"/>
        </w:rPr>
        <w:t>-</w:t>
      </w:r>
      <w:r w:rsidRPr="00E25C6F">
        <w:rPr>
          <w:sz w:val="24"/>
          <w:szCs w:val="24"/>
        </w:rPr>
        <w:tab/>
        <w:t>Sjæld</w:t>
      </w:r>
      <w:r w:rsidR="00DF52F4" w:rsidRPr="00E25C6F">
        <w:rPr>
          <w:sz w:val="24"/>
          <w:szCs w:val="24"/>
        </w:rPr>
        <w:t>e</w:t>
      </w:r>
      <w:r w:rsidRPr="00E25C6F">
        <w:rPr>
          <w:sz w:val="24"/>
          <w:szCs w:val="24"/>
        </w:rPr>
        <w:t>n (flere end 1, men færre end 10 dyr ud af 10.000 behandlede dyr)</w:t>
      </w: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1134" w:hanging="283"/>
        <w:rPr>
          <w:sz w:val="24"/>
          <w:szCs w:val="24"/>
        </w:rPr>
      </w:pPr>
      <w:r w:rsidRPr="00E25C6F">
        <w:rPr>
          <w:sz w:val="24"/>
          <w:szCs w:val="24"/>
        </w:rPr>
        <w:t>-</w:t>
      </w:r>
      <w:r w:rsidRPr="00E25C6F">
        <w:rPr>
          <w:sz w:val="24"/>
          <w:szCs w:val="24"/>
        </w:rPr>
        <w:tab/>
        <w:t>Meget sjælden (færre end 1 dyr ud af 10.000 behandlede dyr, herunder isolerede rapporter)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4.7</w:t>
      </w:r>
      <w:r w:rsidRPr="00E25C6F">
        <w:rPr>
          <w:b/>
          <w:sz w:val="24"/>
          <w:szCs w:val="24"/>
        </w:rPr>
        <w:tab/>
        <w:t>Drægtighed, diegivning eller æglægning</w:t>
      </w:r>
    </w:p>
    <w:p w:rsidR="00A42C45" w:rsidRPr="00E25C6F" w:rsidRDefault="00A42C45" w:rsidP="00A42C45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lastRenderedPageBreak/>
        <w:t>Der er ingen beviser for, at dette lægemiddel udgør en risiko for moderdyret eller fostret.</w:t>
      </w:r>
    </w:p>
    <w:p w:rsidR="00A42C45" w:rsidRPr="00E25C6F" w:rsidRDefault="00A42C45" w:rsidP="00A42C45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 xml:space="preserve">Lægemidlets sikkerhed under drægtighed og laktation er ikke fastlagt. Hos drægtige søer og </w:t>
      </w:r>
      <w:proofErr w:type="spellStart"/>
      <w:r w:rsidRPr="00E25C6F">
        <w:rPr>
          <w:sz w:val="24"/>
          <w:szCs w:val="24"/>
        </w:rPr>
        <w:t>gylte</w:t>
      </w:r>
      <w:proofErr w:type="spellEnd"/>
      <w:r w:rsidRPr="00E25C6F">
        <w:rPr>
          <w:sz w:val="24"/>
          <w:szCs w:val="24"/>
        </w:rPr>
        <w:t xml:space="preserve"> er et vaginalt udflåd, som kunne være forbundet med abort, imidlertid blevet rapporteret.</w:t>
      </w: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>Må kun anvendes under drægtighed og laktation i overensstemmelse med den ansvarlige dyrlæges vurdering af benefit-</w:t>
      </w:r>
      <w:proofErr w:type="spellStart"/>
      <w:r w:rsidRPr="00E25C6F">
        <w:rPr>
          <w:sz w:val="24"/>
          <w:szCs w:val="24"/>
        </w:rPr>
        <w:t>risk</w:t>
      </w:r>
      <w:proofErr w:type="spellEnd"/>
      <w:r w:rsidRPr="00E25C6F">
        <w:rPr>
          <w:sz w:val="24"/>
          <w:szCs w:val="24"/>
        </w:rPr>
        <w:t xml:space="preserve"> forholdet.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4.8</w:t>
      </w:r>
      <w:r w:rsidRPr="00E25C6F">
        <w:rPr>
          <w:b/>
          <w:sz w:val="24"/>
          <w:szCs w:val="24"/>
        </w:rPr>
        <w:tab/>
        <w:t>Interaktion med andre lægemidler og andre former for interaktion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 xml:space="preserve">Penicillins baktericide virkning modvirkes af </w:t>
      </w:r>
      <w:proofErr w:type="spellStart"/>
      <w:r w:rsidRPr="00E25C6F">
        <w:rPr>
          <w:sz w:val="24"/>
          <w:szCs w:val="24"/>
        </w:rPr>
        <w:t>bakteriostatiske</w:t>
      </w:r>
      <w:proofErr w:type="spellEnd"/>
      <w:r w:rsidRPr="00E25C6F">
        <w:rPr>
          <w:sz w:val="24"/>
          <w:szCs w:val="24"/>
        </w:rPr>
        <w:t xml:space="preserve"> lægemidler.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>Virkningen af aminoglykosider kan forstærkes af penicilliner.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 xml:space="preserve">Udskillelse af </w:t>
      </w:r>
      <w:proofErr w:type="spellStart"/>
      <w:r w:rsidRPr="00E25C6F">
        <w:rPr>
          <w:sz w:val="24"/>
          <w:szCs w:val="24"/>
        </w:rPr>
        <w:t>benzylpenicillin</w:t>
      </w:r>
      <w:proofErr w:type="spellEnd"/>
      <w:r w:rsidRPr="00E25C6F">
        <w:rPr>
          <w:sz w:val="24"/>
          <w:szCs w:val="24"/>
        </w:rPr>
        <w:t xml:space="preserve"> forlænges af acetylsalicylsyre.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  <w:proofErr w:type="spellStart"/>
      <w:r w:rsidRPr="00E25C6F">
        <w:rPr>
          <w:sz w:val="24"/>
          <w:szCs w:val="24"/>
        </w:rPr>
        <w:t>Kolinesterasehæmmere</w:t>
      </w:r>
      <w:proofErr w:type="spellEnd"/>
      <w:r w:rsidRPr="00E25C6F">
        <w:rPr>
          <w:sz w:val="24"/>
          <w:szCs w:val="24"/>
        </w:rPr>
        <w:t xml:space="preserve"> forsinker nedbrydningen af </w:t>
      </w:r>
      <w:proofErr w:type="spellStart"/>
      <w:r w:rsidRPr="00E25C6F">
        <w:rPr>
          <w:sz w:val="24"/>
          <w:szCs w:val="24"/>
        </w:rPr>
        <w:t>procain</w:t>
      </w:r>
      <w:proofErr w:type="spellEnd"/>
      <w:r w:rsidRPr="00E25C6F">
        <w:rPr>
          <w:sz w:val="24"/>
          <w:szCs w:val="24"/>
        </w:rPr>
        <w:t>.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4.9</w:t>
      </w:r>
      <w:r w:rsidRPr="00E25C6F">
        <w:rPr>
          <w:b/>
          <w:sz w:val="24"/>
          <w:szCs w:val="24"/>
        </w:rPr>
        <w:tab/>
        <w:t>Dosering og indgivelsesmåde</w:t>
      </w: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>Til intramuskulær anvendelse. Omrystes grundigt før brug.</w:t>
      </w: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</w:p>
    <w:p w:rsidR="00F263A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 xml:space="preserve">Den anbefalede dosis er 10 mg/kg kropsvægt </w:t>
      </w:r>
      <w:proofErr w:type="spellStart"/>
      <w:r w:rsidRPr="00E25C6F">
        <w:rPr>
          <w:sz w:val="24"/>
          <w:szCs w:val="24"/>
        </w:rPr>
        <w:t>procainbenzylpenicillin</w:t>
      </w:r>
      <w:proofErr w:type="spellEnd"/>
      <w:r w:rsidRPr="00E25C6F">
        <w:rPr>
          <w:sz w:val="24"/>
          <w:szCs w:val="24"/>
        </w:rPr>
        <w:t xml:space="preserve"> (svarende til 5,66 mg </w:t>
      </w:r>
      <w:proofErr w:type="spellStart"/>
      <w:r w:rsidRPr="00E25C6F">
        <w:rPr>
          <w:sz w:val="24"/>
          <w:szCs w:val="24"/>
        </w:rPr>
        <w:t>benzylpenicillin</w:t>
      </w:r>
      <w:proofErr w:type="spellEnd"/>
      <w:r w:rsidRPr="00E25C6F">
        <w:rPr>
          <w:sz w:val="24"/>
          <w:szCs w:val="24"/>
        </w:rPr>
        <w:t>) svarende til 1 ml pr. 30 kg kropsvægt daglig.</w:t>
      </w:r>
    </w:p>
    <w:p w:rsidR="00021D8C" w:rsidRPr="00021D8C" w:rsidRDefault="00021D8C" w:rsidP="00021D8C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021D8C">
        <w:rPr>
          <w:sz w:val="24"/>
          <w:szCs w:val="24"/>
        </w:rPr>
        <w:t>Behandlingsvarigheden er 3-7 dage.</w:t>
      </w: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>Der må ikke injiceres mere end 2,5 ml pr. injektionssted hos svin.</w:t>
      </w: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>Der må ikke injiceres mere end 12 ml pr. injektionssted hos kvæg.</w:t>
      </w:r>
    </w:p>
    <w:p w:rsidR="00A42C45" w:rsidRPr="00E25C6F" w:rsidRDefault="00A42C45" w:rsidP="00A42C45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>Der må ikke injiceres mere end 2 ml pr. injektionssted hos får.</w:t>
      </w: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</w:p>
    <w:p w:rsidR="00F263AF" w:rsidRDefault="00F263AF" w:rsidP="00F263AF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>Hvis der ikke observeres klinisk respons i løbet af 3 dage, skal diagnosen bestemmes igen og behandlingen ændres, hvis nødvendigt.</w:t>
      </w:r>
    </w:p>
    <w:p w:rsidR="00021D8C" w:rsidRDefault="00021D8C" w:rsidP="00F263AF">
      <w:pPr>
        <w:ind w:left="851"/>
        <w:rPr>
          <w:sz w:val="24"/>
          <w:szCs w:val="24"/>
        </w:rPr>
      </w:pPr>
    </w:p>
    <w:p w:rsidR="00021D8C" w:rsidRDefault="00021D8C" w:rsidP="00021D8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Passende behandlingsvarighed bør vælges på grundlag af det behandlede dyrs kliniske behov og individuelle restitutionsstatus. Der bør tages hensyn til målvævets tilgængelighed og </w:t>
      </w:r>
      <w:proofErr w:type="spellStart"/>
      <w:r>
        <w:rPr>
          <w:sz w:val="24"/>
          <w:szCs w:val="24"/>
        </w:rPr>
        <w:t>målpatogenets</w:t>
      </w:r>
      <w:proofErr w:type="spellEnd"/>
      <w:r>
        <w:rPr>
          <w:sz w:val="24"/>
          <w:szCs w:val="24"/>
        </w:rPr>
        <w:t xml:space="preserve"> karakteristika.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567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>For at sikre korrekt dosering bør kropsvægten fastslås så nøjagtigt som muligt for at undgå for underdosering.</w:t>
      </w: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>Hætten kan punkteres op til 50 gange.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4.10</w:t>
      </w:r>
      <w:r w:rsidRPr="00E25C6F">
        <w:rPr>
          <w:b/>
          <w:sz w:val="24"/>
          <w:szCs w:val="24"/>
        </w:rPr>
        <w:tab/>
        <w:t>Overdosering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>I tilfælde af overdosis kan der forekomme symptomer i centralnervesystemet og/eller kramper.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4.11</w:t>
      </w:r>
      <w:r w:rsidRPr="00E25C6F">
        <w:rPr>
          <w:b/>
          <w:sz w:val="24"/>
          <w:szCs w:val="24"/>
        </w:rPr>
        <w:tab/>
        <w:t>Tilbageholdelsestid</w:t>
      </w:r>
    </w:p>
    <w:p w:rsidR="00F263AF" w:rsidRPr="00E25C6F" w:rsidRDefault="00F263AF" w:rsidP="00F263AF">
      <w:pPr>
        <w:ind w:left="851"/>
        <w:rPr>
          <w:sz w:val="24"/>
          <w:szCs w:val="24"/>
          <w:u w:val="single"/>
        </w:rPr>
      </w:pPr>
    </w:p>
    <w:p w:rsidR="00F263AF" w:rsidRPr="00E25C6F" w:rsidRDefault="00F263AF" w:rsidP="00F263AF">
      <w:pPr>
        <w:ind w:left="851"/>
        <w:rPr>
          <w:sz w:val="24"/>
          <w:szCs w:val="24"/>
          <w:u w:val="single"/>
        </w:rPr>
      </w:pPr>
      <w:r w:rsidRPr="00E25C6F">
        <w:rPr>
          <w:sz w:val="24"/>
          <w:szCs w:val="24"/>
          <w:u w:val="single"/>
        </w:rPr>
        <w:t>Svin</w:t>
      </w:r>
    </w:p>
    <w:p w:rsidR="00021D8C" w:rsidRDefault="00021D8C" w:rsidP="00021D8C">
      <w:pPr>
        <w:ind w:left="851"/>
        <w:rPr>
          <w:sz w:val="24"/>
          <w:szCs w:val="24"/>
        </w:rPr>
      </w:pPr>
      <w:r>
        <w:rPr>
          <w:sz w:val="24"/>
          <w:szCs w:val="24"/>
        </w:rPr>
        <w:t xml:space="preserve">Slagtning: 6 dage </w:t>
      </w:r>
      <w:bookmarkStart w:id="5" w:name="_Hlk159490875"/>
      <w:r>
        <w:rPr>
          <w:sz w:val="24"/>
          <w:szCs w:val="24"/>
        </w:rPr>
        <w:t>for behandlingsvarighed 3-5 dage</w:t>
      </w:r>
    </w:p>
    <w:p w:rsidR="00021D8C" w:rsidRDefault="00021D8C" w:rsidP="00021D8C">
      <w:pPr>
        <w:ind w:left="1304"/>
        <w:rPr>
          <w:sz w:val="24"/>
          <w:szCs w:val="24"/>
        </w:rPr>
      </w:pPr>
      <w:r>
        <w:rPr>
          <w:sz w:val="24"/>
          <w:szCs w:val="24"/>
        </w:rPr>
        <w:t xml:space="preserve">          8 dage for behandlingsvarighed 6-7 dage</w:t>
      </w:r>
      <w:bookmarkEnd w:id="5"/>
    </w:p>
    <w:p w:rsidR="00F263AF" w:rsidRPr="00E25C6F" w:rsidRDefault="00F263AF" w:rsidP="00F263AF">
      <w:pPr>
        <w:ind w:left="851"/>
        <w:rPr>
          <w:sz w:val="24"/>
          <w:szCs w:val="24"/>
          <w:u w:val="single"/>
        </w:rPr>
      </w:pPr>
    </w:p>
    <w:p w:rsidR="00F263AF" w:rsidRPr="00E25C6F" w:rsidRDefault="00F263AF" w:rsidP="00F263AF">
      <w:pPr>
        <w:ind w:left="851"/>
        <w:rPr>
          <w:sz w:val="24"/>
          <w:szCs w:val="24"/>
          <w:u w:val="single"/>
        </w:rPr>
      </w:pPr>
      <w:r w:rsidRPr="00E25C6F">
        <w:rPr>
          <w:sz w:val="24"/>
          <w:szCs w:val="24"/>
          <w:u w:val="single"/>
        </w:rPr>
        <w:t>Kvæg:</w:t>
      </w:r>
    </w:p>
    <w:p w:rsidR="00021D8C" w:rsidRDefault="00021D8C" w:rsidP="00021D8C">
      <w:pPr>
        <w:ind w:left="851"/>
        <w:rPr>
          <w:sz w:val="24"/>
          <w:szCs w:val="24"/>
        </w:rPr>
      </w:pPr>
      <w:r>
        <w:rPr>
          <w:sz w:val="24"/>
          <w:szCs w:val="24"/>
        </w:rPr>
        <w:t>Slagtning: 6 dage for behandlingsvarighed 3-5 dage</w:t>
      </w:r>
    </w:p>
    <w:p w:rsidR="00021D8C" w:rsidRDefault="00021D8C" w:rsidP="00021D8C">
      <w:pPr>
        <w:ind w:left="851" w:firstLine="453"/>
        <w:rPr>
          <w:sz w:val="24"/>
          <w:szCs w:val="24"/>
        </w:rPr>
      </w:pPr>
      <w:r>
        <w:rPr>
          <w:sz w:val="24"/>
          <w:szCs w:val="24"/>
        </w:rPr>
        <w:t xml:space="preserve">          8 dage for behandlingsvarighed 6-7 dage</w:t>
      </w:r>
    </w:p>
    <w:p w:rsidR="00021D8C" w:rsidRDefault="00021D8C" w:rsidP="00021D8C">
      <w:pPr>
        <w:ind w:left="851"/>
        <w:rPr>
          <w:sz w:val="24"/>
          <w:szCs w:val="24"/>
        </w:rPr>
      </w:pPr>
      <w:r>
        <w:rPr>
          <w:sz w:val="24"/>
          <w:szCs w:val="24"/>
        </w:rPr>
        <w:t>Mælk: 96 timer (4 dage).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</w:p>
    <w:p w:rsidR="00021D8C" w:rsidRDefault="00021D8C" w:rsidP="00A42C45">
      <w:pPr>
        <w:tabs>
          <w:tab w:val="left" w:pos="708"/>
        </w:tabs>
        <w:ind w:left="851"/>
        <w:rPr>
          <w:sz w:val="24"/>
          <w:szCs w:val="24"/>
          <w:u w:val="single"/>
        </w:rPr>
      </w:pPr>
    </w:p>
    <w:p w:rsidR="00A42C45" w:rsidRPr="00E25C6F" w:rsidRDefault="00A42C45" w:rsidP="00A42C45">
      <w:pPr>
        <w:tabs>
          <w:tab w:val="left" w:pos="708"/>
        </w:tabs>
        <w:ind w:left="851"/>
        <w:rPr>
          <w:sz w:val="24"/>
          <w:szCs w:val="24"/>
          <w:u w:val="single"/>
        </w:rPr>
      </w:pPr>
      <w:r w:rsidRPr="00E25C6F">
        <w:rPr>
          <w:sz w:val="24"/>
          <w:szCs w:val="24"/>
          <w:u w:val="single"/>
        </w:rPr>
        <w:lastRenderedPageBreak/>
        <w:t>Får:</w:t>
      </w:r>
    </w:p>
    <w:p w:rsidR="00021D8C" w:rsidRDefault="00021D8C" w:rsidP="00021D8C">
      <w:pPr>
        <w:ind w:left="851"/>
        <w:rPr>
          <w:sz w:val="24"/>
          <w:szCs w:val="24"/>
        </w:rPr>
      </w:pPr>
      <w:r>
        <w:rPr>
          <w:sz w:val="24"/>
          <w:szCs w:val="24"/>
        </w:rPr>
        <w:t>Slagtning: 4 dage for behandlingsvarighed 3-5 dage</w:t>
      </w:r>
    </w:p>
    <w:p w:rsidR="00021D8C" w:rsidRDefault="00021D8C" w:rsidP="00021D8C">
      <w:pPr>
        <w:tabs>
          <w:tab w:val="left" w:pos="708"/>
        </w:tabs>
        <w:ind w:left="851"/>
        <w:rPr>
          <w:sz w:val="24"/>
          <w:szCs w:val="24"/>
        </w:rPr>
      </w:pPr>
      <w:r>
        <w:rPr>
          <w:sz w:val="24"/>
          <w:szCs w:val="24"/>
        </w:rPr>
        <w:tab/>
        <w:t xml:space="preserve">          6 dage for behandlingsvarighed 6-7 dage</w:t>
      </w:r>
    </w:p>
    <w:p w:rsidR="00021D8C" w:rsidRDefault="00021D8C" w:rsidP="00021D8C">
      <w:pPr>
        <w:tabs>
          <w:tab w:val="left" w:pos="708"/>
        </w:tabs>
        <w:ind w:left="851"/>
        <w:rPr>
          <w:sz w:val="24"/>
          <w:szCs w:val="24"/>
        </w:rPr>
      </w:pPr>
      <w:r>
        <w:rPr>
          <w:sz w:val="24"/>
          <w:szCs w:val="24"/>
        </w:rPr>
        <w:t>Mælk: 156 timer (6,5 dage)</w:t>
      </w:r>
    </w:p>
    <w:p w:rsidR="00A42C45" w:rsidRPr="00E25C6F" w:rsidRDefault="00A42C45" w:rsidP="00F263AF">
      <w:pPr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5.</w:t>
      </w:r>
      <w:r w:rsidRPr="00E25C6F">
        <w:rPr>
          <w:b/>
          <w:sz w:val="24"/>
          <w:szCs w:val="24"/>
        </w:rPr>
        <w:tab/>
        <w:t>FARMAKOLOGISKE EGENSKABER</w:t>
      </w:r>
    </w:p>
    <w:p w:rsidR="00F263AF" w:rsidRPr="00E25C6F" w:rsidRDefault="00F263AF" w:rsidP="00F263AF">
      <w:pPr>
        <w:tabs>
          <w:tab w:val="left" w:pos="8222"/>
        </w:tabs>
        <w:ind w:left="851"/>
        <w:rPr>
          <w:sz w:val="24"/>
          <w:szCs w:val="24"/>
        </w:rPr>
      </w:pPr>
    </w:p>
    <w:p w:rsidR="00A42C45" w:rsidRPr="00E25C6F" w:rsidRDefault="00F263AF" w:rsidP="00A42C45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proofErr w:type="spellStart"/>
      <w:r w:rsidRPr="00E25C6F">
        <w:rPr>
          <w:sz w:val="24"/>
          <w:szCs w:val="24"/>
        </w:rPr>
        <w:t>Farmakoterapeutisk</w:t>
      </w:r>
      <w:proofErr w:type="spellEnd"/>
      <w:r w:rsidRPr="00E25C6F">
        <w:rPr>
          <w:sz w:val="24"/>
          <w:szCs w:val="24"/>
        </w:rPr>
        <w:t xml:space="preserve"> gruppe: </w:t>
      </w:r>
      <w:proofErr w:type="spellStart"/>
      <w:r w:rsidR="00A42C45" w:rsidRPr="00E25C6F">
        <w:rPr>
          <w:sz w:val="24"/>
          <w:szCs w:val="24"/>
        </w:rPr>
        <w:t>Antibakterica</w:t>
      </w:r>
      <w:proofErr w:type="spellEnd"/>
      <w:r w:rsidR="00A42C45" w:rsidRPr="00E25C6F">
        <w:rPr>
          <w:sz w:val="24"/>
          <w:szCs w:val="24"/>
        </w:rPr>
        <w:t xml:space="preserve"> til systemisk brug, beta-</w:t>
      </w:r>
      <w:proofErr w:type="spellStart"/>
      <w:r w:rsidR="00A42C45" w:rsidRPr="00E25C6F">
        <w:rPr>
          <w:sz w:val="24"/>
          <w:szCs w:val="24"/>
        </w:rPr>
        <w:t>lactamase</w:t>
      </w:r>
      <w:proofErr w:type="spellEnd"/>
      <w:r w:rsidR="00A42C45" w:rsidRPr="00E25C6F">
        <w:rPr>
          <w:sz w:val="24"/>
          <w:szCs w:val="24"/>
        </w:rPr>
        <w:t>-følsomme penicilliner.</w:t>
      </w: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proofErr w:type="spellStart"/>
      <w:r w:rsidRPr="00E25C6F">
        <w:rPr>
          <w:sz w:val="24"/>
          <w:szCs w:val="24"/>
        </w:rPr>
        <w:t>ATCvet</w:t>
      </w:r>
      <w:proofErr w:type="spellEnd"/>
      <w:r w:rsidRPr="00E25C6F">
        <w:rPr>
          <w:sz w:val="24"/>
          <w:szCs w:val="24"/>
        </w:rPr>
        <w:t xml:space="preserve">-kode: QJ 01 CE 09. </w:t>
      </w:r>
    </w:p>
    <w:p w:rsidR="00F263AF" w:rsidRPr="00E25C6F" w:rsidRDefault="00F263AF" w:rsidP="00F263AF">
      <w:pPr>
        <w:tabs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5.1</w:t>
      </w:r>
      <w:r w:rsidRPr="00E25C6F">
        <w:rPr>
          <w:b/>
          <w:sz w:val="24"/>
          <w:szCs w:val="24"/>
        </w:rPr>
        <w:tab/>
      </w:r>
      <w:proofErr w:type="spellStart"/>
      <w:r w:rsidRPr="00E25C6F">
        <w:rPr>
          <w:b/>
          <w:sz w:val="24"/>
          <w:szCs w:val="24"/>
        </w:rPr>
        <w:t>Farmakodynamiske</w:t>
      </w:r>
      <w:proofErr w:type="spellEnd"/>
      <w:r w:rsidRPr="00E25C6F">
        <w:rPr>
          <w:b/>
          <w:sz w:val="24"/>
          <w:szCs w:val="24"/>
        </w:rPr>
        <w:t xml:space="preserve"> egenskaber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  <w:proofErr w:type="spellStart"/>
      <w:r w:rsidRPr="00E25C6F">
        <w:rPr>
          <w:sz w:val="24"/>
          <w:szCs w:val="24"/>
        </w:rPr>
        <w:t>Procainbenzylpenicillin</w:t>
      </w:r>
      <w:proofErr w:type="spellEnd"/>
      <w:r w:rsidRPr="00E25C6F">
        <w:rPr>
          <w:sz w:val="24"/>
          <w:szCs w:val="24"/>
        </w:rPr>
        <w:t xml:space="preserve"> er et </w:t>
      </w:r>
      <w:proofErr w:type="spellStart"/>
      <w:r w:rsidRPr="00E25C6F">
        <w:rPr>
          <w:sz w:val="24"/>
          <w:szCs w:val="24"/>
        </w:rPr>
        <w:t>betalactamantibiotika</w:t>
      </w:r>
      <w:proofErr w:type="spellEnd"/>
      <w:r w:rsidRPr="00E25C6F">
        <w:rPr>
          <w:sz w:val="24"/>
          <w:szCs w:val="24"/>
        </w:rPr>
        <w:t>, der er inkluderet i gruppe G Naturlige penicilliner, som udelukkende er beregnet til parenteral indgift og med et reduceret spektrum.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</w:p>
    <w:p w:rsidR="00A42C45" w:rsidRPr="00E25C6F" w:rsidRDefault="00A42C45" w:rsidP="00A42C45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 xml:space="preserve">Det har en grundlæggende baktericid virkningsmekanisme mod de fleste </w:t>
      </w:r>
      <w:proofErr w:type="spellStart"/>
      <w:r w:rsidRPr="00E25C6F">
        <w:rPr>
          <w:sz w:val="24"/>
          <w:szCs w:val="24"/>
        </w:rPr>
        <w:t>gram-positive</w:t>
      </w:r>
      <w:proofErr w:type="spellEnd"/>
      <w:r w:rsidRPr="00E25C6F">
        <w:rPr>
          <w:sz w:val="24"/>
          <w:szCs w:val="24"/>
        </w:rPr>
        <w:t xml:space="preserve"> bakterier og et begrænset antal </w:t>
      </w:r>
      <w:proofErr w:type="spellStart"/>
      <w:r w:rsidRPr="00E25C6F">
        <w:rPr>
          <w:sz w:val="24"/>
          <w:szCs w:val="24"/>
        </w:rPr>
        <w:t>gram-negative</w:t>
      </w:r>
      <w:proofErr w:type="spellEnd"/>
      <w:r w:rsidRPr="00E25C6F">
        <w:rPr>
          <w:sz w:val="24"/>
          <w:szCs w:val="24"/>
        </w:rPr>
        <w:t xml:space="preserve"> bakterier.</w:t>
      </w:r>
    </w:p>
    <w:p w:rsidR="00A42C45" w:rsidRPr="00E25C6F" w:rsidRDefault="00A42C45" w:rsidP="00A42C45">
      <w:pPr>
        <w:ind w:left="851"/>
        <w:rPr>
          <w:sz w:val="24"/>
          <w:szCs w:val="24"/>
        </w:rPr>
      </w:pPr>
    </w:p>
    <w:p w:rsidR="00A42C45" w:rsidRPr="00E25C6F" w:rsidRDefault="00A42C45" w:rsidP="00A42C45">
      <w:pPr>
        <w:ind w:left="851"/>
        <w:rPr>
          <w:sz w:val="24"/>
          <w:szCs w:val="24"/>
          <w:u w:val="single"/>
        </w:rPr>
      </w:pPr>
      <w:r w:rsidRPr="00E25C6F">
        <w:rPr>
          <w:sz w:val="24"/>
          <w:szCs w:val="24"/>
          <w:u w:val="single"/>
        </w:rPr>
        <w:t>Virkningsmekanisme</w:t>
      </w:r>
    </w:p>
    <w:p w:rsidR="00A42C45" w:rsidRPr="00E25C6F" w:rsidRDefault="00A42C45" w:rsidP="00A42C45">
      <w:pPr>
        <w:pStyle w:val="HPRAMainBodyText"/>
        <w:ind w:left="851"/>
        <w:rPr>
          <w:rFonts w:ascii="Times New Roman" w:hAnsi="Times New Roman" w:cs="Times New Roman"/>
          <w:sz w:val="24"/>
          <w:szCs w:val="24"/>
          <w:lang w:val="da-DK"/>
        </w:rPr>
      </w:pPr>
      <w:proofErr w:type="spellStart"/>
      <w:r w:rsidRPr="00E25C6F">
        <w:rPr>
          <w:rFonts w:ascii="Times New Roman" w:hAnsi="Times New Roman" w:cs="Times New Roman"/>
          <w:sz w:val="24"/>
          <w:szCs w:val="24"/>
          <w:lang w:val="da-DK"/>
        </w:rPr>
        <w:t>Benzylpenicillin</w:t>
      </w:r>
      <w:proofErr w:type="spellEnd"/>
      <w:r w:rsidRPr="00E25C6F">
        <w:rPr>
          <w:rFonts w:ascii="Times New Roman" w:hAnsi="Times New Roman" w:cs="Times New Roman"/>
          <w:sz w:val="24"/>
          <w:szCs w:val="24"/>
          <w:lang w:val="da-DK"/>
        </w:rPr>
        <w:t xml:space="preserve">, </w:t>
      </w:r>
      <w:proofErr w:type="spellStart"/>
      <w:r w:rsidRPr="00E25C6F">
        <w:rPr>
          <w:rFonts w:ascii="Times New Roman" w:hAnsi="Times New Roman" w:cs="Times New Roman"/>
          <w:sz w:val="24"/>
          <w:szCs w:val="24"/>
          <w:lang w:val="da-DK"/>
        </w:rPr>
        <w:t>procain</w:t>
      </w:r>
      <w:proofErr w:type="spellEnd"/>
      <w:r w:rsidRPr="00E25C6F">
        <w:rPr>
          <w:rFonts w:ascii="Times New Roman" w:hAnsi="Times New Roman" w:cs="Times New Roman"/>
          <w:sz w:val="24"/>
          <w:szCs w:val="24"/>
          <w:lang w:val="da-DK"/>
        </w:rPr>
        <w:t xml:space="preserve"> er et depotpenicillin, som ikke er letopløseligt i vand, og som frigiver </w:t>
      </w:r>
      <w:proofErr w:type="spellStart"/>
      <w:r w:rsidRPr="00E25C6F">
        <w:rPr>
          <w:rFonts w:ascii="Times New Roman" w:hAnsi="Times New Roman" w:cs="Times New Roman"/>
          <w:sz w:val="24"/>
          <w:szCs w:val="24"/>
          <w:lang w:val="da-DK"/>
        </w:rPr>
        <w:t>benzylpenicillin</w:t>
      </w:r>
      <w:proofErr w:type="spellEnd"/>
      <w:r w:rsidRPr="00E25C6F">
        <w:rPr>
          <w:rFonts w:ascii="Times New Roman" w:hAnsi="Times New Roman" w:cs="Times New Roman"/>
          <w:sz w:val="24"/>
          <w:szCs w:val="24"/>
          <w:lang w:val="da-DK"/>
        </w:rPr>
        <w:t xml:space="preserve"> og </w:t>
      </w:r>
      <w:proofErr w:type="spellStart"/>
      <w:r w:rsidRPr="00E25C6F">
        <w:rPr>
          <w:rFonts w:ascii="Times New Roman" w:hAnsi="Times New Roman" w:cs="Times New Roman"/>
          <w:sz w:val="24"/>
          <w:szCs w:val="24"/>
          <w:lang w:val="da-DK"/>
        </w:rPr>
        <w:t>procain</w:t>
      </w:r>
      <w:proofErr w:type="spellEnd"/>
      <w:r w:rsidRPr="00E25C6F">
        <w:rPr>
          <w:rFonts w:ascii="Times New Roman" w:hAnsi="Times New Roman" w:cs="Times New Roman"/>
          <w:sz w:val="24"/>
          <w:szCs w:val="24"/>
          <w:lang w:val="da-DK"/>
        </w:rPr>
        <w:t xml:space="preserve"> i dyret ved dissociation. Penicilliner har en bakteriedræbende virkning på </w:t>
      </w:r>
      <w:proofErr w:type="spellStart"/>
      <w:r w:rsidRPr="00E25C6F">
        <w:rPr>
          <w:rFonts w:ascii="Times New Roman" w:hAnsi="Times New Roman" w:cs="Times New Roman"/>
          <w:sz w:val="24"/>
          <w:szCs w:val="24"/>
          <w:lang w:val="da-DK"/>
        </w:rPr>
        <w:t>patogener</w:t>
      </w:r>
      <w:proofErr w:type="spellEnd"/>
      <w:r w:rsidRPr="00E25C6F">
        <w:rPr>
          <w:rFonts w:ascii="Times New Roman" w:hAnsi="Times New Roman" w:cs="Times New Roman"/>
          <w:sz w:val="24"/>
          <w:szCs w:val="24"/>
          <w:lang w:val="da-DK"/>
        </w:rPr>
        <w:t xml:space="preserve"> under celledeling ved hæmning af cellevægssyntesen. </w:t>
      </w:r>
      <w:proofErr w:type="spellStart"/>
      <w:r w:rsidRPr="00E25C6F">
        <w:rPr>
          <w:rFonts w:ascii="Times New Roman" w:hAnsi="Times New Roman" w:cs="Times New Roman"/>
          <w:sz w:val="24"/>
          <w:szCs w:val="24"/>
          <w:lang w:val="da-DK"/>
        </w:rPr>
        <w:t>Benzylpenicillin</w:t>
      </w:r>
      <w:proofErr w:type="spellEnd"/>
      <w:r w:rsidRPr="00E25C6F">
        <w:rPr>
          <w:rFonts w:ascii="Times New Roman" w:hAnsi="Times New Roman" w:cs="Times New Roman"/>
          <w:sz w:val="24"/>
          <w:szCs w:val="24"/>
          <w:lang w:val="da-DK"/>
        </w:rPr>
        <w:t xml:space="preserve"> er syrelabilt og inaktiveres af bakterielle ß-</w:t>
      </w:r>
      <w:proofErr w:type="spellStart"/>
      <w:r w:rsidRPr="00E25C6F">
        <w:rPr>
          <w:rFonts w:ascii="Times New Roman" w:hAnsi="Times New Roman" w:cs="Times New Roman"/>
          <w:sz w:val="24"/>
          <w:szCs w:val="24"/>
          <w:lang w:val="da-DK"/>
        </w:rPr>
        <w:t>lactamaser</w:t>
      </w:r>
      <w:proofErr w:type="spellEnd"/>
      <w:r w:rsidRPr="00E25C6F">
        <w:rPr>
          <w:rFonts w:ascii="Times New Roman" w:hAnsi="Times New Roman" w:cs="Times New Roman"/>
          <w:sz w:val="24"/>
          <w:szCs w:val="24"/>
          <w:lang w:val="da-DK"/>
        </w:rPr>
        <w:t>.</w:t>
      </w:r>
    </w:p>
    <w:p w:rsidR="00A42C45" w:rsidRPr="00E25C6F" w:rsidRDefault="00A42C45" w:rsidP="00A42C45">
      <w:pPr>
        <w:pStyle w:val="HPRAMainBodyText"/>
        <w:ind w:left="851"/>
        <w:rPr>
          <w:rFonts w:ascii="Times New Roman" w:hAnsi="Times New Roman" w:cs="Times New Roman"/>
          <w:sz w:val="24"/>
          <w:szCs w:val="24"/>
          <w:lang w:val="da-DK"/>
        </w:rPr>
      </w:pPr>
    </w:p>
    <w:p w:rsidR="00A42C45" w:rsidRDefault="00A42C45" w:rsidP="00A42C45">
      <w:pPr>
        <w:pStyle w:val="HPRAMainBodyText"/>
        <w:ind w:left="851"/>
        <w:rPr>
          <w:rFonts w:ascii="Times New Roman" w:hAnsi="Times New Roman" w:cs="Times New Roman"/>
          <w:sz w:val="24"/>
          <w:szCs w:val="24"/>
          <w:lang w:val="da-DK"/>
        </w:rPr>
      </w:pPr>
      <w:r w:rsidRPr="00E25C6F">
        <w:rPr>
          <w:rFonts w:ascii="Times New Roman" w:hAnsi="Times New Roman" w:cs="Times New Roman"/>
          <w:sz w:val="24"/>
          <w:szCs w:val="24"/>
          <w:lang w:val="da-DK"/>
        </w:rPr>
        <w:t xml:space="preserve">Det er kendt, at der forekommer resistens over for </w:t>
      </w:r>
      <w:proofErr w:type="spellStart"/>
      <w:r w:rsidRPr="00E25C6F">
        <w:rPr>
          <w:rFonts w:ascii="Times New Roman" w:hAnsi="Times New Roman" w:cs="Times New Roman"/>
          <w:sz w:val="24"/>
          <w:szCs w:val="24"/>
          <w:lang w:val="da-DK"/>
        </w:rPr>
        <w:t>benzylpenicillin</w:t>
      </w:r>
      <w:proofErr w:type="spellEnd"/>
      <w:r w:rsidRPr="00E25C6F">
        <w:rPr>
          <w:rFonts w:ascii="Times New Roman" w:hAnsi="Times New Roman" w:cs="Times New Roman"/>
          <w:sz w:val="24"/>
          <w:szCs w:val="24"/>
          <w:lang w:val="da-DK"/>
        </w:rPr>
        <w:t xml:space="preserve"> i nogle </w:t>
      </w:r>
      <w:proofErr w:type="spellStart"/>
      <w:r w:rsidRPr="00E25C6F">
        <w:rPr>
          <w:rFonts w:ascii="Times New Roman" w:hAnsi="Times New Roman" w:cs="Times New Roman"/>
          <w:sz w:val="24"/>
          <w:szCs w:val="24"/>
          <w:lang w:val="da-DK"/>
        </w:rPr>
        <w:t>isolater</w:t>
      </w:r>
      <w:proofErr w:type="spellEnd"/>
      <w:r w:rsidRPr="00E25C6F">
        <w:rPr>
          <w:rFonts w:ascii="Times New Roman" w:hAnsi="Times New Roman" w:cs="Times New Roman"/>
          <w:sz w:val="24"/>
          <w:szCs w:val="24"/>
          <w:lang w:val="da-DK"/>
        </w:rPr>
        <w:t xml:space="preserve"> af de </w:t>
      </w:r>
      <w:proofErr w:type="spellStart"/>
      <w:r w:rsidRPr="00E25C6F">
        <w:rPr>
          <w:rFonts w:ascii="Times New Roman" w:hAnsi="Times New Roman" w:cs="Times New Roman"/>
          <w:sz w:val="24"/>
          <w:szCs w:val="24"/>
          <w:lang w:val="da-DK"/>
        </w:rPr>
        <w:t>patogener</w:t>
      </w:r>
      <w:proofErr w:type="spellEnd"/>
      <w:r w:rsidRPr="00E25C6F">
        <w:rPr>
          <w:rFonts w:ascii="Times New Roman" w:hAnsi="Times New Roman" w:cs="Times New Roman"/>
          <w:sz w:val="24"/>
          <w:szCs w:val="24"/>
          <w:lang w:val="da-DK"/>
        </w:rPr>
        <w:t>, som dette produkt er indiceret for. Den almindeligste resistensmekanisme er produktion af enzymet β-</w:t>
      </w:r>
      <w:proofErr w:type="spellStart"/>
      <w:r w:rsidRPr="00E25C6F">
        <w:rPr>
          <w:rFonts w:ascii="Times New Roman" w:hAnsi="Times New Roman" w:cs="Times New Roman"/>
          <w:sz w:val="24"/>
          <w:szCs w:val="24"/>
          <w:lang w:val="da-DK"/>
        </w:rPr>
        <w:t>lactamase</w:t>
      </w:r>
      <w:proofErr w:type="spellEnd"/>
      <w:r w:rsidRPr="00E25C6F">
        <w:rPr>
          <w:rFonts w:ascii="Times New Roman" w:hAnsi="Times New Roman" w:cs="Times New Roman"/>
          <w:sz w:val="24"/>
          <w:szCs w:val="24"/>
          <w:lang w:val="da-DK"/>
        </w:rPr>
        <w:t xml:space="preserve">. Resistens kan også skyldes ændring af penicillinbindingsproteiner (PBP). Der er krydsresistens mellem penicilliner og </w:t>
      </w:r>
      <w:proofErr w:type="spellStart"/>
      <w:r w:rsidRPr="00E25C6F">
        <w:rPr>
          <w:rFonts w:ascii="Times New Roman" w:hAnsi="Times New Roman" w:cs="Times New Roman"/>
          <w:sz w:val="24"/>
          <w:szCs w:val="24"/>
          <w:lang w:val="da-DK"/>
        </w:rPr>
        <w:t>cephalosporiner</w:t>
      </w:r>
      <w:proofErr w:type="spellEnd"/>
      <w:r w:rsidRPr="00E25C6F">
        <w:rPr>
          <w:rFonts w:ascii="Times New Roman" w:hAnsi="Times New Roman" w:cs="Times New Roman"/>
          <w:sz w:val="24"/>
          <w:szCs w:val="24"/>
          <w:lang w:val="da-DK"/>
        </w:rPr>
        <w:t>. Hvis et patogen har erhvervet penicillinresistens ved overførsel af mobile genetiske elementer, kan der også være samtidig resistens over for andre antibiotikaklasser til stede.</w:t>
      </w:r>
    </w:p>
    <w:p w:rsidR="00021D8C" w:rsidRDefault="00021D8C" w:rsidP="00A42C45">
      <w:pPr>
        <w:pStyle w:val="HPRAMainBodyText"/>
        <w:ind w:left="851"/>
        <w:rPr>
          <w:rFonts w:ascii="Times New Roman" w:hAnsi="Times New Roman" w:cs="Times New Roman"/>
          <w:sz w:val="24"/>
          <w:szCs w:val="24"/>
          <w:lang w:val="da-DK"/>
        </w:rPr>
      </w:pPr>
    </w:p>
    <w:p w:rsidR="00021D8C" w:rsidRDefault="00021D8C" w:rsidP="00021D8C">
      <w:pPr>
        <w:ind w:left="851"/>
        <w:rPr>
          <w:sz w:val="24"/>
          <w:szCs w:val="24"/>
        </w:rPr>
      </w:pPr>
      <w:proofErr w:type="spellStart"/>
      <w:r w:rsidRPr="00021D8C">
        <w:rPr>
          <w:sz w:val="24"/>
          <w:szCs w:val="24"/>
        </w:rPr>
        <w:t>Enterobacterales</w:t>
      </w:r>
      <w:proofErr w:type="spellEnd"/>
      <w:r w:rsidRPr="00021D8C">
        <w:rPr>
          <w:sz w:val="24"/>
          <w:szCs w:val="24"/>
        </w:rPr>
        <w:t xml:space="preserve">, </w:t>
      </w:r>
      <w:proofErr w:type="spellStart"/>
      <w:r w:rsidRPr="00021D8C">
        <w:rPr>
          <w:i/>
          <w:iCs/>
          <w:sz w:val="24"/>
          <w:szCs w:val="24"/>
        </w:rPr>
        <w:t>Bacteroides</w:t>
      </w:r>
      <w:proofErr w:type="spellEnd"/>
      <w:r w:rsidRPr="00021D8C">
        <w:rPr>
          <w:i/>
          <w:iCs/>
          <w:sz w:val="24"/>
          <w:szCs w:val="24"/>
        </w:rPr>
        <w:t xml:space="preserve"> </w:t>
      </w:r>
      <w:proofErr w:type="spellStart"/>
      <w:r w:rsidRPr="00021D8C">
        <w:rPr>
          <w:i/>
          <w:iCs/>
          <w:sz w:val="24"/>
          <w:szCs w:val="24"/>
        </w:rPr>
        <w:t>fragilis</w:t>
      </w:r>
      <w:proofErr w:type="spellEnd"/>
      <w:r w:rsidRPr="00021D8C">
        <w:rPr>
          <w:sz w:val="24"/>
          <w:szCs w:val="24"/>
        </w:rPr>
        <w:t xml:space="preserve">, de fleste </w:t>
      </w:r>
      <w:r w:rsidRPr="00021D8C">
        <w:rPr>
          <w:i/>
          <w:iCs/>
          <w:sz w:val="24"/>
          <w:szCs w:val="24"/>
        </w:rPr>
        <w:t>Campylobacter</w:t>
      </w:r>
      <w:r w:rsidRPr="00021D8C">
        <w:rPr>
          <w:sz w:val="24"/>
          <w:szCs w:val="24"/>
        </w:rPr>
        <w:t xml:space="preserve"> </w:t>
      </w:r>
      <w:proofErr w:type="spellStart"/>
      <w:r w:rsidRPr="00021D8C">
        <w:rPr>
          <w:sz w:val="24"/>
          <w:szCs w:val="24"/>
        </w:rPr>
        <w:t>spp</w:t>
      </w:r>
      <w:proofErr w:type="spellEnd"/>
      <w:r w:rsidRPr="00021D8C">
        <w:rPr>
          <w:sz w:val="24"/>
          <w:szCs w:val="24"/>
        </w:rPr>
        <w:t xml:space="preserve">., </w:t>
      </w:r>
      <w:proofErr w:type="spellStart"/>
      <w:r w:rsidRPr="00021D8C">
        <w:rPr>
          <w:i/>
          <w:iCs/>
          <w:sz w:val="24"/>
          <w:szCs w:val="24"/>
        </w:rPr>
        <w:t>Nocardia</w:t>
      </w:r>
      <w:proofErr w:type="spellEnd"/>
      <w:r w:rsidRPr="00021D8C">
        <w:rPr>
          <w:sz w:val="24"/>
          <w:szCs w:val="24"/>
        </w:rPr>
        <w:t xml:space="preserve"> </w:t>
      </w:r>
      <w:proofErr w:type="spellStart"/>
      <w:r w:rsidRPr="00021D8C">
        <w:rPr>
          <w:sz w:val="24"/>
          <w:szCs w:val="24"/>
        </w:rPr>
        <w:t>spp</w:t>
      </w:r>
      <w:proofErr w:type="spellEnd"/>
      <w:r w:rsidRPr="00021D8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og </w:t>
      </w:r>
      <w:proofErr w:type="spellStart"/>
      <w:r>
        <w:rPr>
          <w:i/>
          <w:iCs/>
          <w:sz w:val="24"/>
          <w:szCs w:val="24"/>
        </w:rPr>
        <w:t>Pseudomonas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spp</w:t>
      </w:r>
      <w:proofErr w:type="spellEnd"/>
      <w:r>
        <w:rPr>
          <w:sz w:val="24"/>
          <w:szCs w:val="24"/>
        </w:rPr>
        <w:t>. samt beta-</w:t>
      </w:r>
      <w:proofErr w:type="spellStart"/>
      <w:r>
        <w:rPr>
          <w:sz w:val="24"/>
          <w:szCs w:val="24"/>
        </w:rPr>
        <w:t>lactamaseproducerende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Staphylococcus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spp</w:t>
      </w:r>
      <w:proofErr w:type="spellEnd"/>
      <w:r>
        <w:rPr>
          <w:sz w:val="24"/>
          <w:szCs w:val="24"/>
        </w:rPr>
        <w:t>. er resistente.</w:t>
      </w:r>
    </w:p>
    <w:p w:rsidR="00A42C45" w:rsidRPr="00E25C6F" w:rsidRDefault="00A42C45" w:rsidP="00A42C45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 xml:space="preserve"> </w:t>
      </w:r>
    </w:p>
    <w:p w:rsidR="00A42C45" w:rsidRPr="00E25C6F" w:rsidRDefault="00A42C45" w:rsidP="0096043A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 xml:space="preserve">Kliniske grænseværdier for penicilliner baseret på EUCAST (European </w:t>
      </w:r>
      <w:proofErr w:type="spellStart"/>
      <w:r w:rsidRPr="00E25C6F">
        <w:rPr>
          <w:sz w:val="24"/>
          <w:szCs w:val="24"/>
        </w:rPr>
        <w:t>Committee</w:t>
      </w:r>
      <w:proofErr w:type="spellEnd"/>
      <w:r w:rsidRPr="00E25C6F">
        <w:rPr>
          <w:sz w:val="24"/>
          <w:szCs w:val="24"/>
        </w:rPr>
        <w:t xml:space="preserve"> on </w:t>
      </w:r>
      <w:proofErr w:type="spellStart"/>
      <w:r w:rsidRPr="00E25C6F">
        <w:rPr>
          <w:sz w:val="24"/>
          <w:szCs w:val="24"/>
        </w:rPr>
        <w:t>Antimicrobial</w:t>
      </w:r>
      <w:proofErr w:type="spellEnd"/>
      <w:r w:rsidRPr="00E25C6F">
        <w:rPr>
          <w:sz w:val="24"/>
          <w:szCs w:val="24"/>
        </w:rPr>
        <w:t xml:space="preserve"> </w:t>
      </w:r>
      <w:proofErr w:type="spellStart"/>
      <w:r w:rsidRPr="00E25C6F">
        <w:rPr>
          <w:sz w:val="24"/>
          <w:szCs w:val="24"/>
        </w:rPr>
        <w:t>Susceptibility</w:t>
      </w:r>
      <w:proofErr w:type="spellEnd"/>
      <w:r w:rsidRPr="00E25C6F">
        <w:rPr>
          <w:sz w:val="24"/>
          <w:szCs w:val="24"/>
        </w:rPr>
        <w:t xml:space="preserve"> </w:t>
      </w:r>
      <w:proofErr w:type="spellStart"/>
      <w:r w:rsidRPr="00E25C6F">
        <w:rPr>
          <w:sz w:val="24"/>
          <w:szCs w:val="24"/>
        </w:rPr>
        <w:t>Testing</w:t>
      </w:r>
      <w:proofErr w:type="spellEnd"/>
      <w:r w:rsidRPr="00E25C6F">
        <w:rPr>
          <w:sz w:val="24"/>
          <w:szCs w:val="24"/>
        </w:rPr>
        <w:t>), version 11.0, 2021:</w:t>
      </w:r>
    </w:p>
    <w:p w:rsidR="00CB5542" w:rsidRPr="00E25C6F" w:rsidRDefault="00CB5542" w:rsidP="00A42C45">
      <w:pPr>
        <w:ind w:left="851"/>
        <w:jc w:val="both"/>
        <w:rPr>
          <w:sz w:val="24"/>
          <w:szCs w:val="24"/>
        </w:rPr>
      </w:pPr>
    </w:p>
    <w:tbl>
      <w:tblPr>
        <w:tblW w:w="36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3"/>
        <w:gridCol w:w="1920"/>
        <w:gridCol w:w="1786"/>
      </w:tblGrid>
      <w:tr w:rsidR="00F263AF" w:rsidRPr="00E25C6F" w:rsidTr="00AB5E79">
        <w:trPr>
          <w:jc w:val="center"/>
        </w:trPr>
        <w:tc>
          <w:tcPr>
            <w:tcW w:w="2375" w:type="pct"/>
            <w:vMerge w:val="restart"/>
            <w:vAlign w:val="center"/>
          </w:tcPr>
          <w:p w:rsidR="00F263AF" w:rsidRPr="00E25C6F" w:rsidRDefault="00F263AF" w:rsidP="00AB5E79">
            <w:pPr>
              <w:ind w:left="67" w:right="-933"/>
              <w:jc w:val="both"/>
              <w:rPr>
                <w:b/>
                <w:bCs/>
                <w:sz w:val="24"/>
                <w:szCs w:val="24"/>
              </w:rPr>
            </w:pPr>
            <w:r w:rsidRPr="00E25C6F">
              <w:rPr>
                <w:b/>
                <w:bCs/>
                <w:sz w:val="24"/>
                <w:szCs w:val="24"/>
              </w:rPr>
              <w:t>Bakteriegrupper</w:t>
            </w:r>
          </w:p>
        </w:tc>
        <w:tc>
          <w:tcPr>
            <w:tcW w:w="2625" w:type="pct"/>
            <w:gridSpan w:val="2"/>
            <w:vAlign w:val="center"/>
          </w:tcPr>
          <w:p w:rsidR="00F263AF" w:rsidRPr="00E25C6F" w:rsidRDefault="00F263AF" w:rsidP="00AB5E79">
            <w:pPr>
              <w:ind w:left="44" w:right="-933"/>
              <w:jc w:val="both"/>
              <w:rPr>
                <w:b/>
                <w:bCs/>
                <w:sz w:val="24"/>
                <w:szCs w:val="24"/>
              </w:rPr>
            </w:pPr>
            <w:r w:rsidRPr="00E25C6F">
              <w:rPr>
                <w:b/>
                <w:bCs/>
                <w:sz w:val="24"/>
                <w:szCs w:val="24"/>
              </w:rPr>
              <w:t>MIC-grænseværdi (µg/ml)</w:t>
            </w:r>
          </w:p>
        </w:tc>
      </w:tr>
      <w:tr w:rsidR="00F263AF" w:rsidRPr="00E25C6F" w:rsidTr="00AB5E79">
        <w:trPr>
          <w:jc w:val="center"/>
        </w:trPr>
        <w:tc>
          <w:tcPr>
            <w:tcW w:w="2375" w:type="pct"/>
            <w:vMerge/>
            <w:vAlign w:val="center"/>
          </w:tcPr>
          <w:p w:rsidR="00F263AF" w:rsidRPr="00E25C6F" w:rsidRDefault="00F263AF" w:rsidP="00AB5E79">
            <w:pPr>
              <w:ind w:left="67" w:right="-933"/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60" w:type="pct"/>
            <w:vAlign w:val="center"/>
          </w:tcPr>
          <w:p w:rsidR="00F263AF" w:rsidRPr="00E25C6F" w:rsidRDefault="00F263AF" w:rsidP="00AB5E79">
            <w:pPr>
              <w:ind w:left="44" w:right="-933"/>
              <w:jc w:val="both"/>
              <w:rPr>
                <w:b/>
                <w:bCs/>
                <w:sz w:val="24"/>
                <w:szCs w:val="24"/>
              </w:rPr>
            </w:pPr>
            <w:r w:rsidRPr="00E25C6F">
              <w:rPr>
                <w:b/>
                <w:bCs/>
                <w:sz w:val="24"/>
                <w:szCs w:val="24"/>
              </w:rPr>
              <w:t>Følsom</w:t>
            </w:r>
          </w:p>
        </w:tc>
        <w:tc>
          <w:tcPr>
            <w:tcW w:w="1265" w:type="pct"/>
            <w:vAlign w:val="center"/>
          </w:tcPr>
          <w:p w:rsidR="00F263AF" w:rsidRPr="00E25C6F" w:rsidRDefault="00F263AF" w:rsidP="00AB5E79">
            <w:pPr>
              <w:ind w:left="44" w:right="-933"/>
              <w:jc w:val="both"/>
              <w:rPr>
                <w:b/>
                <w:bCs/>
                <w:sz w:val="24"/>
                <w:szCs w:val="24"/>
              </w:rPr>
            </w:pPr>
            <w:r w:rsidRPr="00E25C6F">
              <w:rPr>
                <w:b/>
                <w:bCs/>
                <w:sz w:val="24"/>
                <w:szCs w:val="24"/>
              </w:rPr>
              <w:t>Resistent</w:t>
            </w:r>
          </w:p>
        </w:tc>
      </w:tr>
      <w:tr w:rsidR="00F263AF" w:rsidRPr="00E25C6F" w:rsidTr="00AB5E79">
        <w:trPr>
          <w:jc w:val="center"/>
        </w:trPr>
        <w:tc>
          <w:tcPr>
            <w:tcW w:w="2375" w:type="pct"/>
            <w:vAlign w:val="center"/>
          </w:tcPr>
          <w:p w:rsidR="00F263AF" w:rsidRPr="00E25C6F" w:rsidRDefault="00F263AF" w:rsidP="00AB5E79">
            <w:pPr>
              <w:ind w:left="67" w:right="-933"/>
              <w:jc w:val="both"/>
              <w:rPr>
                <w:bCs/>
                <w:i/>
                <w:sz w:val="24"/>
                <w:szCs w:val="24"/>
              </w:rPr>
            </w:pPr>
            <w:r w:rsidRPr="00E25C6F">
              <w:rPr>
                <w:i/>
                <w:iCs/>
                <w:sz w:val="24"/>
                <w:szCs w:val="24"/>
              </w:rPr>
              <w:t xml:space="preserve">Listeria </w:t>
            </w:r>
            <w:proofErr w:type="spellStart"/>
            <w:r w:rsidRPr="00E25C6F">
              <w:rPr>
                <w:sz w:val="24"/>
                <w:szCs w:val="24"/>
              </w:rPr>
              <w:t>spp</w:t>
            </w:r>
            <w:proofErr w:type="spellEnd"/>
            <w:r w:rsidRPr="00E25C6F">
              <w:rPr>
                <w:sz w:val="24"/>
                <w:szCs w:val="24"/>
              </w:rPr>
              <w:t>.</w:t>
            </w:r>
          </w:p>
        </w:tc>
        <w:tc>
          <w:tcPr>
            <w:tcW w:w="1360" w:type="pct"/>
            <w:vAlign w:val="center"/>
          </w:tcPr>
          <w:p w:rsidR="00F263AF" w:rsidRPr="00E25C6F" w:rsidRDefault="00F263AF" w:rsidP="00AB5E79">
            <w:pPr>
              <w:ind w:left="44" w:right="-933"/>
              <w:jc w:val="both"/>
              <w:rPr>
                <w:bCs/>
                <w:sz w:val="24"/>
                <w:szCs w:val="24"/>
              </w:rPr>
            </w:pPr>
            <w:r w:rsidRPr="00E25C6F">
              <w:rPr>
                <w:sz w:val="24"/>
                <w:szCs w:val="24"/>
              </w:rPr>
              <w:t>S≤1</w:t>
            </w:r>
          </w:p>
        </w:tc>
        <w:tc>
          <w:tcPr>
            <w:tcW w:w="1265" w:type="pct"/>
            <w:vAlign w:val="center"/>
          </w:tcPr>
          <w:p w:rsidR="00F263AF" w:rsidRPr="00E25C6F" w:rsidRDefault="00F263AF" w:rsidP="00AB5E79">
            <w:pPr>
              <w:ind w:left="44" w:right="-933"/>
              <w:jc w:val="both"/>
              <w:rPr>
                <w:bCs/>
                <w:sz w:val="24"/>
                <w:szCs w:val="24"/>
              </w:rPr>
            </w:pPr>
            <w:r w:rsidRPr="00E25C6F">
              <w:rPr>
                <w:sz w:val="24"/>
                <w:szCs w:val="24"/>
              </w:rPr>
              <w:t>R&gt;1</w:t>
            </w:r>
          </w:p>
        </w:tc>
      </w:tr>
      <w:tr w:rsidR="00F263AF" w:rsidRPr="00E25C6F" w:rsidTr="00AB5E79">
        <w:trPr>
          <w:jc w:val="center"/>
        </w:trPr>
        <w:tc>
          <w:tcPr>
            <w:tcW w:w="2375" w:type="pct"/>
            <w:vAlign w:val="center"/>
          </w:tcPr>
          <w:p w:rsidR="00F263AF" w:rsidRPr="00E25C6F" w:rsidRDefault="00F263AF" w:rsidP="00AB5E79">
            <w:pPr>
              <w:ind w:left="67" w:right="-933"/>
              <w:jc w:val="both"/>
              <w:rPr>
                <w:bCs/>
                <w:i/>
                <w:sz w:val="24"/>
                <w:szCs w:val="24"/>
              </w:rPr>
            </w:pPr>
            <w:proofErr w:type="spellStart"/>
            <w:r w:rsidRPr="00E25C6F">
              <w:rPr>
                <w:i/>
                <w:iCs/>
                <w:sz w:val="24"/>
                <w:szCs w:val="24"/>
              </w:rPr>
              <w:t>Pasteurella</w:t>
            </w:r>
            <w:proofErr w:type="spellEnd"/>
            <w:r w:rsidRPr="00E25C6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25C6F">
              <w:rPr>
                <w:i/>
                <w:iCs/>
                <w:sz w:val="24"/>
                <w:szCs w:val="24"/>
              </w:rPr>
              <w:t>multocida</w:t>
            </w:r>
            <w:proofErr w:type="spellEnd"/>
            <w:r w:rsidRPr="00E25C6F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360" w:type="pct"/>
            <w:vAlign w:val="center"/>
          </w:tcPr>
          <w:p w:rsidR="00F263AF" w:rsidRPr="00E25C6F" w:rsidRDefault="00F263AF" w:rsidP="00AB5E79">
            <w:pPr>
              <w:ind w:left="44" w:right="-933"/>
              <w:jc w:val="both"/>
              <w:rPr>
                <w:bCs/>
                <w:sz w:val="24"/>
                <w:szCs w:val="24"/>
              </w:rPr>
            </w:pPr>
            <w:r w:rsidRPr="00E25C6F">
              <w:rPr>
                <w:sz w:val="24"/>
                <w:szCs w:val="24"/>
              </w:rPr>
              <w:t>S≤0,5</w:t>
            </w:r>
          </w:p>
        </w:tc>
        <w:tc>
          <w:tcPr>
            <w:tcW w:w="1265" w:type="pct"/>
            <w:vAlign w:val="center"/>
          </w:tcPr>
          <w:p w:rsidR="00F263AF" w:rsidRPr="00E25C6F" w:rsidRDefault="00F263AF" w:rsidP="00AB5E79">
            <w:pPr>
              <w:ind w:left="44" w:right="-933"/>
              <w:jc w:val="both"/>
              <w:rPr>
                <w:bCs/>
                <w:sz w:val="24"/>
                <w:szCs w:val="24"/>
              </w:rPr>
            </w:pPr>
            <w:r w:rsidRPr="00E25C6F">
              <w:rPr>
                <w:sz w:val="24"/>
                <w:szCs w:val="24"/>
              </w:rPr>
              <w:t>R&gt;0,5</w:t>
            </w:r>
          </w:p>
        </w:tc>
      </w:tr>
      <w:tr w:rsidR="00F263AF" w:rsidRPr="00E25C6F" w:rsidTr="00AB5E79">
        <w:trPr>
          <w:jc w:val="center"/>
        </w:trPr>
        <w:tc>
          <w:tcPr>
            <w:tcW w:w="2375" w:type="pct"/>
            <w:vAlign w:val="center"/>
          </w:tcPr>
          <w:p w:rsidR="00F263AF" w:rsidRPr="00E25C6F" w:rsidRDefault="00F263AF" w:rsidP="00AB5E79">
            <w:pPr>
              <w:ind w:left="67" w:right="-933"/>
              <w:jc w:val="both"/>
              <w:rPr>
                <w:bCs/>
                <w:i/>
                <w:sz w:val="24"/>
                <w:szCs w:val="24"/>
              </w:rPr>
            </w:pPr>
            <w:proofErr w:type="spellStart"/>
            <w:r w:rsidRPr="00E25C6F">
              <w:rPr>
                <w:i/>
                <w:iCs/>
                <w:sz w:val="24"/>
                <w:szCs w:val="24"/>
              </w:rPr>
              <w:t>Staphylococcus</w:t>
            </w:r>
            <w:proofErr w:type="spellEnd"/>
            <w:r w:rsidRPr="00E25C6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25C6F">
              <w:rPr>
                <w:sz w:val="24"/>
                <w:szCs w:val="24"/>
              </w:rPr>
              <w:t>spp</w:t>
            </w:r>
            <w:proofErr w:type="spellEnd"/>
            <w:r w:rsidRPr="00E25C6F">
              <w:rPr>
                <w:sz w:val="24"/>
                <w:szCs w:val="24"/>
              </w:rPr>
              <w:t>.</w:t>
            </w:r>
          </w:p>
        </w:tc>
        <w:tc>
          <w:tcPr>
            <w:tcW w:w="1360" w:type="pct"/>
            <w:vAlign w:val="center"/>
          </w:tcPr>
          <w:p w:rsidR="00F263AF" w:rsidRPr="00E25C6F" w:rsidRDefault="00F263AF" w:rsidP="00AB5E79">
            <w:pPr>
              <w:ind w:left="44" w:right="-933"/>
              <w:jc w:val="both"/>
              <w:rPr>
                <w:bCs/>
                <w:sz w:val="24"/>
                <w:szCs w:val="24"/>
              </w:rPr>
            </w:pPr>
            <w:r w:rsidRPr="00E25C6F">
              <w:rPr>
                <w:sz w:val="24"/>
                <w:szCs w:val="24"/>
              </w:rPr>
              <w:t>S≤0,125</w:t>
            </w:r>
          </w:p>
        </w:tc>
        <w:tc>
          <w:tcPr>
            <w:tcW w:w="1265" w:type="pct"/>
            <w:vAlign w:val="center"/>
          </w:tcPr>
          <w:p w:rsidR="00F263AF" w:rsidRPr="00E25C6F" w:rsidRDefault="00F263AF" w:rsidP="00AB5E79">
            <w:pPr>
              <w:ind w:left="44" w:right="-933"/>
              <w:jc w:val="both"/>
              <w:rPr>
                <w:bCs/>
                <w:sz w:val="24"/>
                <w:szCs w:val="24"/>
              </w:rPr>
            </w:pPr>
            <w:r w:rsidRPr="00E25C6F">
              <w:rPr>
                <w:sz w:val="24"/>
                <w:szCs w:val="24"/>
              </w:rPr>
              <w:t>R&gt;0,125</w:t>
            </w:r>
          </w:p>
        </w:tc>
      </w:tr>
      <w:tr w:rsidR="00F263AF" w:rsidRPr="00E25C6F" w:rsidTr="00AB5E79">
        <w:trPr>
          <w:jc w:val="center"/>
        </w:trPr>
        <w:tc>
          <w:tcPr>
            <w:tcW w:w="2375" w:type="pct"/>
            <w:vAlign w:val="center"/>
          </w:tcPr>
          <w:p w:rsidR="00F263AF" w:rsidRPr="00E25C6F" w:rsidRDefault="00F263AF" w:rsidP="00AB5E79">
            <w:pPr>
              <w:ind w:left="67" w:right="-933"/>
              <w:jc w:val="both"/>
              <w:rPr>
                <w:bCs/>
                <w:i/>
                <w:sz w:val="24"/>
                <w:szCs w:val="24"/>
              </w:rPr>
            </w:pPr>
            <w:proofErr w:type="spellStart"/>
            <w:r w:rsidRPr="00E25C6F">
              <w:rPr>
                <w:i/>
                <w:iCs/>
                <w:sz w:val="24"/>
                <w:szCs w:val="24"/>
              </w:rPr>
              <w:t>Streptococcus</w:t>
            </w:r>
            <w:proofErr w:type="spellEnd"/>
            <w:r w:rsidRPr="00E25C6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E25C6F">
              <w:rPr>
                <w:sz w:val="24"/>
                <w:szCs w:val="24"/>
              </w:rPr>
              <w:t>spp</w:t>
            </w:r>
            <w:proofErr w:type="spellEnd"/>
            <w:r w:rsidRPr="00E25C6F">
              <w:rPr>
                <w:sz w:val="24"/>
                <w:szCs w:val="24"/>
              </w:rPr>
              <w:t>.</w:t>
            </w:r>
          </w:p>
        </w:tc>
        <w:tc>
          <w:tcPr>
            <w:tcW w:w="1360" w:type="pct"/>
            <w:vAlign w:val="center"/>
          </w:tcPr>
          <w:p w:rsidR="00F263AF" w:rsidRPr="00E25C6F" w:rsidRDefault="00F263AF" w:rsidP="00AB5E79">
            <w:pPr>
              <w:ind w:left="44" w:right="-933"/>
              <w:jc w:val="both"/>
              <w:rPr>
                <w:bCs/>
                <w:sz w:val="24"/>
                <w:szCs w:val="24"/>
              </w:rPr>
            </w:pPr>
            <w:r w:rsidRPr="00E25C6F">
              <w:rPr>
                <w:sz w:val="24"/>
                <w:szCs w:val="24"/>
              </w:rPr>
              <w:t>S≤0,25</w:t>
            </w:r>
          </w:p>
        </w:tc>
        <w:tc>
          <w:tcPr>
            <w:tcW w:w="1265" w:type="pct"/>
            <w:vAlign w:val="center"/>
          </w:tcPr>
          <w:p w:rsidR="00F263AF" w:rsidRPr="00E25C6F" w:rsidRDefault="00F263AF" w:rsidP="00AB5E79">
            <w:pPr>
              <w:ind w:left="44" w:right="-933"/>
              <w:jc w:val="both"/>
              <w:rPr>
                <w:bCs/>
                <w:sz w:val="24"/>
                <w:szCs w:val="24"/>
              </w:rPr>
            </w:pPr>
            <w:r w:rsidRPr="00E25C6F">
              <w:rPr>
                <w:sz w:val="24"/>
                <w:szCs w:val="24"/>
              </w:rPr>
              <w:t>R&gt;0,25</w:t>
            </w:r>
          </w:p>
        </w:tc>
      </w:tr>
    </w:tbl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5.2</w:t>
      </w:r>
      <w:r w:rsidRPr="00E25C6F">
        <w:rPr>
          <w:b/>
          <w:sz w:val="24"/>
          <w:szCs w:val="24"/>
        </w:rPr>
        <w:tab/>
      </w:r>
      <w:proofErr w:type="spellStart"/>
      <w:r w:rsidRPr="00E25C6F">
        <w:rPr>
          <w:b/>
          <w:sz w:val="24"/>
          <w:szCs w:val="24"/>
        </w:rPr>
        <w:t>Farmakokinetiske</w:t>
      </w:r>
      <w:proofErr w:type="spellEnd"/>
      <w:r w:rsidRPr="00E25C6F">
        <w:rPr>
          <w:b/>
          <w:sz w:val="24"/>
          <w:szCs w:val="24"/>
        </w:rPr>
        <w:t xml:space="preserve"> egenskaber</w:t>
      </w:r>
    </w:p>
    <w:p w:rsidR="00F263AF" w:rsidRPr="00E25C6F" w:rsidRDefault="00F263AF" w:rsidP="00F263AF">
      <w:pPr>
        <w:tabs>
          <w:tab w:val="left" w:pos="567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E25C6F">
        <w:rPr>
          <w:sz w:val="24"/>
          <w:szCs w:val="24"/>
        </w:rPr>
        <w:t>Hos svin blev maksimale plasmakoncentrationer på 2,78 µg/ml nået en time efter en enkelt intramuskulær dosis på 10 mg/kg kropsvægt. Den terminale eliminationshalveringstid (t½) var 2,96 timer.</w:t>
      </w:r>
    </w:p>
    <w:p w:rsidR="00F263AF" w:rsidRPr="00E25C6F" w:rsidRDefault="00F263AF" w:rsidP="00F263AF">
      <w:pPr>
        <w:tabs>
          <w:tab w:val="left" w:pos="567"/>
        </w:tabs>
        <w:autoSpaceDE w:val="0"/>
        <w:autoSpaceDN w:val="0"/>
        <w:adjustRightInd w:val="0"/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567"/>
        </w:tabs>
        <w:autoSpaceDE w:val="0"/>
        <w:autoSpaceDN w:val="0"/>
        <w:adjustRightInd w:val="0"/>
        <w:ind w:left="851"/>
        <w:rPr>
          <w:sz w:val="24"/>
          <w:szCs w:val="24"/>
        </w:rPr>
      </w:pPr>
      <w:r w:rsidRPr="00E25C6F">
        <w:rPr>
          <w:sz w:val="24"/>
          <w:szCs w:val="24"/>
        </w:rPr>
        <w:t>Hos kvæg blev maksimale plasmakoncentrationer på 0,65 µg/ml nået to timer efter en enkelt intramuskulær dosis på 10 mg/kg kropsvægt. Den terminale eliminationshalveringstid (t½) var 5,91 timer.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A42C45" w:rsidRPr="00E25C6F" w:rsidRDefault="00A42C45" w:rsidP="00A42C45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E25C6F">
        <w:rPr>
          <w:sz w:val="24"/>
          <w:szCs w:val="24"/>
        </w:rPr>
        <w:t>Hos får blev maksimale plasmakoncentrationer på 1,59 µg/ml nået 1,3 timer efter en enkelt intramuskulær dosis på 10 mg/kg kropsvægt. Den terminale eliminationshalveringstid (t½) var 3,63 timer.</w:t>
      </w:r>
    </w:p>
    <w:p w:rsidR="00A42C45" w:rsidRPr="00E25C6F" w:rsidRDefault="00A42C45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6.</w:t>
      </w:r>
      <w:r w:rsidRPr="00E25C6F">
        <w:rPr>
          <w:b/>
          <w:sz w:val="24"/>
          <w:szCs w:val="24"/>
        </w:rPr>
        <w:tab/>
        <w:t>FARMACEUTISKE OPLYSNINGER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6.1</w:t>
      </w:r>
      <w:r w:rsidRPr="00E25C6F">
        <w:rPr>
          <w:b/>
          <w:sz w:val="24"/>
          <w:szCs w:val="24"/>
        </w:rPr>
        <w:tab/>
        <w:t>Hjælpestoffer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  <w:proofErr w:type="spellStart"/>
      <w:r w:rsidRPr="00E25C6F">
        <w:rPr>
          <w:sz w:val="24"/>
          <w:szCs w:val="24"/>
        </w:rPr>
        <w:t>Lecithin</w:t>
      </w:r>
      <w:proofErr w:type="spellEnd"/>
    </w:p>
    <w:p w:rsidR="00F263AF" w:rsidRPr="00E25C6F" w:rsidRDefault="00F263AF" w:rsidP="00F263AF">
      <w:pPr>
        <w:ind w:left="851"/>
        <w:rPr>
          <w:sz w:val="24"/>
          <w:szCs w:val="24"/>
        </w:rPr>
      </w:pPr>
      <w:proofErr w:type="spellStart"/>
      <w:r w:rsidRPr="00E25C6F">
        <w:rPr>
          <w:sz w:val="24"/>
          <w:szCs w:val="24"/>
        </w:rPr>
        <w:t>Natriummethylparahydroxybenzoat</w:t>
      </w:r>
      <w:proofErr w:type="spellEnd"/>
      <w:r w:rsidRPr="00E25C6F">
        <w:rPr>
          <w:sz w:val="24"/>
          <w:szCs w:val="24"/>
        </w:rPr>
        <w:t xml:space="preserve"> (E219)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>Natriumcitrat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  <w:proofErr w:type="spellStart"/>
      <w:r w:rsidRPr="00E25C6F">
        <w:rPr>
          <w:sz w:val="24"/>
          <w:szCs w:val="24"/>
        </w:rPr>
        <w:t>Dinatriumedetat</w:t>
      </w:r>
      <w:proofErr w:type="spellEnd"/>
    </w:p>
    <w:p w:rsidR="00F263AF" w:rsidRPr="00E25C6F" w:rsidRDefault="00F263AF" w:rsidP="00F263AF">
      <w:pPr>
        <w:ind w:left="851"/>
        <w:rPr>
          <w:sz w:val="24"/>
          <w:szCs w:val="24"/>
        </w:rPr>
      </w:pPr>
      <w:proofErr w:type="spellStart"/>
      <w:r w:rsidRPr="00E25C6F">
        <w:rPr>
          <w:sz w:val="24"/>
          <w:szCs w:val="24"/>
        </w:rPr>
        <w:t>Povidon</w:t>
      </w:r>
      <w:proofErr w:type="spellEnd"/>
    </w:p>
    <w:p w:rsidR="00F263AF" w:rsidRPr="00E25C6F" w:rsidRDefault="00F263AF" w:rsidP="00F263AF">
      <w:pPr>
        <w:ind w:left="851"/>
        <w:rPr>
          <w:sz w:val="24"/>
          <w:szCs w:val="24"/>
        </w:rPr>
      </w:pPr>
      <w:proofErr w:type="spellStart"/>
      <w:r w:rsidRPr="00E25C6F">
        <w:rPr>
          <w:sz w:val="24"/>
          <w:szCs w:val="24"/>
        </w:rPr>
        <w:t>Carmellosenatrium</w:t>
      </w:r>
      <w:proofErr w:type="spellEnd"/>
    </w:p>
    <w:p w:rsidR="00F263AF" w:rsidRPr="00E25C6F" w:rsidRDefault="00F263AF" w:rsidP="00F263AF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>Citronsyremonohydrat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>Vand til injektionsvæsker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6.2</w:t>
      </w:r>
      <w:r w:rsidRPr="00E25C6F">
        <w:rPr>
          <w:b/>
          <w:sz w:val="24"/>
          <w:szCs w:val="24"/>
        </w:rPr>
        <w:tab/>
        <w:t>Uforligeligheder</w:t>
      </w: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>Da der ikke foreligger undersøgelser vedrørende eventuelle uforligeligheder, bør dette lægemiddel ikke blandes med andre lægemidler.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6.3</w:t>
      </w:r>
      <w:r w:rsidRPr="00E25C6F">
        <w:rPr>
          <w:b/>
          <w:sz w:val="24"/>
          <w:szCs w:val="24"/>
        </w:rPr>
        <w:tab/>
        <w:t>Opbevaringstid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>I salgspakning: 3 år.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>Efter første åbning af den indre emballage: 28 dage ved 2 °C-8 °C.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6.4</w:t>
      </w:r>
      <w:r w:rsidRPr="00E25C6F">
        <w:rPr>
          <w:b/>
          <w:sz w:val="24"/>
          <w:szCs w:val="24"/>
        </w:rPr>
        <w:tab/>
        <w:t>Særlige opbevaringsforhold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>Opbevares i køleskab (2 °C-8 °C).</w:t>
      </w:r>
    </w:p>
    <w:p w:rsidR="00E87833" w:rsidRPr="00E25C6F" w:rsidRDefault="00E87833" w:rsidP="00E87833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>Opbevar hætteglasset/flasken i den ydre karton for at beskytte mod lys.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6.5</w:t>
      </w:r>
      <w:r w:rsidRPr="00E25C6F">
        <w:rPr>
          <w:b/>
          <w:sz w:val="24"/>
          <w:szCs w:val="24"/>
        </w:rPr>
        <w:tab/>
        <w:t>Emballage</w:t>
      </w: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  <w:proofErr w:type="spellStart"/>
      <w:r w:rsidRPr="00E25C6F">
        <w:rPr>
          <w:sz w:val="24"/>
          <w:szCs w:val="24"/>
        </w:rPr>
        <w:t>Polyethylenterephthalat</w:t>
      </w:r>
      <w:proofErr w:type="spellEnd"/>
      <w:r w:rsidRPr="00E25C6F">
        <w:rPr>
          <w:sz w:val="24"/>
          <w:szCs w:val="24"/>
        </w:rPr>
        <w:t xml:space="preserve"> (PET), farveløst hætteglas (100 ml) eller flaske (250 ml) med type I </w:t>
      </w:r>
      <w:proofErr w:type="spellStart"/>
      <w:r w:rsidRPr="00E25C6F">
        <w:rPr>
          <w:sz w:val="24"/>
          <w:szCs w:val="24"/>
        </w:rPr>
        <w:t>brombutyl</w:t>
      </w:r>
      <w:proofErr w:type="spellEnd"/>
      <w:r w:rsidRPr="00E25C6F">
        <w:rPr>
          <w:sz w:val="24"/>
          <w:szCs w:val="24"/>
        </w:rPr>
        <w:t xml:space="preserve"> gummiprop og flip-</w:t>
      </w:r>
      <w:proofErr w:type="spellStart"/>
      <w:r w:rsidRPr="00E25C6F">
        <w:rPr>
          <w:sz w:val="24"/>
          <w:szCs w:val="24"/>
        </w:rPr>
        <w:t>off</w:t>
      </w:r>
      <w:proofErr w:type="spellEnd"/>
      <w:r w:rsidRPr="00E25C6F">
        <w:rPr>
          <w:sz w:val="24"/>
          <w:szCs w:val="24"/>
        </w:rPr>
        <w:t xml:space="preserve"> hætte, i karton.</w:t>
      </w: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  <w:u w:val="single"/>
        </w:rPr>
      </w:pPr>
      <w:r w:rsidRPr="00E25C6F">
        <w:rPr>
          <w:sz w:val="24"/>
          <w:szCs w:val="24"/>
          <w:u w:val="single"/>
        </w:rPr>
        <w:t>Pakningsstørrelser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>1×100 ml hætteglas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>1×250 ml flaske</w:t>
      </w:r>
    </w:p>
    <w:p w:rsidR="00F263AF" w:rsidRPr="00E25C6F" w:rsidRDefault="00F263AF" w:rsidP="00F263AF">
      <w:pPr>
        <w:ind w:left="851"/>
        <w:jc w:val="both"/>
        <w:rPr>
          <w:sz w:val="24"/>
          <w:szCs w:val="24"/>
        </w:rPr>
      </w:pPr>
      <w:r w:rsidRPr="00E25C6F">
        <w:rPr>
          <w:sz w:val="24"/>
          <w:szCs w:val="24"/>
        </w:rPr>
        <w:t>10 æsker indeholdende 1×100 ml hætteglas</w:t>
      </w:r>
    </w:p>
    <w:p w:rsidR="00F263AF" w:rsidRPr="00E25C6F" w:rsidRDefault="00F263AF" w:rsidP="00F263AF">
      <w:pPr>
        <w:ind w:left="851"/>
        <w:jc w:val="both"/>
        <w:rPr>
          <w:sz w:val="24"/>
          <w:szCs w:val="24"/>
        </w:rPr>
      </w:pPr>
      <w:r w:rsidRPr="00E25C6F">
        <w:rPr>
          <w:sz w:val="24"/>
          <w:szCs w:val="24"/>
        </w:rPr>
        <w:t>30 æsker indeholdende 1×100 ml hætteglas</w:t>
      </w:r>
    </w:p>
    <w:p w:rsidR="00F263AF" w:rsidRPr="00E25C6F" w:rsidRDefault="00F263AF" w:rsidP="00F263AF">
      <w:pPr>
        <w:ind w:left="851"/>
        <w:jc w:val="both"/>
        <w:rPr>
          <w:sz w:val="24"/>
          <w:szCs w:val="24"/>
        </w:rPr>
      </w:pPr>
      <w:r w:rsidRPr="00E25C6F">
        <w:rPr>
          <w:sz w:val="24"/>
          <w:szCs w:val="24"/>
        </w:rPr>
        <w:t>12 æsker indeholdende 1×250 ml flaske</w:t>
      </w:r>
    </w:p>
    <w:p w:rsidR="00F263AF" w:rsidRPr="00E25C6F" w:rsidRDefault="00F263AF" w:rsidP="00F263AF">
      <w:pPr>
        <w:tabs>
          <w:tab w:val="decimal" w:leader="dot" w:pos="5670"/>
          <w:tab w:val="left" w:pos="5954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>Ikke alle pakningsstørrelser er nødvendigvis markedsført.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6.6</w:t>
      </w:r>
      <w:r w:rsidRPr="00E25C6F">
        <w:rPr>
          <w:b/>
          <w:sz w:val="24"/>
          <w:szCs w:val="24"/>
        </w:rPr>
        <w:tab/>
        <w:t>Særlige forholdsregler ved bortskaffelse af rester af lægemidlet eller affald</w:t>
      </w:r>
    </w:p>
    <w:p w:rsidR="00F263AF" w:rsidRPr="00E25C6F" w:rsidRDefault="00F263AF" w:rsidP="00F263AF">
      <w:pPr>
        <w:ind w:left="851"/>
        <w:rPr>
          <w:sz w:val="24"/>
          <w:szCs w:val="24"/>
        </w:rPr>
      </w:pPr>
      <w:r w:rsidRPr="00E25C6F">
        <w:rPr>
          <w:sz w:val="24"/>
          <w:szCs w:val="24"/>
        </w:rPr>
        <w:t>Ikke anvendte veterinærlægemidler samt affald heraf bør destrueres i henhold til lokale retningslinjer.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lastRenderedPageBreak/>
        <w:t>7.</w:t>
      </w:r>
      <w:r w:rsidRPr="00E25C6F">
        <w:rPr>
          <w:b/>
          <w:sz w:val="24"/>
          <w:szCs w:val="24"/>
        </w:rPr>
        <w:tab/>
        <w:t>INDEHAVER AF MARKEDSFØRINGSTILLADELSEN</w:t>
      </w:r>
    </w:p>
    <w:p w:rsidR="00F263AF" w:rsidRPr="00E25C6F" w:rsidRDefault="00F263AF" w:rsidP="00F263AF">
      <w:pPr>
        <w:tabs>
          <w:tab w:val="left" w:pos="708"/>
        </w:tabs>
        <w:ind w:left="851"/>
        <w:rPr>
          <w:sz w:val="24"/>
          <w:szCs w:val="24"/>
        </w:rPr>
      </w:pPr>
      <w:proofErr w:type="spellStart"/>
      <w:r w:rsidRPr="00E25C6F">
        <w:rPr>
          <w:sz w:val="24"/>
          <w:szCs w:val="24"/>
        </w:rPr>
        <w:t>Laboratorios</w:t>
      </w:r>
      <w:proofErr w:type="spellEnd"/>
      <w:r w:rsidRPr="00E25C6F">
        <w:rPr>
          <w:sz w:val="24"/>
          <w:szCs w:val="24"/>
        </w:rPr>
        <w:t xml:space="preserve"> </w:t>
      </w:r>
      <w:proofErr w:type="spellStart"/>
      <w:r w:rsidRPr="00E25C6F">
        <w:rPr>
          <w:sz w:val="24"/>
          <w:szCs w:val="24"/>
        </w:rPr>
        <w:t>Syva</w:t>
      </w:r>
      <w:proofErr w:type="spellEnd"/>
      <w:r w:rsidRPr="00E25C6F">
        <w:rPr>
          <w:sz w:val="24"/>
          <w:szCs w:val="24"/>
        </w:rPr>
        <w:t xml:space="preserve">, </w:t>
      </w:r>
      <w:proofErr w:type="spellStart"/>
      <w:r w:rsidRPr="00E25C6F">
        <w:rPr>
          <w:sz w:val="24"/>
          <w:szCs w:val="24"/>
        </w:rPr>
        <w:t>s.a.u</w:t>
      </w:r>
      <w:proofErr w:type="spellEnd"/>
      <w:r w:rsidRPr="00E25C6F">
        <w:rPr>
          <w:sz w:val="24"/>
          <w:szCs w:val="24"/>
        </w:rPr>
        <w:t>.</w:t>
      </w:r>
    </w:p>
    <w:p w:rsidR="00F263AF" w:rsidRPr="00E25C6F" w:rsidRDefault="00F263AF" w:rsidP="00F263AF">
      <w:pPr>
        <w:tabs>
          <w:tab w:val="left" w:pos="708"/>
        </w:tabs>
        <w:ind w:left="851"/>
        <w:rPr>
          <w:sz w:val="24"/>
          <w:szCs w:val="24"/>
        </w:rPr>
      </w:pPr>
      <w:proofErr w:type="spellStart"/>
      <w:r w:rsidRPr="00E25C6F">
        <w:rPr>
          <w:sz w:val="24"/>
          <w:szCs w:val="24"/>
        </w:rPr>
        <w:t>Avda</w:t>
      </w:r>
      <w:proofErr w:type="spellEnd"/>
      <w:r w:rsidRPr="00E25C6F">
        <w:rPr>
          <w:sz w:val="24"/>
          <w:szCs w:val="24"/>
        </w:rPr>
        <w:t xml:space="preserve">. </w:t>
      </w:r>
      <w:proofErr w:type="spellStart"/>
      <w:r w:rsidRPr="00E25C6F">
        <w:rPr>
          <w:sz w:val="24"/>
          <w:szCs w:val="24"/>
        </w:rPr>
        <w:t>Párroco</w:t>
      </w:r>
      <w:proofErr w:type="spellEnd"/>
      <w:r w:rsidRPr="00E25C6F">
        <w:rPr>
          <w:sz w:val="24"/>
          <w:szCs w:val="24"/>
        </w:rPr>
        <w:t xml:space="preserve"> Pablo </w:t>
      </w:r>
      <w:proofErr w:type="spellStart"/>
      <w:r w:rsidRPr="00E25C6F">
        <w:rPr>
          <w:sz w:val="24"/>
          <w:szCs w:val="24"/>
        </w:rPr>
        <w:t>Díez</w:t>
      </w:r>
      <w:proofErr w:type="spellEnd"/>
      <w:r w:rsidRPr="00E25C6F">
        <w:rPr>
          <w:sz w:val="24"/>
          <w:szCs w:val="24"/>
        </w:rPr>
        <w:t xml:space="preserve"> 49-57</w:t>
      </w:r>
    </w:p>
    <w:p w:rsidR="00F263AF" w:rsidRPr="00E25C6F" w:rsidRDefault="00F263AF" w:rsidP="00F263AF">
      <w:pPr>
        <w:tabs>
          <w:tab w:val="left" w:pos="708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 xml:space="preserve">24010 </w:t>
      </w:r>
      <w:proofErr w:type="spellStart"/>
      <w:r w:rsidRPr="00E25C6F">
        <w:rPr>
          <w:sz w:val="24"/>
          <w:szCs w:val="24"/>
        </w:rPr>
        <w:t>León</w:t>
      </w:r>
      <w:proofErr w:type="spellEnd"/>
    </w:p>
    <w:p w:rsidR="00F263AF" w:rsidRPr="00E25C6F" w:rsidRDefault="00F263AF" w:rsidP="00F263AF">
      <w:pPr>
        <w:tabs>
          <w:tab w:val="left" w:pos="708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>Spanien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222"/>
        </w:tabs>
        <w:ind w:left="851" w:hanging="851"/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8.</w:t>
      </w:r>
      <w:r w:rsidRPr="00E25C6F">
        <w:rPr>
          <w:b/>
          <w:sz w:val="24"/>
          <w:szCs w:val="24"/>
        </w:rPr>
        <w:tab/>
        <w:t>MARKEDSFØRINGSTILLADELSESNUMMER (NUMRE)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>60237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9.</w:t>
      </w:r>
      <w:r w:rsidRPr="00E25C6F">
        <w:rPr>
          <w:b/>
          <w:sz w:val="24"/>
          <w:szCs w:val="24"/>
        </w:rPr>
        <w:tab/>
        <w:t>DATO FOR FØRSTE MARKEDSFØRINGSTILLADELSE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 w:rsidRPr="00E25C6F">
        <w:rPr>
          <w:sz w:val="24"/>
          <w:szCs w:val="24"/>
        </w:rPr>
        <w:t>27. marts 2019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51"/>
          <w:tab w:val="left" w:pos="8222"/>
        </w:tabs>
        <w:ind w:left="851" w:hanging="851"/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10.</w:t>
      </w:r>
      <w:r w:rsidRPr="00E25C6F">
        <w:rPr>
          <w:b/>
          <w:sz w:val="24"/>
          <w:szCs w:val="24"/>
        </w:rPr>
        <w:tab/>
        <w:t>DATO FOR ÆNDRING AF TEKSTEN</w:t>
      </w:r>
    </w:p>
    <w:p w:rsidR="00F263AF" w:rsidRPr="00E25C6F" w:rsidRDefault="00771A99" w:rsidP="00771A99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  <w:r>
        <w:rPr>
          <w:sz w:val="24"/>
          <w:szCs w:val="24"/>
        </w:rPr>
        <w:t>5. november</w:t>
      </w:r>
      <w:bookmarkStart w:id="6" w:name="_GoBack"/>
      <w:bookmarkEnd w:id="6"/>
      <w:r w:rsidR="00021D8C">
        <w:rPr>
          <w:sz w:val="24"/>
          <w:szCs w:val="24"/>
        </w:rPr>
        <w:t xml:space="preserve"> 2024</w:t>
      </w:r>
    </w:p>
    <w:p w:rsidR="00F263AF" w:rsidRPr="00E25C6F" w:rsidRDefault="00F263AF" w:rsidP="00F263AF">
      <w:pPr>
        <w:tabs>
          <w:tab w:val="left" w:pos="851"/>
          <w:tab w:val="left" w:pos="8222"/>
        </w:tabs>
        <w:ind w:left="851"/>
        <w:rPr>
          <w:sz w:val="24"/>
          <w:szCs w:val="24"/>
        </w:rPr>
      </w:pPr>
    </w:p>
    <w:p w:rsidR="00F263AF" w:rsidRPr="00E25C6F" w:rsidRDefault="00F263AF" w:rsidP="00F263AF">
      <w:pPr>
        <w:tabs>
          <w:tab w:val="left" w:pos="851"/>
          <w:tab w:val="left" w:pos="8222"/>
        </w:tabs>
        <w:rPr>
          <w:b/>
          <w:sz w:val="24"/>
          <w:szCs w:val="24"/>
        </w:rPr>
      </w:pPr>
      <w:r w:rsidRPr="00E25C6F">
        <w:rPr>
          <w:b/>
          <w:sz w:val="24"/>
          <w:szCs w:val="24"/>
        </w:rPr>
        <w:t>11.</w:t>
      </w:r>
      <w:r w:rsidRPr="00E25C6F">
        <w:rPr>
          <w:b/>
          <w:sz w:val="24"/>
          <w:szCs w:val="24"/>
        </w:rPr>
        <w:tab/>
        <w:t>UDLEVERINGSBESTEMMELSE</w:t>
      </w:r>
    </w:p>
    <w:p w:rsidR="0003527F" w:rsidRPr="00E25C6F" w:rsidRDefault="00F263AF" w:rsidP="00CB5542">
      <w:pPr>
        <w:pStyle w:val="Sidehoved"/>
        <w:tabs>
          <w:tab w:val="clear" w:pos="4819"/>
          <w:tab w:val="left" w:pos="851"/>
          <w:tab w:val="left" w:pos="8222"/>
        </w:tabs>
        <w:ind w:left="851"/>
        <w:rPr>
          <w:szCs w:val="24"/>
        </w:rPr>
      </w:pPr>
      <w:r w:rsidRPr="00E25C6F">
        <w:rPr>
          <w:szCs w:val="24"/>
        </w:rPr>
        <w:t>BP</w:t>
      </w:r>
    </w:p>
    <w:sectPr w:rsidR="0003527F" w:rsidRPr="00E25C6F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3AF" w:rsidRDefault="00F263AF">
      <w:r>
        <w:separator/>
      </w:r>
    </w:p>
  </w:endnote>
  <w:endnote w:type="continuationSeparator" w:id="0">
    <w:p w:rsidR="00F263AF" w:rsidRDefault="00F26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E25C6F">
      <w:rPr>
        <w:i/>
        <w:noProof/>
        <w:snapToGrid w:val="0"/>
        <w:sz w:val="18"/>
      </w:rPr>
      <w:t>Syvacillin Vet., injektionsvæske, suspension 300 mg-ml.docx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E25C6F">
      <w:rPr>
        <w:i/>
        <w:noProof/>
        <w:snapToGrid w:val="0"/>
        <w:sz w:val="18"/>
      </w:rPr>
      <w:t>Syvacillin Vet., injektionsvæske, suspension 300 mg-ml.docx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3AF" w:rsidRDefault="00F263AF">
      <w:r>
        <w:separator/>
      </w:r>
    </w:p>
  </w:footnote>
  <w:footnote w:type="continuationSeparator" w:id="0">
    <w:p w:rsidR="00F263AF" w:rsidRDefault="00F263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7764F"/>
    <w:multiLevelType w:val="hybridMultilevel"/>
    <w:tmpl w:val="3F3666A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3AF"/>
    <w:rsid w:val="00002562"/>
    <w:rsid w:val="00021D8C"/>
    <w:rsid w:val="0003527F"/>
    <w:rsid w:val="00065C7D"/>
    <w:rsid w:val="0009685D"/>
    <w:rsid w:val="000C04BA"/>
    <w:rsid w:val="000C6CD4"/>
    <w:rsid w:val="001577E4"/>
    <w:rsid w:val="001858CA"/>
    <w:rsid w:val="001B175E"/>
    <w:rsid w:val="001C4AEF"/>
    <w:rsid w:val="001D3CC5"/>
    <w:rsid w:val="00322BDE"/>
    <w:rsid w:val="00406EE7"/>
    <w:rsid w:val="00407013"/>
    <w:rsid w:val="004A62CC"/>
    <w:rsid w:val="00565A74"/>
    <w:rsid w:val="005B0036"/>
    <w:rsid w:val="005F5831"/>
    <w:rsid w:val="00662012"/>
    <w:rsid w:val="00666B01"/>
    <w:rsid w:val="00684D69"/>
    <w:rsid w:val="006B1539"/>
    <w:rsid w:val="006D4B41"/>
    <w:rsid w:val="006F5621"/>
    <w:rsid w:val="00771A99"/>
    <w:rsid w:val="007E2A00"/>
    <w:rsid w:val="008010F2"/>
    <w:rsid w:val="008F0C9E"/>
    <w:rsid w:val="009202AE"/>
    <w:rsid w:val="00932676"/>
    <w:rsid w:val="0095022C"/>
    <w:rsid w:val="0096043A"/>
    <w:rsid w:val="009D66C6"/>
    <w:rsid w:val="00A2094E"/>
    <w:rsid w:val="00A42C45"/>
    <w:rsid w:val="00A96525"/>
    <w:rsid w:val="00AE29E5"/>
    <w:rsid w:val="00AE5757"/>
    <w:rsid w:val="00B25EB8"/>
    <w:rsid w:val="00BC634B"/>
    <w:rsid w:val="00BF2AE0"/>
    <w:rsid w:val="00C479BF"/>
    <w:rsid w:val="00CB5542"/>
    <w:rsid w:val="00D567AA"/>
    <w:rsid w:val="00D720F5"/>
    <w:rsid w:val="00DD6D71"/>
    <w:rsid w:val="00DF32BE"/>
    <w:rsid w:val="00DF52F4"/>
    <w:rsid w:val="00E14F0A"/>
    <w:rsid w:val="00E25C6F"/>
    <w:rsid w:val="00E87833"/>
    <w:rsid w:val="00EB5778"/>
    <w:rsid w:val="00EE5253"/>
    <w:rsid w:val="00F263AF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A8DB36"/>
  <w15:chartTrackingRefBased/>
  <w15:docId w15:val="{21276C0F-9617-4703-9434-8DC049450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paragraph" w:customStyle="1" w:styleId="HPRAMainBodyText">
    <w:name w:val="HPRA_MainBodyText"/>
    <w:basedOn w:val="Normal"/>
    <w:link w:val="HPRAMainBodyTextChar"/>
    <w:qFormat/>
    <w:rsid w:val="00A42C45"/>
    <w:rPr>
      <w:rFonts w:ascii="Segoe UI" w:hAnsi="Segoe UI" w:cs="Segoe UI"/>
      <w:sz w:val="20"/>
      <w:lang w:val="en-IE"/>
    </w:rPr>
  </w:style>
  <w:style w:type="character" w:customStyle="1" w:styleId="HPRAMainBodyTextChar">
    <w:name w:val="HPRA_MainBodyText Char"/>
    <w:link w:val="HPRAMainBodyText"/>
    <w:locked/>
    <w:rsid w:val="00A42C45"/>
    <w:rPr>
      <w:rFonts w:ascii="Segoe UI" w:hAnsi="Segoe UI" w:cs="Segoe UI"/>
      <w:lang w:val="en-I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1653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Ronnovius</dc:creator>
  <cp:keywords/>
  <dc:description>2024024121 + 2022102363 pkt 4.1, 4.2, 4.4, 4.5, 4.6, 4.9, 4.11, 5.1</dc:description>
  <cp:lastModifiedBy>Gitte Ronnovius</cp:lastModifiedBy>
  <cp:revision>4</cp:revision>
  <dcterms:created xsi:type="dcterms:W3CDTF">2024-10-25T09:15:00Z</dcterms:created>
  <dcterms:modified xsi:type="dcterms:W3CDTF">2024-11-05T12:59:00Z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