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73" w:rsidRPr="0095415C" w:rsidRDefault="002B4473" w:rsidP="002B4473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530256C9" wp14:editId="1BC82DCB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73" w:rsidRDefault="002B4473" w:rsidP="002B4473">
      <w:pPr>
        <w:tabs>
          <w:tab w:val="left" w:pos="6804"/>
        </w:tabs>
        <w:jc w:val="right"/>
        <w:rPr>
          <w:b/>
          <w:sz w:val="24"/>
          <w:szCs w:val="24"/>
        </w:rPr>
      </w:pPr>
    </w:p>
    <w:p w:rsidR="002B4473" w:rsidRPr="0095415C" w:rsidRDefault="00B278C4" w:rsidP="002B4473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2B447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februar</w:t>
      </w:r>
      <w:r w:rsidR="002B4473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</w:p>
    <w:p w:rsidR="002B4473" w:rsidRPr="0095415C" w:rsidRDefault="002B4473" w:rsidP="002B4473">
      <w:pPr>
        <w:tabs>
          <w:tab w:val="left" w:pos="8222"/>
        </w:tabs>
        <w:rPr>
          <w:b/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jc w:val="center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PRODUKTRESUMÉ</w:t>
      </w:r>
    </w:p>
    <w:p w:rsidR="002B4473" w:rsidRPr="0095415C" w:rsidRDefault="002B4473" w:rsidP="002B447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jc w:val="center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for</w:t>
      </w:r>
    </w:p>
    <w:p w:rsidR="002B4473" w:rsidRPr="0095415C" w:rsidRDefault="002B4473" w:rsidP="002B447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95415C">
        <w:rPr>
          <w:b/>
          <w:sz w:val="24"/>
          <w:szCs w:val="24"/>
        </w:rPr>
        <w:t>Thiafeline</w:t>
      </w:r>
      <w:proofErr w:type="spellEnd"/>
      <w:r w:rsidRPr="0095415C">
        <w:rPr>
          <w:b/>
          <w:sz w:val="24"/>
          <w:szCs w:val="24"/>
        </w:rPr>
        <w:t xml:space="preserve"> </w:t>
      </w:r>
      <w:proofErr w:type="spellStart"/>
      <w:r w:rsidRPr="0095415C">
        <w:rPr>
          <w:b/>
          <w:sz w:val="24"/>
          <w:szCs w:val="24"/>
        </w:rPr>
        <w:t>Vet</w:t>
      </w:r>
      <w:proofErr w:type="spellEnd"/>
      <w:r w:rsidRPr="0095415C">
        <w:rPr>
          <w:b/>
          <w:sz w:val="24"/>
          <w:szCs w:val="24"/>
        </w:rPr>
        <w:t>., filmovertrukne tabletter</w:t>
      </w:r>
    </w:p>
    <w:p w:rsidR="002B4473" w:rsidRPr="0095415C" w:rsidRDefault="002B4473" w:rsidP="002B4473">
      <w:pPr>
        <w:tabs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0.</w:t>
      </w:r>
      <w:r w:rsidRPr="0095415C">
        <w:rPr>
          <w:b/>
          <w:sz w:val="24"/>
          <w:szCs w:val="24"/>
        </w:rPr>
        <w:tab/>
        <w:t>D.SP.NR</w:t>
      </w:r>
    </w:p>
    <w:p w:rsidR="002B4473" w:rsidRPr="0095415C" w:rsidRDefault="002B4473" w:rsidP="002B4473">
      <w:pPr>
        <w:tabs>
          <w:tab w:val="left" w:pos="8222"/>
        </w:tabs>
        <w:ind w:left="851"/>
        <w:jc w:val="both"/>
        <w:rPr>
          <w:sz w:val="24"/>
          <w:szCs w:val="24"/>
        </w:rPr>
      </w:pPr>
      <w:r w:rsidRPr="0095415C">
        <w:rPr>
          <w:sz w:val="24"/>
          <w:szCs w:val="24"/>
        </w:rPr>
        <w:t>28436</w:t>
      </w:r>
    </w:p>
    <w:p w:rsidR="002B4473" w:rsidRPr="0095415C" w:rsidRDefault="002B4473" w:rsidP="002B4473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1.</w:t>
      </w:r>
      <w:r w:rsidRPr="0095415C">
        <w:rPr>
          <w:b/>
          <w:sz w:val="24"/>
          <w:szCs w:val="24"/>
        </w:rPr>
        <w:tab/>
        <w:t>VETERINÆRLÆGEMIDLETS NAVN</w:t>
      </w:r>
    </w:p>
    <w:p w:rsidR="002B4473" w:rsidRPr="0095415C" w:rsidRDefault="002B4473" w:rsidP="002B4473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Thiafeline</w:t>
      </w:r>
      <w:proofErr w:type="spellEnd"/>
      <w:r w:rsidRPr="0095415C">
        <w:rPr>
          <w:sz w:val="24"/>
          <w:szCs w:val="24"/>
        </w:rPr>
        <w:t xml:space="preserve"> </w:t>
      </w:r>
      <w:proofErr w:type="spellStart"/>
      <w:r w:rsidRPr="0095415C">
        <w:rPr>
          <w:sz w:val="24"/>
          <w:szCs w:val="24"/>
        </w:rPr>
        <w:t>Vet</w:t>
      </w:r>
      <w:proofErr w:type="spellEnd"/>
      <w:r w:rsidRPr="0095415C">
        <w:rPr>
          <w:sz w:val="24"/>
          <w:szCs w:val="24"/>
        </w:rPr>
        <w:t>.</w:t>
      </w:r>
    </w:p>
    <w:p w:rsidR="002B4473" w:rsidRPr="0095415C" w:rsidRDefault="002B4473" w:rsidP="002B4473">
      <w:pPr>
        <w:tabs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2.</w:t>
      </w:r>
      <w:r w:rsidRPr="0095415C">
        <w:rPr>
          <w:b/>
          <w:sz w:val="24"/>
          <w:szCs w:val="24"/>
        </w:rPr>
        <w:tab/>
        <w:t>KVALITATIV OG KVANTITATIV SAMMENSÆTNING</w:t>
      </w:r>
    </w:p>
    <w:p w:rsidR="002B4473" w:rsidRPr="0095415C" w:rsidRDefault="002B4473" w:rsidP="002B4473">
      <w:pPr>
        <w:ind w:left="855"/>
        <w:rPr>
          <w:b/>
          <w:sz w:val="24"/>
          <w:szCs w:val="24"/>
          <w:lang w:bidi="da-DK"/>
        </w:rPr>
      </w:pPr>
    </w:p>
    <w:p w:rsidR="002B4473" w:rsidRPr="0095415C" w:rsidRDefault="002B4473" w:rsidP="002B4473">
      <w:pPr>
        <w:ind w:left="855"/>
        <w:rPr>
          <w:sz w:val="24"/>
          <w:szCs w:val="24"/>
          <w:u w:val="single"/>
          <w:lang w:bidi="da-DK"/>
        </w:rPr>
      </w:pPr>
      <w:r w:rsidRPr="0095415C">
        <w:rPr>
          <w:sz w:val="24"/>
          <w:szCs w:val="24"/>
          <w:u w:val="single"/>
          <w:lang w:bidi="da-DK"/>
        </w:rPr>
        <w:t>Aktivt stof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2,5 mg: Hver tablet indeholder 2,5 mg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>.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5 mg: Hver tablet indeholder 5 mg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>.</w:t>
      </w:r>
    </w:p>
    <w:p w:rsidR="002B4473" w:rsidRPr="0095415C" w:rsidRDefault="002B4473" w:rsidP="002B4473">
      <w:pPr>
        <w:ind w:left="855"/>
        <w:rPr>
          <w:b/>
          <w:sz w:val="24"/>
          <w:szCs w:val="24"/>
          <w:lang w:bidi="da-DK"/>
        </w:rPr>
      </w:pPr>
    </w:p>
    <w:p w:rsidR="002B4473" w:rsidRPr="0095415C" w:rsidRDefault="002B4473" w:rsidP="002B4473">
      <w:pPr>
        <w:ind w:left="855"/>
        <w:rPr>
          <w:sz w:val="24"/>
          <w:szCs w:val="24"/>
          <w:u w:val="single"/>
          <w:lang w:bidi="da-DK"/>
        </w:rPr>
      </w:pPr>
      <w:r w:rsidRPr="0095415C">
        <w:rPr>
          <w:sz w:val="24"/>
          <w:szCs w:val="24"/>
          <w:u w:val="single"/>
          <w:lang w:bidi="da-DK"/>
        </w:rPr>
        <w:t>Hjælpestoffer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</w:p>
    <w:p w:rsidR="002B4473" w:rsidRPr="0095415C" w:rsidRDefault="002B4473" w:rsidP="002B4473">
      <w:pPr>
        <w:ind w:left="855"/>
        <w:rPr>
          <w:i/>
          <w:sz w:val="24"/>
          <w:szCs w:val="24"/>
          <w:lang w:bidi="da-DK"/>
        </w:rPr>
      </w:pPr>
      <w:r w:rsidRPr="0095415C">
        <w:rPr>
          <w:i/>
          <w:sz w:val="24"/>
          <w:szCs w:val="24"/>
          <w:lang w:bidi="da-DK"/>
        </w:rPr>
        <w:t>2,5 mg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Titaniumdioxid (E171)</w:t>
      </w:r>
      <w:r w:rsidRPr="0095415C">
        <w:rPr>
          <w:sz w:val="24"/>
          <w:szCs w:val="24"/>
          <w:lang w:bidi="da-DK"/>
        </w:rPr>
        <w:tab/>
        <w:t>0,45 mg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Carmoisin</w:t>
      </w:r>
      <w:proofErr w:type="spellEnd"/>
      <w:r w:rsidRPr="0095415C">
        <w:rPr>
          <w:sz w:val="24"/>
          <w:szCs w:val="24"/>
          <w:lang w:bidi="da-DK"/>
        </w:rPr>
        <w:t xml:space="preserve"> (E122)</w:t>
      </w:r>
      <w:r w:rsidRPr="0095415C">
        <w:rPr>
          <w:sz w:val="24"/>
          <w:szCs w:val="24"/>
          <w:lang w:bidi="da-DK"/>
        </w:rPr>
        <w:tab/>
      </w:r>
      <w:r w:rsidRPr="0095415C">
        <w:rPr>
          <w:sz w:val="24"/>
          <w:szCs w:val="24"/>
          <w:lang w:bidi="da-DK"/>
        </w:rPr>
        <w:tab/>
        <w:t>0,009 mg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</w:p>
    <w:p w:rsidR="002B4473" w:rsidRPr="004A4DF7" w:rsidRDefault="002B4473" w:rsidP="002B4473">
      <w:pPr>
        <w:ind w:firstLine="855"/>
        <w:rPr>
          <w:i/>
          <w:sz w:val="24"/>
          <w:szCs w:val="24"/>
          <w:lang w:val="en-US" w:bidi="da-DK"/>
        </w:rPr>
      </w:pPr>
      <w:r w:rsidRPr="004A4DF7">
        <w:rPr>
          <w:i/>
          <w:sz w:val="24"/>
          <w:szCs w:val="24"/>
          <w:lang w:val="en-US" w:bidi="da-DK"/>
        </w:rPr>
        <w:t>5 mg</w:t>
      </w:r>
    </w:p>
    <w:p w:rsidR="002B4473" w:rsidRPr="0095415C" w:rsidRDefault="002B4473" w:rsidP="002B4473">
      <w:pPr>
        <w:ind w:left="855"/>
        <w:rPr>
          <w:sz w:val="24"/>
          <w:szCs w:val="24"/>
          <w:lang w:val="en-US" w:bidi="da-DK"/>
        </w:rPr>
      </w:pPr>
      <w:proofErr w:type="spellStart"/>
      <w:r w:rsidRPr="0095415C">
        <w:rPr>
          <w:sz w:val="24"/>
          <w:szCs w:val="24"/>
          <w:lang w:val="en-US" w:bidi="da-DK"/>
        </w:rPr>
        <w:t>Titaniumdioxid</w:t>
      </w:r>
      <w:proofErr w:type="spellEnd"/>
      <w:r w:rsidRPr="0095415C">
        <w:rPr>
          <w:sz w:val="24"/>
          <w:szCs w:val="24"/>
          <w:lang w:val="en-US" w:bidi="da-DK"/>
        </w:rPr>
        <w:t xml:space="preserve"> (E171)</w:t>
      </w:r>
      <w:r w:rsidRPr="0095415C">
        <w:rPr>
          <w:sz w:val="24"/>
          <w:szCs w:val="24"/>
          <w:lang w:val="en-US" w:bidi="da-DK"/>
        </w:rPr>
        <w:tab/>
        <w:t>0,15 mg</w:t>
      </w:r>
    </w:p>
    <w:p w:rsidR="002B4473" w:rsidRPr="0095415C" w:rsidRDefault="002B4473" w:rsidP="002B4473">
      <w:pPr>
        <w:ind w:left="855"/>
        <w:rPr>
          <w:sz w:val="24"/>
          <w:szCs w:val="24"/>
          <w:lang w:val="en-US" w:bidi="da-DK"/>
        </w:rPr>
      </w:pPr>
      <w:r w:rsidRPr="0095415C">
        <w:rPr>
          <w:sz w:val="24"/>
          <w:szCs w:val="24"/>
          <w:lang w:val="en-US" w:bidi="da-DK"/>
        </w:rPr>
        <w:t xml:space="preserve">Sunset Yellow FCF (E110) </w:t>
      </w:r>
      <w:r w:rsidRPr="0095415C">
        <w:rPr>
          <w:sz w:val="24"/>
          <w:szCs w:val="24"/>
          <w:lang w:val="en-US" w:bidi="da-DK"/>
        </w:rPr>
        <w:tab/>
        <w:t>0,09 mg</w:t>
      </w:r>
    </w:p>
    <w:p w:rsidR="002B4473" w:rsidRPr="0095415C" w:rsidRDefault="002B4473" w:rsidP="002B4473">
      <w:pPr>
        <w:ind w:left="855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Quinoline</w:t>
      </w:r>
      <w:proofErr w:type="spellEnd"/>
      <w:r w:rsidRPr="0095415C">
        <w:rPr>
          <w:sz w:val="24"/>
          <w:szCs w:val="24"/>
          <w:lang w:bidi="da-DK"/>
        </w:rPr>
        <w:t xml:space="preserve"> Yellow WS (E104)</w:t>
      </w:r>
      <w:r w:rsidRPr="0095415C">
        <w:rPr>
          <w:sz w:val="24"/>
          <w:szCs w:val="24"/>
          <w:lang w:bidi="da-DK"/>
        </w:rPr>
        <w:tab/>
        <w:t>0,075 mg</w:t>
      </w:r>
    </w:p>
    <w:p w:rsidR="002B4473" w:rsidRPr="0095415C" w:rsidRDefault="002B4473" w:rsidP="002B4473">
      <w:pPr>
        <w:tabs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ind w:firstLine="855"/>
        <w:rPr>
          <w:sz w:val="24"/>
          <w:szCs w:val="24"/>
        </w:rPr>
      </w:pPr>
      <w:r w:rsidRPr="0095415C">
        <w:rPr>
          <w:sz w:val="24"/>
          <w:szCs w:val="24"/>
        </w:rPr>
        <w:t xml:space="preserve">Alle hjælpestoffer er anført under pkt. 6.1. </w:t>
      </w:r>
    </w:p>
    <w:p w:rsidR="002B4473" w:rsidRPr="0095415C" w:rsidRDefault="002B4473" w:rsidP="002B4473">
      <w:pPr>
        <w:tabs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3.</w:t>
      </w:r>
      <w:r w:rsidRPr="0095415C">
        <w:rPr>
          <w:b/>
          <w:sz w:val="24"/>
          <w:szCs w:val="24"/>
        </w:rPr>
        <w:tab/>
        <w:t>LÆGEMIDDELFORM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>Filmovertrukne tabletter.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2.5 mg: Lyserøde, </w:t>
      </w:r>
      <w:proofErr w:type="spellStart"/>
      <w:r w:rsidRPr="0095415C">
        <w:rPr>
          <w:sz w:val="24"/>
          <w:szCs w:val="24"/>
        </w:rPr>
        <w:t>bikonvekse</w:t>
      </w:r>
      <w:proofErr w:type="spellEnd"/>
      <w:r w:rsidRPr="0095415C">
        <w:rPr>
          <w:sz w:val="24"/>
          <w:szCs w:val="24"/>
        </w:rPr>
        <w:t xml:space="preserve"> tabletter på 5,5 mm i diameter.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5 mg: Orange, </w:t>
      </w:r>
      <w:proofErr w:type="spellStart"/>
      <w:r w:rsidRPr="0095415C">
        <w:rPr>
          <w:sz w:val="24"/>
          <w:szCs w:val="24"/>
        </w:rPr>
        <w:t>bikonvekse</w:t>
      </w:r>
      <w:proofErr w:type="spellEnd"/>
      <w:r w:rsidRPr="0095415C">
        <w:rPr>
          <w:sz w:val="24"/>
          <w:szCs w:val="24"/>
        </w:rPr>
        <w:t xml:space="preserve"> tabletter på 5,5 mm i diameter.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</w:t>
      </w:r>
      <w:r w:rsidRPr="0095415C">
        <w:rPr>
          <w:b/>
          <w:sz w:val="24"/>
          <w:szCs w:val="24"/>
        </w:rPr>
        <w:tab/>
        <w:t>KLINISKE OPLYSNINGER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95415C">
        <w:rPr>
          <w:b/>
          <w:sz w:val="24"/>
          <w:szCs w:val="24"/>
        </w:rPr>
        <w:t>4.1</w:t>
      </w:r>
      <w:r w:rsidRPr="0095415C">
        <w:rPr>
          <w:b/>
          <w:sz w:val="24"/>
          <w:szCs w:val="24"/>
        </w:rPr>
        <w:tab/>
        <w:t>Dyrearter</w:t>
      </w:r>
    </w:p>
    <w:p w:rsidR="002B4473" w:rsidRPr="0095415C" w:rsidRDefault="002B4473" w:rsidP="002B4473">
      <w:pPr>
        <w:tabs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Kat</w:t>
      </w:r>
    </w:p>
    <w:p w:rsidR="002B4473" w:rsidRPr="0095415C" w:rsidRDefault="002B4473" w:rsidP="002B4473">
      <w:pPr>
        <w:tabs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95415C">
        <w:rPr>
          <w:b/>
          <w:szCs w:val="24"/>
        </w:rPr>
        <w:t>4.2</w:t>
      </w:r>
      <w:r w:rsidRPr="0095415C">
        <w:rPr>
          <w:b/>
          <w:szCs w:val="24"/>
        </w:rPr>
        <w:tab/>
        <w:t>Terapeutiske indikationer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 xml:space="preserve">Til stabilisering af </w:t>
      </w:r>
      <w:proofErr w:type="spellStart"/>
      <w:r w:rsidRPr="0095415C">
        <w:rPr>
          <w:szCs w:val="24"/>
        </w:rPr>
        <w:t>hyperthyroidisme</w:t>
      </w:r>
      <w:proofErr w:type="spellEnd"/>
      <w:r w:rsidRPr="0095415C">
        <w:rPr>
          <w:szCs w:val="24"/>
        </w:rPr>
        <w:t xml:space="preserve"> hos katte forud for kirurgisk </w:t>
      </w:r>
      <w:proofErr w:type="spellStart"/>
      <w:r w:rsidRPr="0095415C">
        <w:rPr>
          <w:szCs w:val="24"/>
        </w:rPr>
        <w:t>thyroidektomi</w:t>
      </w:r>
      <w:proofErr w:type="spellEnd"/>
      <w:r w:rsidRPr="0095415C">
        <w:rPr>
          <w:szCs w:val="24"/>
        </w:rPr>
        <w:t>.</w:t>
      </w:r>
    </w:p>
    <w:p w:rsidR="002B4473" w:rsidRPr="0095415C" w:rsidRDefault="002B4473" w:rsidP="002B4473">
      <w:pPr>
        <w:pStyle w:val="Sidehoved"/>
        <w:tabs>
          <w:tab w:val="clear" w:pos="4819"/>
          <w:tab w:val="clear" w:pos="9638"/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 xml:space="preserve">Til langtidsbehandling af </w:t>
      </w:r>
      <w:proofErr w:type="spellStart"/>
      <w:r w:rsidRPr="0095415C">
        <w:rPr>
          <w:szCs w:val="24"/>
        </w:rPr>
        <w:t>felin</w:t>
      </w:r>
      <w:proofErr w:type="spellEnd"/>
      <w:r w:rsidRPr="0095415C">
        <w:rPr>
          <w:szCs w:val="24"/>
        </w:rPr>
        <w:t xml:space="preserve"> </w:t>
      </w:r>
      <w:proofErr w:type="spellStart"/>
      <w:r w:rsidRPr="0095415C">
        <w:rPr>
          <w:szCs w:val="24"/>
        </w:rPr>
        <w:t>hyperthyroidisme</w:t>
      </w:r>
      <w:proofErr w:type="spellEnd"/>
      <w:r w:rsidRPr="0095415C">
        <w:rPr>
          <w:szCs w:val="24"/>
        </w:rPr>
        <w:t>.</w:t>
      </w:r>
    </w:p>
    <w:p w:rsidR="002B4473" w:rsidRPr="0095415C" w:rsidRDefault="002B4473" w:rsidP="002B447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2B4473" w:rsidRPr="0095415C" w:rsidRDefault="002B4473" w:rsidP="002B4473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95415C">
        <w:rPr>
          <w:b/>
          <w:szCs w:val="24"/>
        </w:rPr>
        <w:t>4.3</w:t>
      </w:r>
      <w:r w:rsidRPr="0095415C">
        <w:rPr>
          <w:b/>
          <w:szCs w:val="24"/>
        </w:rPr>
        <w:tab/>
        <w:t>Kontraindikationer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>Bør ikke anvendes til katte, der lider af systemiske sygdomme som f.eks. primær leversygdom eller diabetes mellitus.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>Bør ikke anvendes til katte, som viser tegn på autoimmune sygdomme.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 xml:space="preserve">Bør ikke anvendes til dyr med forstyrrelser i de hvide blodlegemer, som f.eks. </w:t>
      </w:r>
      <w:proofErr w:type="spellStart"/>
      <w:r w:rsidRPr="0095415C">
        <w:rPr>
          <w:szCs w:val="24"/>
        </w:rPr>
        <w:t>neutropeni</w:t>
      </w:r>
      <w:proofErr w:type="spellEnd"/>
      <w:r w:rsidRPr="0095415C">
        <w:rPr>
          <w:szCs w:val="24"/>
        </w:rPr>
        <w:t xml:space="preserve"> og </w:t>
      </w:r>
      <w:proofErr w:type="spellStart"/>
      <w:r w:rsidRPr="0095415C">
        <w:rPr>
          <w:szCs w:val="24"/>
        </w:rPr>
        <w:t>lymfopeni</w:t>
      </w:r>
      <w:proofErr w:type="spellEnd"/>
      <w:r w:rsidRPr="0095415C">
        <w:rPr>
          <w:szCs w:val="24"/>
        </w:rPr>
        <w:t>.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 xml:space="preserve">Bør ikke anvendes til dyr med </w:t>
      </w:r>
      <w:proofErr w:type="spellStart"/>
      <w:r w:rsidRPr="0095415C">
        <w:rPr>
          <w:szCs w:val="24"/>
        </w:rPr>
        <w:t>trombocytforstyrrelser</w:t>
      </w:r>
      <w:proofErr w:type="spellEnd"/>
      <w:r w:rsidRPr="0095415C">
        <w:rPr>
          <w:szCs w:val="24"/>
        </w:rPr>
        <w:t xml:space="preserve"> og </w:t>
      </w:r>
      <w:proofErr w:type="spellStart"/>
      <w:r w:rsidRPr="0095415C">
        <w:rPr>
          <w:szCs w:val="24"/>
        </w:rPr>
        <w:t>koagulopatier</w:t>
      </w:r>
      <w:proofErr w:type="spellEnd"/>
      <w:r w:rsidRPr="0095415C">
        <w:rPr>
          <w:szCs w:val="24"/>
        </w:rPr>
        <w:t xml:space="preserve"> (især </w:t>
      </w:r>
      <w:proofErr w:type="spellStart"/>
      <w:r w:rsidRPr="0095415C">
        <w:rPr>
          <w:szCs w:val="24"/>
        </w:rPr>
        <w:t>trombocytopeni</w:t>
      </w:r>
      <w:proofErr w:type="spellEnd"/>
      <w:r w:rsidRPr="0095415C">
        <w:rPr>
          <w:szCs w:val="24"/>
        </w:rPr>
        <w:t>).</w:t>
      </w:r>
    </w:p>
    <w:p w:rsidR="002B4473" w:rsidRPr="0095415C" w:rsidRDefault="002B4473" w:rsidP="002B4473">
      <w:pPr>
        <w:pStyle w:val="Sidehoved"/>
        <w:tabs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>Bør ikke anvendes til drægtige eller diegivende hundyr. Se pkt. 4.7.</w:t>
      </w:r>
    </w:p>
    <w:p w:rsidR="002B4473" w:rsidRPr="0095415C" w:rsidRDefault="002B4473" w:rsidP="002B4473">
      <w:pPr>
        <w:pStyle w:val="Sidehoved"/>
        <w:tabs>
          <w:tab w:val="clear" w:pos="4819"/>
          <w:tab w:val="clear" w:pos="9638"/>
          <w:tab w:val="left" w:pos="8222"/>
        </w:tabs>
        <w:ind w:left="851"/>
        <w:rPr>
          <w:szCs w:val="24"/>
        </w:rPr>
      </w:pPr>
      <w:r w:rsidRPr="0095415C">
        <w:rPr>
          <w:szCs w:val="24"/>
        </w:rPr>
        <w:t>Bør ikke anvendes til katte</w:t>
      </w:r>
      <w:r>
        <w:rPr>
          <w:szCs w:val="24"/>
        </w:rPr>
        <w:t xml:space="preserve"> i tilfælde af</w:t>
      </w:r>
      <w:r w:rsidRPr="0095415C">
        <w:rPr>
          <w:szCs w:val="24"/>
        </w:rPr>
        <w:t xml:space="preserve"> overfølsom</w:t>
      </w:r>
      <w:r>
        <w:rPr>
          <w:szCs w:val="24"/>
        </w:rPr>
        <w:t>hed</w:t>
      </w:r>
      <w:r w:rsidRPr="0095415C">
        <w:rPr>
          <w:szCs w:val="24"/>
        </w:rPr>
        <w:t xml:space="preserve"> over for </w:t>
      </w:r>
      <w:proofErr w:type="spellStart"/>
      <w:r w:rsidRPr="0095415C">
        <w:rPr>
          <w:szCs w:val="24"/>
        </w:rPr>
        <w:t>thiamazol</w:t>
      </w:r>
      <w:proofErr w:type="spellEnd"/>
      <w:r w:rsidRPr="0095415C">
        <w:rPr>
          <w:szCs w:val="24"/>
        </w:rPr>
        <w:t xml:space="preserve"> eller </w:t>
      </w:r>
      <w:proofErr w:type="spellStart"/>
      <w:r>
        <w:rPr>
          <w:szCs w:val="24"/>
        </w:rPr>
        <w:t>eller</w:t>
      </w:r>
      <w:proofErr w:type="spellEnd"/>
      <w:r>
        <w:rPr>
          <w:szCs w:val="24"/>
        </w:rPr>
        <w:t xml:space="preserve"> over for et eller flere af </w:t>
      </w:r>
      <w:r w:rsidRPr="0095415C">
        <w:rPr>
          <w:szCs w:val="24"/>
        </w:rPr>
        <w:t>hjælpestoffe</w:t>
      </w:r>
      <w:r>
        <w:rPr>
          <w:szCs w:val="24"/>
        </w:rPr>
        <w:t>rne</w:t>
      </w:r>
      <w:r w:rsidRPr="0095415C">
        <w:rPr>
          <w:szCs w:val="24"/>
        </w:rPr>
        <w:t>.</w:t>
      </w:r>
    </w:p>
    <w:p w:rsidR="002B4473" w:rsidRPr="0095415C" w:rsidRDefault="002B4473" w:rsidP="002B4473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4.4</w:t>
      </w:r>
      <w:r w:rsidRPr="0095415C">
        <w:rPr>
          <w:b/>
          <w:sz w:val="24"/>
          <w:szCs w:val="24"/>
        </w:rPr>
        <w:tab/>
        <w:t>Særlige advarsler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ab/>
        <w:t>Ingen.</w:t>
      </w:r>
    </w:p>
    <w:p w:rsidR="002B4473" w:rsidRPr="0095415C" w:rsidRDefault="002B4473" w:rsidP="002B4473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4.5</w:t>
      </w:r>
      <w:r w:rsidRPr="0095415C">
        <w:rPr>
          <w:b/>
          <w:sz w:val="24"/>
          <w:szCs w:val="24"/>
        </w:rPr>
        <w:tab/>
        <w:t>Særlige forsigtighedsregler vedrørende brugen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ab/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ab/>
        <w:t>Særlige forsigtighedsregler for dyret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Da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kan medføre </w:t>
      </w:r>
      <w:proofErr w:type="spellStart"/>
      <w:r w:rsidRPr="0095415C">
        <w:rPr>
          <w:sz w:val="24"/>
          <w:szCs w:val="24"/>
        </w:rPr>
        <w:t>hæmokoncentration</w:t>
      </w:r>
      <w:proofErr w:type="spellEnd"/>
      <w:r w:rsidRPr="0095415C">
        <w:rPr>
          <w:sz w:val="24"/>
          <w:szCs w:val="24"/>
        </w:rPr>
        <w:t>, bør katte altid have adgang til drikkevand.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5415C">
        <w:rPr>
          <w:sz w:val="24"/>
          <w:szCs w:val="24"/>
        </w:rPr>
        <w:t>Hvis der kræves en dosis på mere end 10 mg om dagen, bør dyrene overvåges særligt nøje.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Dyrlægens beslutning om anvendelse af lægemidlet til katte med nyrefunktionsforstyrrelser bør ske efter nøje overvejelse af </w:t>
      </w:r>
      <w:proofErr w:type="spellStart"/>
      <w:r w:rsidRPr="0095415C">
        <w:rPr>
          <w:sz w:val="24"/>
          <w:szCs w:val="24"/>
        </w:rPr>
        <w:t>risk</w:t>
      </w:r>
      <w:proofErr w:type="spellEnd"/>
      <w:r w:rsidRPr="0095415C">
        <w:rPr>
          <w:sz w:val="24"/>
          <w:szCs w:val="24"/>
        </w:rPr>
        <w:t xml:space="preserve">/benefit-forholdet. Da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kan have en nedsættende virkning på </w:t>
      </w:r>
      <w:proofErr w:type="spellStart"/>
      <w:r w:rsidRPr="0095415C">
        <w:rPr>
          <w:sz w:val="24"/>
          <w:szCs w:val="24"/>
        </w:rPr>
        <w:t>glomerulusfiltrationshastigheden</w:t>
      </w:r>
      <w:proofErr w:type="spellEnd"/>
      <w:r w:rsidRPr="0095415C">
        <w:rPr>
          <w:sz w:val="24"/>
          <w:szCs w:val="24"/>
        </w:rPr>
        <w:t>, bør behandlingens virkning på nyrefunktionen monitoreres tæt, da der kan opstå forværring af en bagvedliggende tilstand.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Hæmatologi skal overvåges pga. risikoen for </w:t>
      </w:r>
      <w:proofErr w:type="spellStart"/>
      <w:r w:rsidRPr="0095415C">
        <w:rPr>
          <w:sz w:val="24"/>
          <w:szCs w:val="24"/>
        </w:rPr>
        <w:t>leucopeni</w:t>
      </w:r>
      <w:proofErr w:type="spellEnd"/>
      <w:r w:rsidRPr="0095415C">
        <w:rPr>
          <w:sz w:val="24"/>
          <w:szCs w:val="24"/>
        </w:rPr>
        <w:t xml:space="preserve"> eller </w:t>
      </w:r>
      <w:proofErr w:type="spellStart"/>
      <w:r w:rsidRPr="0095415C">
        <w:rPr>
          <w:sz w:val="24"/>
          <w:szCs w:val="24"/>
        </w:rPr>
        <w:t>hæmolytisk</w:t>
      </w:r>
      <w:proofErr w:type="spellEnd"/>
      <w:r w:rsidRPr="0095415C">
        <w:rPr>
          <w:sz w:val="24"/>
          <w:szCs w:val="24"/>
        </w:rPr>
        <w:t xml:space="preserve"> anæmi.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Et dyr, som pludselig virker utilpas under behandlingen, bør have taget en blodprøve til rutinemæssig kontrol af hæmatologi og biokemi, især hvis de er febrile. </w:t>
      </w:r>
      <w:proofErr w:type="spellStart"/>
      <w:r w:rsidRPr="0095415C">
        <w:rPr>
          <w:sz w:val="24"/>
          <w:szCs w:val="24"/>
        </w:rPr>
        <w:t>Neutropeniske</w:t>
      </w:r>
      <w:proofErr w:type="spellEnd"/>
      <w:r w:rsidRPr="0095415C">
        <w:rPr>
          <w:sz w:val="24"/>
          <w:szCs w:val="24"/>
        </w:rPr>
        <w:t xml:space="preserve"> dyr (</w:t>
      </w:r>
      <w:proofErr w:type="spellStart"/>
      <w:r w:rsidRPr="0095415C">
        <w:rPr>
          <w:sz w:val="24"/>
          <w:szCs w:val="24"/>
        </w:rPr>
        <w:t>neutrofile</w:t>
      </w:r>
      <w:proofErr w:type="spellEnd"/>
      <w:r w:rsidRPr="0095415C">
        <w:rPr>
          <w:sz w:val="24"/>
          <w:szCs w:val="24"/>
        </w:rPr>
        <w:t xml:space="preserve"> celler &lt;2,5 x 10</w:t>
      </w:r>
      <w:r w:rsidRPr="0095415C">
        <w:rPr>
          <w:sz w:val="24"/>
          <w:szCs w:val="24"/>
          <w:vertAlign w:val="superscript"/>
        </w:rPr>
        <w:t>9</w:t>
      </w:r>
      <w:r w:rsidRPr="0095415C">
        <w:rPr>
          <w:sz w:val="24"/>
          <w:szCs w:val="24"/>
        </w:rPr>
        <w:t>/l) bør behandles profylaktisk med baktericide antibakterielle stoffer og understøttende behandling.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sz w:val="24"/>
          <w:szCs w:val="24"/>
        </w:rPr>
        <w:tab/>
      </w:r>
      <w:r w:rsidRPr="0095415C">
        <w:rPr>
          <w:b/>
          <w:sz w:val="24"/>
          <w:szCs w:val="24"/>
        </w:rPr>
        <w:t>Særlige forsigtighedsregler for personer, der administrerer lægemidlet</w:t>
      </w:r>
    </w:p>
    <w:p w:rsidR="002B4473" w:rsidRPr="00B05477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05477">
        <w:rPr>
          <w:sz w:val="24"/>
          <w:szCs w:val="24"/>
        </w:rPr>
        <w:t xml:space="preserve">Ved overfølsomhed over for </w:t>
      </w:r>
      <w:proofErr w:type="spellStart"/>
      <w:r>
        <w:rPr>
          <w:sz w:val="24"/>
          <w:szCs w:val="24"/>
        </w:rPr>
        <w:t>thiamazol</w:t>
      </w:r>
      <w:proofErr w:type="spellEnd"/>
      <w:r>
        <w:rPr>
          <w:sz w:val="24"/>
          <w:szCs w:val="24"/>
        </w:rPr>
        <w:t xml:space="preserve">, bør </w:t>
      </w:r>
      <w:r w:rsidRPr="00B05477">
        <w:rPr>
          <w:sz w:val="24"/>
          <w:szCs w:val="24"/>
        </w:rPr>
        <w:t>kontakt med lægemidlet undgås.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Undlad at håndtere dette lægemiddel, hvis du er allergisk over </w:t>
      </w:r>
      <w:proofErr w:type="gramStart"/>
      <w:r w:rsidRPr="0095415C">
        <w:rPr>
          <w:sz w:val="24"/>
          <w:szCs w:val="24"/>
        </w:rPr>
        <w:t xml:space="preserve">for  </w:t>
      </w:r>
      <w:proofErr w:type="spellStart"/>
      <w:r w:rsidRPr="0095415C">
        <w:rPr>
          <w:sz w:val="24"/>
          <w:szCs w:val="24"/>
        </w:rPr>
        <w:t>antithyroidprodukter</w:t>
      </w:r>
      <w:proofErr w:type="spellEnd"/>
      <w:proofErr w:type="gramEnd"/>
      <w:r w:rsidRPr="0095415C">
        <w:rPr>
          <w:sz w:val="24"/>
          <w:szCs w:val="24"/>
        </w:rPr>
        <w:t>. Tabletterne må ikke deles eller knuses.</w:t>
      </w:r>
      <w:r>
        <w:rPr>
          <w:sz w:val="24"/>
          <w:szCs w:val="24"/>
        </w:rPr>
        <w:t xml:space="preserve"> </w:t>
      </w:r>
      <w:r w:rsidRPr="0095415C">
        <w:rPr>
          <w:sz w:val="24"/>
          <w:szCs w:val="24"/>
        </w:rPr>
        <w:t>Hvis der udvikles allergiske symptomer, såsom hududslæt, hævelse af ansigt, læber eller øjne eller vejrtrækningsbesvær, bør der omgående søges læge og indlægssedlen eller etiketten vises til lægen.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kan forårsage opkastning, </w:t>
      </w:r>
      <w:proofErr w:type="spellStart"/>
      <w:r w:rsidRPr="0095415C">
        <w:rPr>
          <w:sz w:val="24"/>
          <w:szCs w:val="24"/>
        </w:rPr>
        <w:t>epigastrisk</w:t>
      </w:r>
      <w:proofErr w:type="spellEnd"/>
      <w:r w:rsidRPr="0095415C">
        <w:rPr>
          <w:sz w:val="24"/>
          <w:szCs w:val="24"/>
        </w:rPr>
        <w:t xml:space="preserve"> ubehag, hovedpine, feber, ledsmerter, kløe og </w:t>
      </w:r>
      <w:proofErr w:type="spellStart"/>
      <w:r w:rsidRPr="0095415C">
        <w:rPr>
          <w:sz w:val="24"/>
          <w:szCs w:val="24"/>
        </w:rPr>
        <w:t>pancytopæni</w:t>
      </w:r>
      <w:proofErr w:type="spellEnd"/>
      <w:r w:rsidRPr="0095415C">
        <w:rPr>
          <w:sz w:val="24"/>
          <w:szCs w:val="24"/>
        </w:rPr>
        <w:t>. Behandles symptomatisk.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I tilfælde af selvindgivelse ved hændeligt uheld skal der straks søges læge</w:t>
      </w:r>
      <w:r>
        <w:rPr>
          <w:sz w:val="24"/>
          <w:szCs w:val="24"/>
        </w:rPr>
        <w:t>hjælp</w:t>
      </w:r>
      <w:r w:rsidRPr="0095415C">
        <w:rPr>
          <w:sz w:val="24"/>
          <w:szCs w:val="24"/>
        </w:rPr>
        <w:t>, og indlægssed</w:t>
      </w:r>
      <w:r>
        <w:rPr>
          <w:sz w:val="24"/>
          <w:szCs w:val="24"/>
        </w:rPr>
        <w:t>len</w:t>
      </w:r>
      <w:r w:rsidRPr="0095415C">
        <w:rPr>
          <w:sz w:val="24"/>
          <w:szCs w:val="24"/>
        </w:rPr>
        <w:t xml:space="preserve"> eller etiket</w:t>
      </w:r>
      <w:r>
        <w:rPr>
          <w:sz w:val="24"/>
          <w:szCs w:val="24"/>
        </w:rPr>
        <w:t>ten</w:t>
      </w:r>
      <w:r w:rsidRPr="0095415C">
        <w:rPr>
          <w:sz w:val="24"/>
          <w:szCs w:val="24"/>
        </w:rPr>
        <w:t xml:space="preserve"> bør vises til lægen.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Undlad at spise, drikke eller ryge ved håndtering af tabletten eller kattegrus.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Vask hænder efter brug.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Vask hænder med sæbe og vand efter håndtering af kattegrus fra behandlede dyr.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Eftersom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er et formodet humant </w:t>
      </w:r>
      <w:proofErr w:type="spellStart"/>
      <w:r w:rsidRPr="0095415C">
        <w:rPr>
          <w:sz w:val="24"/>
          <w:szCs w:val="24"/>
        </w:rPr>
        <w:t>teratogen</w:t>
      </w:r>
      <w:proofErr w:type="spellEnd"/>
      <w:r w:rsidRPr="0095415C">
        <w:rPr>
          <w:sz w:val="24"/>
          <w:szCs w:val="24"/>
        </w:rPr>
        <w:t>, bør kvinder i den fødedygtige alder og gravide bære handsker under håndtering af kattegrus fra behandlede katte.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lastRenderedPageBreak/>
        <w:t>Gravide kvinder bør bære handsker ved håndtering af dette lægemiddel.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sz w:val="24"/>
          <w:szCs w:val="24"/>
        </w:rPr>
        <w:tab/>
      </w:r>
      <w:r w:rsidRPr="0095415C">
        <w:rPr>
          <w:b/>
          <w:sz w:val="24"/>
          <w:szCs w:val="24"/>
        </w:rPr>
        <w:t>Andre forsigtighedsregler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>-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4.6</w:t>
      </w:r>
      <w:r w:rsidRPr="0095415C">
        <w:rPr>
          <w:b/>
          <w:sz w:val="24"/>
          <w:szCs w:val="24"/>
        </w:rPr>
        <w:tab/>
        <w:t>Bivirkninger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Der er rapporteret bivirkninger efter langvarig kontrol af </w:t>
      </w:r>
      <w:proofErr w:type="spellStart"/>
      <w:r w:rsidRPr="0095415C">
        <w:rPr>
          <w:sz w:val="24"/>
          <w:szCs w:val="24"/>
        </w:rPr>
        <w:t>hyperthyroidisme</w:t>
      </w:r>
      <w:proofErr w:type="spellEnd"/>
      <w:r w:rsidRPr="0095415C">
        <w:rPr>
          <w:sz w:val="24"/>
          <w:szCs w:val="24"/>
        </w:rPr>
        <w:t>. I mange tilfælde kan tegnene være milde og kortvarige og ikke en anledning til at ophøre med behandlingen. De mere alvorlige bivirkninger er overvejende reversible, når medicineringen stopper.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Bivirkninger er sjældne. De hyppigst rapporterede kliniske bivirkninger er opkastning, appetitløshed/</w:t>
      </w:r>
      <w:proofErr w:type="spellStart"/>
      <w:r w:rsidRPr="0095415C">
        <w:rPr>
          <w:sz w:val="24"/>
          <w:szCs w:val="24"/>
        </w:rPr>
        <w:t>anorexi</w:t>
      </w:r>
      <w:proofErr w:type="spellEnd"/>
      <w:r w:rsidRPr="0095415C">
        <w:rPr>
          <w:sz w:val="24"/>
          <w:szCs w:val="24"/>
        </w:rPr>
        <w:t xml:space="preserve">, sløvhed, alvorlig hudkløe og hudløshed på hoved og hals, blødende diatese og gulsot i forbindelse med </w:t>
      </w:r>
      <w:proofErr w:type="spellStart"/>
      <w:r w:rsidRPr="0095415C">
        <w:rPr>
          <w:sz w:val="24"/>
          <w:szCs w:val="24"/>
        </w:rPr>
        <w:t>hepatopati</w:t>
      </w:r>
      <w:proofErr w:type="spellEnd"/>
      <w:r w:rsidRPr="0095415C">
        <w:rPr>
          <w:sz w:val="24"/>
          <w:szCs w:val="24"/>
        </w:rPr>
        <w:t xml:space="preserve"> samt hæmatologiske anormaliteter (</w:t>
      </w:r>
      <w:proofErr w:type="spellStart"/>
      <w:r w:rsidRPr="0095415C">
        <w:rPr>
          <w:sz w:val="24"/>
          <w:szCs w:val="24"/>
        </w:rPr>
        <w:t>eosinofili</w:t>
      </w:r>
      <w:proofErr w:type="spellEnd"/>
      <w:r w:rsidRPr="0095415C">
        <w:rPr>
          <w:sz w:val="24"/>
          <w:szCs w:val="24"/>
        </w:rPr>
        <w:t xml:space="preserve">, lymfocytose, </w:t>
      </w:r>
      <w:proofErr w:type="spellStart"/>
      <w:r w:rsidRPr="0095415C">
        <w:rPr>
          <w:sz w:val="24"/>
          <w:szCs w:val="24"/>
        </w:rPr>
        <w:t>neutropeni</w:t>
      </w:r>
      <w:proofErr w:type="spellEnd"/>
      <w:r w:rsidRPr="0095415C">
        <w:rPr>
          <w:sz w:val="24"/>
          <w:szCs w:val="24"/>
        </w:rPr>
        <w:t xml:space="preserve">, </w:t>
      </w:r>
      <w:proofErr w:type="spellStart"/>
      <w:r w:rsidRPr="0095415C">
        <w:rPr>
          <w:sz w:val="24"/>
          <w:szCs w:val="24"/>
        </w:rPr>
        <w:t>lymfopeni</w:t>
      </w:r>
      <w:proofErr w:type="spellEnd"/>
      <w:r w:rsidRPr="0095415C">
        <w:rPr>
          <w:sz w:val="24"/>
          <w:szCs w:val="24"/>
        </w:rPr>
        <w:t xml:space="preserve">, let </w:t>
      </w:r>
      <w:proofErr w:type="spellStart"/>
      <w:r w:rsidRPr="0095415C">
        <w:rPr>
          <w:sz w:val="24"/>
          <w:szCs w:val="24"/>
        </w:rPr>
        <w:t>leucopeni</w:t>
      </w:r>
      <w:proofErr w:type="spellEnd"/>
      <w:r w:rsidRPr="0095415C">
        <w:rPr>
          <w:sz w:val="24"/>
          <w:szCs w:val="24"/>
        </w:rPr>
        <w:t xml:space="preserve">, </w:t>
      </w:r>
      <w:proofErr w:type="spellStart"/>
      <w:r w:rsidRPr="0095415C">
        <w:rPr>
          <w:sz w:val="24"/>
          <w:szCs w:val="24"/>
        </w:rPr>
        <w:t>agranulocytose</w:t>
      </w:r>
      <w:proofErr w:type="spellEnd"/>
      <w:r w:rsidRPr="0095415C">
        <w:rPr>
          <w:sz w:val="24"/>
          <w:szCs w:val="24"/>
        </w:rPr>
        <w:t xml:space="preserve">, </w:t>
      </w:r>
      <w:proofErr w:type="spellStart"/>
      <w:r w:rsidRPr="0095415C">
        <w:rPr>
          <w:sz w:val="24"/>
          <w:szCs w:val="24"/>
        </w:rPr>
        <w:t>trombocytopeni</w:t>
      </w:r>
      <w:proofErr w:type="spellEnd"/>
      <w:r w:rsidRPr="0095415C">
        <w:rPr>
          <w:sz w:val="24"/>
          <w:szCs w:val="24"/>
        </w:rPr>
        <w:t xml:space="preserve"> eller </w:t>
      </w:r>
      <w:proofErr w:type="spellStart"/>
      <w:r w:rsidRPr="0095415C">
        <w:rPr>
          <w:sz w:val="24"/>
          <w:szCs w:val="24"/>
        </w:rPr>
        <w:t>hæmolytisk</w:t>
      </w:r>
      <w:proofErr w:type="spellEnd"/>
      <w:r w:rsidRPr="0095415C">
        <w:rPr>
          <w:sz w:val="24"/>
          <w:szCs w:val="24"/>
        </w:rPr>
        <w:t xml:space="preserve"> anæmi). Disse bivirkninger forsvandt i løbet af 7-45 dage efter ophør med behandling med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>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Mulige immunologiske bivirkninger er anæmi med sjældne bivirkninger, herunder </w:t>
      </w:r>
      <w:proofErr w:type="spellStart"/>
      <w:r w:rsidRPr="0095415C">
        <w:rPr>
          <w:sz w:val="24"/>
          <w:szCs w:val="24"/>
        </w:rPr>
        <w:t>trombocytopeni</w:t>
      </w:r>
      <w:proofErr w:type="spellEnd"/>
      <w:r w:rsidRPr="0095415C">
        <w:rPr>
          <w:sz w:val="24"/>
          <w:szCs w:val="24"/>
        </w:rPr>
        <w:t xml:space="preserve"> og antinukleare antistoffer i serum, og meget sjældent kan der opstå </w:t>
      </w:r>
      <w:proofErr w:type="spellStart"/>
      <w:r w:rsidRPr="0095415C">
        <w:rPr>
          <w:sz w:val="24"/>
          <w:szCs w:val="24"/>
        </w:rPr>
        <w:t>lymfadenopati</w:t>
      </w:r>
      <w:proofErr w:type="spellEnd"/>
      <w:r w:rsidRPr="0095415C">
        <w:rPr>
          <w:sz w:val="24"/>
          <w:szCs w:val="24"/>
        </w:rPr>
        <w:t>. Behandlingen bør stoppes øjeblikkeligt, og alternativ behandling overvejes efter en passende bedringsperiode.</w:t>
      </w:r>
    </w:p>
    <w:p w:rsidR="002B4473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Efter længerevarende behandling med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hos gnavere er der konstateret øget risiko for </w:t>
      </w:r>
      <w:proofErr w:type="spellStart"/>
      <w:r w:rsidRPr="0095415C">
        <w:rPr>
          <w:sz w:val="24"/>
          <w:szCs w:val="24"/>
        </w:rPr>
        <w:t>neoplasi</w:t>
      </w:r>
      <w:proofErr w:type="spellEnd"/>
      <w:r w:rsidRPr="0095415C">
        <w:rPr>
          <w:sz w:val="24"/>
          <w:szCs w:val="24"/>
        </w:rPr>
        <w:t xml:space="preserve"> i skjoldbruskkirtlen, men der foreligger ingen oplysninger om tegn herpå hos katte.</w:t>
      </w:r>
    </w:p>
    <w:p w:rsidR="002B4473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B4473" w:rsidRPr="00594D49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  <w:u w:val="single"/>
        </w:rPr>
        <w:t>Hyppigheden af bivirkninger er defineret som</w:t>
      </w:r>
      <w:r w:rsidRPr="00594D49">
        <w:rPr>
          <w:sz w:val="24"/>
          <w:szCs w:val="24"/>
        </w:rPr>
        <w:t>:</w:t>
      </w:r>
    </w:p>
    <w:p w:rsidR="002B4473" w:rsidRPr="00594D49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</w:rPr>
        <w:t>- Meget almindelig (flere end 1 ud af 10 behandlede dyr, der viser bivirkninger i løbet af en behandling)</w:t>
      </w:r>
    </w:p>
    <w:p w:rsidR="002B4473" w:rsidRPr="00594D49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</w:rPr>
        <w:t>- Almindelige (flere end 1, men færre end 10 dyr af 100 behandlede dyr)</w:t>
      </w:r>
    </w:p>
    <w:p w:rsidR="002B4473" w:rsidRPr="00594D49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</w:rPr>
        <w:t>- Ikke almindelige (flere end 1, men færre end 10 dyr af 1.000 behandlede dyr)</w:t>
      </w:r>
    </w:p>
    <w:p w:rsidR="002B4473" w:rsidRPr="00594D49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</w:rPr>
        <w:t>- Sjældne (flere end 1, men færre end 10 dyr ud af 10.000 behandlede dyr)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4D49">
        <w:rPr>
          <w:sz w:val="24"/>
          <w:szCs w:val="24"/>
        </w:rPr>
        <w:t>- Meget sjælden (færre end 1 dyr ud af 10.000 behandlede dyr, herunder isolerede rapporter)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4.7</w:t>
      </w:r>
      <w:r w:rsidRPr="0095415C">
        <w:rPr>
          <w:b/>
          <w:sz w:val="24"/>
          <w:szCs w:val="24"/>
        </w:rPr>
        <w:tab/>
        <w:t>Drægtighed, diegivning eller æglægning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 xml:space="preserve">Laboratorieundersøgelser af rotter og mus har afsløret </w:t>
      </w:r>
      <w:proofErr w:type="spellStart"/>
      <w:r w:rsidRPr="0095415C">
        <w:rPr>
          <w:sz w:val="24"/>
          <w:szCs w:val="24"/>
        </w:rPr>
        <w:t>teratogene</w:t>
      </w:r>
      <w:proofErr w:type="spellEnd"/>
      <w:r w:rsidRPr="0095415C">
        <w:rPr>
          <w:sz w:val="24"/>
          <w:szCs w:val="24"/>
        </w:rPr>
        <w:t xml:space="preserve"> og embryotoksiske virkninger af </w:t>
      </w: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>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Lægemidlets sikkerhed hos drægtige eller diegivende katte er ikke vurderet. Må ikke anvendes til drægtige eller diegivende hundyr.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4.8</w:t>
      </w:r>
      <w:r w:rsidRPr="0095415C">
        <w:rPr>
          <w:b/>
          <w:sz w:val="24"/>
          <w:szCs w:val="24"/>
        </w:rPr>
        <w:tab/>
        <w:t>Interaktion med andre lægemidler og andre former for interaktion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Samtidig behandling med </w:t>
      </w:r>
      <w:proofErr w:type="spellStart"/>
      <w:r w:rsidRPr="0095415C">
        <w:rPr>
          <w:sz w:val="24"/>
          <w:szCs w:val="24"/>
          <w:lang w:bidi="da-DK"/>
        </w:rPr>
        <w:t>phenobarbital</w:t>
      </w:r>
      <w:proofErr w:type="spellEnd"/>
      <w:r w:rsidRPr="0095415C">
        <w:rPr>
          <w:sz w:val="24"/>
          <w:szCs w:val="24"/>
          <w:lang w:bidi="da-DK"/>
        </w:rPr>
        <w:t xml:space="preserve"> kan reducere den kliniske effekt af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>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Der foreligger oplysninger om, at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 xml:space="preserve"> reducerer den </w:t>
      </w:r>
      <w:proofErr w:type="spellStart"/>
      <w:r w:rsidRPr="0095415C">
        <w:rPr>
          <w:sz w:val="24"/>
          <w:szCs w:val="24"/>
          <w:lang w:bidi="da-DK"/>
        </w:rPr>
        <w:t>hepatiske</w:t>
      </w:r>
      <w:proofErr w:type="spellEnd"/>
      <w:r w:rsidRPr="0095415C">
        <w:rPr>
          <w:sz w:val="24"/>
          <w:szCs w:val="24"/>
          <w:lang w:bidi="da-DK"/>
        </w:rPr>
        <w:t xml:space="preserve"> oxidering af </w:t>
      </w:r>
      <w:proofErr w:type="spellStart"/>
      <w:r w:rsidRPr="0095415C">
        <w:rPr>
          <w:sz w:val="24"/>
          <w:szCs w:val="24"/>
          <w:lang w:bidi="da-DK"/>
        </w:rPr>
        <w:t>benzimidazolebaserede</w:t>
      </w:r>
      <w:proofErr w:type="spellEnd"/>
      <w:r w:rsidRPr="0095415C">
        <w:rPr>
          <w:sz w:val="24"/>
          <w:szCs w:val="24"/>
          <w:lang w:bidi="da-DK"/>
        </w:rPr>
        <w:t xml:space="preserve"> ormemidler og kan eventuelt medføre forhøjelse af disses plasmakoncentrationer, når de indgives samtidigt.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 xml:space="preserve"> er </w:t>
      </w:r>
      <w:proofErr w:type="spellStart"/>
      <w:r w:rsidRPr="0095415C">
        <w:rPr>
          <w:sz w:val="24"/>
          <w:szCs w:val="24"/>
          <w:lang w:bidi="da-DK"/>
        </w:rPr>
        <w:t>immunomodulerende</w:t>
      </w:r>
      <w:proofErr w:type="spellEnd"/>
      <w:r w:rsidRPr="0095415C">
        <w:rPr>
          <w:sz w:val="24"/>
          <w:szCs w:val="24"/>
          <w:lang w:bidi="da-DK"/>
        </w:rPr>
        <w:t>. Dette bør derfor tages i betragtning ved overvejelse af vaccinationsprogrammer.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4.9</w:t>
      </w:r>
      <w:r w:rsidRPr="0095415C">
        <w:rPr>
          <w:b/>
          <w:sz w:val="24"/>
          <w:szCs w:val="24"/>
        </w:rPr>
        <w:tab/>
        <w:t>Dosering og indgivelsesmåde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  <w:lang w:bidi="da-DK"/>
        </w:rPr>
      </w:pPr>
      <w:r w:rsidRPr="0095415C">
        <w:rPr>
          <w:b/>
          <w:sz w:val="24"/>
          <w:szCs w:val="24"/>
        </w:rPr>
        <w:tab/>
      </w:r>
      <w:r w:rsidRPr="00594D49">
        <w:rPr>
          <w:sz w:val="24"/>
          <w:szCs w:val="24"/>
        </w:rPr>
        <w:t>O</w:t>
      </w:r>
      <w:r w:rsidRPr="0095415C">
        <w:rPr>
          <w:sz w:val="24"/>
          <w:szCs w:val="24"/>
          <w:lang w:bidi="da-DK"/>
        </w:rPr>
        <w:t>ral anvendelse.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Til stabilisering af </w:t>
      </w:r>
      <w:proofErr w:type="spellStart"/>
      <w:r w:rsidRPr="0095415C">
        <w:rPr>
          <w:sz w:val="24"/>
          <w:szCs w:val="24"/>
          <w:lang w:bidi="da-DK"/>
        </w:rPr>
        <w:t>felin</w:t>
      </w:r>
      <w:proofErr w:type="spellEnd"/>
      <w:r w:rsidRPr="0095415C">
        <w:rPr>
          <w:sz w:val="24"/>
          <w:szCs w:val="24"/>
          <w:lang w:bidi="da-DK"/>
        </w:rPr>
        <w:t xml:space="preserve"> </w:t>
      </w:r>
      <w:proofErr w:type="spellStart"/>
      <w:r w:rsidRPr="0095415C">
        <w:rPr>
          <w:sz w:val="24"/>
          <w:szCs w:val="24"/>
          <w:lang w:bidi="da-DK"/>
        </w:rPr>
        <w:t>hyperthyroidisme</w:t>
      </w:r>
      <w:proofErr w:type="spellEnd"/>
      <w:r w:rsidRPr="0095415C">
        <w:rPr>
          <w:sz w:val="24"/>
          <w:szCs w:val="24"/>
          <w:lang w:bidi="da-DK"/>
        </w:rPr>
        <w:t xml:space="preserve"> forud for kirurgisk </w:t>
      </w:r>
      <w:proofErr w:type="spellStart"/>
      <w:r w:rsidRPr="0095415C">
        <w:rPr>
          <w:sz w:val="24"/>
          <w:szCs w:val="24"/>
          <w:lang w:bidi="da-DK"/>
        </w:rPr>
        <w:t>thyroidektomi</w:t>
      </w:r>
      <w:proofErr w:type="spellEnd"/>
      <w:r w:rsidRPr="0095415C">
        <w:rPr>
          <w:sz w:val="24"/>
          <w:szCs w:val="24"/>
          <w:lang w:bidi="da-DK"/>
        </w:rPr>
        <w:t xml:space="preserve"> og til langtidsbehandling af </w:t>
      </w:r>
      <w:proofErr w:type="spellStart"/>
      <w:r w:rsidRPr="0095415C">
        <w:rPr>
          <w:sz w:val="24"/>
          <w:szCs w:val="24"/>
          <w:lang w:bidi="da-DK"/>
        </w:rPr>
        <w:t>felin</w:t>
      </w:r>
      <w:proofErr w:type="spellEnd"/>
      <w:r w:rsidRPr="0095415C">
        <w:rPr>
          <w:sz w:val="24"/>
          <w:szCs w:val="24"/>
          <w:lang w:bidi="da-DK"/>
        </w:rPr>
        <w:t xml:space="preserve"> </w:t>
      </w:r>
      <w:proofErr w:type="spellStart"/>
      <w:r w:rsidRPr="0095415C">
        <w:rPr>
          <w:sz w:val="24"/>
          <w:szCs w:val="24"/>
          <w:lang w:bidi="da-DK"/>
        </w:rPr>
        <w:t>hyperthyroidisme</w:t>
      </w:r>
      <w:proofErr w:type="spellEnd"/>
      <w:r w:rsidRPr="0095415C">
        <w:rPr>
          <w:sz w:val="24"/>
          <w:szCs w:val="24"/>
          <w:lang w:bidi="da-DK"/>
        </w:rPr>
        <w:t xml:space="preserve"> er den anbefalede startdosis 5 mg om dagen.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lastRenderedPageBreak/>
        <w:t xml:space="preserve">Så vidt muligt bør den samlede daglige dosis opdeles i to og indgives morgen og aften. Tabletter må ikke deles. 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Hvis der er af hensyn til compliance foretrækkes dosering med en 5 mg-tablet daglig, er dette acceptabelt, selvom en 2,5 mg-tablet indgivet to gange daglig kan være mere effektiv på kort sigt. 5 mg-tabletten er også passende til katte, der kræver større doser.  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Hæmatologi, biokemi og serum total T4 bør vurderes, inden behandlingen indledes samt efter 3 uger, 6 uger, 10 uger, 20 uger og derefter hver 3. måned. Ved hvert af de anbefalede overvågningsintervaller bør dosis titreres for effekt i overensstemmelse med den totale T4 og med den kliniske respons på behandlingen. Justering af dosis bør ske i trin á 2,5 mg, og målet bør være at opnå den lavest mulige dosering. 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Hvis der kræves en dosis på mere end 10 mg om dagen, bør dyrene overvåges ekstra omhyggeligt.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Den indgivne dosis må ikke overstige 20 mg/dag.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bCs/>
          <w:iCs/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Ved langvarig behandling af </w:t>
      </w:r>
      <w:proofErr w:type="spellStart"/>
      <w:r w:rsidRPr="0095415C">
        <w:rPr>
          <w:sz w:val="24"/>
          <w:szCs w:val="24"/>
          <w:lang w:bidi="da-DK"/>
        </w:rPr>
        <w:t>hyperthyroidisme</w:t>
      </w:r>
      <w:proofErr w:type="spellEnd"/>
      <w:r w:rsidRPr="0095415C">
        <w:rPr>
          <w:sz w:val="24"/>
          <w:szCs w:val="24"/>
          <w:lang w:bidi="da-DK"/>
        </w:rPr>
        <w:t xml:space="preserve"> bør dyret behandles i hele dets levetid.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4.10</w:t>
      </w:r>
      <w:r w:rsidRPr="0095415C">
        <w:rPr>
          <w:b/>
          <w:sz w:val="24"/>
          <w:szCs w:val="24"/>
        </w:rPr>
        <w:tab/>
        <w:t>Overdosering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I toleranceundersøgelser hos unge, raske katte optrådte følgende dosisrelaterede kliniske tegn ved doser på op til 30 mg/dyr/dag: </w:t>
      </w:r>
      <w:proofErr w:type="spellStart"/>
      <w:r w:rsidRPr="0095415C">
        <w:rPr>
          <w:sz w:val="24"/>
          <w:szCs w:val="24"/>
          <w:lang w:bidi="da-DK"/>
        </w:rPr>
        <w:t>anorexi</w:t>
      </w:r>
      <w:proofErr w:type="spellEnd"/>
      <w:r w:rsidRPr="0095415C">
        <w:rPr>
          <w:sz w:val="24"/>
          <w:szCs w:val="24"/>
          <w:lang w:bidi="da-DK"/>
        </w:rPr>
        <w:t xml:space="preserve">, opkastning, sløvhed, kløe og hæmatologiske og biokemiske anormaliteter som </w:t>
      </w:r>
      <w:proofErr w:type="spellStart"/>
      <w:r w:rsidRPr="0095415C">
        <w:rPr>
          <w:sz w:val="24"/>
          <w:szCs w:val="24"/>
          <w:lang w:bidi="da-DK"/>
        </w:rPr>
        <w:t>neutropeni</w:t>
      </w:r>
      <w:proofErr w:type="spellEnd"/>
      <w:r w:rsidRPr="0095415C">
        <w:rPr>
          <w:sz w:val="24"/>
          <w:szCs w:val="24"/>
          <w:lang w:bidi="da-DK"/>
        </w:rPr>
        <w:t xml:space="preserve">, </w:t>
      </w:r>
      <w:proofErr w:type="spellStart"/>
      <w:r w:rsidRPr="0095415C">
        <w:rPr>
          <w:sz w:val="24"/>
          <w:szCs w:val="24"/>
          <w:lang w:bidi="da-DK"/>
        </w:rPr>
        <w:t>lymfopeni</w:t>
      </w:r>
      <w:proofErr w:type="spellEnd"/>
      <w:r w:rsidRPr="0095415C">
        <w:rPr>
          <w:sz w:val="24"/>
          <w:szCs w:val="24"/>
          <w:lang w:bidi="da-DK"/>
        </w:rPr>
        <w:t xml:space="preserve">, nedsatte serum-kalium- og </w:t>
      </w:r>
      <w:proofErr w:type="spellStart"/>
      <w:r w:rsidRPr="0095415C">
        <w:rPr>
          <w:sz w:val="24"/>
          <w:szCs w:val="24"/>
          <w:lang w:bidi="da-DK"/>
        </w:rPr>
        <w:t>phosphorniveauer</w:t>
      </w:r>
      <w:proofErr w:type="spellEnd"/>
      <w:r w:rsidRPr="0095415C">
        <w:rPr>
          <w:sz w:val="24"/>
          <w:szCs w:val="24"/>
          <w:lang w:bidi="da-DK"/>
        </w:rPr>
        <w:t xml:space="preserve">, øgede magnesium- og </w:t>
      </w:r>
      <w:proofErr w:type="spellStart"/>
      <w:r w:rsidRPr="0095415C">
        <w:rPr>
          <w:sz w:val="24"/>
          <w:szCs w:val="24"/>
          <w:lang w:bidi="da-DK"/>
        </w:rPr>
        <w:t>kreatininniveauer</w:t>
      </w:r>
      <w:proofErr w:type="spellEnd"/>
      <w:r w:rsidRPr="0095415C">
        <w:rPr>
          <w:sz w:val="24"/>
          <w:szCs w:val="24"/>
          <w:lang w:bidi="da-DK"/>
        </w:rPr>
        <w:t xml:space="preserve"> og tilfælde af </w:t>
      </w:r>
      <w:proofErr w:type="spellStart"/>
      <w:r w:rsidRPr="0095415C">
        <w:rPr>
          <w:sz w:val="24"/>
          <w:szCs w:val="24"/>
          <w:lang w:bidi="da-DK"/>
        </w:rPr>
        <w:t>antinukleære</w:t>
      </w:r>
      <w:proofErr w:type="spellEnd"/>
      <w:r w:rsidRPr="0095415C">
        <w:rPr>
          <w:sz w:val="24"/>
          <w:szCs w:val="24"/>
          <w:lang w:bidi="da-DK"/>
        </w:rPr>
        <w:t xml:space="preserve"> antistoffer. Ved en dosis på 30 mg/dag viste nogle katte tegn på </w:t>
      </w:r>
      <w:proofErr w:type="spellStart"/>
      <w:r w:rsidRPr="0095415C">
        <w:rPr>
          <w:sz w:val="24"/>
          <w:szCs w:val="24"/>
          <w:lang w:bidi="da-DK"/>
        </w:rPr>
        <w:t>hæmolytisk</w:t>
      </w:r>
      <w:proofErr w:type="spellEnd"/>
      <w:r w:rsidRPr="0095415C">
        <w:rPr>
          <w:sz w:val="24"/>
          <w:szCs w:val="24"/>
          <w:lang w:bidi="da-DK"/>
        </w:rPr>
        <w:t xml:space="preserve"> anæmi og alvorlig klinisk forværring. Nogle af disse tegn kan også optræde hos </w:t>
      </w:r>
      <w:proofErr w:type="spellStart"/>
      <w:r w:rsidRPr="0095415C">
        <w:rPr>
          <w:sz w:val="24"/>
          <w:szCs w:val="24"/>
          <w:lang w:bidi="da-DK"/>
        </w:rPr>
        <w:t>hyperthyroide</w:t>
      </w:r>
      <w:proofErr w:type="spellEnd"/>
      <w:r w:rsidRPr="0095415C">
        <w:rPr>
          <w:sz w:val="24"/>
          <w:szCs w:val="24"/>
          <w:lang w:bidi="da-DK"/>
        </w:rPr>
        <w:t xml:space="preserve"> katte, som behandles med doser på op til 20 mg om dagen.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Store doser til </w:t>
      </w:r>
      <w:proofErr w:type="spellStart"/>
      <w:r w:rsidRPr="0095415C">
        <w:rPr>
          <w:sz w:val="24"/>
          <w:szCs w:val="24"/>
          <w:lang w:bidi="da-DK"/>
        </w:rPr>
        <w:t>hyperthyroide</w:t>
      </w:r>
      <w:proofErr w:type="spellEnd"/>
      <w:r w:rsidRPr="0095415C">
        <w:rPr>
          <w:sz w:val="24"/>
          <w:szCs w:val="24"/>
          <w:lang w:bidi="da-DK"/>
        </w:rPr>
        <w:t xml:space="preserve"> katte kan medføre tegn på </w:t>
      </w:r>
      <w:proofErr w:type="spellStart"/>
      <w:r w:rsidRPr="0095415C">
        <w:rPr>
          <w:sz w:val="24"/>
          <w:szCs w:val="24"/>
          <w:lang w:bidi="da-DK"/>
        </w:rPr>
        <w:t>hypothyroidisme</w:t>
      </w:r>
      <w:proofErr w:type="spellEnd"/>
      <w:r w:rsidRPr="0095415C">
        <w:rPr>
          <w:sz w:val="24"/>
          <w:szCs w:val="24"/>
          <w:lang w:bidi="da-DK"/>
        </w:rPr>
        <w:t xml:space="preserve">. Dette er imidlertid usandsynligt, da </w:t>
      </w:r>
      <w:proofErr w:type="spellStart"/>
      <w:r w:rsidRPr="0095415C">
        <w:rPr>
          <w:sz w:val="24"/>
          <w:szCs w:val="24"/>
          <w:lang w:bidi="da-DK"/>
        </w:rPr>
        <w:t>hypothyroidisme</w:t>
      </w:r>
      <w:proofErr w:type="spellEnd"/>
      <w:r w:rsidRPr="0095415C">
        <w:rPr>
          <w:sz w:val="24"/>
          <w:szCs w:val="24"/>
          <w:lang w:bidi="da-DK"/>
        </w:rPr>
        <w:t xml:space="preserve"> normalt korrigeres via negative feedbackmekanismer. Se pkt. 4.6.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I tilfælde af en overdosis skal behandlingen stoppes og der bør gives symptomatisk og understøttende behandling.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4.11</w:t>
      </w:r>
      <w:r w:rsidRPr="0095415C">
        <w:rPr>
          <w:b/>
          <w:sz w:val="24"/>
          <w:szCs w:val="24"/>
        </w:rPr>
        <w:tab/>
        <w:t>Tilbageholdelsestid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>Ikke relevant.</w:t>
      </w:r>
    </w:p>
    <w:p w:rsidR="002B4473" w:rsidRPr="0095415C" w:rsidRDefault="002B4473" w:rsidP="002B4473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5.</w:t>
      </w:r>
      <w:r w:rsidRPr="0095415C">
        <w:rPr>
          <w:b/>
          <w:sz w:val="24"/>
          <w:szCs w:val="24"/>
        </w:rPr>
        <w:tab/>
        <w:t>FARMAKOLOGISKE EGENSKABER</w:t>
      </w:r>
    </w:p>
    <w:p w:rsidR="002B4473" w:rsidRPr="0095415C" w:rsidRDefault="002B4473" w:rsidP="002B4473">
      <w:pPr>
        <w:tabs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rFonts w:ascii="TimesNewRoman,Italic" w:hAnsi="TimesNewRoman,Italic"/>
          <w:sz w:val="24"/>
          <w:szCs w:val="24"/>
        </w:rPr>
      </w:pPr>
      <w:r w:rsidRPr="0095415C">
        <w:rPr>
          <w:rFonts w:ascii="TimesNewRoman,Italic" w:hAnsi="TimesNewRoman,Italic"/>
          <w:sz w:val="24"/>
          <w:szCs w:val="24"/>
        </w:rPr>
        <w:tab/>
      </w:r>
      <w:proofErr w:type="spellStart"/>
      <w:r w:rsidRPr="0095415C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95415C">
        <w:rPr>
          <w:rFonts w:ascii="TimesNewRoman,Italic" w:hAnsi="TimesNewRoman,Italic"/>
          <w:sz w:val="24"/>
          <w:szCs w:val="24"/>
        </w:rPr>
        <w:t xml:space="preserve"> gruppe: </w:t>
      </w:r>
      <w:proofErr w:type="spellStart"/>
      <w:r w:rsidRPr="0095415C">
        <w:rPr>
          <w:rFonts w:ascii="TimesNewRoman,Italic" w:hAnsi="TimesNewRoman,Italic"/>
          <w:sz w:val="24"/>
          <w:szCs w:val="24"/>
        </w:rPr>
        <w:t>Antithyroide</w:t>
      </w:r>
      <w:proofErr w:type="spellEnd"/>
      <w:r w:rsidRPr="0095415C">
        <w:rPr>
          <w:rFonts w:ascii="TimesNewRoman,Italic" w:hAnsi="TimesNewRoman,Italic"/>
          <w:sz w:val="24"/>
          <w:szCs w:val="24"/>
        </w:rPr>
        <w:t xml:space="preserve"> præparater; svovlholdige </w:t>
      </w:r>
      <w:proofErr w:type="spellStart"/>
      <w:r w:rsidRPr="0095415C">
        <w:rPr>
          <w:rFonts w:ascii="TimesNewRoman,Italic" w:hAnsi="TimesNewRoman,Italic"/>
          <w:sz w:val="24"/>
          <w:szCs w:val="24"/>
        </w:rPr>
        <w:t>imidazol</w:t>
      </w:r>
      <w:proofErr w:type="spellEnd"/>
      <w:r w:rsidRPr="0095415C">
        <w:rPr>
          <w:rFonts w:ascii="TimesNewRoman,Italic" w:hAnsi="TimesNewRoman,Italic"/>
          <w:sz w:val="24"/>
          <w:szCs w:val="24"/>
        </w:rPr>
        <w:t>-derivater.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rFonts w:ascii="TimesNewRoman,Italic" w:hAnsi="TimesNewRoman,Italic"/>
          <w:sz w:val="24"/>
          <w:szCs w:val="24"/>
        </w:rPr>
      </w:pPr>
      <w:r w:rsidRPr="0095415C">
        <w:rPr>
          <w:rFonts w:ascii="TimesNewRoman,Italic" w:hAnsi="TimesNewRoman,Italic"/>
          <w:sz w:val="24"/>
          <w:szCs w:val="24"/>
        </w:rPr>
        <w:tab/>
        <w:t xml:space="preserve">ATC </w:t>
      </w:r>
      <w:proofErr w:type="spellStart"/>
      <w:r w:rsidRPr="0095415C">
        <w:rPr>
          <w:rFonts w:ascii="TimesNewRoman,Italic" w:hAnsi="TimesNewRoman,Italic"/>
          <w:sz w:val="24"/>
          <w:szCs w:val="24"/>
        </w:rPr>
        <w:t>Vet</w:t>
      </w:r>
      <w:proofErr w:type="spellEnd"/>
      <w:r w:rsidRPr="0095415C">
        <w:rPr>
          <w:rFonts w:ascii="TimesNewRoman,Italic" w:hAnsi="TimesNewRoman,Italic"/>
          <w:sz w:val="24"/>
          <w:szCs w:val="24"/>
        </w:rPr>
        <w:t>-kode: QH 03 BB 02.</w:t>
      </w:r>
    </w:p>
    <w:p w:rsidR="002B4473" w:rsidRPr="0095415C" w:rsidRDefault="002B4473" w:rsidP="002B4473">
      <w:pPr>
        <w:tabs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5.1</w:t>
      </w:r>
      <w:r w:rsidRPr="0095415C">
        <w:rPr>
          <w:b/>
          <w:sz w:val="24"/>
          <w:szCs w:val="24"/>
        </w:rPr>
        <w:tab/>
      </w:r>
      <w:proofErr w:type="spellStart"/>
      <w:r w:rsidRPr="0095415C">
        <w:rPr>
          <w:b/>
          <w:sz w:val="24"/>
          <w:szCs w:val="24"/>
        </w:rPr>
        <w:t>Farmakodynamiske</w:t>
      </w:r>
      <w:proofErr w:type="spellEnd"/>
      <w:r w:rsidRPr="0095415C">
        <w:rPr>
          <w:b/>
          <w:sz w:val="24"/>
          <w:szCs w:val="24"/>
        </w:rPr>
        <w:t xml:space="preserve"> egenskaber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rFonts w:ascii="TimesNewRoman,Italic" w:hAnsi="TimesNewRoman,Italic"/>
          <w:sz w:val="24"/>
          <w:szCs w:val="24"/>
        </w:rPr>
      </w:pPr>
      <w:proofErr w:type="spellStart"/>
      <w:r w:rsidRPr="0095415C">
        <w:rPr>
          <w:sz w:val="24"/>
          <w:szCs w:val="24"/>
        </w:rPr>
        <w:t>Thiamazol</w:t>
      </w:r>
      <w:proofErr w:type="spellEnd"/>
      <w:r w:rsidRPr="0095415C">
        <w:rPr>
          <w:sz w:val="24"/>
          <w:szCs w:val="24"/>
        </w:rPr>
        <w:t xml:space="preserve"> agerer ved at blokere </w:t>
      </w:r>
      <w:proofErr w:type="spellStart"/>
      <w:r w:rsidRPr="0095415C">
        <w:rPr>
          <w:sz w:val="24"/>
          <w:szCs w:val="24"/>
        </w:rPr>
        <w:t>thyroidhormonets</w:t>
      </w:r>
      <w:proofErr w:type="spellEnd"/>
      <w:r w:rsidRPr="0095415C">
        <w:rPr>
          <w:sz w:val="24"/>
          <w:szCs w:val="24"/>
        </w:rPr>
        <w:t xml:space="preserve"> biosyntese </w:t>
      </w:r>
      <w:r w:rsidRPr="0095415C">
        <w:rPr>
          <w:i/>
          <w:sz w:val="24"/>
          <w:szCs w:val="24"/>
        </w:rPr>
        <w:t xml:space="preserve">in </w:t>
      </w:r>
      <w:proofErr w:type="spellStart"/>
      <w:r w:rsidRPr="0095415C">
        <w:rPr>
          <w:i/>
          <w:sz w:val="24"/>
          <w:szCs w:val="24"/>
        </w:rPr>
        <w:t>vivo</w:t>
      </w:r>
      <w:proofErr w:type="spellEnd"/>
      <w:r w:rsidRPr="0095415C">
        <w:rPr>
          <w:sz w:val="24"/>
          <w:szCs w:val="24"/>
        </w:rPr>
        <w:t xml:space="preserve">. Den primære virkning er at hæmme bindingen af jod til enzymet </w:t>
      </w:r>
      <w:proofErr w:type="spellStart"/>
      <w:r w:rsidRPr="0095415C">
        <w:rPr>
          <w:sz w:val="24"/>
          <w:szCs w:val="24"/>
        </w:rPr>
        <w:t>thyroid-peroxidase</w:t>
      </w:r>
      <w:proofErr w:type="spellEnd"/>
      <w:r w:rsidRPr="0095415C">
        <w:rPr>
          <w:sz w:val="24"/>
          <w:szCs w:val="24"/>
        </w:rPr>
        <w:t xml:space="preserve">, hvorved den katalyserede </w:t>
      </w:r>
      <w:proofErr w:type="spellStart"/>
      <w:r w:rsidRPr="0095415C">
        <w:rPr>
          <w:sz w:val="24"/>
          <w:szCs w:val="24"/>
        </w:rPr>
        <w:t>jodinering</w:t>
      </w:r>
      <w:proofErr w:type="spellEnd"/>
      <w:r w:rsidRPr="0095415C">
        <w:rPr>
          <w:sz w:val="24"/>
          <w:szCs w:val="24"/>
        </w:rPr>
        <w:t xml:space="preserve"> af </w:t>
      </w:r>
      <w:proofErr w:type="spellStart"/>
      <w:r w:rsidRPr="0095415C">
        <w:rPr>
          <w:sz w:val="24"/>
          <w:szCs w:val="24"/>
        </w:rPr>
        <w:t>thyroglobulin</w:t>
      </w:r>
      <w:proofErr w:type="spellEnd"/>
      <w:r w:rsidRPr="0095415C">
        <w:rPr>
          <w:sz w:val="24"/>
          <w:szCs w:val="24"/>
        </w:rPr>
        <w:t xml:space="preserve"> og syntesen T3- og T4 forhindres.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5.2</w:t>
      </w:r>
      <w:r w:rsidRPr="0095415C">
        <w:rPr>
          <w:b/>
          <w:sz w:val="24"/>
          <w:szCs w:val="24"/>
        </w:rPr>
        <w:tab/>
      </w:r>
      <w:proofErr w:type="spellStart"/>
      <w:r w:rsidRPr="0095415C">
        <w:rPr>
          <w:b/>
          <w:sz w:val="24"/>
          <w:szCs w:val="24"/>
        </w:rPr>
        <w:t>Farmakokinetiske</w:t>
      </w:r>
      <w:proofErr w:type="spellEnd"/>
      <w:r w:rsidRPr="0095415C">
        <w:rPr>
          <w:b/>
          <w:sz w:val="24"/>
          <w:szCs w:val="24"/>
        </w:rPr>
        <w:t xml:space="preserve"> egenskaber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bidi="da-DK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bidi="da-DK"/>
        </w:rPr>
      </w:pPr>
      <w:r w:rsidRPr="0095415C">
        <w:rPr>
          <w:sz w:val="24"/>
          <w:szCs w:val="24"/>
          <w:u w:val="single"/>
          <w:lang w:bidi="da-DK"/>
        </w:rPr>
        <w:t>Absorption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Efter oral indgivelse til raske katte absorberes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 xml:space="preserve"> hurtigt og fuldstændigt med en biotilgængelighed på &gt;75 %. Der er dog en betydelig variation fra dyr til dyr.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De maksimale plasmaniveauer optræder ca. 0,5-1 time efter indgivelsen (</w:t>
      </w:r>
      <w:proofErr w:type="spellStart"/>
      <w:r w:rsidRPr="0095415C">
        <w:rPr>
          <w:sz w:val="24"/>
          <w:szCs w:val="24"/>
          <w:lang w:bidi="da-DK"/>
        </w:rPr>
        <w:t>t</w:t>
      </w:r>
      <w:r w:rsidRPr="0095415C">
        <w:rPr>
          <w:sz w:val="24"/>
          <w:szCs w:val="24"/>
          <w:vertAlign w:val="subscript"/>
          <w:lang w:bidi="da-DK"/>
        </w:rPr>
        <w:t>max</w:t>
      </w:r>
      <w:proofErr w:type="spellEnd"/>
      <w:r w:rsidRPr="0095415C">
        <w:rPr>
          <w:sz w:val="24"/>
          <w:szCs w:val="24"/>
          <w:lang w:bidi="da-DK"/>
        </w:rPr>
        <w:t xml:space="preserve"> = 0,69 t). </w:t>
      </w:r>
      <w:proofErr w:type="spellStart"/>
      <w:r w:rsidRPr="0095415C">
        <w:rPr>
          <w:sz w:val="24"/>
          <w:szCs w:val="24"/>
          <w:lang w:bidi="da-DK"/>
        </w:rPr>
        <w:t>C</w:t>
      </w:r>
      <w:r w:rsidRPr="0095415C">
        <w:rPr>
          <w:sz w:val="24"/>
          <w:szCs w:val="24"/>
          <w:vertAlign w:val="subscript"/>
          <w:lang w:bidi="da-DK"/>
        </w:rPr>
        <w:t>max</w:t>
      </w:r>
      <w:proofErr w:type="spellEnd"/>
      <w:r w:rsidRPr="0095415C">
        <w:rPr>
          <w:sz w:val="24"/>
          <w:szCs w:val="24"/>
          <w:lang w:bidi="da-DK"/>
        </w:rPr>
        <w:t xml:space="preserve"> er mellem 1,1 og 2,7 µg/ml (1,78 µg/ml) og halveringstiden er 3,3 t.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bidi="da-DK"/>
        </w:rPr>
      </w:pPr>
      <w:r w:rsidRPr="0095415C">
        <w:rPr>
          <w:sz w:val="24"/>
          <w:szCs w:val="24"/>
          <w:u w:val="single"/>
          <w:lang w:bidi="da-DK"/>
        </w:rPr>
        <w:t>Fordeling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Hos mennesker og rotter er det konstateret, at lægemidlet kan passere igennem placenta og koncentrere sig i den </w:t>
      </w:r>
      <w:proofErr w:type="spellStart"/>
      <w:r w:rsidRPr="0095415C">
        <w:rPr>
          <w:sz w:val="24"/>
          <w:szCs w:val="24"/>
          <w:lang w:bidi="da-DK"/>
        </w:rPr>
        <w:t>føtale</w:t>
      </w:r>
      <w:proofErr w:type="spellEnd"/>
      <w:r w:rsidRPr="0095415C">
        <w:rPr>
          <w:sz w:val="24"/>
          <w:szCs w:val="24"/>
          <w:lang w:bidi="da-DK"/>
        </w:rPr>
        <w:t xml:space="preserve"> skjoldbruskkirtel. Der er også en høj grad af overførsel til modermælken.</w:t>
      </w:r>
    </w:p>
    <w:p w:rsidR="002B4473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 xml:space="preserve">Lægemidlets opholdstid i skjoldbruskkirtlen formodes at være længere end i </w:t>
      </w:r>
      <w:proofErr w:type="spellStart"/>
      <w:r w:rsidRPr="0095415C">
        <w:rPr>
          <w:sz w:val="24"/>
          <w:szCs w:val="24"/>
          <w:lang w:bidi="da-DK"/>
        </w:rPr>
        <w:t>plasmaen</w:t>
      </w:r>
      <w:proofErr w:type="spellEnd"/>
      <w:r w:rsidRPr="0095415C">
        <w:rPr>
          <w:sz w:val="24"/>
          <w:szCs w:val="24"/>
          <w:lang w:bidi="da-DK"/>
        </w:rPr>
        <w:t>.</w:t>
      </w:r>
    </w:p>
    <w:p w:rsidR="002B4473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bidi="da-DK"/>
        </w:rPr>
      </w:pPr>
      <w:r w:rsidRPr="0095415C">
        <w:rPr>
          <w:sz w:val="24"/>
          <w:szCs w:val="24"/>
          <w:u w:val="single"/>
          <w:lang w:bidi="da-DK"/>
        </w:rPr>
        <w:t>Metabolisme og elimination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Metaboliseringen</w:t>
      </w:r>
      <w:proofErr w:type="spellEnd"/>
      <w:r w:rsidRPr="0095415C">
        <w:rPr>
          <w:sz w:val="24"/>
          <w:szCs w:val="24"/>
          <w:lang w:bidi="da-DK"/>
        </w:rPr>
        <w:t xml:space="preserve"> af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 xml:space="preserve"> hos katte er ikke undersøgt, men hos rotter </w:t>
      </w:r>
      <w:proofErr w:type="spellStart"/>
      <w:r w:rsidRPr="0095415C">
        <w:rPr>
          <w:sz w:val="24"/>
          <w:szCs w:val="24"/>
          <w:lang w:bidi="da-DK"/>
        </w:rPr>
        <w:t>metaboliseres</w:t>
      </w:r>
      <w:proofErr w:type="spellEnd"/>
      <w:r w:rsidRPr="0095415C">
        <w:rPr>
          <w:sz w:val="24"/>
          <w:szCs w:val="24"/>
          <w:lang w:bidi="da-DK"/>
        </w:rPr>
        <w:t xml:space="preserve"> </w:t>
      </w:r>
      <w:proofErr w:type="spellStart"/>
      <w:r w:rsidRPr="0095415C">
        <w:rPr>
          <w:sz w:val="24"/>
          <w:szCs w:val="24"/>
          <w:lang w:bidi="da-DK"/>
        </w:rPr>
        <w:t>thiamazol</w:t>
      </w:r>
      <w:proofErr w:type="spellEnd"/>
      <w:r w:rsidRPr="0095415C">
        <w:rPr>
          <w:sz w:val="24"/>
          <w:szCs w:val="24"/>
          <w:lang w:bidi="da-DK"/>
        </w:rPr>
        <w:t xml:space="preserve"> hurtigt i skjoldbruskkirtlen. Ca. 64 % af den indgivne dosis elimineres i urinen og kun 7,8 % udskilles med fæces. Dette er i modsætning til forholdene hos mennesker, hvor leveren er vigtig for den metaboliske nedbrydning.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5.3</w:t>
      </w:r>
      <w:r w:rsidRPr="0095415C">
        <w:rPr>
          <w:b/>
          <w:sz w:val="24"/>
          <w:szCs w:val="24"/>
        </w:rPr>
        <w:tab/>
        <w:t>Miljømæssige forhold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  <w:t>-</w:t>
      </w:r>
    </w:p>
    <w:p w:rsidR="002B4473" w:rsidRPr="0095415C" w:rsidRDefault="002B4473" w:rsidP="002B4473">
      <w:pPr>
        <w:tabs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</w:t>
      </w:r>
      <w:r w:rsidRPr="0095415C">
        <w:rPr>
          <w:b/>
          <w:sz w:val="24"/>
          <w:szCs w:val="24"/>
        </w:rPr>
        <w:tab/>
        <w:t>FARMACEUTISKE OPLYSNINGER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6.1</w:t>
      </w:r>
      <w:r w:rsidRPr="0095415C">
        <w:rPr>
          <w:b/>
          <w:sz w:val="24"/>
          <w:szCs w:val="24"/>
        </w:rPr>
        <w:tab/>
        <w:t>Hjælpestoffer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95415C">
        <w:rPr>
          <w:sz w:val="24"/>
          <w:szCs w:val="24"/>
          <w:u w:val="single"/>
        </w:rPr>
        <w:t>Tabletkerne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Lactosemonohydrat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Povidon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Natriumstivelsesglykolat</w:t>
      </w:r>
      <w:proofErr w:type="spellEnd"/>
      <w:r w:rsidRPr="0095415C">
        <w:rPr>
          <w:sz w:val="24"/>
          <w:szCs w:val="24"/>
        </w:rPr>
        <w:t xml:space="preserve"> type A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Silika</w:t>
      </w:r>
      <w:proofErr w:type="spellEnd"/>
      <w:r w:rsidRPr="0095415C">
        <w:rPr>
          <w:sz w:val="24"/>
          <w:szCs w:val="24"/>
        </w:rPr>
        <w:t>, kolloid, vandfri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Magnesiumstearat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95415C">
        <w:rPr>
          <w:sz w:val="24"/>
          <w:szCs w:val="24"/>
          <w:u w:val="single"/>
        </w:rPr>
        <w:t>Overtræk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95415C">
        <w:rPr>
          <w:i/>
          <w:sz w:val="24"/>
          <w:szCs w:val="24"/>
        </w:rPr>
        <w:t>2,5 mg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Hypromellose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Mikrokrystallinsk cellulose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Lactosemonohydrat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Macrogol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Titaniumdioxid (E171)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Carmoisin</w:t>
      </w:r>
      <w:proofErr w:type="spellEnd"/>
      <w:r w:rsidRPr="0095415C">
        <w:rPr>
          <w:sz w:val="24"/>
          <w:szCs w:val="24"/>
        </w:rPr>
        <w:t xml:space="preserve"> (E122)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95415C">
        <w:rPr>
          <w:i/>
          <w:sz w:val="24"/>
          <w:szCs w:val="24"/>
        </w:rPr>
        <w:t>5 mg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Hypromellose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 w:rsidRPr="0095415C">
        <w:rPr>
          <w:sz w:val="24"/>
          <w:szCs w:val="24"/>
          <w:lang w:bidi="da-DK"/>
        </w:rPr>
        <w:t>Mikrokrystallinsk cellulose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proofErr w:type="spellStart"/>
      <w:r w:rsidRPr="0095415C">
        <w:rPr>
          <w:sz w:val="24"/>
          <w:szCs w:val="24"/>
          <w:lang w:bidi="da-DK"/>
        </w:rPr>
        <w:t>Lactosemonohydrat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bidi="da-DK"/>
        </w:rPr>
      </w:pPr>
      <w:r w:rsidRPr="0095415C">
        <w:rPr>
          <w:sz w:val="24"/>
          <w:szCs w:val="24"/>
          <w:lang w:val="en-US" w:bidi="da-DK"/>
        </w:rPr>
        <w:t>Macrogol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bidi="da-DK"/>
        </w:rPr>
      </w:pPr>
      <w:proofErr w:type="spellStart"/>
      <w:r w:rsidRPr="0095415C">
        <w:rPr>
          <w:sz w:val="24"/>
          <w:szCs w:val="24"/>
          <w:lang w:val="en-US" w:bidi="da-DK"/>
        </w:rPr>
        <w:t>Titaniumdioxid</w:t>
      </w:r>
      <w:proofErr w:type="spellEnd"/>
      <w:r w:rsidRPr="0095415C">
        <w:rPr>
          <w:sz w:val="24"/>
          <w:szCs w:val="24"/>
          <w:lang w:val="en-US" w:bidi="da-DK"/>
        </w:rPr>
        <w:t xml:space="preserve"> (E171)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bidi="da-DK"/>
        </w:rPr>
      </w:pPr>
      <w:r w:rsidRPr="0095415C">
        <w:rPr>
          <w:sz w:val="24"/>
          <w:szCs w:val="24"/>
          <w:lang w:val="en-US" w:bidi="da-DK"/>
        </w:rPr>
        <w:t>Sunset Yellow FCF (E110)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95415C">
        <w:rPr>
          <w:sz w:val="24"/>
          <w:szCs w:val="24"/>
        </w:rPr>
        <w:t>Quinoline</w:t>
      </w:r>
      <w:proofErr w:type="spellEnd"/>
      <w:r w:rsidRPr="0095415C">
        <w:rPr>
          <w:sz w:val="24"/>
          <w:szCs w:val="24"/>
        </w:rPr>
        <w:t xml:space="preserve"> Yellow WS (E104)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6.2</w:t>
      </w:r>
      <w:r w:rsidRPr="0095415C">
        <w:rPr>
          <w:b/>
          <w:sz w:val="24"/>
          <w:szCs w:val="24"/>
        </w:rPr>
        <w:tab/>
        <w:t>Uforligeligheder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Ikke relevant.</w:t>
      </w:r>
    </w:p>
    <w:p w:rsidR="002B4473" w:rsidRDefault="002B4473" w:rsidP="002B44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6.3</w:t>
      </w:r>
      <w:r w:rsidRPr="0095415C">
        <w:rPr>
          <w:b/>
          <w:sz w:val="24"/>
          <w:szCs w:val="24"/>
        </w:rPr>
        <w:tab/>
        <w:t>Opbevaringstid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bidi="da-DK"/>
        </w:rPr>
      </w:pPr>
      <w:r w:rsidRPr="0095415C">
        <w:rPr>
          <w:sz w:val="24"/>
          <w:szCs w:val="24"/>
        </w:rPr>
        <w:tab/>
      </w:r>
      <w:r>
        <w:rPr>
          <w:sz w:val="24"/>
          <w:szCs w:val="24"/>
          <w:lang w:bidi="da-DK"/>
        </w:rPr>
        <w:t>I salgspakning:  3 å</w:t>
      </w:r>
      <w:r w:rsidRPr="0095415C">
        <w:rPr>
          <w:sz w:val="24"/>
          <w:szCs w:val="24"/>
          <w:lang w:bidi="da-DK"/>
        </w:rPr>
        <w:t>r.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6.4</w:t>
      </w:r>
      <w:r w:rsidRPr="0095415C">
        <w:rPr>
          <w:b/>
          <w:sz w:val="24"/>
          <w:szCs w:val="24"/>
        </w:rPr>
        <w:tab/>
        <w:t>Særlige opbevaringsforhold</w:t>
      </w:r>
    </w:p>
    <w:p w:rsidR="002B4473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>Opbevar blisterpakningen i den ydre karton for at beskytte mod lys.</w:t>
      </w:r>
    </w:p>
    <w:p w:rsidR="002B4473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6.5</w:t>
      </w:r>
      <w:r w:rsidRPr="0095415C">
        <w:rPr>
          <w:b/>
          <w:sz w:val="24"/>
          <w:szCs w:val="24"/>
        </w:rPr>
        <w:tab/>
        <w:t>Emballage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PVC/aluminiumblister, á 30 stk. i en papæske.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  <w:u w:val="single"/>
        </w:rPr>
      </w:pPr>
      <w:r w:rsidRPr="0095415C">
        <w:rPr>
          <w:sz w:val="24"/>
          <w:szCs w:val="24"/>
          <w:u w:val="single"/>
        </w:rPr>
        <w:t>Pakningsstørrelser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30 tabletter (1 blister).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60 tabletter (2 blistre).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120 tabletter (4 blistre).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150 tabletter (5 blistre).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sz w:val="24"/>
          <w:szCs w:val="24"/>
        </w:rPr>
      </w:pPr>
      <w:r w:rsidRPr="0095415C">
        <w:rPr>
          <w:sz w:val="24"/>
          <w:szCs w:val="24"/>
        </w:rPr>
        <w:t>300 tabletter (10 blistre).</w:t>
      </w:r>
    </w:p>
    <w:p w:rsidR="002B4473" w:rsidRPr="0095415C" w:rsidRDefault="002B4473" w:rsidP="002B4473">
      <w:pPr>
        <w:tabs>
          <w:tab w:val="left" w:pos="8222"/>
        </w:tabs>
        <w:ind w:left="855"/>
        <w:rPr>
          <w:b/>
          <w:sz w:val="24"/>
          <w:szCs w:val="24"/>
        </w:rPr>
      </w:pPr>
      <w:r w:rsidRPr="0095415C">
        <w:rPr>
          <w:sz w:val="24"/>
          <w:szCs w:val="24"/>
        </w:rPr>
        <w:t>Ikke alle pakningsstørrelser er nødvendigvis markedsført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6.6</w:t>
      </w:r>
      <w:r w:rsidRPr="0095415C">
        <w:rPr>
          <w:b/>
          <w:sz w:val="24"/>
          <w:szCs w:val="24"/>
        </w:rPr>
        <w:tab/>
        <w:t>Særlige forholdsregler ved bortskaffelse af rester af lægemidlet eller affald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Ikke anvendte veterinære lægemidler samt affald heraf bør destrueres i henhold til lokale </w:t>
      </w:r>
      <w:proofErr w:type="spellStart"/>
      <w:r w:rsidRPr="0095415C">
        <w:rPr>
          <w:sz w:val="24"/>
          <w:szCs w:val="24"/>
        </w:rPr>
        <w:t>retningslinier</w:t>
      </w:r>
      <w:proofErr w:type="spellEnd"/>
      <w:r w:rsidRPr="0095415C">
        <w:rPr>
          <w:sz w:val="24"/>
          <w:szCs w:val="24"/>
        </w:rPr>
        <w:t>.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7.</w:t>
      </w:r>
      <w:r w:rsidRPr="0095415C">
        <w:rPr>
          <w:b/>
          <w:sz w:val="24"/>
          <w:szCs w:val="24"/>
        </w:rPr>
        <w:tab/>
        <w:t>INDEHAVER AF MARKEDSFØRINGSTILLADELSEN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Le </w:t>
      </w:r>
      <w:proofErr w:type="spellStart"/>
      <w:r w:rsidRPr="0095415C">
        <w:rPr>
          <w:sz w:val="24"/>
          <w:szCs w:val="24"/>
        </w:rPr>
        <w:t>Vet</w:t>
      </w:r>
      <w:proofErr w:type="spellEnd"/>
      <w:r w:rsidRPr="0095415C">
        <w:rPr>
          <w:sz w:val="24"/>
          <w:szCs w:val="24"/>
        </w:rPr>
        <w:t xml:space="preserve"> </w:t>
      </w:r>
      <w:proofErr w:type="spellStart"/>
      <w:r w:rsidRPr="0095415C">
        <w:rPr>
          <w:sz w:val="24"/>
          <w:szCs w:val="24"/>
        </w:rPr>
        <w:t>Beheer</w:t>
      </w:r>
      <w:proofErr w:type="spellEnd"/>
      <w:r w:rsidRPr="0095415C">
        <w:rPr>
          <w:sz w:val="24"/>
          <w:szCs w:val="24"/>
        </w:rPr>
        <w:t xml:space="preserve"> B.V.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</w:r>
      <w:proofErr w:type="spellStart"/>
      <w:r w:rsidRPr="0095415C">
        <w:rPr>
          <w:sz w:val="24"/>
          <w:szCs w:val="24"/>
        </w:rPr>
        <w:t>Wilgenweg</w:t>
      </w:r>
      <w:proofErr w:type="spellEnd"/>
      <w:r w:rsidRPr="0095415C">
        <w:rPr>
          <w:sz w:val="24"/>
          <w:szCs w:val="24"/>
        </w:rPr>
        <w:t xml:space="preserve"> 7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 xml:space="preserve">3421 TV </w:t>
      </w:r>
      <w:proofErr w:type="spellStart"/>
      <w:r w:rsidRPr="0095415C">
        <w:rPr>
          <w:sz w:val="24"/>
          <w:szCs w:val="24"/>
        </w:rPr>
        <w:t>Oudewater</w:t>
      </w:r>
      <w:proofErr w:type="spellEnd"/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  <w:r w:rsidRPr="0095415C">
        <w:rPr>
          <w:sz w:val="24"/>
          <w:szCs w:val="24"/>
        </w:rPr>
        <w:tab/>
        <w:t>Holland</w:t>
      </w:r>
    </w:p>
    <w:p w:rsidR="002B4473" w:rsidRPr="0095415C" w:rsidRDefault="002B4473" w:rsidP="002B4473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sz w:val="24"/>
          <w:szCs w:val="24"/>
        </w:rPr>
        <w:tab/>
      </w:r>
      <w:r w:rsidRPr="0095415C">
        <w:rPr>
          <w:b/>
          <w:sz w:val="24"/>
          <w:szCs w:val="24"/>
        </w:rPr>
        <w:t>Repræsentant</w:t>
      </w:r>
    </w:p>
    <w:p w:rsidR="00B278C4" w:rsidRPr="00F0122E" w:rsidRDefault="00B278C4" w:rsidP="00B278C4">
      <w:pPr>
        <w:tabs>
          <w:tab w:val="left" w:pos="1304"/>
        </w:tabs>
        <w:ind w:left="851" w:right="-318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0122E">
        <w:rPr>
          <w:sz w:val="24"/>
          <w:szCs w:val="24"/>
          <w:lang w:val="en-US"/>
        </w:rPr>
        <w:t>Dechra</w:t>
      </w:r>
      <w:proofErr w:type="spellEnd"/>
      <w:r w:rsidRPr="00F0122E">
        <w:rPr>
          <w:sz w:val="24"/>
          <w:szCs w:val="24"/>
          <w:lang w:val="en-US"/>
        </w:rPr>
        <w:t xml:space="preserve"> Veterinary Products A/S</w:t>
      </w:r>
    </w:p>
    <w:p w:rsidR="00B278C4" w:rsidRPr="00F0122E" w:rsidRDefault="00B278C4" w:rsidP="00B278C4">
      <w:pPr>
        <w:tabs>
          <w:tab w:val="left" w:pos="1304"/>
        </w:tabs>
        <w:ind w:left="851" w:right="-318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0122E">
        <w:rPr>
          <w:sz w:val="24"/>
          <w:szCs w:val="24"/>
          <w:lang w:val="en-US"/>
        </w:rPr>
        <w:t>Mekuvej</w:t>
      </w:r>
      <w:proofErr w:type="spellEnd"/>
      <w:r w:rsidRPr="00F0122E">
        <w:rPr>
          <w:sz w:val="24"/>
          <w:szCs w:val="24"/>
          <w:lang w:val="en-US"/>
        </w:rPr>
        <w:t xml:space="preserve"> 9</w:t>
      </w:r>
    </w:p>
    <w:p w:rsidR="002B4473" w:rsidRPr="00B278C4" w:rsidRDefault="00B278C4" w:rsidP="00B278C4">
      <w:pPr>
        <w:tabs>
          <w:tab w:val="left" w:pos="1304"/>
        </w:tabs>
        <w:ind w:left="851" w:right="-318" w:hanging="851"/>
        <w:rPr>
          <w:sz w:val="24"/>
          <w:szCs w:val="24"/>
        </w:rPr>
      </w:pPr>
      <w:r w:rsidRPr="0019144E">
        <w:rPr>
          <w:sz w:val="24"/>
          <w:szCs w:val="24"/>
          <w:lang w:val="en-US"/>
        </w:rPr>
        <w:tab/>
      </w:r>
      <w:r w:rsidRPr="00F0122E">
        <w:rPr>
          <w:sz w:val="24"/>
          <w:szCs w:val="24"/>
        </w:rPr>
        <w:t>7171 Uldum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8.</w:t>
      </w:r>
      <w:r w:rsidRPr="0095415C">
        <w:rPr>
          <w:b/>
          <w:sz w:val="24"/>
          <w:szCs w:val="24"/>
        </w:rPr>
        <w:tab/>
        <w:t>MARKEDSFØRINGSTILLADELSESNUMMER (NUMRE)</w:t>
      </w:r>
    </w:p>
    <w:p w:rsidR="002B4473" w:rsidRPr="0095415C" w:rsidRDefault="002B4473" w:rsidP="002B4473">
      <w:pPr>
        <w:tabs>
          <w:tab w:val="left" w:pos="851"/>
          <w:tab w:val="left" w:pos="170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2,5 mg:</w:t>
      </w:r>
      <w:r w:rsidRPr="0095415C">
        <w:rPr>
          <w:sz w:val="24"/>
          <w:szCs w:val="24"/>
        </w:rPr>
        <w:tab/>
        <w:t>50997</w:t>
      </w:r>
    </w:p>
    <w:p w:rsidR="002B4473" w:rsidRPr="0095415C" w:rsidRDefault="002B4473" w:rsidP="002B4473">
      <w:pPr>
        <w:tabs>
          <w:tab w:val="left" w:pos="851"/>
          <w:tab w:val="left" w:pos="1701"/>
          <w:tab w:val="left" w:pos="8222"/>
        </w:tabs>
        <w:ind w:left="851"/>
        <w:rPr>
          <w:sz w:val="24"/>
          <w:szCs w:val="24"/>
        </w:rPr>
      </w:pPr>
      <w:r w:rsidRPr="0095415C">
        <w:rPr>
          <w:sz w:val="24"/>
          <w:szCs w:val="24"/>
        </w:rPr>
        <w:t>5 mg:</w:t>
      </w:r>
      <w:r w:rsidRPr="0095415C">
        <w:rPr>
          <w:sz w:val="24"/>
          <w:szCs w:val="24"/>
        </w:rPr>
        <w:tab/>
        <w:t>50998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9.</w:t>
      </w:r>
      <w:r w:rsidRPr="0095415C">
        <w:rPr>
          <w:b/>
          <w:sz w:val="24"/>
          <w:szCs w:val="24"/>
        </w:rPr>
        <w:tab/>
        <w:t>DATO FOR FØRSTE MARKEDSFØRINGSTILLADELSE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</w:r>
      <w:r>
        <w:rPr>
          <w:sz w:val="24"/>
          <w:szCs w:val="24"/>
        </w:rPr>
        <w:t>28</w:t>
      </w:r>
      <w:r w:rsidRPr="0095415C">
        <w:rPr>
          <w:sz w:val="24"/>
          <w:szCs w:val="24"/>
        </w:rPr>
        <w:t>. august 2013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10.</w:t>
      </w:r>
      <w:r w:rsidRPr="0095415C">
        <w:rPr>
          <w:b/>
          <w:sz w:val="24"/>
          <w:szCs w:val="24"/>
        </w:rPr>
        <w:tab/>
        <w:t>DATO FOR ÆNDRING AF TEKSTEN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5415C">
        <w:rPr>
          <w:sz w:val="24"/>
          <w:szCs w:val="24"/>
        </w:rPr>
        <w:tab/>
      </w:r>
      <w:r w:rsidR="00B278C4">
        <w:rPr>
          <w:sz w:val="24"/>
          <w:szCs w:val="24"/>
        </w:rPr>
        <w:t>23. februar 2021</w:t>
      </w:r>
    </w:p>
    <w:p w:rsidR="002B4473" w:rsidRPr="0095415C" w:rsidRDefault="002B4473" w:rsidP="002B447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B4473" w:rsidRPr="0095415C" w:rsidRDefault="002B4473" w:rsidP="002B447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5415C">
        <w:rPr>
          <w:b/>
          <w:sz w:val="24"/>
          <w:szCs w:val="24"/>
        </w:rPr>
        <w:t>11.</w:t>
      </w:r>
      <w:r w:rsidRPr="0095415C">
        <w:rPr>
          <w:b/>
          <w:sz w:val="24"/>
          <w:szCs w:val="24"/>
        </w:rPr>
        <w:tab/>
        <w:t>UDLEVERINGSBESTEMMELSE</w:t>
      </w:r>
    </w:p>
    <w:p w:rsidR="002B4473" w:rsidRPr="00363859" w:rsidRDefault="002B4473" w:rsidP="002B4473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95415C">
        <w:rPr>
          <w:szCs w:val="24"/>
        </w:rPr>
        <w:tab/>
        <w:t>B</w:t>
      </w:r>
    </w:p>
    <w:p w:rsidR="002B4473" w:rsidRPr="00EB6255" w:rsidRDefault="002B4473" w:rsidP="002B4473"/>
    <w:p w:rsidR="0003527F" w:rsidRPr="002B4473" w:rsidRDefault="0003527F" w:rsidP="002B4473"/>
    <w:sectPr w:rsidR="0003527F" w:rsidRPr="002B4473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73" w:rsidRDefault="002B4473">
      <w:r>
        <w:separator/>
      </w:r>
    </w:p>
  </w:endnote>
  <w:endnote w:type="continuationSeparator" w:id="0">
    <w:p w:rsidR="002B4473" w:rsidRDefault="002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F57D62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F57D62">
      <w:rPr>
        <w:i/>
        <w:snapToGrid w:val="0"/>
        <w:sz w:val="18"/>
      </w:rPr>
      <w:t>Thiafeline</w:t>
    </w:r>
    <w:proofErr w:type="spellEnd"/>
    <w:r w:rsidRPr="00F57D62">
      <w:rPr>
        <w:i/>
        <w:snapToGrid w:val="0"/>
        <w:sz w:val="18"/>
      </w:rPr>
      <w:t xml:space="preserve"> </w:t>
    </w:r>
    <w:proofErr w:type="spellStart"/>
    <w:r w:rsidRPr="00F57D62">
      <w:rPr>
        <w:i/>
        <w:snapToGrid w:val="0"/>
        <w:sz w:val="18"/>
      </w:rPr>
      <w:t>Vet</w:t>
    </w:r>
    <w:proofErr w:type="spellEnd"/>
    <w:r w:rsidRPr="00F57D62">
      <w:rPr>
        <w:i/>
        <w:snapToGrid w:val="0"/>
        <w:sz w:val="18"/>
      </w:rPr>
      <w:t>., filmovertrukne tabletter 2,5 mg og 5 mg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B4473">
      <w:rPr>
        <w:i/>
        <w:noProof/>
        <w:snapToGrid w:val="0"/>
        <w:sz w:val="18"/>
      </w:rPr>
      <w:t>Dokument755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73" w:rsidRDefault="002B4473">
      <w:r>
        <w:separator/>
      </w:r>
    </w:p>
  </w:footnote>
  <w:footnote w:type="continuationSeparator" w:id="0">
    <w:p w:rsidR="002B4473" w:rsidRDefault="002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73"/>
    <w:rsid w:val="0003527F"/>
    <w:rsid w:val="00065C7D"/>
    <w:rsid w:val="000C6CD4"/>
    <w:rsid w:val="001577E4"/>
    <w:rsid w:val="00165EE3"/>
    <w:rsid w:val="001858CA"/>
    <w:rsid w:val="001C4AEF"/>
    <w:rsid w:val="001D3CC5"/>
    <w:rsid w:val="002B4473"/>
    <w:rsid w:val="00322BDE"/>
    <w:rsid w:val="00406EE7"/>
    <w:rsid w:val="00407013"/>
    <w:rsid w:val="004A4DF7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278C4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57D62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C4F5A"/>
  <w15:chartTrackingRefBased/>
  <w15:docId w15:val="{B67ABA62-4CC4-4F8F-BB9E-15E6816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1559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2021012246_x000d_
Skift af repræsentant fra Salfarm Danmark A/S</dc:description>
  <cp:lastModifiedBy>Marianne Ott Jensen</cp:lastModifiedBy>
  <cp:revision>3</cp:revision>
  <dcterms:created xsi:type="dcterms:W3CDTF">2021-02-23T08:01:00Z</dcterms:created>
  <dcterms:modified xsi:type="dcterms:W3CDTF">2021-02-23T08:02:00Z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