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04EC1" w14:textId="77777777" w:rsidR="008203A8" w:rsidRPr="00313C25" w:rsidRDefault="008203A8" w:rsidP="008203A8">
      <w:pPr>
        <w:rPr>
          <w:sz w:val="24"/>
          <w:szCs w:val="24"/>
        </w:rPr>
      </w:pPr>
      <w:r w:rsidRPr="00313C25">
        <w:rPr>
          <w:noProof/>
          <w:sz w:val="24"/>
          <w:szCs w:val="24"/>
          <w:lang w:eastAsia="da-DK"/>
        </w:rPr>
        <w:drawing>
          <wp:inline distT="0" distB="0" distL="0" distR="0" wp14:anchorId="44E530BF" wp14:editId="278BE34F">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698A12BC" w14:textId="77777777" w:rsidR="008203A8" w:rsidRPr="00313C25" w:rsidRDefault="008203A8" w:rsidP="008203A8">
      <w:pPr>
        <w:rPr>
          <w:sz w:val="24"/>
          <w:szCs w:val="24"/>
        </w:rPr>
      </w:pPr>
    </w:p>
    <w:p w14:paraId="70FDA138" w14:textId="7F9324EA" w:rsidR="008203A8" w:rsidRPr="009F2F49" w:rsidRDefault="008203A8" w:rsidP="008203A8">
      <w:pPr>
        <w:tabs>
          <w:tab w:val="right" w:pos="9356"/>
        </w:tabs>
        <w:rPr>
          <w:b/>
          <w:sz w:val="24"/>
          <w:szCs w:val="24"/>
        </w:rPr>
      </w:pPr>
      <w:r w:rsidRPr="00313C25">
        <w:rPr>
          <w:b/>
          <w:sz w:val="24"/>
          <w:szCs w:val="24"/>
        </w:rPr>
        <w:tab/>
      </w:r>
      <w:r w:rsidR="00AB48AD">
        <w:rPr>
          <w:b/>
          <w:sz w:val="24"/>
          <w:szCs w:val="24"/>
        </w:rPr>
        <w:t>19. marts 2026</w:t>
      </w:r>
    </w:p>
    <w:p w14:paraId="4D1EC2E6" w14:textId="77777777" w:rsidR="008203A8" w:rsidRPr="009F2F49" w:rsidRDefault="008203A8" w:rsidP="008203A8">
      <w:pPr>
        <w:rPr>
          <w:sz w:val="24"/>
          <w:szCs w:val="24"/>
        </w:rPr>
      </w:pPr>
    </w:p>
    <w:p w14:paraId="15E7BDC2" w14:textId="77777777" w:rsidR="00313C25" w:rsidRPr="009F2F49" w:rsidRDefault="00313C25" w:rsidP="008203A8">
      <w:pPr>
        <w:rPr>
          <w:sz w:val="24"/>
          <w:szCs w:val="24"/>
        </w:rPr>
      </w:pPr>
    </w:p>
    <w:p w14:paraId="77CAE750" w14:textId="77777777" w:rsidR="00313C25" w:rsidRPr="009F2F49" w:rsidRDefault="00313C25" w:rsidP="008203A8">
      <w:pPr>
        <w:rPr>
          <w:sz w:val="24"/>
          <w:szCs w:val="24"/>
        </w:rPr>
      </w:pPr>
    </w:p>
    <w:p w14:paraId="04929243" w14:textId="77777777" w:rsidR="008203A8" w:rsidRPr="009F2F49" w:rsidRDefault="008203A8" w:rsidP="008203A8">
      <w:pPr>
        <w:jc w:val="center"/>
        <w:rPr>
          <w:b/>
          <w:sz w:val="24"/>
          <w:szCs w:val="24"/>
        </w:rPr>
      </w:pPr>
      <w:r w:rsidRPr="009F2F49">
        <w:rPr>
          <w:b/>
          <w:sz w:val="24"/>
          <w:szCs w:val="24"/>
        </w:rPr>
        <w:t>PRODUKTRESUMÉ</w:t>
      </w:r>
    </w:p>
    <w:p w14:paraId="0601B430" w14:textId="77777777" w:rsidR="008203A8" w:rsidRPr="009F2F49" w:rsidRDefault="008203A8" w:rsidP="008203A8">
      <w:pPr>
        <w:jc w:val="center"/>
        <w:rPr>
          <w:b/>
          <w:sz w:val="24"/>
          <w:szCs w:val="24"/>
        </w:rPr>
      </w:pPr>
    </w:p>
    <w:p w14:paraId="0A6A507C" w14:textId="77777777" w:rsidR="008203A8" w:rsidRPr="009F2F49" w:rsidRDefault="008203A8" w:rsidP="008203A8">
      <w:pPr>
        <w:jc w:val="center"/>
        <w:rPr>
          <w:b/>
          <w:sz w:val="24"/>
          <w:szCs w:val="24"/>
        </w:rPr>
      </w:pPr>
      <w:r w:rsidRPr="009F2F49">
        <w:rPr>
          <w:b/>
          <w:sz w:val="24"/>
          <w:szCs w:val="24"/>
        </w:rPr>
        <w:t>for</w:t>
      </w:r>
    </w:p>
    <w:p w14:paraId="2B9E5D9F" w14:textId="77777777" w:rsidR="008203A8" w:rsidRPr="009F2F49" w:rsidRDefault="008203A8" w:rsidP="008203A8">
      <w:pPr>
        <w:jc w:val="center"/>
        <w:rPr>
          <w:b/>
          <w:sz w:val="24"/>
          <w:szCs w:val="24"/>
        </w:rPr>
      </w:pPr>
    </w:p>
    <w:p w14:paraId="757A558E" w14:textId="4F7E0C53" w:rsidR="008203A8" w:rsidRPr="009F2F49" w:rsidRDefault="006C1B12" w:rsidP="008203A8">
      <w:pPr>
        <w:jc w:val="center"/>
        <w:rPr>
          <w:b/>
          <w:sz w:val="24"/>
          <w:szCs w:val="24"/>
        </w:rPr>
      </w:pPr>
      <w:r w:rsidRPr="009F2F49">
        <w:rPr>
          <w:b/>
          <w:sz w:val="24"/>
          <w:szCs w:val="24"/>
        </w:rPr>
        <w:t>Thiamavance Vet., oral opløsning</w:t>
      </w:r>
    </w:p>
    <w:p w14:paraId="0424F416" w14:textId="77777777" w:rsidR="008203A8" w:rsidRPr="009F2F49" w:rsidRDefault="008203A8" w:rsidP="008203A8">
      <w:pPr>
        <w:jc w:val="both"/>
        <w:rPr>
          <w:sz w:val="24"/>
          <w:szCs w:val="24"/>
        </w:rPr>
      </w:pPr>
    </w:p>
    <w:p w14:paraId="18B49323" w14:textId="77777777" w:rsidR="008203A8" w:rsidRPr="009F2F49" w:rsidRDefault="008203A8" w:rsidP="008203A8">
      <w:pPr>
        <w:jc w:val="both"/>
        <w:rPr>
          <w:sz w:val="24"/>
          <w:szCs w:val="24"/>
        </w:rPr>
      </w:pPr>
    </w:p>
    <w:p w14:paraId="627D6075" w14:textId="77777777" w:rsidR="008203A8" w:rsidRPr="009F2F49" w:rsidRDefault="008203A8" w:rsidP="008203A8">
      <w:pPr>
        <w:ind w:left="851" w:hanging="851"/>
        <w:rPr>
          <w:b/>
          <w:sz w:val="24"/>
          <w:szCs w:val="24"/>
        </w:rPr>
      </w:pPr>
      <w:r w:rsidRPr="009F2F49">
        <w:rPr>
          <w:b/>
          <w:sz w:val="24"/>
          <w:szCs w:val="24"/>
        </w:rPr>
        <w:t>0.</w:t>
      </w:r>
      <w:r w:rsidRPr="009F2F49">
        <w:rPr>
          <w:b/>
          <w:sz w:val="24"/>
          <w:szCs w:val="24"/>
        </w:rPr>
        <w:tab/>
        <w:t>D.SP.NR.</w:t>
      </w:r>
    </w:p>
    <w:p w14:paraId="7EEA51ED" w14:textId="2361FDDC" w:rsidR="008203A8" w:rsidRPr="00313C25" w:rsidRDefault="006C1B12" w:rsidP="008203A8">
      <w:pPr>
        <w:ind w:left="851"/>
        <w:rPr>
          <w:sz w:val="24"/>
          <w:szCs w:val="24"/>
        </w:rPr>
      </w:pPr>
      <w:r w:rsidRPr="00313C25">
        <w:rPr>
          <w:sz w:val="24"/>
          <w:szCs w:val="24"/>
        </w:rPr>
        <w:t>34185</w:t>
      </w:r>
    </w:p>
    <w:p w14:paraId="7E55E0BD" w14:textId="77777777" w:rsidR="008203A8" w:rsidRPr="00313C25" w:rsidRDefault="008203A8" w:rsidP="008203A8">
      <w:pPr>
        <w:ind w:left="851"/>
        <w:rPr>
          <w:sz w:val="24"/>
          <w:szCs w:val="24"/>
        </w:rPr>
      </w:pPr>
    </w:p>
    <w:p w14:paraId="3F9BA560" w14:textId="77777777" w:rsidR="008203A8" w:rsidRPr="00313C25" w:rsidRDefault="008203A8" w:rsidP="008203A8">
      <w:pPr>
        <w:ind w:left="851" w:hanging="851"/>
        <w:rPr>
          <w:b/>
          <w:sz w:val="24"/>
          <w:szCs w:val="24"/>
        </w:rPr>
      </w:pPr>
      <w:r w:rsidRPr="00313C25">
        <w:rPr>
          <w:b/>
          <w:sz w:val="24"/>
          <w:szCs w:val="24"/>
        </w:rPr>
        <w:t>1.</w:t>
      </w:r>
      <w:r w:rsidRPr="00313C25">
        <w:rPr>
          <w:b/>
          <w:sz w:val="24"/>
          <w:szCs w:val="24"/>
        </w:rPr>
        <w:tab/>
        <w:t>VETERINÆRLÆGEMIDLETS NAVN</w:t>
      </w:r>
    </w:p>
    <w:p w14:paraId="5124314F" w14:textId="7C720338" w:rsidR="008203A8" w:rsidRPr="00313C25" w:rsidRDefault="006C1B12" w:rsidP="008203A8">
      <w:pPr>
        <w:ind w:left="851"/>
        <w:rPr>
          <w:sz w:val="24"/>
          <w:szCs w:val="24"/>
        </w:rPr>
      </w:pPr>
      <w:r w:rsidRPr="00313C25">
        <w:rPr>
          <w:sz w:val="24"/>
          <w:szCs w:val="24"/>
        </w:rPr>
        <w:t>Thiamavance Vet.</w:t>
      </w:r>
    </w:p>
    <w:p w14:paraId="748490F1" w14:textId="77777777" w:rsidR="008203A8" w:rsidRPr="00313C25" w:rsidRDefault="008203A8" w:rsidP="008203A8">
      <w:pPr>
        <w:ind w:left="851"/>
        <w:rPr>
          <w:sz w:val="24"/>
          <w:szCs w:val="24"/>
        </w:rPr>
      </w:pPr>
    </w:p>
    <w:p w14:paraId="1CB96750" w14:textId="0937C914" w:rsidR="008203A8" w:rsidRPr="00313C25" w:rsidRDefault="008203A8" w:rsidP="008203A8">
      <w:pPr>
        <w:ind w:left="851"/>
        <w:rPr>
          <w:sz w:val="24"/>
          <w:szCs w:val="24"/>
        </w:rPr>
      </w:pPr>
      <w:r w:rsidRPr="00313C25">
        <w:rPr>
          <w:sz w:val="24"/>
          <w:szCs w:val="24"/>
        </w:rPr>
        <w:t xml:space="preserve">Lægemiddelform: </w:t>
      </w:r>
      <w:r w:rsidR="006C1B12" w:rsidRPr="00313C25">
        <w:rPr>
          <w:sz w:val="24"/>
          <w:szCs w:val="24"/>
        </w:rPr>
        <w:t>Oral opløsning</w:t>
      </w:r>
    </w:p>
    <w:p w14:paraId="0FBD21FC" w14:textId="3D07BAD4" w:rsidR="008203A8" w:rsidRPr="00313C25" w:rsidRDefault="008203A8" w:rsidP="008203A8">
      <w:pPr>
        <w:ind w:left="851"/>
        <w:rPr>
          <w:sz w:val="24"/>
          <w:szCs w:val="24"/>
        </w:rPr>
      </w:pPr>
      <w:r w:rsidRPr="00313C25">
        <w:rPr>
          <w:sz w:val="24"/>
          <w:szCs w:val="24"/>
        </w:rPr>
        <w:t xml:space="preserve">Styrke(r): </w:t>
      </w:r>
      <w:r w:rsidR="006C1B12" w:rsidRPr="00313C25">
        <w:rPr>
          <w:sz w:val="24"/>
          <w:szCs w:val="24"/>
        </w:rPr>
        <w:t>10 mg/ml</w:t>
      </w:r>
    </w:p>
    <w:p w14:paraId="65CD83AE" w14:textId="77777777" w:rsidR="008203A8" w:rsidRPr="00313C25" w:rsidRDefault="008203A8" w:rsidP="008203A8">
      <w:pPr>
        <w:ind w:left="851"/>
        <w:rPr>
          <w:sz w:val="24"/>
          <w:szCs w:val="24"/>
        </w:rPr>
      </w:pPr>
    </w:p>
    <w:p w14:paraId="1841A0D3" w14:textId="77777777" w:rsidR="008203A8" w:rsidRPr="00313C25" w:rsidRDefault="008203A8" w:rsidP="008203A8">
      <w:pPr>
        <w:ind w:left="851" w:hanging="851"/>
        <w:rPr>
          <w:b/>
          <w:sz w:val="24"/>
          <w:szCs w:val="24"/>
        </w:rPr>
      </w:pPr>
      <w:r w:rsidRPr="00313C25">
        <w:rPr>
          <w:b/>
          <w:sz w:val="24"/>
          <w:szCs w:val="24"/>
        </w:rPr>
        <w:t>2.</w:t>
      </w:r>
      <w:r w:rsidRPr="00313C25">
        <w:rPr>
          <w:b/>
          <w:sz w:val="24"/>
          <w:szCs w:val="24"/>
        </w:rPr>
        <w:tab/>
        <w:t>KVALITATIV OG KVANTITATIV SAMMENSÆTNING</w:t>
      </w:r>
    </w:p>
    <w:p w14:paraId="5B19109A" w14:textId="77777777" w:rsidR="005C5B52" w:rsidRPr="005C5B52" w:rsidRDefault="005C5B52" w:rsidP="005C5B52">
      <w:pPr>
        <w:ind w:left="851"/>
        <w:rPr>
          <w:sz w:val="24"/>
          <w:szCs w:val="24"/>
        </w:rPr>
      </w:pPr>
      <w:r w:rsidRPr="005C5B52">
        <w:rPr>
          <w:sz w:val="24"/>
          <w:szCs w:val="24"/>
        </w:rPr>
        <w:t>Hver ml indeholder:</w:t>
      </w:r>
    </w:p>
    <w:p w14:paraId="6B9ECC18" w14:textId="77777777" w:rsidR="005C5B52" w:rsidRPr="005C5B52" w:rsidRDefault="005C5B52" w:rsidP="005C5B52">
      <w:pPr>
        <w:ind w:left="851"/>
        <w:rPr>
          <w:sz w:val="24"/>
          <w:szCs w:val="24"/>
        </w:rPr>
      </w:pPr>
    </w:p>
    <w:p w14:paraId="4608A0FD" w14:textId="77777777" w:rsidR="005C5B52" w:rsidRPr="005C5B52" w:rsidRDefault="005C5B52" w:rsidP="005C5B52">
      <w:pPr>
        <w:ind w:left="851"/>
        <w:rPr>
          <w:sz w:val="24"/>
          <w:szCs w:val="24"/>
        </w:rPr>
      </w:pPr>
      <w:r w:rsidRPr="005C5B52">
        <w:rPr>
          <w:b/>
          <w:bCs/>
          <w:sz w:val="24"/>
          <w:szCs w:val="24"/>
        </w:rPr>
        <w:t>Aktivt stof:</w:t>
      </w:r>
    </w:p>
    <w:p w14:paraId="5414F5E2" w14:textId="3A0FAF15" w:rsidR="005C5B52" w:rsidRPr="005C5B52" w:rsidRDefault="005C5B52" w:rsidP="005C5B52">
      <w:pPr>
        <w:ind w:left="851"/>
        <w:rPr>
          <w:sz w:val="24"/>
          <w:szCs w:val="24"/>
        </w:rPr>
      </w:pPr>
      <w:r w:rsidRPr="005C5B52">
        <w:rPr>
          <w:sz w:val="24"/>
          <w:szCs w:val="24"/>
        </w:rPr>
        <w:t>Thiamazol</w:t>
      </w:r>
      <w:r w:rsidRPr="005C5B52">
        <w:rPr>
          <w:sz w:val="24"/>
          <w:szCs w:val="24"/>
        </w:rPr>
        <w:tab/>
        <w:t>10,0 mg</w:t>
      </w:r>
    </w:p>
    <w:p w14:paraId="4329AF20" w14:textId="77777777" w:rsidR="005C5B52" w:rsidRPr="005C5B52" w:rsidRDefault="005C5B52" w:rsidP="005C5B52">
      <w:pPr>
        <w:ind w:left="851"/>
        <w:rPr>
          <w:b/>
          <w:bCs/>
          <w:sz w:val="24"/>
          <w:szCs w:val="24"/>
        </w:rPr>
      </w:pPr>
    </w:p>
    <w:p w14:paraId="3130382A" w14:textId="77777777" w:rsidR="005C5B52" w:rsidRPr="005C5B52" w:rsidRDefault="005C5B52" w:rsidP="005C5B52">
      <w:pPr>
        <w:ind w:left="851"/>
        <w:rPr>
          <w:b/>
          <w:bCs/>
          <w:sz w:val="24"/>
          <w:szCs w:val="24"/>
        </w:rPr>
      </w:pPr>
      <w:r w:rsidRPr="005C5B52">
        <w:rPr>
          <w:b/>
          <w:bCs/>
          <w:sz w:val="24"/>
          <w:szCs w:val="24"/>
        </w:rPr>
        <w:t>Hjælpestoffer:</w:t>
      </w:r>
    </w:p>
    <w:p w14:paraId="21E77F6C" w14:textId="77777777" w:rsidR="005C5B52" w:rsidRPr="005C5B52" w:rsidRDefault="005C5B52" w:rsidP="005C5B52">
      <w:pPr>
        <w:ind w:left="851"/>
        <w:rPr>
          <w:b/>
          <w:bCs/>
          <w:sz w:val="24"/>
          <w:szCs w:val="24"/>
        </w:rPr>
      </w:pPr>
    </w:p>
    <w:tbl>
      <w:tblPr>
        <w:tblW w:w="451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5"/>
      </w:tblGrid>
      <w:tr w:rsidR="005C5B52" w:rsidRPr="005C5B52" w14:paraId="091F0D1E" w14:textId="77777777" w:rsidTr="00313C25">
        <w:tc>
          <w:tcPr>
            <w:tcW w:w="4515" w:type="dxa"/>
            <w:tcBorders>
              <w:top w:val="single" w:sz="4" w:space="0" w:color="000000"/>
              <w:left w:val="single" w:sz="4" w:space="0" w:color="000000"/>
              <w:bottom w:val="single" w:sz="4" w:space="0" w:color="000000"/>
              <w:right w:val="single" w:sz="4" w:space="0" w:color="000000"/>
            </w:tcBorders>
            <w:vAlign w:val="center"/>
            <w:hideMark/>
          </w:tcPr>
          <w:p w14:paraId="491015BF" w14:textId="77777777" w:rsidR="005C5B52" w:rsidRPr="005C5B52" w:rsidRDefault="005C5B52" w:rsidP="00313C25">
            <w:pPr>
              <w:ind w:left="32"/>
              <w:rPr>
                <w:b/>
                <w:bCs/>
                <w:sz w:val="24"/>
                <w:szCs w:val="24"/>
              </w:rPr>
            </w:pPr>
            <w:r w:rsidRPr="005C5B52">
              <w:rPr>
                <w:b/>
                <w:bCs/>
                <w:sz w:val="24"/>
                <w:szCs w:val="24"/>
              </w:rPr>
              <w:t>Kvalitativ sammensætning af hjælpestoffer og andre bestanddele</w:t>
            </w:r>
          </w:p>
        </w:tc>
      </w:tr>
      <w:tr w:rsidR="005C5B52" w:rsidRPr="005C5B52" w14:paraId="46C0938C" w14:textId="77777777" w:rsidTr="00313C25">
        <w:tc>
          <w:tcPr>
            <w:tcW w:w="4515" w:type="dxa"/>
            <w:tcBorders>
              <w:top w:val="single" w:sz="4" w:space="0" w:color="000000"/>
              <w:left w:val="single" w:sz="4" w:space="0" w:color="000000"/>
              <w:bottom w:val="single" w:sz="4" w:space="0" w:color="000000"/>
              <w:right w:val="single" w:sz="4" w:space="0" w:color="000000"/>
            </w:tcBorders>
            <w:vAlign w:val="center"/>
            <w:hideMark/>
          </w:tcPr>
          <w:p w14:paraId="0746EB61" w14:textId="77777777" w:rsidR="005C5B52" w:rsidRPr="005C5B52" w:rsidRDefault="005C5B52" w:rsidP="00313C25">
            <w:pPr>
              <w:ind w:left="32"/>
              <w:rPr>
                <w:sz w:val="24"/>
                <w:szCs w:val="24"/>
              </w:rPr>
            </w:pPr>
            <w:r w:rsidRPr="005C5B52">
              <w:rPr>
                <w:sz w:val="24"/>
                <w:szCs w:val="24"/>
              </w:rPr>
              <w:t>Glycerol</w:t>
            </w:r>
          </w:p>
        </w:tc>
      </w:tr>
      <w:tr w:rsidR="005C5B52" w:rsidRPr="005C5B52" w14:paraId="6292D479" w14:textId="77777777" w:rsidTr="00313C25">
        <w:tc>
          <w:tcPr>
            <w:tcW w:w="4515" w:type="dxa"/>
            <w:tcBorders>
              <w:top w:val="single" w:sz="4" w:space="0" w:color="000000"/>
              <w:left w:val="single" w:sz="4" w:space="0" w:color="000000"/>
              <w:bottom w:val="single" w:sz="4" w:space="0" w:color="000000"/>
              <w:right w:val="single" w:sz="4" w:space="0" w:color="000000"/>
            </w:tcBorders>
            <w:hideMark/>
          </w:tcPr>
          <w:p w14:paraId="64E93B3F" w14:textId="77777777" w:rsidR="005C5B52" w:rsidRPr="005C5B52" w:rsidRDefault="005C5B52" w:rsidP="00313C25">
            <w:pPr>
              <w:ind w:left="32"/>
              <w:rPr>
                <w:sz w:val="24"/>
                <w:szCs w:val="24"/>
              </w:rPr>
            </w:pPr>
            <w:r w:rsidRPr="005C5B52">
              <w:rPr>
                <w:sz w:val="24"/>
                <w:szCs w:val="24"/>
              </w:rPr>
              <w:t>Sorbitol, flydende (ikke-krystalliserende)</w:t>
            </w:r>
          </w:p>
        </w:tc>
      </w:tr>
      <w:tr w:rsidR="005C5B52" w:rsidRPr="005C5B52" w14:paraId="0A1E5CE2" w14:textId="77777777" w:rsidTr="00313C25">
        <w:tc>
          <w:tcPr>
            <w:tcW w:w="4515" w:type="dxa"/>
            <w:tcBorders>
              <w:top w:val="single" w:sz="4" w:space="0" w:color="000000"/>
              <w:left w:val="single" w:sz="4" w:space="0" w:color="000000"/>
              <w:bottom w:val="single" w:sz="4" w:space="0" w:color="000000"/>
              <w:right w:val="single" w:sz="4" w:space="0" w:color="000000"/>
            </w:tcBorders>
            <w:hideMark/>
          </w:tcPr>
          <w:p w14:paraId="35EE1813" w14:textId="77777777" w:rsidR="005C5B52" w:rsidRPr="005C5B52" w:rsidRDefault="005C5B52" w:rsidP="00313C25">
            <w:pPr>
              <w:ind w:left="32"/>
              <w:rPr>
                <w:sz w:val="24"/>
                <w:szCs w:val="24"/>
              </w:rPr>
            </w:pPr>
            <w:r w:rsidRPr="005C5B52">
              <w:rPr>
                <w:sz w:val="24"/>
                <w:szCs w:val="24"/>
              </w:rPr>
              <w:t>Vanillin</w:t>
            </w:r>
          </w:p>
        </w:tc>
      </w:tr>
    </w:tbl>
    <w:p w14:paraId="49DE049F" w14:textId="77777777" w:rsidR="005C5B52" w:rsidRPr="005C5B52" w:rsidRDefault="005C5B52" w:rsidP="005C5B52">
      <w:pPr>
        <w:ind w:left="851"/>
        <w:rPr>
          <w:sz w:val="24"/>
          <w:szCs w:val="24"/>
        </w:rPr>
      </w:pPr>
    </w:p>
    <w:p w14:paraId="65641C47" w14:textId="77777777" w:rsidR="005C5B52" w:rsidRPr="005C5B52" w:rsidRDefault="005C5B52" w:rsidP="005C5B52">
      <w:pPr>
        <w:ind w:left="851"/>
        <w:rPr>
          <w:sz w:val="24"/>
          <w:szCs w:val="24"/>
        </w:rPr>
      </w:pPr>
      <w:r w:rsidRPr="005C5B52">
        <w:rPr>
          <w:sz w:val="24"/>
          <w:szCs w:val="24"/>
        </w:rPr>
        <w:t>Klar, farveløs til lysegul, homogen opløsning.</w:t>
      </w:r>
    </w:p>
    <w:p w14:paraId="7014AA18" w14:textId="77777777" w:rsidR="008203A8" w:rsidRPr="00313C25" w:rsidRDefault="008203A8" w:rsidP="008203A8">
      <w:pPr>
        <w:ind w:left="851"/>
        <w:rPr>
          <w:sz w:val="24"/>
          <w:szCs w:val="24"/>
        </w:rPr>
      </w:pPr>
    </w:p>
    <w:p w14:paraId="63CE45B7" w14:textId="77777777" w:rsidR="008203A8" w:rsidRPr="00313C25" w:rsidRDefault="008203A8" w:rsidP="008203A8">
      <w:pPr>
        <w:ind w:left="851"/>
        <w:rPr>
          <w:sz w:val="24"/>
          <w:szCs w:val="24"/>
        </w:rPr>
      </w:pPr>
    </w:p>
    <w:p w14:paraId="7B556601" w14:textId="77777777" w:rsidR="008203A8" w:rsidRPr="00313C25" w:rsidRDefault="008203A8" w:rsidP="008203A8">
      <w:pPr>
        <w:ind w:left="851" w:hanging="851"/>
        <w:rPr>
          <w:b/>
          <w:sz w:val="24"/>
          <w:szCs w:val="24"/>
        </w:rPr>
      </w:pPr>
      <w:r w:rsidRPr="00313C25">
        <w:rPr>
          <w:b/>
          <w:sz w:val="24"/>
          <w:szCs w:val="24"/>
        </w:rPr>
        <w:t>3.</w:t>
      </w:r>
      <w:r w:rsidRPr="00313C25">
        <w:rPr>
          <w:b/>
          <w:sz w:val="24"/>
          <w:szCs w:val="24"/>
        </w:rPr>
        <w:tab/>
        <w:t>KLINISKE OPLYSNINGER</w:t>
      </w:r>
    </w:p>
    <w:p w14:paraId="16371D1E" w14:textId="77777777" w:rsidR="008203A8" w:rsidRPr="00313C25" w:rsidRDefault="008203A8" w:rsidP="008203A8">
      <w:pPr>
        <w:tabs>
          <w:tab w:val="left" w:pos="851"/>
        </w:tabs>
        <w:ind w:left="851"/>
        <w:rPr>
          <w:sz w:val="24"/>
          <w:szCs w:val="24"/>
        </w:rPr>
      </w:pPr>
    </w:p>
    <w:p w14:paraId="5B64B8FA" w14:textId="77777777" w:rsidR="008203A8" w:rsidRPr="00313C25" w:rsidRDefault="008203A8" w:rsidP="008203A8">
      <w:pPr>
        <w:ind w:left="851" w:hanging="851"/>
        <w:rPr>
          <w:b/>
          <w:sz w:val="24"/>
          <w:szCs w:val="24"/>
          <w:u w:val="single"/>
        </w:rPr>
      </w:pPr>
      <w:r w:rsidRPr="00313C25">
        <w:rPr>
          <w:b/>
          <w:sz w:val="24"/>
          <w:szCs w:val="24"/>
        </w:rPr>
        <w:t>3.1</w:t>
      </w:r>
      <w:r w:rsidRPr="00313C25">
        <w:rPr>
          <w:b/>
          <w:sz w:val="24"/>
          <w:szCs w:val="24"/>
        </w:rPr>
        <w:tab/>
        <w:t>Dyrearter, som lægemidlet er beregnet til</w:t>
      </w:r>
    </w:p>
    <w:p w14:paraId="3B65696E" w14:textId="77777777" w:rsidR="005C5B52" w:rsidRPr="005C5B52" w:rsidRDefault="005C5B52" w:rsidP="005C5B52">
      <w:pPr>
        <w:ind w:left="851"/>
        <w:rPr>
          <w:sz w:val="24"/>
          <w:szCs w:val="24"/>
        </w:rPr>
      </w:pPr>
      <w:r w:rsidRPr="005C5B52">
        <w:rPr>
          <w:sz w:val="24"/>
          <w:szCs w:val="24"/>
        </w:rPr>
        <w:t>Katte</w:t>
      </w:r>
    </w:p>
    <w:p w14:paraId="5A144EBF" w14:textId="77777777" w:rsidR="008203A8" w:rsidRPr="00313C25" w:rsidRDefault="008203A8" w:rsidP="008203A8">
      <w:pPr>
        <w:ind w:left="851"/>
        <w:rPr>
          <w:sz w:val="24"/>
          <w:szCs w:val="24"/>
        </w:rPr>
      </w:pPr>
    </w:p>
    <w:p w14:paraId="581DDDFC" w14:textId="77777777" w:rsidR="008203A8" w:rsidRPr="00313C25" w:rsidRDefault="008203A8" w:rsidP="008203A8">
      <w:pPr>
        <w:pStyle w:val="Sidehoved"/>
        <w:tabs>
          <w:tab w:val="clear" w:pos="4819"/>
        </w:tabs>
        <w:ind w:left="851" w:hanging="851"/>
        <w:rPr>
          <w:b/>
          <w:szCs w:val="24"/>
        </w:rPr>
      </w:pPr>
      <w:r w:rsidRPr="00313C25">
        <w:rPr>
          <w:b/>
          <w:szCs w:val="24"/>
        </w:rPr>
        <w:t>3.2</w:t>
      </w:r>
      <w:r w:rsidRPr="00313C25">
        <w:rPr>
          <w:b/>
          <w:szCs w:val="24"/>
        </w:rPr>
        <w:tab/>
        <w:t>Terapeutiske indikationer for hver dyreart, som lægemidlet er beregnet til</w:t>
      </w:r>
    </w:p>
    <w:p w14:paraId="399D3D9C" w14:textId="77777777" w:rsidR="005C5B52" w:rsidRPr="005C5B52" w:rsidRDefault="005C5B52" w:rsidP="005C5B52">
      <w:pPr>
        <w:pStyle w:val="Sidehoved"/>
        <w:ind w:left="851"/>
        <w:rPr>
          <w:szCs w:val="24"/>
        </w:rPr>
      </w:pPr>
      <w:r w:rsidRPr="005C5B52">
        <w:rPr>
          <w:szCs w:val="24"/>
        </w:rPr>
        <w:t>Til stabilisering af hyperthyreose hos katte forud for kirurgisk thyroidektomi.</w:t>
      </w:r>
    </w:p>
    <w:p w14:paraId="6051696E" w14:textId="77777777" w:rsidR="005C5B52" w:rsidRPr="005C5B52" w:rsidRDefault="005C5B52" w:rsidP="005C5B52">
      <w:pPr>
        <w:pStyle w:val="Sidehoved"/>
        <w:ind w:left="851"/>
        <w:rPr>
          <w:szCs w:val="24"/>
        </w:rPr>
      </w:pPr>
      <w:r w:rsidRPr="005C5B52">
        <w:rPr>
          <w:szCs w:val="24"/>
        </w:rPr>
        <w:t>Til langtidsbehandling af hyperthyreose hos katte.</w:t>
      </w:r>
    </w:p>
    <w:p w14:paraId="21AF8FE0" w14:textId="77777777" w:rsidR="008203A8" w:rsidRPr="00313C25" w:rsidRDefault="008203A8" w:rsidP="008203A8">
      <w:pPr>
        <w:pStyle w:val="Sidehoved"/>
        <w:ind w:left="851"/>
        <w:rPr>
          <w:szCs w:val="24"/>
        </w:rPr>
      </w:pPr>
    </w:p>
    <w:p w14:paraId="672F4FAD" w14:textId="77777777" w:rsidR="008203A8" w:rsidRPr="00313C25" w:rsidRDefault="008203A8" w:rsidP="008203A8">
      <w:pPr>
        <w:pStyle w:val="Sidehoved"/>
        <w:tabs>
          <w:tab w:val="clear" w:pos="4819"/>
          <w:tab w:val="left" w:pos="851"/>
        </w:tabs>
        <w:ind w:left="851" w:hanging="851"/>
        <w:rPr>
          <w:b/>
          <w:szCs w:val="24"/>
        </w:rPr>
      </w:pPr>
      <w:r w:rsidRPr="00313C25">
        <w:rPr>
          <w:b/>
          <w:szCs w:val="24"/>
        </w:rPr>
        <w:lastRenderedPageBreak/>
        <w:t>3.3</w:t>
      </w:r>
      <w:r w:rsidRPr="00313C25">
        <w:rPr>
          <w:b/>
          <w:szCs w:val="24"/>
        </w:rPr>
        <w:tab/>
        <w:t>Kontraindikationer</w:t>
      </w:r>
    </w:p>
    <w:p w14:paraId="7DA3DB2E" w14:textId="77777777" w:rsidR="005C5B52" w:rsidRPr="005C5B52" w:rsidRDefault="005C5B52" w:rsidP="005C5B52">
      <w:pPr>
        <w:pStyle w:val="Sidehoved"/>
        <w:ind w:left="851"/>
        <w:rPr>
          <w:szCs w:val="24"/>
        </w:rPr>
      </w:pPr>
      <w:r w:rsidRPr="005C5B52">
        <w:rPr>
          <w:szCs w:val="24"/>
        </w:rPr>
        <w:t>Må ikke anvendes til katte, der lider af systemiske sygdomme såsom primær leversygdom eller diabetes mellitus.</w:t>
      </w:r>
    </w:p>
    <w:p w14:paraId="121C8094" w14:textId="77777777" w:rsidR="005C5B52" w:rsidRPr="005C5B52" w:rsidRDefault="005C5B52" w:rsidP="005C5B52">
      <w:pPr>
        <w:pStyle w:val="Sidehoved"/>
        <w:ind w:left="851"/>
        <w:rPr>
          <w:szCs w:val="24"/>
        </w:rPr>
      </w:pPr>
      <w:r w:rsidRPr="005C5B52">
        <w:rPr>
          <w:szCs w:val="24"/>
        </w:rPr>
        <w:t>Må ikke anvendes til katte, der udviser tegn på autoimmun sygdom.</w:t>
      </w:r>
    </w:p>
    <w:p w14:paraId="6A7D73D2" w14:textId="77777777" w:rsidR="005C5B52" w:rsidRPr="005C5B52" w:rsidRDefault="005C5B52" w:rsidP="005C5B52">
      <w:pPr>
        <w:pStyle w:val="Sidehoved"/>
        <w:ind w:left="851"/>
        <w:rPr>
          <w:szCs w:val="24"/>
        </w:rPr>
      </w:pPr>
      <w:r w:rsidRPr="005C5B52">
        <w:rPr>
          <w:szCs w:val="24"/>
        </w:rPr>
        <w:t>Må ikke anvendes til dyr med forstyrrelser af de hvide blodlegemer såsom neutropeni og lymfopeni.</w:t>
      </w:r>
    </w:p>
    <w:p w14:paraId="69D1391F" w14:textId="77777777" w:rsidR="005C5B52" w:rsidRPr="005C5B52" w:rsidRDefault="005C5B52" w:rsidP="005C5B52">
      <w:pPr>
        <w:pStyle w:val="Sidehoved"/>
        <w:ind w:left="851"/>
        <w:rPr>
          <w:szCs w:val="24"/>
        </w:rPr>
      </w:pPr>
      <w:r w:rsidRPr="005C5B52">
        <w:rPr>
          <w:szCs w:val="24"/>
        </w:rPr>
        <w:t>Må ikke anvendes til dyr med trombocytforstyrrelser og koagulationsdefekter (især trombocytopeni).</w:t>
      </w:r>
    </w:p>
    <w:p w14:paraId="1A894171" w14:textId="77777777" w:rsidR="005C5B52" w:rsidRPr="005C5B52" w:rsidRDefault="005C5B52" w:rsidP="005C5B52">
      <w:pPr>
        <w:pStyle w:val="Sidehoved"/>
        <w:ind w:left="851"/>
        <w:rPr>
          <w:szCs w:val="24"/>
        </w:rPr>
      </w:pPr>
      <w:r w:rsidRPr="005C5B52">
        <w:rPr>
          <w:szCs w:val="24"/>
        </w:rPr>
        <w:t>Må ikke anvendes i tilfælde af overfølsomhed over for det aktive stof eller over for et eller flere af hjælpestofferne.</w:t>
      </w:r>
    </w:p>
    <w:p w14:paraId="1EA04419" w14:textId="77777777" w:rsidR="005C5B52" w:rsidRPr="005C5B52" w:rsidRDefault="005C5B52" w:rsidP="005C5B52">
      <w:pPr>
        <w:pStyle w:val="Sidehoved"/>
        <w:ind w:left="851"/>
        <w:rPr>
          <w:szCs w:val="24"/>
        </w:rPr>
      </w:pPr>
      <w:r w:rsidRPr="005C5B52">
        <w:rPr>
          <w:szCs w:val="24"/>
        </w:rPr>
        <w:t>Må ikke anvendes til drægtige og diegivende hunkatte (se pkt. 3.7).</w:t>
      </w:r>
    </w:p>
    <w:p w14:paraId="1F40E245" w14:textId="77777777" w:rsidR="008203A8" w:rsidRPr="00313C25" w:rsidRDefault="008203A8" w:rsidP="008203A8">
      <w:pPr>
        <w:pStyle w:val="Sidehoved"/>
        <w:tabs>
          <w:tab w:val="clear" w:pos="4819"/>
        </w:tabs>
        <w:ind w:left="851"/>
        <w:rPr>
          <w:szCs w:val="24"/>
        </w:rPr>
      </w:pPr>
    </w:p>
    <w:p w14:paraId="17354357" w14:textId="77777777" w:rsidR="008203A8" w:rsidRPr="00313C25" w:rsidRDefault="008203A8" w:rsidP="008203A8">
      <w:pPr>
        <w:tabs>
          <w:tab w:val="left" w:pos="851"/>
        </w:tabs>
        <w:ind w:left="851" w:hanging="851"/>
        <w:rPr>
          <w:b/>
          <w:sz w:val="24"/>
          <w:szCs w:val="24"/>
        </w:rPr>
      </w:pPr>
      <w:r w:rsidRPr="00313C25">
        <w:rPr>
          <w:b/>
          <w:sz w:val="24"/>
          <w:szCs w:val="24"/>
        </w:rPr>
        <w:t>3.4</w:t>
      </w:r>
      <w:r w:rsidRPr="00313C25">
        <w:rPr>
          <w:b/>
          <w:sz w:val="24"/>
          <w:szCs w:val="24"/>
        </w:rPr>
        <w:tab/>
        <w:t>Særlige advarsler</w:t>
      </w:r>
    </w:p>
    <w:p w14:paraId="758CCB82" w14:textId="0C544B5F" w:rsidR="005C5B52" w:rsidRPr="005C5B52" w:rsidRDefault="005C5B52" w:rsidP="005C5B52">
      <w:pPr>
        <w:pStyle w:val="Sidehoved"/>
        <w:ind w:left="851"/>
        <w:rPr>
          <w:szCs w:val="24"/>
        </w:rPr>
      </w:pPr>
      <w:r w:rsidRPr="005C5B52">
        <w:rPr>
          <w:szCs w:val="24"/>
        </w:rPr>
        <w:t>For at forbedre stabiliseringen af patienten med hyperthyreose skal den samme fodrings- og doseringsplan anvendes dagligt.</w:t>
      </w:r>
    </w:p>
    <w:p w14:paraId="5049DE13" w14:textId="77777777" w:rsidR="008203A8" w:rsidRPr="00313C25" w:rsidRDefault="008203A8" w:rsidP="008203A8">
      <w:pPr>
        <w:pStyle w:val="Sidehoved"/>
        <w:tabs>
          <w:tab w:val="clear" w:pos="4819"/>
        </w:tabs>
        <w:ind w:left="851"/>
        <w:rPr>
          <w:szCs w:val="24"/>
        </w:rPr>
      </w:pPr>
    </w:p>
    <w:p w14:paraId="3CD94DA7" w14:textId="77777777" w:rsidR="008203A8" w:rsidRPr="00313C25" w:rsidRDefault="008203A8" w:rsidP="008203A8">
      <w:pPr>
        <w:tabs>
          <w:tab w:val="left" w:pos="851"/>
        </w:tabs>
        <w:ind w:left="851" w:hanging="851"/>
        <w:rPr>
          <w:b/>
          <w:sz w:val="24"/>
          <w:szCs w:val="24"/>
        </w:rPr>
      </w:pPr>
      <w:r w:rsidRPr="00313C25">
        <w:rPr>
          <w:b/>
          <w:sz w:val="24"/>
          <w:szCs w:val="24"/>
        </w:rPr>
        <w:t>3.5</w:t>
      </w:r>
      <w:r w:rsidRPr="00313C25">
        <w:rPr>
          <w:b/>
          <w:sz w:val="24"/>
          <w:szCs w:val="24"/>
        </w:rPr>
        <w:tab/>
        <w:t>Særlige forholdsregler vedrørende brugen</w:t>
      </w:r>
    </w:p>
    <w:p w14:paraId="7784D5D5" w14:textId="77777777" w:rsidR="008203A8" w:rsidRPr="00313C25" w:rsidRDefault="008203A8" w:rsidP="008203A8">
      <w:pPr>
        <w:tabs>
          <w:tab w:val="left" w:pos="851"/>
        </w:tabs>
        <w:ind w:left="851"/>
        <w:rPr>
          <w:sz w:val="24"/>
          <w:szCs w:val="24"/>
        </w:rPr>
      </w:pPr>
    </w:p>
    <w:p w14:paraId="3E0C483C" w14:textId="77777777" w:rsidR="008203A8" w:rsidRPr="00313C25" w:rsidRDefault="008203A8" w:rsidP="008203A8">
      <w:pPr>
        <w:tabs>
          <w:tab w:val="left" w:pos="851"/>
        </w:tabs>
        <w:ind w:left="851"/>
        <w:rPr>
          <w:sz w:val="24"/>
          <w:szCs w:val="24"/>
          <w:u w:val="single"/>
        </w:rPr>
      </w:pPr>
      <w:r w:rsidRPr="00313C25">
        <w:rPr>
          <w:sz w:val="24"/>
          <w:szCs w:val="24"/>
          <w:u w:val="single"/>
        </w:rPr>
        <w:t>Særlige forholdsregler vedrørende sikker brug hos de dyrearter, som lægemidlet er beregnet til</w:t>
      </w:r>
    </w:p>
    <w:p w14:paraId="6D0F9AEC" w14:textId="48C97451" w:rsidR="005C5B52" w:rsidRPr="00313C25" w:rsidRDefault="005C5B52" w:rsidP="00313C25">
      <w:pPr>
        <w:ind w:left="851"/>
        <w:rPr>
          <w:sz w:val="24"/>
          <w:szCs w:val="24"/>
        </w:rPr>
      </w:pPr>
      <w:r w:rsidRPr="00313C25">
        <w:rPr>
          <w:sz w:val="24"/>
          <w:szCs w:val="24"/>
        </w:rPr>
        <w:t xml:space="preserve">Hvis en døgndosis, som overstiger 10 mg pr. </w:t>
      </w:r>
      <w:r w:rsidR="009F2F49" w:rsidRPr="00313C25">
        <w:rPr>
          <w:sz w:val="24"/>
          <w:szCs w:val="24"/>
        </w:rPr>
        <w:t>dag,</w:t>
      </w:r>
      <w:r w:rsidRPr="00313C25">
        <w:rPr>
          <w:sz w:val="24"/>
          <w:szCs w:val="24"/>
        </w:rPr>
        <w:t xml:space="preserve"> er nødvendig, skal dyrene overvåges særligt omhyggeligt.</w:t>
      </w:r>
    </w:p>
    <w:p w14:paraId="0AB74573" w14:textId="77777777" w:rsidR="005C5B52" w:rsidRPr="00313C25" w:rsidRDefault="005C5B52" w:rsidP="00313C25">
      <w:pPr>
        <w:ind w:left="851"/>
        <w:rPr>
          <w:sz w:val="24"/>
          <w:szCs w:val="24"/>
        </w:rPr>
      </w:pPr>
      <w:r w:rsidRPr="00313C25">
        <w:rPr>
          <w:sz w:val="24"/>
          <w:szCs w:val="24"/>
        </w:rPr>
        <w:t>Brug af veterinærlægemidlet til katte med renal dysfunktion må kun ske efter en omhyggelig vurdering af benefit/risk-forholdet foretaget af den behandlende dyrlæge. Da thiamazol kan have en nedsættende virkning på den glomerulære filtrationshastighed, skal behandlingens virkning på nyrefunktionen monitoreres nøje, da der kan forekomme forværring af en tilgrundliggende tilstand.</w:t>
      </w:r>
    </w:p>
    <w:p w14:paraId="33F00E0A" w14:textId="77777777" w:rsidR="005C5B52" w:rsidRPr="00313C25" w:rsidRDefault="005C5B52" w:rsidP="00313C25">
      <w:pPr>
        <w:ind w:left="851"/>
        <w:rPr>
          <w:sz w:val="24"/>
          <w:szCs w:val="24"/>
        </w:rPr>
      </w:pPr>
      <w:r w:rsidRPr="00313C25">
        <w:rPr>
          <w:sz w:val="24"/>
          <w:szCs w:val="24"/>
        </w:rPr>
        <w:t>De hæmatologiske parametre skal overvåges på grund af risiko for leukopeni eller hæmolytisk anæmi.</w:t>
      </w:r>
    </w:p>
    <w:p w14:paraId="1B57777E" w14:textId="77777777" w:rsidR="005C5B52" w:rsidRPr="00313C25" w:rsidRDefault="005C5B52" w:rsidP="00313C25">
      <w:pPr>
        <w:ind w:left="851"/>
        <w:rPr>
          <w:sz w:val="24"/>
          <w:szCs w:val="24"/>
        </w:rPr>
      </w:pPr>
      <w:r w:rsidRPr="00313C25">
        <w:rPr>
          <w:sz w:val="24"/>
          <w:szCs w:val="24"/>
        </w:rPr>
        <w:t>Ethvert dyr, der pludselig virker utilpas under behandlingen, bør få taget en blodprøve til rutinemæssig kontrol af hæmatologi og biokemi, især hvis de er febrile. Neutropene dyr (neutrofiltal &lt;2,5 x 10</w:t>
      </w:r>
      <w:r w:rsidRPr="00313C25">
        <w:rPr>
          <w:sz w:val="24"/>
          <w:szCs w:val="24"/>
          <w:vertAlign w:val="superscript"/>
        </w:rPr>
        <w:t>9</w:t>
      </w:r>
      <w:r w:rsidRPr="00313C25">
        <w:rPr>
          <w:sz w:val="24"/>
          <w:szCs w:val="24"/>
        </w:rPr>
        <w:t>/l) skal, om nødvendigt, behandles profylaktisk med baktericide antibakterielle lægemidler og understøttende behandling i henhold til den ordinerende dyrlæges vurdering af benefit/risk-forholdet.</w:t>
      </w:r>
    </w:p>
    <w:p w14:paraId="058FD8CB" w14:textId="77777777" w:rsidR="005C5B52" w:rsidRPr="00313C25" w:rsidRDefault="005C5B52" w:rsidP="00313C25">
      <w:pPr>
        <w:ind w:left="851"/>
        <w:rPr>
          <w:sz w:val="24"/>
          <w:szCs w:val="24"/>
        </w:rPr>
      </w:pPr>
      <w:r w:rsidRPr="00313C25">
        <w:rPr>
          <w:sz w:val="24"/>
          <w:szCs w:val="24"/>
        </w:rPr>
        <w:t xml:space="preserve">Se pkt. 3.9 vedrørende anvisninger om overvågning. </w:t>
      </w:r>
    </w:p>
    <w:p w14:paraId="7A7CAA2D" w14:textId="77777777" w:rsidR="005C5B52" w:rsidRPr="00313C25" w:rsidRDefault="005C5B52" w:rsidP="00313C25">
      <w:pPr>
        <w:ind w:left="851"/>
        <w:rPr>
          <w:sz w:val="24"/>
          <w:szCs w:val="24"/>
        </w:rPr>
      </w:pPr>
      <w:r w:rsidRPr="00313C25">
        <w:rPr>
          <w:sz w:val="24"/>
          <w:szCs w:val="24"/>
        </w:rPr>
        <w:t xml:space="preserve">Da thiamazol kan forårsage hæmokoncentration, skal katte altid have adgang til drikkevand. </w:t>
      </w:r>
    </w:p>
    <w:p w14:paraId="1B9976A9" w14:textId="77777777" w:rsidR="005C5B52" w:rsidRPr="00313C25" w:rsidRDefault="005C5B52" w:rsidP="00313C25">
      <w:pPr>
        <w:ind w:left="851"/>
        <w:rPr>
          <w:sz w:val="24"/>
          <w:szCs w:val="24"/>
        </w:rPr>
      </w:pPr>
      <w:r w:rsidRPr="00313C25">
        <w:rPr>
          <w:sz w:val="24"/>
          <w:szCs w:val="24"/>
        </w:rPr>
        <w:t>Hos katte med hyperthyreose er gastro-intestinale tilstande almindelige og kan påvirke den orale behandlings succes.</w:t>
      </w:r>
    </w:p>
    <w:p w14:paraId="32409113" w14:textId="77777777" w:rsidR="008203A8" w:rsidRPr="00313C25" w:rsidRDefault="008203A8" w:rsidP="008203A8">
      <w:pPr>
        <w:tabs>
          <w:tab w:val="left" w:pos="851"/>
        </w:tabs>
        <w:ind w:left="851"/>
        <w:rPr>
          <w:sz w:val="24"/>
          <w:szCs w:val="24"/>
        </w:rPr>
      </w:pPr>
    </w:p>
    <w:p w14:paraId="720A60A3" w14:textId="77777777" w:rsidR="008203A8" w:rsidRPr="00313C25" w:rsidRDefault="008203A8" w:rsidP="008203A8">
      <w:pPr>
        <w:tabs>
          <w:tab w:val="left" w:pos="851"/>
        </w:tabs>
        <w:ind w:left="851"/>
        <w:rPr>
          <w:sz w:val="24"/>
          <w:szCs w:val="24"/>
          <w:u w:val="single"/>
        </w:rPr>
      </w:pPr>
      <w:r w:rsidRPr="00313C25">
        <w:rPr>
          <w:sz w:val="24"/>
          <w:szCs w:val="24"/>
          <w:u w:val="single"/>
        </w:rPr>
        <w:t>Særlige forholdsregler for personer, der administrerer veterinærlægemidlet til dyr</w:t>
      </w:r>
    </w:p>
    <w:p w14:paraId="6F8E964C" w14:textId="77777777" w:rsidR="005C5B52" w:rsidRPr="00313C25" w:rsidRDefault="005C5B52" w:rsidP="00313C25">
      <w:pPr>
        <w:ind w:left="851"/>
        <w:rPr>
          <w:sz w:val="24"/>
          <w:szCs w:val="24"/>
        </w:rPr>
      </w:pPr>
      <w:r w:rsidRPr="00313C25">
        <w:rPr>
          <w:sz w:val="24"/>
          <w:szCs w:val="24"/>
        </w:rPr>
        <w:t>Personer med kendt overfølsomhed (allergi) over for thiamazol eller vanillin bør undgå kontakt med veterinærlægemidlet. Hvis der opstår allergiske symptomer, såsom hududslæt, hævelse af ansigt, læber eller øjne eller vejrtrækningsbesvær, søg straks lægehjælp og vis indlægssedlen eller etiketten til lægen.</w:t>
      </w:r>
    </w:p>
    <w:p w14:paraId="4C28C484" w14:textId="77777777" w:rsidR="005C5B52" w:rsidRPr="00313C25" w:rsidRDefault="005C5B52" w:rsidP="00313C25">
      <w:pPr>
        <w:ind w:left="851"/>
        <w:rPr>
          <w:sz w:val="24"/>
          <w:szCs w:val="24"/>
        </w:rPr>
      </w:pPr>
      <w:r w:rsidRPr="00313C25">
        <w:rPr>
          <w:sz w:val="24"/>
          <w:szCs w:val="24"/>
        </w:rPr>
        <w:t>Thiamazol kan forårsage gastrointestinale forstyrrelser, hovedpine, feber, ledsmerter, kløe og pancytopeni (fald i blodlegemer og blodplader).</w:t>
      </w:r>
    </w:p>
    <w:p w14:paraId="5307CCCD" w14:textId="77777777" w:rsidR="005C5B52" w:rsidRPr="00313C25" w:rsidRDefault="005C5B52" w:rsidP="00313C25">
      <w:pPr>
        <w:ind w:left="851"/>
        <w:rPr>
          <w:sz w:val="24"/>
          <w:szCs w:val="24"/>
        </w:rPr>
      </w:pPr>
      <w:r w:rsidRPr="00313C25">
        <w:rPr>
          <w:sz w:val="24"/>
          <w:szCs w:val="24"/>
        </w:rPr>
        <w:t xml:space="preserve">Veterinærlægemidlet kan også forårsage hudirritation. </w:t>
      </w:r>
    </w:p>
    <w:p w14:paraId="6D48ADEF" w14:textId="77777777" w:rsidR="005C5B52" w:rsidRPr="00313C25" w:rsidRDefault="005C5B52" w:rsidP="00313C25">
      <w:pPr>
        <w:ind w:left="851"/>
        <w:rPr>
          <w:sz w:val="24"/>
          <w:szCs w:val="24"/>
        </w:rPr>
      </w:pPr>
      <w:r w:rsidRPr="00313C25">
        <w:rPr>
          <w:sz w:val="24"/>
          <w:szCs w:val="24"/>
        </w:rPr>
        <w:t>Undgå hud- og oral eksponering, herunder hånd-til-mund-kontakt.</w:t>
      </w:r>
    </w:p>
    <w:p w14:paraId="1845A562" w14:textId="77777777" w:rsidR="005C5B52" w:rsidRPr="00313C25" w:rsidRDefault="005C5B52" w:rsidP="00313C25">
      <w:pPr>
        <w:ind w:left="851"/>
        <w:rPr>
          <w:sz w:val="24"/>
          <w:szCs w:val="24"/>
        </w:rPr>
      </w:pPr>
      <w:r w:rsidRPr="00313C25">
        <w:rPr>
          <w:sz w:val="24"/>
          <w:szCs w:val="24"/>
        </w:rPr>
        <w:t>Spis, drik eller ryg ikke under håndtering af veterinærlægemidlet eller brugt kattegrus.</w:t>
      </w:r>
    </w:p>
    <w:p w14:paraId="42E6684F" w14:textId="77777777" w:rsidR="005C5B52" w:rsidRPr="00313C25" w:rsidRDefault="005C5B52" w:rsidP="00313C25">
      <w:pPr>
        <w:ind w:left="851"/>
        <w:rPr>
          <w:sz w:val="24"/>
          <w:szCs w:val="24"/>
        </w:rPr>
      </w:pPr>
      <w:r w:rsidRPr="00313C25">
        <w:rPr>
          <w:sz w:val="24"/>
          <w:szCs w:val="24"/>
        </w:rPr>
        <w:lastRenderedPageBreak/>
        <w:t>Vask hænder med sæbe og vand efter administration og håndtering af veterinærlægemidlet og rengøring af opkast eller kattegrus fra behandlede dyr. Vask straks spild eller stænk af huden.</w:t>
      </w:r>
    </w:p>
    <w:p w14:paraId="1C3C7206" w14:textId="77777777" w:rsidR="005C5B52" w:rsidRPr="00313C25" w:rsidRDefault="005C5B52" w:rsidP="00313C25">
      <w:pPr>
        <w:ind w:left="851"/>
        <w:rPr>
          <w:sz w:val="24"/>
          <w:szCs w:val="24"/>
        </w:rPr>
      </w:pPr>
      <w:r w:rsidRPr="00313C25">
        <w:rPr>
          <w:sz w:val="24"/>
          <w:szCs w:val="24"/>
        </w:rPr>
        <w:t xml:space="preserve">Efter administration af veterinærlægemidlet skal eventuel rest af veterinærlægemiddel på spidsen af ​​doseringssprøjten tørres af med en serviet. Den kontaminerede serviet skal straks bortskaffes. </w:t>
      </w:r>
    </w:p>
    <w:p w14:paraId="55EF030E" w14:textId="77777777" w:rsidR="005C5B52" w:rsidRPr="00313C25" w:rsidRDefault="005C5B52" w:rsidP="00313C25">
      <w:pPr>
        <w:ind w:left="851"/>
        <w:rPr>
          <w:sz w:val="24"/>
          <w:szCs w:val="24"/>
        </w:rPr>
      </w:pPr>
      <w:r w:rsidRPr="00313C25">
        <w:rPr>
          <w:sz w:val="24"/>
          <w:szCs w:val="24"/>
        </w:rPr>
        <w:t>Den anvendte sprøjte skal opbevares sammen med veterinærlægemidlet i den originale æske.</w:t>
      </w:r>
    </w:p>
    <w:p w14:paraId="4D5516BD" w14:textId="77777777" w:rsidR="005C5B52" w:rsidRPr="00313C25" w:rsidRDefault="005C5B52" w:rsidP="00313C25">
      <w:pPr>
        <w:ind w:left="851"/>
        <w:rPr>
          <w:sz w:val="24"/>
          <w:szCs w:val="24"/>
        </w:rPr>
      </w:pPr>
      <w:r w:rsidRPr="00313C25">
        <w:rPr>
          <w:sz w:val="24"/>
          <w:szCs w:val="24"/>
        </w:rPr>
        <w:t>I tilfælde af utilsigtet indtagelse ved hændeligt uheld skal der straks søges lægehjælp. Vis indlægssedlen eller etiketten til lægen.</w:t>
      </w:r>
    </w:p>
    <w:p w14:paraId="545624A7" w14:textId="77777777" w:rsidR="005C5B52" w:rsidRPr="00313C25" w:rsidRDefault="005C5B52" w:rsidP="00313C25">
      <w:pPr>
        <w:ind w:left="851"/>
        <w:rPr>
          <w:sz w:val="24"/>
          <w:szCs w:val="24"/>
        </w:rPr>
      </w:pPr>
      <w:r w:rsidRPr="00313C25">
        <w:rPr>
          <w:sz w:val="24"/>
          <w:szCs w:val="24"/>
        </w:rPr>
        <w:t xml:space="preserve">Dette veterinærlægemiddel kan forårsage øjenirritation. </w:t>
      </w:r>
    </w:p>
    <w:p w14:paraId="07C90C43" w14:textId="77777777" w:rsidR="005C5B52" w:rsidRPr="00313C25" w:rsidRDefault="005C5B52" w:rsidP="00313C25">
      <w:pPr>
        <w:ind w:left="851"/>
        <w:rPr>
          <w:sz w:val="24"/>
          <w:szCs w:val="24"/>
        </w:rPr>
      </w:pPr>
      <w:r w:rsidRPr="00313C25">
        <w:rPr>
          <w:sz w:val="24"/>
          <w:szCs w:val="24"/>
        </w:rPr>
        <w:t>Undgå kontakt med øjnene, herunder hånd-til-øje-kontakt.</w:t>
      </w:r>
    </w:p>
    <w:p w14:paraId="46E827E7" w14:textId="77777777" w:rsidR="005C5B52" w:rsidRPr="00313C25" w:rsidRDefault="005C5B52" w:rsidP="00313C25">
      <w:pPr>
        <w:ind w:left="851"/>
        <w:rPr>
          <w:sz w:val="24"/>
          <w:szCs w:val="24"/>
        </w:rPr>
      </w:pPr>
      <w:r w:rsidRPr="00313C25">
        <w:rPr>
          <w:sz w:val="24"/>
          <w:szCs w:val="24"/>
        </w:rPr>
        <w:t>I tilfælde af utilsigtet kontakt med øjnene skyl straks øjnene med rent rindende vand. Hvis der opstår irritation søg lægehjælp.</w:t>
      </w:r>
    </w:p>
    <w:p w14:paraId="534FA049" w14:textId="77777777" w:rsidR="005C5B52" w:rsidRPr="00313C25" w:rsidRDefault="005C5B52" w:rsidP="00313C25">
      <w:pPr>
        <w:ind w:left="851"/>
        <w:rPr>
          <w:b/>
          <w:bCs/>
          <w:sz w:val="24"/>
          <w:szCs w:val="24"/>
        </w:rPr>
      </w:pPr>
      <w:r w:rsidRPr="00313C25">
        <w:rPr>
          <w:b/>
          <w:bCs/>
          <w:sz w:val="24"/>
          <w:szCs w:val="24"/>
        </w:rPr>
        <w:t>Da thiamazol er et formodet humant teratogent stof, skal kvinder i den fødedygtige alder anvende uigennemtrængelige engangshandsker under administration af veterinærlægemidlet og ved håndtering af brugt kattegrus/opkast fra behandlede katte.</w:t>
      </w:r>
    </w:p>
    <w:p w14:paraId="30C4E26B" w14:textId="77777777" w:rsidR="005C5B52" w:rsidRPr="00313C25" w:rsidRDefault="005C5B52" w:rsidP="00313C25">
      <w:pPr>
        <w:ind w:left="851"/>
        <w:rPr>
          <w:b/>
          <w:bCs/>
          <w:sz w:val="24"/>
          <w:szCs w:val="24"/>
        </w:rPr>
      </w:pPr>
      <w:r w:rsidRPr="00313C25">
        <w:rPr>
          <w:b/>
          <w:bCs/>
          <w:sz w:val="24"/>
          <w:szCs w:val="24"/>
        </w:rPr>
        <w:t>Hvis du er gravid, har mistanke om, at du er gravid, eller planlægger at blive gravid, må du ikke administrere veterinærlægemidlet eller håndtere brugt kattegrus/opkast fra behandlede katte.</w:t>
      </w:r>
    </w:p>
    <w:p w14:paraId="58B7F5E4" w14:textId="77777777" w:rsidR="008203A8" w:rsidRPr="00313C25" w:rsidRDefault="008203A8" w:rsidP="008203A8">
      <w:pPr>
        <w:tabs>
          <w:tab w:val="left" w:pos="851"/>
        </w:tabs>
        <w:ind w:left="851"/>
        <w:rPr>
          <w:sz w:val="24"/>
          <w:szCs w:val="24"/>
        </w:rPr>
      </w:pPr>
    </w:p>
    <w:p w14:paraId="24610C7D" w14:textId="77777777" w:rsidR="008203A8" w:rsidRPr="00313C25" w:rsidRDefault="008203A8" w:rsidP="008203A8">
      <w:pPr>
        <w:tabs>
          <w:tab w:val="left" w:pos="851"/>
        </w:tabs>
        <w:ind w:left="851"/>
        <w:rPr>
          <w:sz w:val="24"/>
          <w:szCs w:val="24"/>
          <w:u w:val="single"/>
        </w:rPr>
      </w:pPr>
      <w:r w:rsidRPr="00313C25">
        <w:rPr>
          <w:sz w:val="24"/>
          <w:szCs w:val="24"/>
          <w:u w:val="single"/>
        </w:rPr>
        <w:t>Særlige forholdsregler vedrørende beskyttelse af miljøet</w:t>
      </w:r>
    </w:p>
    <w:p w14:paraId="0297E357" w14:textId="77777777" w:rsidR="005C5B52" w:rsidRPr="00313C25" w:rsidRDefault="005C5B52" w:rsidP="00313C25">
      <w:pPr>
        <w:ind w:left="851"/>
        <w:rPr>
          <w:sz w:val="24"/>
          <w:szCs w:val="24"/>
        </w:rPr>
      </w:pPr>
      <w:r w:rsidRPr="00313C25">
        <w:rPr>
          <w:sz w:val="24"/>
          <w:szCs w:val="24"/>
        </w:rPr>
        <w:t>Ikke relevant.</w:t>
      </w:r>
    </w:p>
    <w:p w14:paraId="4CEB90CD" w14:textId="77777777" w:rsidR="008203A8" w:rsidRPr="00313C25" w:rsidRDefault="008203A8" w:rsidP="008203A8">
      <w:pPr>
        <w:tabs>
          <w:tab w:val="left" w:pos="851"/>
        </w:tabs>
        <w:ind w:left="851"/>
        <w:rPr>
          <w:sz w:val="24"/>
          <w:szCs w:val="24"/>
        </w:rPr>
      </w:pPr>
    </w:p>
    <w:p w14:paraId="041ED401" w14:textId="77777777" w:rsidR="008203A8" w:rsidRPr="00313C25" w:rsidRDefault="008203A8" w:rsidP="008203A8">
      <w:pPr>
        <w:tabs>
          <w:tab w:val="left" w:pos="851"/>
        </w:tabs>
        <w:ind w:left="851" w:hanging="851"/>
        <w:rPr>
          <w:b/>
          <w:sz w:val="24"/>
          <w:szCs w:val="24"/>
        </w:rPr>
      </w:pPr>
      <w:r w:rsidRPr="00313C25">
        <w:rPr>
          <w:b/>
          <w:sz w:val="24"/>
          <w:szCs w:val="24"/>
        </w:rPr>
        <w:t>3.6</w:t>
      </w:r>
      <w:r w:rsidRPr="00313C25">
        <w:rPr>
          <w:b/>
          <w:sz w:val="24"/>
          <w:szCs w:val="24"/>
        </w:rPr>
        <w:tab/>
        <w:t>Bivirkninger</w:t>
      </w:r>
    </w:p>
    <w:p w14:paraId="3F2D8895" w14:textId="77777777" w:rsidR="005C5B52" w:rsidRPr="00313C25" w:rsidRDefault="005C5B52" w:rsidP="00313C25">
      <w:pPr>
        <w:ind w:left="851"/>
        <w:rPr>
          <w:sz w:val="24"/>
          <w:szCs w:val="24"/>
        </w:rPr>
      </w:pPr>
      <w:r w:rsidRPr="00313C25">
        <w:rPr>
          <w:sz w:val="24"/>
          <w:szCs w:val="24"/>
        </w:rPr>
        <w:t>Der er indberettet bivirkninger efter langtidsbehandling af hyperthyreose. I mange tilfælde kan symptomerne være milde og kortvarige, og vil ikke give årsag til ophør af behandlingen. De mere alvorlige bivirkninger er overvejende reversible, når medicineringen ophører. I disse tilfælde bør behandlingen indstilles øjeblikkeligt, og alternativ behandling bør overvejes efter en passende rekonvalescensperiode.</w:t>
      </w:r>
    </w:p>
    <w:p w14:paraId="50DD99B7" w14:textId="77777777" w:rsidR="005C5B52" w:rsidRPr="00313C25" w:rsidRDefault="005C5B52" w:rsidP="00313C25">
      <w:pPr>
        <w:ind w:left="851"/>
        <w:rPr>
          <w:sz w:val="24"/>
          <w:szCs w:val="24"/>
        </w:rPr>
      </w:pPr>
    </w:p>
    <w:p w14:paraId="605ED64C" w14:textId="77777777" w:rsidR="005C5B52" w:rsidRPr="00313C25" w:rsidRDefault="005C5B52" w:rsidP="00313C25">
      <w:pPr>
        <w:ind w:left="851"/>
        <w:rPr>
          <w:sz w:val="24"/>
          <w:szCs w:val="24"/>
        </w:rPr>
      </w:pPr>
      <w:r w:rsidRPr="00313C25">
        <w:rPr>
          <w:sz w:val="24"/>
          <w:szCs w:val="24"/>
        </w:rPr>
        <w:t>Katte:</w:t>
      </w:r>
    </w:p>
    <w:p w14:paraId="31501321" w14:textId="77777777" w:rsidR="005C5B52" w:rsidRPr="005C5B52" w:rsidRDefault="005C5B52" w:rsidP="005C5B52">
      <w:pPr>
        <w:tabs>
          <w:tab w:val="left" w:pos="851"/>
        </w:tabs>
        <w:ind w:left="851"/>
        <w:rPr>
          <w:sz w:val="24"/>
          <w:szCs w:val="24"/>
        </w:rPr>
      </w:pPr>
    </w:p>
    <w:tbl>
      <w:tblPr>
        <w:tblW w:w="906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6"/>
        <w:gridCol w:w="5514"/>
      </w:tblGrid>
      <w:tr w:rsidR="005C5B52" w:rsidRPr="005C5B52" w14:paraId="089AA16E" w14:textId="77777777" w:rsidTr="00313C25">
        <w:tc>
          <w:tcPr>
            <w:tcW w:w="3546" w:type="dxa"/>
            <w:tcBorders>
              <w:top w:val="single" w:sz="4" w:space="0" w:color="000000"/>
              <w:left w:val="single" w:sz="4" w:space="0" w:color="000000"/>
              <w:bottom w:val="single" w:sz="4" w:space="0" w:color="000000"/>
              <w:right w:val="single" w:sz="4" w:space="0" w:color="000000"/>
            </w:tcBorders>
            <w:hideMark/>
          </w:tcPr>
          <w:p w14:paraId="67FA9395" w14:textId="77777777" w:rsidR="005C5B52" w:rsidRPr="005C5B52" w:rsidRDefault="005C5B52" w:rsidP="00313C25">
            <w:pPr>
              <w:ind w:left="32"/>
              <w:rPr>
                <w:sz w:val="24"/>
                <w:szCs w:val="24"/>
              </w:rPr>
            </w:pPr>
            <w:r w:rsidRPr="005C5B52">
              <w:rPr>
                <w:sz w:val="24"/>
                <w:szCs w:val="24"/>
              </w:rPr>
              <w:t>Ikke almindelig</w:t>
            </w:r>
          </w:p>
          <w:p w14:paraId="12FC969F" w14:textId="77777777" w:rsidR="005C5B52" w:rsidRPr="005C5B52" w:rsidRDefault="005C5B52" w:rsidP="00313C25">
            <w:pPr>
              <w:ind w:left="32"/>
              <w:rPr>
                <w:sz w:val="24"/>
                <w:szCs w:val="24"/>
              </w:rPr>
            </w:pPr>
            <w:r w:rsidRPr="005C5B52">
              <w:rPr>
                <w:sz w:val="24"/>
                <w:szCs w:val="24"/>
              </w:rPr>
              <w:t>(1 til 10 dyr ud af 1.000 behandlede dyr):</w:t>
            </w:r>
          </w:p>
        </w:tc>
        <w:tc>
          <w:tcPr>
            <w:tcW w:w="5514" w:type="dxa"/>
            <w:tcBorders>
              <w:top w:val="single" w:sz="4" w:space="0" w:color="000000"/>
              <w:left w:val="single" w:sz="4" w:space="0" w:color="000000"/>
              <w:bottom w:val="single" w:sz="4" w:space="0" w:color="000000"/>
              <w:right w:val="single" w:sz="4" w:space="0" w:color="000000"/>
            </w:tcBorders>
          </w:tcPr>
          <w:p w14:paraId="7F2AFCEB" w14:textId="77777777" w:rsidR="005C5B52" w:rsidRPr="005C5B52" w:rsidRDefault="005C5B52" w:rsidP="00313C25">
            <w:pPr>
              <w:ind w:left="32"/>
              <w:rPr>
                <w:sz w:val="24"/>
                <w:szCs w:val="24"/>
              </w:rPr>
            </w:pPr>
            <w:r w:rsidRPr="005C5B52">
              <w:rPr>
                <w:sz w:val="24"/>
                <w:szCs w:val="24"/>
              </w:rPr>
              <w:t>Opkastning</w:t>
            </w:r>
            <w:r w:rsidRPr="005C5B52">
              <w:rPr>
                <w:sz w:val="24"/>
                <w:szCs w:val="24"/>
                <w:vertAlign w:val="superscript"/>
              </w:rPr>
              <w:t>1</w:t>
            </w:r>
            <w:r w:rsidRPr="005C5B52">
              <w:rPr>
                <w:sz w:val="24"/>
                <w:szCs w:val="24"/>
              </w:rPr>
              <w:t>, Anoreksi</w:t>
            </w:r>
            <w:r w:rsidRPr="005C5B52">
              <w:rPr>
                <w:sz w:val="24"/>
                <w:szCs w:val="24"/>
                <w:vertAlign w:val="superscript"/>
              </w:rPr>
              <w:t>1</w:t>
            </w:r>
            <w:r w:rsidRPr="005C5B52">
              <w:rPr>
                <w:sz w:val="24"/>
                <w:szCs w:val="24"/>
              </w:rPr>
              <w:t>, Manglende appetit</w:t>
            </w:r>
            <w:r w:rsidRPr="005C5B52">
              <w:rPr>
                <w:sz w:val="24"/>
                <w:szCs w:val="24"/>
                <w:vertAlign w:val="superscript"/>
              </w:rPr>
              <w:t>1</w:t>
            </w:r>
            <w:r w:rsidRPr="005C5B52">
              <w:rPr>
                <w:sz w:val="24"/>
                <w:szCs w:val="24"/>
              </w:rPr>
              <w:t>,</w:t>
            </w:r>
            <w:r w:rsidRPr="005C5B52">
              <w:rPr>
                <w:sz w:val="24"/>
                <w:szCs w:val="24"/>
                <w:vertAlign w:val="superscript"/>
              </w:rPr>
              <w:t xml:space="preserve"> </w:t>
            </w:r>
            <w:r w:rsidRPr="005C5B52">
              <w:rPr>
                <w:sz w:val="24"/>
                <w:szCs w:val="24"/>
              </w:rPr>
              <w:t>Letargi</w:t>
            </w:r>
            <w:r w:rsidRPr="005C5B52">
              <w:rPr>
                <w:sz w:val="24"/>
                <w:szCs w:val="24"/>
                <w:vertAlign w:val="superscript"/>
              </w:rPr>
              <w:t>1</w:t>
            </w:r>
          </w:p>
          <w:p w14:paraId="2F35B530" w14:textId="77777777" w:rsidR="005C5B52" w:rsidRPr="005C5B52" w:rsidRDefault="005C5B52" w:rsidP="00313C25">
            <w:pPr>
              <w:ind w:left="32"/>
              <w:rPr>
                <w:sz w:val="24"/>
                <w:szCs w:val="24"/>
              </w:rPr>
            </w:pPr>
            <w:r w:rsidRPr="005C5B52">
              <w:rPr>
                <w:sz w:val="24"/>
                <w:szCs w:val="24"/>
              </w:rPr>
              <w:t>Pruritus</w:t>
            </w:r>
            <w:r w:rsidRPr="005C5B52">
              <w:rPr>
                <w:sz w:val="24"/>
                <w:szCs w:val="24"/>
                <w:vertAlign w:val="superscript"/>
              </w:rPr>
              <w:t>1,2</w:t>
            </w:r>
            <w:r w:rsidRPr="005C5B52">
              <w:rPr>
                <w:sz w:val="24"/>
                <w:szCs w:val="24"/>
              </w:rPr>
              <w:t>, Ekskoriation</w:t>
            </w:r>
            <w:r w:rsidRPr="005C5B52">
              <w:rPr>
                <w:sz w:val="24"/>
                <w:szCs w:val="24"/>
                <w:vertAlign w:val="superscript"/>
              </w:rPr>
              <w:t>1,2</w:t>
            </w:r>
          </w:p>
          <w:p w14:paraId="3A74C8FB" w14:textId="77777777" w:rsidR="005C5B52" w:rsidRPr="005C5B52" w:rsidRDefault="005C5B52" w:rsidP="00313C25">
            <w:pPr>
              <w:ind w:left="32"/>
              <w:rPr>
                <w:sz w:val="24"/>
                <w:szCs w:val="24"/>
              </w:rPr>
            </w:pPr>
            <w:r w:rsidRPr="005C5B52">
              <w:rPr>
                <w:sz w:val="24"/>
                <w:szCs w:val="24"/>
              </w:rPr>
              <w:t>Langvarig blødning</w:t>
            </w:r>
            <w:r w:rsidRPr="005C5B52">
              <w:rPr>
                <w:sz w:val="24"/>
                <w:szCs w:val="24"/>
                <w:vertAlign w:val="superscript"/>
              </w:rPr>
              <w:t>1,3,4</w:t>
            </w:r>
            <w:r w:rsidRPr="005C5B52">
              <w:rPr>
                <w:sz w:val="24"/>
                <w:szCs w:val="24"/>
              </w:rPr>
              <w:t>, Ikterus</w:t>
            </w:r>
            <w:r w:rsidRPr="005C5B52">
              <w:rPr>
                <w:sz w:val="24"/>
                <w:szCs w:val="24"/>
                <w:vertAlign w:val="superscript"/>
              </w:rPr>
              <w:t>1,4</w:t>
            </w:r>
            <w:r w:rsidRPr="005C5B52">
              <w:rPr>
                <w:sz w:val="24"/>
                <w:szCs w:val="24"/>
              </w:rPr>
              <w:t>, Hepatopati</w:t>
            </w:r>
            <w:r w:rsidRPr="005C5B52">
              <w:rPr>
                <w:sz w:val="24"/>
                <w:szCs w:val="24"/>
                <w:vertAlign w:val="superscript"/>
              </w:rPr>
              <w:t>1</w:t>
            </w:r>
          </w:p>
          <w:p w14:paraId="2D4F1728" w14:textId="77777777" w:rsidR="005C5B52" w:rsidRPr="005C5B52" w:rsidRDefault="005C5B52" w:rsidP="00313C25">
            <w:pPr>
              <w:ind w:left="32"/>
              <w:rPr>
                <w:sz w:val="24"/>
                <w:szCs w:val="24"/>
              </w:rPr>
            </w:pPr>
            <w:r w:rsidRPr="005C5B52">
              <w:rPr>
                <w:sz w:val="24"/>
                <w:szCs w:val="24"/>
              </w:rPr>
              <w:t>Eosinofili</w:t>
            </w:r>
            <w:r w:rsidRPr="005C5B52">
              <w:rPr>
                <w:sz w:val="24"/>
                <w:szCs w:val="24"/>
                <w:vertAlign w:val="superscript"/>
              </w:rPr>
              <w:t>1</w:t>
            </w:r>
            <w:r w:rsidRPr="005C5B52">
              <w:rPr>
                <w:sz w:val="24"/>
                <w:szCs w:val="24"/>
              </w:rPr>
              <w:t>, Lymfocytose</w:t>
            </w:r>
            <w:r w:rsidRPr="005C5B52">
              <w:rPr>
                <w:sz w:val="24"/>
                <w:szCs w:val="24"/>
                <w:vertAlign w:val="superscript"/>
              </w:rPr>
              <w:t>1</w:t>
            </w:r>
            <w:r w:rsidRPr="005C5B52">
              <w:rPr>
                <w:sz w:val="24"/>
                <w:szCs w:val="24"/>
              </w:rPr>
              <w:t>, Neutropeni</w:t>
            </w:r>
            <w:r w:rsidRPr="005C5B52">
              <w:rPr>
                <w:sz w:val="24"/>
                <w:szCs w:val="24"/>
                <w:vertAlign w:val="superscript"/>
              </w:rPr>
              <w:t>1</w:t>
            </w:r>
            <w:r w:rsidRPr="005C5B52">
              <w:rPr>
                <w:sz w:val="24"/>
                <w:szCs w:val="24"/>
              </w:rPr>
              <w:t>, Lymfopeni</w:t>
            </w:r>
            <w:r w:rsidRPr="005C5B52">
              <w:rPr>
                <w:sz w:val="24"/>
                <w:szCs w:val="24"/>
                <w:vertAlign w:val="superscript"/>
              </w:rPr>
              <w:t>1</w:t>
            </w:r>
            <w:r w:rsidRPr="005C5B52">
              <w:rPr>
                <w:sz w:val="24"/>
                <w:szCs w:val="24"/>
              </w:rPr>
              <w:t>, Leukopeni</w:t>
            </w:r>
            <w:r w:rsidRPr="005C5B52">
              <w:rPr>
                <w:sz w:val="24"/>
                <w:szCs w:val="24"/>
                <w:vertAlign w:val="superscript"/>
              </w:rPr>
              <w:t>1</w:t>
            </w:r>
            <w:r w:rsidRPr="005C5B52">
              <w:rPr>
                <w:sz w:val="24"/>
                <w:szCs w:val="24"/>
              </w:rPr>
              <w:t xml:space="preserve"> (mild), Agranulocytose</w:t>
            </w:r>
            <w:r w:rsidRPr="005C5B52">
              <w:rPr>
                <w:sz w:val="24"/>
                <w:szCs w:val="24"/>
                <w:vertAlign w:val="superscript"/>
              </w:rPr>
              <w:t>1</w:t>
            </w:r>
          </w:p>
          <w:p w14:paraId="4E38286E" w14:textId="77777777" w:rsidR="005C5B52" w:rsidRPr="005C5B52" w:rsidRDefault="005C5B52" w:rsidP="00313C25">
            <w:pPr>
              <w:ind w:left="32"/>
              <w:rPr>
                <w:sz w:val="24"/>
                <w:szCs w:val="24"/>
                <w:vertAlign w:val="superscript"/>
              </w:rPr>
            </w:pPr>
            <w:r w:rsidRPr="005C5B52">
              <w:rPr>
                <w:sz w:val="24"/>
                <w:szCs w:val="24"/>
              </w:rPr>
              <w:t>Trombocytopeni</w:t>
            </w:r>
            <w:r w:rsidRPr="005C5B52">
              <w:rPr>
                <w:sz w:val="24"/>
                <w:szCs w:val="24"/>
                <w:vertAlign w:val="superscript"/>
              </w:rPr>
              <w:t>1,6,7</w:t>
            </w:r>
            <w:r w:rsidRPr="005C5B52">
              <w:rPr>
                <w:sz w:val="24"/>
                <w:szCs w:val="24"/>
              </w:rPr>
              <w:t>, Hæmolytisk anæmi</w:t>
            </w:r>
            <w:r w:rsidRPr="005C5B52">
              <w:rPr>
                <w:sz w:val="24"/>
                <w:szCs w:val="24"/>
                <w:vertAlign w:val="superscript"/>
              </w:rPr>
              <w:t>1</w:t>
            </w:r>
          </w:p>
          <w:p w14:paraId="5B73E810" w14:textId="77777777" w:rsidR="005C5B52" w:rsidRPr="005C5B52" w:rsidRDefault="005C5B52" w:rsidP="00313C25">
            <w:pPr>
              <w:ind w:left="32"/>
              <w:rPr>
                <w:sz w:val="24"/>
                <w:szCs w:val="24"/>
              </w:rPr>
            </w:pPr>
          </w:p>
        </w:tc>
      </w:tr>
      <w:tr w:rsidR="005C5B52" w:rsidRPr="005C5B52" w14:paraId="2E0A34A7" w14:textId="77777777" w:rsidTr="00313C25">
        <w:tc>
          <w:tcPr>
            <w:tcW w:w="3546" w:type="dxa"/>
            <w:tcBorders>
              <w:top w:val="single" w:sz="4" w:space="0" w:color="000000"/>
              <w:left w:val="single" w:sz="4" w:space="0" w:color="000000"/>
              <w:bottom w:val="single" w:sz="4" w:space="0" w:color="000000"/>
              <w:right w:val="single" w:sz="4" w:space="0" w:color="000000"/>
            </w:tcBorders>
            <w:hideMark/>
          </w:tcPr>
          <w:p w14:paraId="2F2FB6DA" w14:textId="77777777" w:rsidR="005C5B52" w:rsidRPr="005C5B52" w:rsidRDefault="005C5B52" w:rsidP="00313C25">
            <w:pPr>
              <w:ind w:left="32"/>
              <w:rPr>
                <w:sz w:val="24"/>
                <w:szCs w:val="24"/>
              </w:rPr>
            </w:pPr>
            <w:r w:rsidRPr="005C5B52">
              <w:rPr>
                <w:sz w:val="24"/>
                <w:szCs w:val="24"/>
              </w:rPr>
              <w:t>Sjælden</w:t>
            </w:r>
          </w:p>
          <w:p w14:paraId="5486A462" w14:textId="77777777" w:rsidR="005C5B52" w:rsidRPr="005C5B52" w:rsidRDefault="005C5B52" w:rsidP="00313C25">
            <w:pPr>
              <w:ind w:left="32"/>
              <w:rPr>
                <w:sz w:val="24"/>
                <w:szCs w:val="24"/>
              </w:rPr>
            </w:pPr>
            <w:r w:rsidRPr="005C5B52">
              <w:rPr>
                <w:sz w:val="24"/>
                <w:szCs w:val="24"/>
              </w:rPr>
              <w:t>(1 til 10 dyr ud af 10.000 behandlede dyr):</w:t>
            </w:r>
          </w:p>
        </w:tc>
        <w:tc>
          <w:tcPr>
            <w:tcW w:w="5514" w:type="dxa"/>
            <w:tcBorders>
              <w:top w:val="single" w:sz="4" w:space="0" w:color="000000"/>
              <w:left w:val="single" w:sz="4" w:space="0" w:color="000000"/>
              <w:bottom w:val="single" w:sz="4" w:space="0" w:color="000000"/>
              <w:right w:val="single" w:sz="4" w:space="0" w:color="000000"/>
            </w:tcBorders>
          </w:tcPr>
          <w:p w14:paraId="4C5D1F9D" w14:textId="77777777" w:rsidR="005C5B52" w:rsidRPr="005C5B52" w:rsidRDefault="005C5B52" w:rsidP="00313C25">
            <w:pPr>
              <w:ind w:left="32"/>
              <w:rPr>
                <w:sz w:val="24"/>
                <w:szCs w:val="24"/>
              </w:rPr>
            </w:pPr>
          </w:p>
          <w:p w14:paraId="2B92A5F9" w14:textId="77777777" w:rsidR="005C5B52" w:rsidRPr="005C5B52" w:rsidRDefault="005C5B52" w:rsidP="00313C25">
            <w:pPr>
              <w:ind w:left="32"/>
              <w:rPr>
                <w:sz w:val="24"/>
                <w:szCs w:val="24"/>
              </w:rPr>
            </w:pPr>
            <w:r w:rsidRPr="005C5B52">
              <w:rPr>
                <w:sz w:val="24"/>
                <w:szCs w:val="24"/>
              </w:rPr>
              <w:t>Serum antinukleære antistoffer</w:t>
            </w:r>
            <w:r w:rsidRPr="005C5B52">
              <w:rPr>
                <w:sz w:val="24"/>
                <w:szCs w:val="24"/>
                <w:vertAlign w:val="superscript"/>
              </w:rPr>
              <w:t>5,7</w:t>
            </w:r>
          </w:p>
          <w:p w14:paraId="33F6166D" w14:textId="77777777" w:rsidR="005C5B52" w:rsidRPr="005C5B52" w:rsidRDefault="005C5B52" w:rsidP="00313C25">
            <w:pPr>
              <w:ind w:left="32"/>
              <w:rPr>
                <w:sz w:val="24"/>
                <w:szCs w:val="24"/>
                <w:vertAlign w:val="superscript"/>
              </w:rPr>
            </w:pPr>
            <w:r w:rsidRPr="005C5B52">
              <w:rPr>
                <w:sz w:val="24"/>
                <w:szCs w:val="24"/>
              </w:rPr>
              <w:t>Anæmi</w:t>
            </w:r>
            <w:r w:rsidRPr="005C5B52">
              <w:rPr>
                <w:sz w:val="24"/>
                <w:szCs w:val="24"/>
                <w:vertAlign w:val="superscript"/>
              </w:rPr>
              <w:t>5,7</w:t>
            </w:r>
          </w:p>
          <w:p w14:paraId="02C72CB1" w14:textId="77777777" w:rsidR="005C5B52" w:rsidRPr="005C5B52" w:rsidRDefault="005C5B52" w:rsidP="00313C25">
            <w:pPr>
              <w:ind w:left="32"/>
              <w:rPr>
                <w:sz w:val="24"/>
                <w:szCs w:val="24"/>
              </w:rPr>
            </w:pPr>
          </w:p>
        </w:tc>
      </w:tr>
      <w:tr w:rsidR="005C5B52" w:rsidRPr="005C5B52" w14:paraId="471624E3" w14:textId="77777777" w:rsidTr="00313C25">
        <w:tc>
          <w:tcPr>
            <w:tcW w:w="3546" w:type="dxa"/>
            <w:tcBorders>
              <w:top w:val="single" w:sz="4" w:space="0" w:color="000000"/>
              <w:left w:val="single" w:sz="4" w:space="0" w:color="000000"/>
              <w:bottom w:val="single" w:sz="4" w:space="0" w:color="000000"/>
              <w:right w:val="single" w:sz="4" w:space="0" w:color="000000"/>
            </w:tcBorders>
            <w:hideMark/>
          </w:tcPr>
          <w:p w14:paraId="5892C6E8" w14:textId="77777777" w:rsidR="005C5B52" w:rsidRPr="005C5B52" w:rsidRDefault="005C5B52" w:rsidP="00313C25">
            <w:pPr>
              <w:ind w:left="32"/>
              <w:rPr>
                <w:sz w:val="24"/>
                <w:szCs w:val="24"/>
              </w:rPr>
            </w:pPr>
            <w:r w:rsidRPr="005C5B52">
              <w:rPr>
                <w:sz w:val="24"/>
                <w:szCs w:val="24"/>
              </w:rPr>
              <w:t>Meget sjælden</w:t>
            </w:r>
          </w:p>
          <w:p w14:paraId="11E593C4" w14:textId="77777777" w:rsidR="005C5B52" w:rsidRPr="005C5B52" w:rsidRDefault="005C5B52" w:rsidP="00313C25">
            <w:pPr>
              <w:ind w:left="32"/>
              <w:rPr>
                <w:sz w:val="24"/>
                <w:szCs w:val="24"/>
              </w:rPr>
            </w:pPr>
            <w:r w:rsidRPr="005C5B52">
              <w:rPr>
                <w:sz w:val="24"/>
                <w:szCs w:val="24"/>
              </w:rPr>
              <w:t>(&lt; 1 dyr ud af 10.000 behandlede dyr, herunder enkeltstående indberetninger):</w:t>
            </w:r>
          </w:p>
        </w:tc>
        <w:tc>
          <w:tcPr>
            <w:tcW w:w="5514" w:type="dxa"/>
            <w:tcBorders>
              <w:top w:val="single" w:sz="4" w:space="0" w:color="000000"/>
              <w:left w:val="single" w:sz="4" w:space="0" w:color="000000"/>
              <w:bottom w:val="single" w:sz="4" w:space="0" w:color="000000"/>
              <w:right w:val="single" w:sz="4" w:space="0" w:color="000000"/>
            </w:tcBorders>
          </w:tcPr>
          <w:p w14:paraId="2F6285BE" w14:textId="77777777" w:rsidR="005C5B52" w:rsidRPr="005C5B52" w:rsidRDefault="005C5B52" w:rsidP="00313C25">
            <w:pPr>
              <w:ind w:left="32"/>
              <w:rPr>
                <w:sz w:val="24"/>
                <w:szCs w:val="24"/>
              </w:rPr>
            </w:pPr>
            <w:r w:rsidRPr="005C5B52">
              <w:rPr>
                <w:sz w:val="24"/>
                <w:szCs w:val="24"/>
              </w:rPr>
              <w:t>Lymfadenopati</w:t>
            </w:r>
            <w:r w:rsidRPr="005C5B52">
              <w:rPr>
                <w:sz w:val="24"/>
                <w:szCs w:val="24"/>
                <w:vertAlign w:val="superscript"/>
              </w:rPr>
              <w:t>5,7</w:t>
            </w:r>
            <w:r w:rsidRPr="005C5B52">
              <w:rPr>
                <w:sz w:val="24"/>
                <w:szCs w:val="24"/>
              </w:rPr>
              <w:t xml:space="preserve">, </w:t>
            </w:r>
          </w:p>
          <w:p w14:paraId="71B1A50F" w14:textId="77777777" w:rsidR="005C5B52" w:rsidRPr="005C5B52" w:rsidRDefault="005C5B52" w:rsidP="00313C25">
            <w:pPr>
              <w:ind w:left="32"/>
              <w:rPr>
                <w:sz w:val="24"/>
                <w:szCs w:val="24"/>
              </w:rPr>
            </w:pPr>
          </w:p>
        </w:tc>
      </w:tr>
    </w:tbl>
    <w:p w14:paraId="3791FCCB" w14:textId="71C9D934" w:rsidR="005C5B52" w:rsidRPr="005C5B52" w:rsidRDefault="005C5B52" w:rsidP="00313C25">
      <w:pPr>
        <w:ind w:left="1134" w:hanging="283"/>
        <w:rPr>
          <w:sz w:val="24"/>
          <w:szCs w:val="24"/>
        </w:rPr>
      </w:pPr>
      <w:r w:rsidRPr="005C5B52">
        <w:rPr>
          <w:sz w:val="24"/>
          <w:szCs w:val="24"/>
          <w:vertAlign w:val="superscript"/>
        </w:rPr>
        <w:t>1</w:t>
      </w:r>
      <w:r w:rsidRPr="005C5B52">
        <w:rPr>
          <w:sz w:val="24"/>
          <w:szCs w:val="24"/>
        </w:rPr>
        <w:t xml:space="preserve"> </w:t>
      </w:r>
      <w:r w:rsidR="00313C25" w:rsidRPr="00313C25">
        <w:rPr>
          <w:sz w:val="24"/>
          <w:szCs w:val="24"/>
        </w:rPr>
        <w:tab/>
      </w:r>
      <w:r w:rsidRPr="005C5B52">
        <w:rPr>
          <w:sz w:val="24"/>
          <w:szCs w:val="24"/>
        </w:rPr>
        <w:t>Forsvinder inden for 7 til 45 dage efter ophør med thiamazol-behandling.</w:t>
      </w:r>
    </w:p>
    <w:p w14:paraId="769BD9E6" w14:textId="679E9680" w:rsidR="005C5B52" w:rsidRPr="005C5B52" w:rsidRDefault="005C5B52" w:rsidP="00313C25">
      <w:pPr>
        <w:ind w:left="1134" w:hanging="283"/>
        <w:rPr>
          <w:sz w:val="24"/>
          <w:szCs w:val="24"/>
        </w:rPr>
      </w:pPr>
      <w:r w:rsidRPr="005C5B52">
        <w:rPr>
          <w:sz w:val="24"/>
          <w:szCs w:val="24"/>
          <w:vertAlign w:val="superscript"/>
        </w:rPr>
        <w:t>2</w:t>
      </w:r>
      <w:r w:rsidRPr="005C5B52">
        <w:rPr>
          <w:sz w:val="24"/>
          <w:szCs w:val="24"/>
        </w:rPr>
        <w:t xml:space="preserve"> </w:t>
      </w:r>
      <w:r w:rsidR="00313C25" w:rsidRPr="00313C25">
        <w:rPr>
          <w:sz w:val="24"/>
          <w:szCs w:val="24"/>
        </w:rPr>
        <w:tab/>
      </w:r>
      <w:r w:rsidRPr="005C5B52">
        <w:rPr>
          <w:sz w:val="24"/>
          <w:szCs w:val="24"/>
        </w:rPr>
        <w:t>Alvorlige på hoved og hals.</w:t>
      </w:r>
    </w:p>
    <w:p w14:paraId="54034ACF" w14:textId="4A009B05" w:rsidR="005C5B52" w:rsidRPr="005C5B52" w:rsidRDefault="005C5B52" w:rsidP="00313C25">
      <w:pPr>
        <w:ind w:left="1134" w:hanging="283"/>
        <w:rPr>
          <w:sz w:val="24"/>
          <w:szCs w:val="24"/>
        </w:rPr>
      </w:pPr>
      <w:r w:rsidRPr="005C5B52">
        <w:rPr>
          <w:sz w:val="24"/>
          <w:szCs w:val="24"/>
          <w:vertAlign w:val="superscript"/>
        </w:rPr>
        <w:t>3</w:t>
      </w:r>
      <w:r w:rsidRPr="005C5B52">
        <w:rPr>
          <w:sz w:val="24"/>
          <w:szCs w:val="24"/>
        </w:rPr>
        <w:t xml:space="preserve"> </w:t>
      </w:r>
      <w:r w:rsidR="00313C25" w:rsidRPr="00313C25">
        <w:rPr>
          <w:sz w:val="24"/>
          <w:szCs w:val="24"/>
        </w:rPr>
        <w:tab/>
      </w:r>
      <w:r w:rsidRPr="005C5B52">
        <w:rPr>
          <w:sz w:val="24"/>
          <w:szCs w:val="24"/>
        </w:rPr>
        <w:t>Tegn på blødende diatese.</w:t>
      </w:r>
    </w:p>
    <w:p w14:paraId="1D59C397" w14:textId="1447E596" w:rsidR="005C5B52" w:rsidRPr="005C5B52" w:rsidRDefault="005C5B52" w:rsidP="00313C25">
      <w:pPr>
        <w:ind w:left="1134" w:hanging="283"/>
        <w:rPr>
          <w:sz w:val="24"/>
          <w:szCs w:val="24"/>
        </w:rPr>
      </w:pPr>
      <w:r w:rsidRPr="005C5B52">
        <w:rPr>
          <w:sz w:val="24"/>
          <w:szCs w:val="24"/>
          <w:vertAlign w:val="superscript"/>
        </w:rPr>
        <w:t>4</w:t>
      </w:r>
      <w:r w:rsidRPr="005C5B52">
        <w:rPr>
          <w:sz w:val="24"/>
          <w:szCs w:val="24"/>
        </w:rPr>
        <w:t xml:space="preserve"> </w:t>
      </w:r>
      <w:r w:rsidR="00313C25" w:rsidRPr="00313C25">
        <w:rPr>
          <w:sz w:val="24"/>
          <w:szCs w:val="24"/>
        </w:rPr>
        <w:tab/>
      </w:r>
      <w:r w:rsidRPr="005C5B52">
        <w:rPr>
          <w:sz w:val="24"/>
          <w:szCs w:val="24"/>
        </w:rPr>
        <w:t>I forbindelse med hepatopati.</w:t>
      </w:r>
    </w:p>
    <w:p w14:paraId="17B129E9" w14:textId="253F6C02" w:rsidR="005C5B52" w:rsidRPr="005C5B52" w:rsidRDefault="005C5B52" w:rsidP="00313C25">
      <w:pPr>
        <w:ind w:left="1134" w:hanging="283"/>
        <w:rPr>
          <w:sz w:val="24"/>
          <w:szCs w:val="24"/>
        </w:rPr>
      </w:pPr>
      <w:r w:rsidRPr="005C5B52">
        <w:rPr>
          <w:sz w:val="24"/>
          <w:szCs w:val="24"/>
          <w:vertAlign w:val="superscript"/>
        </w:rPr>
        <w:t>5</w:t>
      </w:r>
      <w:r w:rsidRPr="005C5B52">
        <w:rPr>
          <w:sz w:val="24"/>
          <w:szCs w:val="24"/>
        </w:rPr>
        <w:t xml:space="preserve"> </w:t>
      </w:r>
      <w:r w:rsidR="00313C25" w:rsidRPr="00313C25">
        <w:rPr>
          <w:sz w:val="24"/>
          <w:szCs w:val="24"/>
        </w:rPr>
        <w:tab/>
      </w:r>
      <w:r w:rsidRPr="005C5B52">
        <w:rPr>
          <w:sz w:val="24"/>
          <w:szCs w:val="24"/>
        </w:rPr>
        <w:t>Immunologisk bivirkning.</w:t>
      </w:r>
    </w:p>
    <w:p w14:paraId="02A19003" w14:textId="0D1F4B44" w:rsidR="005C5B52" w:rsidRPr="005C5B52" w:rsidRDefault="005C5B52" w:rsidP="00313C25">
      <w:pPr>
        <w:ind w:left="1134" w:hanging="283"/>
        <w:rPr>
          <w:sz w:val="24"/>
          <w:szCs w:val="24"/>
        </w:rPr>
      </w:pPr>
      <w:r w:rsidRPr="005C5B52">
        <w:rPr>
          <w:sz w:val="24"/>
          <w:szCs w:val="24"/>
          <w:vertAlign w:val="superscript"/>
        </w:rPr>
        <w:t>6</w:t>
      </w:r>
      <w:r w:rsidRPr="005C5B52">
        <w:rPr>
          <w:sz w:val="24"/>
          <w:szCs w:val="24"/>
        </w:rPr>
        <w:t xml:space="preserve"> </w:t>
      </w:r>
      <w:r w:rsidR="00313C25" w:rsidRPr="00313C25">
        <w:rPr>
          <w:sz w:val="24"/>
          <w:szCs w:val="24"/>
        </w:rPr>
        <w:tab/>
      </w:r>
      <w:r w:rsidRPr="005C5B52">
        <w:rPr>
          <w:sz w:val="24"/>
          <w:szCs w:val="24"/>
        </w:rPr>
        <w:t>Forekommer ikke almindeligt som en hæmatologisk anomaly og sjældent som en immunologisk bivirkning.</w:t>
      </w:r>
    </w:p>
    <w:p w14:paraId="0B1E77B1" w14:textId="04972E92" w:rsidR="005C5B52" w:rsidRPr="005C5B52" w:rsidRDefault="005C5B52" w:rsidP="00313C25">
      <w:pPr>
        <w:ind w:left="1134" w:hanging="283"/>
        <w:rPr>
          <w:sz w:val="24"/>
          <w:szCs w:val="24"/>
        </w:rPr>
      </w:pPr>
      <w:r w:rsidRPr="005C5B52">
        <w:rPr>
          <w:sz w:val="24"/>
          <w:szCs w:val="24"/>
          <w:vertAlign w:val="superscript"/>
        </w:rPr>
        <w:t xml:space="preserve">7 </w:t>
      </w:r>
      <w:r w:rsidR="00313C25" w:rsidRPr="00313C25">
        <w:rPr>
          <w:sz w:val="24"/>
          <w:szCs w:val="24"/>
          <w:vertAlign w:val="superscript"/>
        </w:rPr>
        <w:tab/>
      </w:r>
      <w:r w:rsidRPr="005C5B52">
        <w:rPr>
          <w:sz w:val="24"/>
          <w:szCs w:val="24"/>
        </w:rPr>
        <w:t>Behandlingen skal straks indstilles, og der bør overvejes alternativ behandling efter en passende rekonvalescensperiode.</w:t>
      </w:r>
    </w:p>
    <w:p w14:paraId="2AE28869" w14:textId="77777777" w:rsidR="005C5B52" w:rsidRPr="00313C25" w:rsidRDefault="005C5B52" w:rsidP="00313C25">
      <w:pPr>
        <w:ind w:left="851"/>
        <w:rPr>
          <w:sz w:val="24"/>
          <w:szCs w:val="24"/>
        </w:rPr>
      </w:pPr>
    </w:p>
    <w:p w14:paraId="4F97FD13" w14:textId="77777777" w:rsidR="005C5B52" w:rsidRPr="00313C25" w:rsidRDefault="005C5B52" w:rsidP="00313C25">
      <w:pPr>
        <w:ind w:left="851"/>
        <w:rPr>
          <w:sz w:val="24"/>
          <w:szCs w:val="24"/>
        </w:rPr>
      </w:pPr>
      <w:r w:rsidRPr="00313C25">
        <w:rPr>
          <w:sz w:val="24"/>
          <w:szCs w:val="24"/>
        </w:rPr>
        <w:t>Indberetning af bivirkninger er vigtigt, da det muliggør løbende sikkerhedsovervågning af et veterinærlægemiddel. Indberetningerne sendes, helst via en dyrlæge, til enten indehaveren af markedsføringstilladelsen eller dennes lokale repræsentant eller til den nationale kompetente myndighed via det nationale indberetningssystem. Se indlægssedlen for de relevante kontaktoplysninger.</w:t>
      </w:r>
    </w:p>
    <w:p w14:paraId="02504C93" w14:textId="77777777" w:rsidR="008203A8" w:rsidRPr="00313C25" w:rsidRDefault="008203A8" w:rsidP="008203A8">
      <w:pPr>
        <w:tabs>
          <w:tab w:val="left" w:pos="851"/>
        </w:tabs>
        <w:ind w:left="851"/>
        <w:rPr>
          <w:sz w:val="24"/>
          <w:szCs w:val="24"/>
        </w:rPr>
      </w:pPr>
    </w:p>
    <w:p w14:paraId="5D96506F" w14:textId="77777777" w:rsidR="008203A8" w:rsidRPr="00313C25" w:rsidRDefault="008203A8" w:rsidP="008203A8">
      <w:pPr>
        <w:tabs>
          <w:tab w:val="left" w:pos="851"/>
        </w:tabs>
        <w:ind w:left="851" w:hanging="851"/>
        <w:rPr>
          <w:b/>
          <w:sz w:val="24"/>
          <w:szCs w:val="24"/>
        </w:rPr>
      </w:pPr>
      <w:r w:rsidRPr="00313C25">
        <w:rPr>
          <w:b/>
          <w:sz w:val="24"/>
          <w:szCs w:val="24"/>
        </w:rPr>
        <w:t>3.7</w:t>
      </w:r>
      <w:r w:rsidRPr="00313C25">
        <w:rPr>
          <w:b/>
          <w:sz w:val="24"/>
          <w:szCs w:val="24"/>
        </w:rPr>
        <w:tab/>
        <w:t>Anvendelse under drægtighed, laktation eller æglægning</w:t>
      </w:r>
    </w:p>
    <w:p w14:paraId="7FB70D77" w14:textId="77777777" w:rsidR="00313C25" w:rsidRDefault="00313C25" w:rsidP="00313C25">
      <w:pPr>
        <w:ind w:left="851"/>
        <w:rPr>
          <w:sz w:val="24"/>
          <w:szCs w:val="24"/>
        </w:rPr>
      </w:pPr>
    </w:p>
    <w:p w14:paraId="65413B64" w14:textId="7372370E" w:rsidR="005C5B52" w:rsidRPr="00313C25" w:rsidRDefault="005C5B52" w:rsidP="00313C25">
      <w:pPr>
        <w:ind w:left="851"/>
        <w:rPr>
          <w:sz w:val="24"/>
          <w:szCs w:val="24"/>
          <w:u w:val="single"/>
        </w:rPr>
      </w:pPr>
      <w:r w:rsidRPr="00313C25">
        <w:rPr>
          <w:sz w:val="24"/>
          <w:szCs w:val="24"/>
          <w:u w:val="single"/>
        </w:rPr>
        <w:t>Drægtighed og laktation:</w:t>
      </w:r>
    </w:p>
    <w:p w14:paraId="12906743" w14:textId="77777777" w:rsidR="005C5B52" w:rsidRPr="00313C25" w:rsidRDefault="005C5B52" w:rsidP="00313C25">
      <w:pPr>
        <w:ind w:left="851"/>
        <w:rPr>
          <w:sz w:val="24"/>
          <w:szCs w:val="24"/>
        </w:rPr>
      </w:pPr>
      <w:bookmarkStart w:id="0" w:name="_heading=h.k943m6ipsblo"/>
      <w:bookmarkEnd w:id="0"/>
      <w:r w:rsidRPr="00313C25">
        <w:rPr>
          <w:sz w:val="24"/>
          <w:szCs w:val="24"/>
        </w:rPr>
        <w:t>Veterinærlægemidlets sikkerhed under drægtighed og laktation er ikke fastlagt. Må ikke anvendes til drægtige eller diegivende hunkatte.</w:t>
      </w:r>
    </w:p>
    <w:p w14:paraId="48D63973" w14:textId="77777777" w:rsidR="005C5B52" w:rsidRPr="00313C25" w:rsidRDefault="005C5B52" w:rsidP="00313C25">
      <w:pPr>
        <w:ind w:left="851"/>
        <w:rPr>
          <w:sz w:val="24"/>
          <w:szCs w:val="24"/>
        </w:rPr>
      </w:pPr>
      <w:r w:rsidRPr="00313C25">
        <w:rPr>
          <w:sz w:val="24"/>
          <w:szCs w:val="24"/>
        </w:rPr>
        <w:t>Laboratorieundersøgelser af rotter og mus har afsløret teratogene og embryotoksiske virkninger af thiamazol. Se pkt. 3.3.</w:t>
      </w:r>
    </w:p>
    <w:p w14:paraId="7A3A64F0" w14:textId="77777777" w:rsidR="008203A8" w:rsidRPr="00313C25" w:rsidRDefault="008203A8" w:rsidP="008203A8">
      <w:pPr>
        <w:tabs>
          <w:tab w:val="left" w:pos="851"/>
        </w:tabs>
        <w:ind w:left="851"/>
        <w:rPr>
          <w:sz w:val="24"/>
          <w:szCs w:val="24"/>
        </w:rPr>
      </w:pPr>
    </w:p>
    <w:p w14:paraId="2D3F3CDB" w14:textId="77777777" w:rsidR="008203A8" w:rsidRPr="00313C25" w:rsidRDefault="008203A8" w:rsidP="008203A8">
      <w:pPr>
        <w:tabs>
          <w:tab w:val="left" w:pos="851"/>
        </w:tabs>
        <w:ind w:left="851" w:hanging="851"/>
        <w:rPr>
          <w:b/>
          <w:sz w:val="24"/>
          <w:szCs w:val="24"/>
        </w:rPr>
      </w:pPr>
      <w:r w:rsidRPr="00313C25">
        <w:rPr>
          <w:b/>
          <w:sz w:val="24"/>
          <w:szCs w:val="24"/>
        </w:rPr>
        <w:t>3.8</w:t>
      </w:r>
      <w:r w:rsidRPr="00313C25">
        <w:rPr>
          <w:b/>
          <w:sz w:val="24"/>
          <w:szCs w:val="24"/>
        </w:rPr>
        <w:tab/>
        <w:t>Interaktion med andre lægemidler og andre former for interaktion</w:t>
      </w:r>
    </w:p>
    <w:p w14:paraId="58267A73" w14:textId="77777777" w:rsidR="005C5B52" w:rsidRPr="00313C25" w:rsidRDefault="005C5B52" w:rsidP="00313C25">
      <w:pPr>
        <w:ind w:left="851"/>
        <w:rPr>
          <w:sz w:val="24"/>
          <w:szCs w:val="24"/>
        </w:rPr>
      </w:pPr>
      <w:r w:rsidRPr="00313C25">
        <w:rPr>
          <w:sz w:val="24"/>
          <w:szCs w:val="24"/>
        </w:rPr>
        <w:t>Samtidig behandling med phenobarbital kan reducere thiamazols kliniske virkning.</w:t>
      </w:r>
    </w:p>
    <w:p w14:paraId="573471E1" w14:textId="77777777" w:rsidR="005C5B52" w:rsidRPr="00313C25" w:rsidRDefault="005C5B52" w:rsidP="00313C25">
      <w:pPr>
        <w:ind w:left="851"/>
        <w:rPr>
          <w:sz w:val="24"/>
          <w:szCs w:val="24"/>
        </w:rPr>
      </w:pPr>
      <w:r w:rsidRPr="00313C25">
        <w:rPr>
          <w:sz w:val="24"/>
          <w:szCs w:val="24"/>
        </w:rPr>
        <w:t>Det er konstateret, at thiamazol reducerer den hepatiske oxidering af benzimidazol-baserede ormemidler og kan medføre forhøjelse af ormemidlernes plasmakoncentrationer ved samtidig indgivelse.</w:t>
      </w:r>
    </w:p>
    <w:p w14:paraId="1201B85B" w14:textId="77777777" w:rsidR="005C5B52" w:rsidRPr="00313C25" w:rsidRDefault="005C5B52" w:rsidP="00313C25">
      <w:pPr>
        <w:ind w:left="851"/>
        <w:rPr>
          <w:sz w:val="24"/>
          <w:szCs w:val="24"/>
        </w:rPr>
      </w:pPr>
      <w:r w:rsidRPr="00313C25">
        <w:rPr>
          <w:sz w:val="24"/>
          <w:szCs w:val="24"/>
        </w:rPr>
        <w:t>Thiamazol er immunmodulerende, hvilket der skal tages højde for ved overvejelse af vaccinationsprogrammer.</w:t>
      </w:r>
    </w:p>
    <w:p w14:paraId="39723379" w14:textId="77777777" w:rsidR="008203A8" w:rsidRPr="00313C25" w:rsidRDefault="008203A8" w:rsidP="008203A8">
      <w:pPr>
        <w:tabs>
          <w:tab w:val="left" w:pos="851"/>
        </w:tabs>
        <w:ind w:left="851"/>
        <w:rPr>
          <w:sz w:val="24"/>
          <w:szCs w:val="24"/>
        </w:rPr>
      </w:pPr>
    </w:p>
    <w:p w14:paraId="6D2D771B" w14:textId="77777777" w:rsidR="008203A8" w:rsidRPr="00313C25" w:rsidRDefault="008203A8" w:rsidP="008203A8">
      <w:pPr>
        <w:tabs>
          <w:tab w:val="left" w:pos="851"/>
        </w:tabs>
        <w:ind w:left="851" w:hanging="851"/>
        <w:rPr>
          <w:b/>
          <w:sz w:val="24"/>
          <w:szCs w:val="24"/>
        </w:rPr>
      </w:pPr>
      <w:r w:rsidRPr="00313C25">
        <w:rPr>
          <w:b/>
          <w:sz w:val="24"/>
          <w:szCs w:val="24"/>
        </w:rPr>
        <w:t>3.9</w:t>
      </w:r>
      <w:r w:rsidRPr="00313C25">
        <w:rPr>
          <w:b/>
          <w:sz w:val="24"/>
          <w:szCs w:val="24"/>
        </w:rPr>
        <w:tab/>
        <w:t>Administrationsveje og dosering</w:t>
      </w:r>
    </w:p>
    <w:p w14:paraId="36ED34A5" w14:textId="77777777" w:rsidR="005C5B52" w:rsidRPr="00313C25" w:rsidRDefault="005C5B52" w:rsidP="00313C25">
      <w:pPr>
        <w:ind w:left="851"/>
        <w:rPr>
          <w:sz w:val="24"/>
          <w:szCs w:val="24"/>
        </w:rPr>
      </w:pPr>
      <w:r w:rsidRPr="00313C25">
        <w:rPr>
          <w:sz w:val="24"/>
          <w:szCs w:val="24"/>
        </w:rPr>
        <w:t>Oral anvendelse.</w:t>
      </w:r>
    </w:p>
    <w:p w14:paraId="45097C5A" w14:textId="77777777" w:rsidR="005C5B52" w:rsidRPr="00313C25" w:rsidRDefault="005C5B52" w:rsidP="00313C25">
      <w:pPr>
        <w:ind w:left="851"/>
        <w:rPr>
          <w:sz w:val="24"/>
          <w:szCs w:val="24"/>
        </w:rPr>
      </w:pPr>
      <w:r w:rsidRPr="00313C25">
        <w:rPr>
          <w:sz w:val="24"/>
          <w:szCs w:val="24"/>
        </w:rPr>
        <w:t>Må ikke administreres i maden, da veterinærlægemidlets effekt ved denne administrationsvej ikke er blevet fastlagt.</w:t>
      </w:r>
    </w:p>
    <w:p w14:paraId="17F45D71" w14:textId="77777777" w:rsidR="005C5B52" w:rsidRPr="00313C25" w:rsidRDefault="005C5B52" w:rsidP="00313C25">
      <w:pPr>
        <w:ind w:left="851"/>
        <w:rPr>
          <w:sz w:val="24"/>
          <w:szCs w:val="24"/>
        </w:rPr>
      </w:pPr>
    </w:p>
    <w:p w14:paraId="14B17C3D" w14:textId="77777777" w:rsidR="005C5B52" w:rsidRPr="00313C25" w:rsidRDefault="005C5B52" w:rsidP="00313C25">
      <w:pPr>
        <w:ind w:left="851"/>
        <w:rPr>
          <w:sz w:val="24"/>
          <w:szCs w:val="24"/>
        </w:rPr>
      </w:pPr>
      <w:bookmarkStart w:id="1" w:name="_heading=h.vkncpgluqj9j"/>
      <w:bookmarkEnd w:id="1"/>
      <w:r w:rsidRPr="00313C25">
        <w:rPr>
          <w:sz w:val="24"/>
          <w:szCs w:val="24"/>
        </w:rPr>
        <w:t>Til stabilisering af hyperthyreose hos katte forud for kirurgisk thyroidektomi og til langtidsbehandling af hyperthyreose hos katte er den anbefalede startdosis 5 mg thiamazol (0,5 ml af veterinærlægemidlet) per dag.</w:t>
      </w:r>
    </w:p>
    <w:p w14:paraId="77F7EEDF" w14:textId="77777777" w:rsidR="005C5B52" w:rsidRPr="00313C25" w:rsidRDefault="005C5B52" w:rsidP="00313C25">
      <w:pPr>
        <w:ind w:left="851"/>
        <w:rPr>
          <w:sz w:val="24"/>
          <w:szCs w:val="24"/>
        </w:rPr>
      </w:pPr>
      <w:r w:rsidRPr="00313C25">
        <w:rPr>
          <w:sz w:val="24"/>
          <w:szCs w:val="24"/>
        </w:rPr>
        <w:t xml:space="preserve">Den samlede daglige dosis skal deles i to og indgives morgen og aften. </w:t>
      </w:r>
    </w:p>
    <w:p w14:paraId="7D93E27C" w14:textId="77777777" w:rsidR="005C5B52" w:rsidRPr="00313C25" w:rsidRDefault="005C5B52" w:rsidP="00313C25">
      <w:pPr>
        <w:ind w:left="851"/>
        <w:rPr>
          <w:sz w:val="24"/>
          <w:szCs w:val="24"/>
        </w:rPr>
      </w:pPr>
      <w:r w:rsidRPr="00313C25">
        <w:rPr>
          <w:sz w:val="24"/>
          <w:szCs w:val="24"/>
        </w:rPr>
        <w:t xml:space="preserve">For korrekt administration af dosis skal den medfølgende sprøjte anvendes. Sprøjten er gradueret i intervaller af 0,5 mg eller 1,25 mg op til 10 mg og er tilpasset flasken. Kun intervaller på 0,5 mg eller 1,25 mg er nøjagtige. Doseringsnøjagtighed garanteres ikke ved brug af intervaller på 0,1 mg. Den nødvendige dosis trækkes op, og veterinærlægemidlet administreres direkte i kattens mund.  </w:t>
      </w:r>
    </w:p>
    <w:p w14:paraId="2D64AA75" w14:textId="77777777" w:rsidR="005C5B52" w:rsidRPr="00313C25" w:rsidRDefault="005C5B52" w:rsidP="00313C25">
      <w:pPr>
        <w:ind w:left="851"/>
        <w:rPr>
          <w:sz w:val="24"/>
          <w:szCs w:val="24"/>
        </w:rPr>
      </w:pPr>
    </w:p>
    <w:p w14:paraId="09EC0447" w14:textId="77777777" w:rsidR="005C5B52" w:rsidRPr="00313C25" w:rsidRDefault="005C5B52" w:rsidP="00313C25">
      <w:pPr>
        <w:ind w:left="851"/>
        <w:rPr>
          <w:sz w:val="24"/>
          <w:szCs w:val="24"/>
        </w:rPr>
      </w:pPr>
      <w:r w:rsidRPr="00313C25">
        <w:rPr>
          <w:sz w:val="24"/>
          <w:szCs w:val="24"/>
        </w:rPr>
        <w:t>Hæmatologi, biokemi og total T4 i serum skal kontrolleres før behandlingsstart og efter 3 uger, 6 uger, 10 uger, 20 uger, og derefter hver 3. måned. Ved hvert af de anbefalede kontrolintervaller, bør dosis titreres for effekt i henhold til den totale T4 og den kliniske respons på behandlingen. Dosisjusteringer skal udføres i stigninger på 2,5 mg thiamazol (0,25 ml af veterinærlægemidlet) og målet skal være at opnå den laveste mulige dosis. Hos katte, der kræver særligt små dosisjusteringer, kan der anvendes stigninger på 1,25 mg thiamazol (0,125 ml af veterinærlægemidlet). Hvis den totale T4-koncentration falder til under den nedre ende af referenceintervallet, og især hvis katten viser kliniske tegn på iatrogen hypothyroidisme (f.eks. letargi, manglende appetit, vægtøgning og/eller dermatologiske tegn såsom alopeci og tør hud), bør det overvejes at reducere den daglige dosis og/eller doseringshyppigheden.</w:t>
      </w:r>
    </w:p>
    <w:p w14:paraId="3E6CCCFE" w14:textId="77777777" w:rsidR="005C5B52" w:rsidRPr="00313C25" w:rsidRDefault="005C5B52" w:rsidP="00313C25">
      <w:pPr>
        <w:ind w:left="851"/>
        <w:rPr>
          <w:sz w:val="24"/>
          <w:szCs w:val="24"/>
        </w:rPr>
      </w:pPr>
    </w:p>
    <w:p w14:paraId="6F0104C3" w14:textId="77777777" w:rsidR="005C5B52" w:rsidRPr="00313C25" w:rsidRDefault="005C5B52" w:rsidP="00313C25">
      <w:pPr>
        <w:ind w:left="851"/>
        <w:rPr>
          <w:sz w:val="24"/>
          <w:szCs w:val="24"/>
        </w:rPr>
      </w:pPr>
      <w:r w:rsidRPr="00313C25">
        <w:rPr>
          <w:sz w:val="24"/>
          <w:szCs w:val="24"/>
        </w:rPr>
        <w:t xml:space="preserve">Hvis mere end 10 mg thiamizol per dag er nødvendigt, skal dyrene overvåges ekstra omhyggeligt. </w:t>
      </w:r>
    </w:p>
    <w:p w14:paraId="15209A8A" w14:textId="77777777" w:rsidR="005C5B52" w:rsidRPr="00313C25" w:rsidRDefault="005C5B52" w:rsidP="00313C25">
      <w:pPr>
        <w:ind w:left="851"/>
        <w:rPr>
          <w:sz w:val="24"/>
          <w:szCs w:val="24"/>
        </w:rPr>
      </w:pPr>
      <w:r w:rsidRPr="00313C25">
        <w:rPr>
          <w:sz w:val="24"/>
          <w:szCs w:val="24"/>
        </w:rPr>
        <w:t xml:space="preserve">Den administrerede dosis må ikke overstige 20 mg thiamizol/dag. </w:t>
      </w:r>
    </w:p>
    <w:p w14:paraId="1ED5509D" w14:textId="77777777" w:rsidR="005C5B52" w:rsidRPr="00313C25" w:rsidRDefault="005C5B52" w:rsidP="00313C25">
      <w:pPr>
        <w:ind w:left="851"/>
        <w:rPr>
          <w:sz w:val="24"/>
          <w:szCs w:val="24"/>
        </w:rPr>
      </w:pPr>
    </w:p>
    <w:p w14:paraId="78825E83" w14:textId="77777777" w:rsidR="005C5B52" w:rsidRPr="00313C25" w:rsidRDefault="005C5B52" w:rsidP="00313C25">
      <w:pPr>
        <w:ind w:left="851"/>
        <w:rPr>
          <w:sz w:val="24"/>
          <w:szCs w:val="24"/>
        </w:rPr>
      </w:pPr>
      <w:r w:rsidRPr="00313C25">
        <w:rPr>
          <w:sz w:val="24"/>
          <w:szCs w:val="24"/>
        </w:rPr>
        <w:t>Ved langtidsbehandling af hyperthyreose skal dyret behandles hele livet.</w:t>
      </w:r>
    </w:p>
    <w:p w14:paraId="076C5442" w14:textId="77777777" w:rsidR="008203A8" w:rsidRPr="00313C25" w:rsidRDefault="008203A8" w:rsidP="008203A8">
      <w:pPr>
        <w:tabs>
          <w:tab w:val="left" w:pos="851"/>
        </w:tabs>
        <w:ind w:left="851"/>
        <w:rPr>
          <w:sz w:val="24"/>
          <w:szCs w:val="24"/>
        </w:rPr>
      </w:pPr>
    </w:p>
    <w:p w14:paraId="61E909B1" w14:textId="77777777" w:rsidR="008203A8" w:rsidRPr="00313C25" w:rsidRDefault="008203A8" w:rsidP="008203A8">
      <w:pPr>
        <w:tabs>
          <w:tab w:val="left" w:pos="851"/>
        </w:tabs>
        <w:ind w:left="851" w:hanging="851"/>
        <w:rPr>
          <w:b/>
          <w:sz w:val="24"/>
          <w:szCs w:val="24"/>
        </w:rPr>
      </w:pPr>
      <w:r w:rsidRPr="00313C25">
        <w:rPr>
          <w:b/>
          <w:sz w:val="24"/>
          <w:szCs w:val="24"/>
        </w:rPr>
        <w:t>3.10</w:t>
      </w:r>
      <w:r w:rsidRPr="00313C25">
        <w:rPr>
          <w:b/>
          <w:sz w:val="24"/>
          <w:szCs w:val="24"/>
        </w:rPr>
        <w:tab/>
        <w:t>Symptomer på overdosering (og, hvis relevant, nødforanstaltninger og modgift)</w:t>
      </w:r>
    </w:p>
    <w:p w14:paraId="05C0316B" w14:textId="28BC7900" w:rsidR="005C5B52" w:rsidRPr="00313C25" w:rsidRDefault="005C5B52" w:rsidP="00313C25">
      <w:pPr>
        <w:ind w:left="851"/>
        <w:rPr>
          <w:sz w:val="24"/>
          <w:szCs w:val="24"/>
        </w:rPr>
      </w:pPr>
      <w:r w:rsidRPr="00313C25">
        <w:rPr>
          <w:sz w:val="24"/>
          <w:szCs w:val="24"/>
        </w:rPr>
        <w:t>I toleranceundersøgelser hos unge raske katte optrådte de følgende dosisrelaterede kliniske symptomer ved doser på op til 30 mg thiamizol/dyr/dag: Anoreksi, opkastning, letargi, pruritus samt hæmatologiske og biokemiske anomalier såsom neutropeni, lymfopeni, nedsatte koncentrationer af serum-kalium og -phosphor, forhøjede magnesium- og kreatininkoncentrationer samt forekomst af antinukleære antistoffer. Ved en dosis på 30</w:t>
      </w:r>
      <w:r w:rsidR="00313C25">
        <w:rPr>
          <w:sz w:val="24"/>
          <w:szCs w:val="24"/>
        </w:rPr>
        <w:t> </w:t>
      </w:r>
      <w:r w:rsidRPr="00313C25">
        <w:rPr>
          <w:sz w:val="24"/>
          <w:szCs w:val="24"/>
        </w:rPr>
        <w:t>mg thiamizol/dag viste nogle katte tegn på hæmolytisk anæmi samt svær klinisk forværring. Nogle af disse tegn kan også forekomme hos hyperthyreoide katte, der behandles med doser på op til 20 mg thiamizol/dag.</w:t>
      </w:r>
    </w:p>
    <w:p w14:paraId="39349377" w14:textId="4477D370" w:rsidR="005C5B52" w:rsidRPr="00313C25" w:rsidRDefault="005C5B52" w:rsidP="00313C25">
      <w:pPr>
        <w:ind w:left="851"/>
        <w:rPr>
          <w:sz w:val="24"/>
          <w:szCs w:val="24"/>
        </w:rPr>
      </w:pPr>
      <w:r w:rsidRPr="00313C25">
        <w:rPr>
          <w:sz w:val="24"/>
          <w:szCs w:val="24"/>
        </w:rPr>
        <w:t>Meget store doser til hyperthyreoide katte kan medføre tegn på hypothyreoidisme. Dette er imidlertid usandsynligt, da hypothyreoidisme i reglen korrigeres af negative feedback-mekanismer (se pkt. 3.6).</w:t>
      </w:r>
    </w:p>
    <w:p w14:paraId="3109FB8C" w14:textId="77777777" w:rsidR="005C5B52" w:rsidRPr="00313C25" w:rsidRDefault="005C5B52" w:rsidP="00313C25">
      <w:pPr>
        <w:ind w:left="851"/>
        <w:rPr>
          <w:sz w:val="24"/>
          <w:szCs w:val="24"/>
        </w:rPr>
      </w:pPr>
      <w:r w:rsidRPr="00313C25">
        <w:rPr>
          <w:sz w:val="24"/>
          <w:szCs w:val="24"/>
        </w:rPr>
        <w:t>Hvis overdosering forekommer, skal behandlingen stoppes, og der skal gives symptomatisk og understøttende behandling.</w:t>
      </w:r>
    </w:p>
    <w:p w14:paraId="777BB6DD" w14:textId="77777777" w:rsidR="008203A8" w:rsidRPr="00313C25" w:rsidRDefault="008203A8" w:rsidP="008203A8">
      <w:pPr>
        <w:tabs>
          <w:tab w:val="left" w:pos="851"/>
        </w:tabs>
        <w:ind w:left="851"/>
        <w:rPr>
          <w:sz w:val="24"/>
          <w:szCs w:val="24"/>
        </w:rPr>
      </w:pPr>
    </w:p>
    <w:p w14:paraId="602324CF" w14:textId="77777777" w:rsidR="008203A8" w:rsidRPr="00313C25" w:rsidRDefault="008203A8" w:rsidP="008203A8">
      <w:pPr>
        <w:tabs>
          <w:tab w:val="left" w:pos="851"/>
        </w:tabs>
        <w:ind w:left="851" w:hanging="851"/>
        <w:rPr>
          <w:sz w:val="24"/>
          <w:szCs w:val="24"/>
        </w:rPr>
      </w:pPr>
      <w:r w:rsidRPr="00313C25">
        <w:rPr>
          <w:b/>
          <w:sz w:val="24"/>
          <w:szCs w:val="24"/>
        </w:rPr>
        <w:t>3.11</w:t>
      </w:r>
      <w:r w:rsidRPr="00313C25">
        <w:rPr>
          <w:sz w:val="24"/>
          <w:szCs w:val="24"/>
        </w:rPr>
        <w:tab/>
      </w:r>
      <w:r w:rsidRPr="00313C25">
        <w:rPr>
          <w:b/>
          <w:sz w:val="24"/>
          <w:szCs w:val="24"/>
        </w:rPr>
        <w:t>Særlige begrænsninger og betingelser for anvendelse, herunder begrænsninger for anvendelsen af antimikrobielle og antiparasitære veterinærlægemidler for at begrænse risikoen for udvikling af resistens</w:t>
      </w:r>
    </w:p>
    <w:p w14:paraId="120A9C8F" w14:textId="77777777" w:rsidR="005C5B52" w:rsidRPr="00313C25" w:rsidRDefault="005C5B52" w:rsidP="00313C25">
      <w:pPr>
        <w:ind w:left="851"/>
        <w:rPr>
          <w:sz w:val="24"/>
          <w:szCs w:val="24"/>
        </w:rPr>
      </w:pPr>
      <w:r w:rsidRPr="00313C25">
        <w:rPr>
          <w:sz w:val="24"/>
          <w:szCs w:val="24"/>
        </w:rPr>
        <w:t>Ikke relevant.</w:t>
      </w:r>
    </w:p>
    <w:p w14:paraId="48827E70" w14:textId="77777777" w:rsidR="008203A8" w:rsidRPr="00313C25" w:rsidRDefault="008203A8" w:rsidP="008203A8">
      <w:pPr>
        <w:tabs>
          <w:tab w:val="left" w:pos="851"/>
        </w:tabs>
        <w:ind w:left="851"/>
        <w:rPr>
          <w:sz w:val="24"/>
          <w:szCs w:val="24"/>
        </w:rPr>
      </w:pPr>
    </w:p>
    <w:p w14:paraId="51397BDB" w14:textId="77777777" w:rsidR="008203A8" w:rsidRPr="00313C25" w:rsidRDefault="008203A8" w:rsidP="008203A8">
      <w:pPr>
        <w:tabs>
          <w:tab w:val="left" w:pos="851"/>
        </w:tabs>
        <w:ind w:left="851" w:hanging="851"/>
        <w:rPr>
          <w:b/>
          <w:sz w:val="24"/>
          <w:szCs w:val="24"/>
        </w:rPr>
      </w:pPr>
      <w:r w:rsidRPr="00313C25">
        <w:rPr>
          <w:b/>
          <w:sz w:val="24"/>
          <w:szCs w:val="24"/>
        </w:rPr>
        <w:t>3.12</w:t>
      </w:r>
      <w:r w:rsidRPr="00313C25">
        <w:rPr>
          <w:b/>
          <w:sz w:val="24"/>
          <w:szCs w:val="24"/>
        </w:rPr>
        <w:tab/>
        <w:t>Tilbageholdelsestid(er)</w:t>
      </w:r>
    </w:p>
    <w:p w14:paraId="02923A86" w14:textId="77777777" w:rsidR="005C5B52" w:rsidRPr="00313C25" w:rsidRDefault="005C5B52" w:rsidP="00313C25">
      <w:pPr>
        <w:ind w:left="851"/>
        <w:rPr>
          <w:sz w:val="24"/>
          <w:szCs w:val="24"/>
        </w:rPr>
      </w:pPr>
      <w:r w:rsidRPr="00313C25">
        <w:rPr>
          <w:sz w:val="24"/>
          <w:szCs w:val="24"/>
        </w:rPr>
        <w:t>Ikke relevant.</w:t>
      </w:r>
    </w:p>
    <w:p w14:paraId="40C301A9" w14:textId="77777777" w:rsidR="008203A8" w:rsidRPr="00313C25" w:rsidRDefault="008203A8" w:rsidP="008203A8">
      <w:pPr>
        <w:pStyle w:val="Sidehoved"/>
        <w:tabs>
          <w:tab w:val="clear" w:pos="4819"/>
        </w:tabs>
        <w:ind w:left="851"/>
        <w:rPr>
          <w:szCs w:val="24"/>
        </w:rPr>
      </w:pPr>
    </w:p>
    <w:p w14:paraId="1423928E" w14:textId="77777777" w:rsidR="008203A8" w:rsidRPr="00313C25" w:rsidRDefault="008203A8" w:rsidP="008203A8">
      <w:pPr>
        <w:tabs>
          <w:tab w:val="left" w:pos="851"/>
        </w:tabs>
        <w:ind w:left="851"/>
        <w:rPr>
          <w:sz w:val="24"/>
          <w:szCs w:val="24"/>
        </w:rPr>
      </w:pPr>
    </w:p>
    <w:p w14:paraId="33BA031D" w14:textId="1D6AE93A" w:rsidR="008203A8" w:rsidRPr="00313C25" w:rsidRDefault="008203A8" w:rsidP="008203A8">
      <w:pPr>
        <w:ind w:left="851" w:hanging="851"/>
        <w:rPr>
          <w:b/>
          <w:sz w:val="24"/>
          <w:szCs w:val="24"/>
        </w:rPr>
      </w:pPr>
      <w:r w:rsidRPr="00313C25">
        <w:rPr>
          <w:b/>
          <w:sz w:val="24"/>
          <w:szCs w:val="24"/>
        </w:rPr>
        <w:t>4.</w:t>
      </w:r>
      <w:r w:rsidRPr="00313C25">
        <w:rPr>
          <w:b/>
          <w:sz w:val="24"/>
          <w:szCs w:val="24"/>
        </w:rPr>
        <w:tab/>
        <w:t>FARMAKOLOGISKE OPLYSNINGER</w:t>
      </w:r>
    </w:p>
    <w:p w14:paraId="02164BDA" w14:textId="77777777" w:rsidR="008203A8" w:rsidRPr="00313C25" w:rsidRDefault="008203A8" w:rsidP="008203A8">
      <w:pPr>
        <w:ind w:left="851"/>
        <w:rPr>
          <w:sz w:val="24"/>
          <w:szCs w:val="24"/>
        </w:rPr>
      </w:pPr>
    </w:p>
    <w:p w14:paraId="2C689548" w14:textId="77777777" w:rsidR="008203A8" w:rsidRPr="00313C25" w:rsidRDefault="008203A8" w:rsidP="008203A8">
      <w:pPr>
        <w:ind w:left="851" w:hanging="851"/>
        <w:rPr>
          <w:b/>
          <w:sz w:val="24"/>
          <w:szCs w:val="24"/>
        </w:rPr>
      </w:pPr>
      <w:r w:rsidRPr="00313C25">
        <w:rPr>
          <w:b/>
          <w:sz w:val="24"/>
          <w:szCs w:val="24"/>
        </w:rPr>
        <w:t>4.1</w:t>
      </w:r>
      <w:r w:rsidRPr="00313C25">
        <w:rPr>
          <w:b/>
          <w:sz w:val="24"/>
          <w:szCs w:val="24"/>
        </w:rPr>
        <w:tab/>
        <w:t>ATCvet-kode</w:t>
      </w:r>
    </w:p>
    <w:p w14:paraId="4333AFA5" w14:textId="0E52B932" w:rsidR="008203A8" w:rsidRPr="00313C25" w:rsidRDefault="005C5B52" w:rsidP="008203A8">
      <w:pPr>
        <w:ind w:left="851"/>
        <w:rPr>
          <w:sz w:val="24"/>
          <w:szCs w:val="24"/>
        </w:rPr>
      </w:pPr>
      <w:r w:rsidRPr="00313C25">
        <w:rPr>
          <w:sz w:val="24"/>
          <w:szCs w:val="24"/>
        </w:rPr>
        <w:t>QH03BB02.</w:t>
      </w:r>
    </w:p>
    <w:p w14:paraId="30E6182C" w14:textId="77777777" w:rsidR="008203A8" w:rsidRPr="00313C25" w:rsidRDefault="008203A8" w:rsidP="008203A8">
      <w:pPr>
        <w:ind w:left="851"/>
        <w:rPr>
          <w:sz w:val="24"/>
          <w:szCs w:val="24"/>
        </w:rPr>
      </w:pPr>
    </w:p>
    <w:p w14:paraId="063A118D" w14:textId="77777777" w:rsidR="008203A8" w:rsidRPr="00313C25" w:rsidRDefault="008203A8" w:rsidP="008203A8">
      <w:pPr>
        <w:tabs>
          <w:tab w:val="left" w:pos="851"/>
        </w:tabs>
        <w:ind w:left="851" w:hanging="851"/>
        <w:rPr>
          <w:b/>
          <w:sz w:val="24"/>
          <w:szCs w:val="24"/>
        </w:rPr>
      </w:pPr>
      <w:r w:rsidRPr="00313C25">
        <w:rPr>
          <w:b/>
          <w:sz w:val="24"/>
          <w:szCs w:val="24"/>
        </w:rPr>
        <w:t>4.2</w:t>
      </w:r>
      <w:r w:rsidRPr="00313C25">
        <w:rPr>
          <w:b/>
          <w:sz w:val="24"/>
          <w:szCs w:val="24"/>
        </w:rPr>
        <w:tab/>
        <w:t>Farmakodynamiske oplysninger</w:t>
      </w:r>
    </w:p>
    <w:p w14:paraId="6DD54D84" w14:textId="77777777" w:rsidR="005C5B52" w:rsidRPr="00313C25" w:rsidRDefault="005C5B52" w:rsidP="00313C25">
      <w:pPr>
        <w:ind w:left="851"/>
        <w:rPr>
          <w:sz w:val="24"/>
          <w:szCs w:val="24"/>
        </w:rPr>
      </w:pPr>
      <w:r w:rsidRPr="00313C25">
        <w:rPr>
          <w:i/>
          <w:iCs/>
          <w:sz w:val="24"/>
          <w:szCs w:val="24"/>
        </w:rPr>
        <w:t>In-vivo</w:t>
      </w:r>
      <w:r w:rsidRPr="00313C25">
        <w:rPr>
          <w:sz w:val="24"/>
          <w:szCs w:val="24"/>
        </w:rPr>
        <w:t xml:space="preserve"> virker thiamazol ved at blokere biosyntesen af thyreoideahormon. Den primære virkning er at hæmme bindingen af iodid til enzymet thyreoideaperoxidase, hvorved den katalyserede iodering af thyreoglobulin og T3- og T4-syntesen forhindres.</w:t>
      </w:r>
    </w:p>
    <w:p w14:paraId="6CAF25F7" w14:textId="77777777" w:rsidR="008203A8" w:rsidRPr="00313C25" w:rsidRDefault="008203A8" w:rsidP="008203A8">
      <w:pPr>
        <w:tabs>
          <w:tab w:val="left" w:pos="851"/>
        </w:tabs>
        <w:ind w:left="851"/>
        <w:rPr>
          <w:sz w:val="24"/>
          <w:szCs w:val="24"/>
        </w:rPr>
      </w:pPr>
    </w:p>
    <w:p w14:paraId="1650631A" w14:textId="77777777" w:rsidR="008203A8" w:rsidRPr="00313C25" w:rsidRDefault="008203A8" w:rsidP="008203A8">
      <w:pPr>
        <w:tabs>
          <w:tab w:val="left" w:pos="851"/>
        </w:tabs>
        <w:ind w:left="851" w:hanging="851"/>
        <w:rPr>
          <w:b/>
          <w:sz w:val="24"/>
          <w:szCs w:val="24"/>
        </w:rPr>
      </w:pPr>
      <w:r w:rsidRPr="00313C25">
        <w:rPr>
          <w:b/>
          <w:sz w:val="24"/>
          <w:szCs w:val="24"/>
        </w:rPr>
        <w:t>4.3</w:t>
      </w:r>
      <w:r w:rsidRPr="00313C25">
        <w:rPr>
          <w:b/>
          <w:sz w:val="24"/>
          <w:szCs w:val="24"/>
        </w:rPr>
        <w:tab/>
        <w:t>Farmakokinetiske oplysninger</w:t>
      </w:r>
    </w:p>
    <w:p w14:paraId="7F8845C0" w14:textId="5DAD3D31" w:rsidR="005C5B52" w:rsidRPr="00313C25" w:rsidRDefault="005C5B52" w:rsidP="00313C25">
      <w:pPr>
        <w:ind w:left="851"/>
        <w:rPr>
          <w:sz w:val="24"/>
          <w:szCs w:val="24"/>
        </w:rPr>
      </w:pPr>
      <w:r w:rsidRPr="00313C25">
        <w:rPr>
          <w:sz w:val="24"/>
          <w:szCs w:val="24"/>
        </w:rPr>
        <w:t>Efter oral indgift til raske katte absorberes thiamazol hurtigt og fuldstændigt med en biotilgængelighed på &gt;75 %. Der er dog en betydelig variation fra dyr til dyr. Eliminationen af stoffet fra kattens plasma sker hurtigt med en halveringstid på 2,6-7,1 timer. De højeste plasmakoncentrationer forekommer højst 1 time efter indgift. C</w:t>
      </w:r>
      <w:r w:rsidRPr="00313C25">
        <w:rPr>
          <w:sz w:val="24"/>
          <w:szCs w:val="24"/>
          <w:vertAlign w:val="subscript"/>
        </w:rPr>
        <w:t>max</w:t>
      </w:r>
      <w:r w:rsidRPr="00313C25">
        <w:rPr>
          <w:sz w:val="24"/>
          <w:szCs w:val="24"/>
        </w:rPr>
        <w:t xml:space="preserve"> er 1,6</w:t>
      </w:r>
      <w:r w:rsidR="00313C25">
        <w:rPr>
          <w:sz w:val="24"/>
          <w:szCs w:val="24"/>
        </w:rPr>
        <w:t> </w:t>
      </w:r>
      <w:r w:rsidRPr="00313C25">
        <w:rPr>
          <w:sz w:val="24"/>
          <w:szCs w:val="24"/>
        </w:rPr>
        <w:t>±</w:t>
      </w:r>
      <w:r w:rsidR="00313C25">
        <w:rPr>
          <w:sz w:val="24"/>
          <w:szCs w:val="24"/>
        </w:rPr>
        <w:t> </w:t>
      </w:r>
      <w:r w:rsidRPr="00313C25">
        <w:rPr>
          <w:sz w:val="24"/>
          <w:szCs w:val="24"/>
        </w:rPr>
        <w:t>0,4 μg/ml.</w:t>
      </w:r>
    </w:p>
    <w:p w14:paraId="29E8D408" w14:textId="77777777" w:rsidR="005C5B52" w:rsidRPr="00313C25" w:rsidRDefault="005C5B52" w:rsidP="00313C25">
      <w:pPr>
        <w:ind w:left="851"/>
        <w:rPr>
          <w:sz w:val="24"/>
          <w:szCs w:val="24"/>
        </w:rPr>
      </w:pPr>
      <w:r w:rsidRPr="00313C25">
        <w:rPr>
          <w:sz w:val="24"/>
          <w:szCs w:val="24"/>
        </w:rPr>
        <w:t>Hos rotter har thiamazol vist sig at bindes i ringe grad til plasmaprotein (5 %), heraf blev 40 % bundet til de røde blodlegemer. Metaboliseringen af thiamazol hos katte er ikke undersøgt, medens stoffet hos rotter metaboliseres hurtigt i glandula thyreoidea. Ca. 64 % af den indgivne dosis elimineres med urinen, og kun 7,8 % udskilles i fæces. Dette i modsætning til forholdene hos mennesket, hvor leveren er vigtig for den metaboliske nedbrydning. Den tid, hvor stoffet er til stede i glandula thyreoidea, antages at være længere end tilstedeværelsen i plasma.</w:t>
      </w:r>
    </w:p>
    <w:p w14:paraId="641B055B" w14:textId="77777777" w:rsidR="005C5B52" w:rsidRPr="00313C25" w:rsidRDefault="005C5B52" w:rsidP="00313C25">
      <w:pPr>
        <w:ind w:left="851"/>
        <w:rPr>
          <w:sz w:val="24"/>
          <w:szCs w:val="24"/>
        </w:rPr>
      </w:pPr>
      <w:r w:rsidRPr="00313C25">
        <w:rPr>
          <w:sz w:val="24"/>
          <w:szCs w:val="24"/>
        </w:rPr>
        <w:t>Det vides ud fra data hos mennesket og rotten, at stoffet kan passere placenta og ophobes i fostrets glandula thyreoidea. Det overføres desuden i høj grad til modermælk.</w:t>
      </w:r>
    </w:p>
    <w:p w14:paraId="7CB85DE6" w14:textId="77777777" w:rsidR="008203A8" w:rsidRPr="00313C25" w:rsidRDefault="008203A8" w:rsidP="008203A8">
      <w:pPr>
        <w:ind w:left="851"/>
        <w:rPr>
          <w:sz w:val="24"/>
          <w:szCs w:val="24"/>
        </w:rPr>
      </w:pPr>
    </w:p>
    <w:p w14:paraId="47F741BB" w14:textId="77777777" w:rsidR="008203A8" w:rsidRPr="00313C25" w:rsidRDefault="008203A8" w:rsidP="008203A8">
      <w:pPr>
        <w:tabs>
          <w:tab w:val="left" w:pos="851"/>
        </w:tabs>
        <w:ind w:left="851"/>
        <w:rPr>
          <w:sz w:val="24"/>
          <w:szCs w:val="24"/>
        </w:rPr>
      </w:pPr>
    </w:p>
    <w:p w14:paraId="73A18277" w14:textId="77777777" w:rsidR="008203A8" w:rsidRPr="00313C25" w:rsidRDefault="008203A8" w:rsidP="008203A8">
      <w:pPr>
        <w:ind w:left="851" w:hanging="851"/>
        <w:rPr>
          <w:b/>
          <w:sz w:val="24"/>
          <w:szCs w:val="24"/>
        </w:rPr>
      </w:pPr>
      <w:r w:rsidRPr="00313C25">
        <w:rPr>
          <w:b/>
          <w:sz w:val="24"/>
          <w:szCs w:val="24"/>
        </w:rPr>
        <w:t>5.</w:t>
      </w:r>
      <w:r w:rsidRPr="00313C25">
        <w:rPr>
          <w:b/>
          <w:sz w:val="24"/>
          <w:szCs w:val="24"/>
        </w:rPr>
        <w:tab/>
        <w:t>FARMACEUTISKE OPLYSNINGER</w:t>
      </w:r>
    </w:p>
    <w:p w14:paraId="1616FFC7" w14:textId="77777777" w:rsidR="008203A8" w:rsidRPr="00313C25" w:rsidRDefault="008203A8" w:rsidP="008203A8">
      <w:pPr>
        <w:tabs>
          <w:tab w:val="left" w:pos="851"/>
        </w:tabs>
        <w:ind w:left="851"/>
        <w:rPr>
          <w:sz w:val="24"/>
          <w:szCs w:val="24"/>
        </w:rPr>
      </w:pPr>
    </w:p>
    <w:p w14:paraId="0B5F222E" w14:textId="77777777" w:rsidR="008203A8" w:rsidRPr="00313C25" w:rsidRDefault="008203A8" w:rsidP="008203A8">
      <w:pPr>
        <w:ind w:left="851" w:hanging="851"/>
        <w:rPr>
          <w:b/>
          <w:sz w:val="24"/>
          <w:szCs w:val="24"/>
        </w:rPr>
      </w:pPr>
      <w:r w:rsidRPr="00313C25">
        <w:rPr>
          <w:b/>
          <w:sz w:val="24"/>
          <w:szCs w:val="24"/>
        </w:rPr>
        <w:t>5.1</w:t>
      </w:r>
      <w:r w:rsidRPr="00313C25">
        <w:rPr>
          <w:b/>
          <w:sz w:val="24"/>
          <w:szCs w:val="24"/>
        </w:rPr>
        <w:tab/>
        <w:t>Væsentlige uforligeligheder</w:t>
      </w:r>
    </w:p>
    <w:p w14:paraId="2018F6C1" w14:textId="77777777" w:rsidR="005C5B52" w:rsidRPr="00313C25" w:rsidRDefault="005C5B52" w:rsidP="00313C25">
      <w:pPr>
        <w:ind w:left="851"/>
        <w:rPr>
          <w:sz w:val="24"/>
          <w:szCs w:val="24"/>
        </w:rPr>
      </w:pPr>
      <w:r w:rsidRPr="00313C25">
        <w:rPr>
          <w:sz w:val="24"/>
          <w:szCs w:val="24"/>
        </w:rPr>
        <w:t>Da der ikke er undersøgelser vedrørende eventuelle uforligeligheder, må dette veterinærlægemiddel ikke blandes med andre veterinærlægemidler</w:t>
      </w:r>
    </w:p>
    <w:p w14:paraId="606B9A2B" w14:textId="77777777" w:rsidR="008203A8" w:rsidRPr="00313C25" w:rsidRDefault="008203A8" w:rsidP="008203A8">
      <w:pPr>
        <w:tabs>
          <w:tab w:val="left" w:pos="851"/>
        </w:tabs>
        <w:ind w:left="851"/>
        <w:rPr>
          <w:sz w:val="24"/>
          <w:szCs w:val="24"/>
        </w:rPr>
      </w:pPr>
    </w:p>
    <w:p w14:paraId="1B065D9B" w14:textId="77777777" w:rsidR="008203A8" w:rsidRPr="00313C25" w:rsidRDefault="008203A8" w:rsidP="008203A8">
      <w:pPr>
        <w:ind w:left="851" w:hanging="851"/>
        <w:rPr>
          <w:b/>
          <w:sz w:val="24"/>
          <w:szCs w:val="24"/>
        </w:rPr>
      </w:pPr>
      <w:r w:rsidRPr="00313C25">
        <w:rPr>
          <w:b/>
          <w:sz w:val="24"/>
          <w:szCs w:val="24"/>
        </w:rPr>
        <w:t>5.2</w:t>
      </w:r>
      <w:r w:rsidRPr="00313C25">
        <w:rPr>
          <w:b/>
          <w:sz w:val="24"/>
          <w:szCs w:val="24"/>
        </w:rPr>
        <w:tab/>
        <w:t>Opbevaringstid</w:t>
      </w:r>
    </w:p>
    <w:p w14:paraId="6C2BD7A2" w14:textId="77777777" w:rsidR="005C5B52" w:rsidRPr="00313C25" w:rsidRDefault="005C5B52" w:rsidP="00313C25">
      <w:pPr>
        <w:ind w:left="851"/>
        <w:rPr>
          <w:sz w:val="24"/>
          <w:szCs w:val="24"/>
        </w:rPr>
      </w:pPr>
      <w:r w:rsidRPr="00313C25">
        <w:rPr>
          <w:sz w:val="24"/>
          <w:szCs w:val="24"/>
        </w:rPr>
        <w:t>Opbevaringstid for veterinærlægemidlet i salgspakning: 2 år.</w:t>
      </w:r>
    </w:p>
    <w:p w14:paraId="68FC49ED" w14:textId="77777777" w:rsidR="005C5B52" w:rsidRPr="00313C25" w:rsidRDefault="005C5B52" w:rsidP="00313C25">
      <w:pPr>
        <w:ind w:left="851"/>
        <w:rPr>
          <w:sz w:val="24"/>
          <w:szCs w:val="24"/>
        </w:rPr>
      </w:pPr>
      <w:r w:rsidRPr="00313C25">
        <w:rPr>
          <w:sz w:val="24"/>
          <w:szCs w:val="24"/>
        </w:rPr>
        <w:t>Opbevaringstid efter første åbning af den indre emballage: 3 måneder.</w:t>
      </w:r>
    </w:p>
    <w:p w14:paraId="1E245F9F" w14:textId="77777777" w:rsidR="008203A8" w:rsidRPr="00313C25" w:rsidRDefault="008203A8" w:rsidP="008203A8">
      <w:pPr>
        <w:tabs>
          <w:tab w:val="left" w:pos="851"/>
        </w:tabs>
        <w:ind w:left="851"/>
        <w:rPr>
          <w:sz w:val="24"/>
          <w:szCs w:val="24"/>
        </w:rPr>
      </w:pPr>
    </w:p>
    <w:p w14:paraId="747505E4" w14:textId="77777777" w:rsidR="008203A8" w:rsidRPr="00313C25" w:rsidRDefault="008203A8" w:rsidP="008203A8">
      <w:pPr>
        <w:ind w:left="851" w:hanging="851"/>
        <w:rPr>
          <w:b/>
          <w:sz w:val="24"/>
          <w:szCs w:val="24"/>
        </w:rPr>
      </w:pPr>
      <w:r w:rsidRPr="00313C25">
        <w:rPr>
          <w:b/>
          <w:sz w:val="24"/>
          <w:szCs w:val="24"/>
        </w:rPr>
        <w:t>5.3</w:t>
      </w:r>
      <w:r w:rsidRPr="00313C25">
        <w:rPr>
          <w:b/>
          <w:sz w:val="24"/>
          <w:szCs w:val="24"/>
        </w:rPr>
        <w:tab/>
        <w:t>Særlige forholdsregler vedrørende opbevaring</w:t>
      </w:r>
    </w:p>
    <w:p w14:paraId="6118F47F" w14:textId="77777777" w:rsidR="005C5B52" w:rsidRPr="00313C25" w:rsidRDefault="005C5B52" w:rsidP="00313C25">
      <w:pPr>
        <w:ind w:left="851"/>
        <w:rPr>
          <w:sz w:val="24"/>
          <w:szCs w:val="24"/>
        </w:rPr>
      </w:pPr>
      <w:r w:rsidRPr="00313C25">
        <w:rPr>
          <w:sz w:val="24"/>
          <w:szCs w:val="24"/>
        </w:rPr>
        <w:t>Opbevares i den originale pakning for at beskytte mod lys.</w:t>
      </w:r>
    </w:p>
    <w:p w14:paraId="15689C4F" w14:textId="77777777" w:rsidR="005C5B52" w:rsidRPr="00313C25" w:rsidRDefault="005C5B52" w:rsidP="00313C25">
      <w:pPr>
        <w:ind w:left="851"/>
        <w:rPr>
          <w:sz w:val="24"/>
          <w:szCs w:val="24"/>
        </w:rPr>
      </w:pPr>
      <w:r w:rsidRPr="00313C25">
        <w:rPr>
          <w:sz w:val="24"/>
          <w:szCs w:val="24"/>
        </w:rPr>
        <w:t>Der er ingen særlige krav vedrørende opbevaringstemperaturer for dette veterinærlægemiddel.</w:t>
      </w:r>
    </w:p>
    <w:p w14:paraId="06D7A21D" w14:textId="77777777" w:rsidR="008203A8" w:rsidRPr="00313C25" w:rsidRDefault="008203A8" w:rsidP="008203A8">
      <w:pPr>
        <w:tabs>
          <w:tab w:val="left" w:pos="851"/>
        </w:tabs>
        <w:ind w:left="851"/>
        <w:rPr>
          <w:sz w:val="24"/>
          <w:szCs w:val="24"/>
        </w:rPr>
      </w:pPr>
    </w:p>
    <w:p w14:paraId="1972EB09" w14:textId="77777777" w:rsidR="008203A8" w:rsidRPr="00313C25" w:rsidRDefault="008203A8" w:rsidP="008203A8">
      <w:pPr>
        <w:ind w:left="851" w:hanging="851"/>
        <w:rPr>
          <w:b/>
          <w:sz w:val="24"/>
          <w:szCs w:val="24"/>
        </w:rPr>
      </w:pPr>
      <w:r w:rsidRPr="00313C25">
        <w:rPr>
          <w:b/>
          <w:sz w:val="24"/>
          <w:szCs w:val="24"/>
        </w:rPr>
        <w:t>5.4</w:t>
      </w:r>
      <w:r w:rsidRPr="00313C25">
        <w:rPr>
          <w:b/>
          <w:sz w:val="24"/>
          <w:szCs w:val="24"/>
        </w:rPr>
        <w:tab/>
        <w:t>Den indre emballages art og indhold</w:t>
      </w:r>
    </w:p>
    <w:p w14:paraId="6CFC76A8" w14:textId="77777777" w:rsidR="005C5B52" w:rsidRPr="00313C25" w:rsidRDefault="005C5B52" w:rsidP="00313C25">
      <w:pPr>
        <w:ind w:left="851"/>
        <w:rPr>
          <w:sz w:val="24"/>
          <w:szCs w:val="24"/>
        </w:rPr>
      </w:pPr>
      <w:r w:rsidRPr="00313C25">
        <w:rPr>
          <w:sz w:val="24"/>
          <w:szCs w:val="24"/>
        </w:rPr>
        <w:t xml:space="preserve">Type III ravfarvet glasflaske på 30 ml med en hvid polypropylen- eller LDPE-sprøjteadapter og en hvid børnesikret polypropylenhætte med HDPE-skruelåg. Veterinærlægemidlet leveres med en 1,0 ml klar polypropylen-oralsprøjte med HDPE-stempel, gradueret i intervaller af 0,5 mg eller 1,25 mg op til 10 mg. </w:t>
      </w:r>
    </w:p>
    <w:p w14:paraId="2C60EF10" w14:textId="77777777" w:rsidR="005C5B52" w:rsidRPr="00313C25" w:rsidRDefault="005C5B52" w:rsidP="00313C25">
      <w:pPr>
        <w:ind w:left="851"/>
        <w:rPr>
          <w:sz w:val="24"/>
          <w:szCs w:val="24"/>
        </w:rPr>
      </w:pPr>
    </w:p>
    <w:p w14:paraId="1DC0161A" w14:textId="77777777" w:rsidR="005C5B52" w:rsidRPr="00313C25" w:rsidRDefault="005C5B52" w:rsidP="00313C25">
      <w:pPr>
        <w:ind w:left="851"/>
        <w:rPr>
          <w:sz w:val="24"/>
          <w:szCs w:val="24"/>
        </w:rPr>
      </w:pPr>
      <w:r w:rsidRPr="00313C25">
        <w:rPr>
          <w:sz w:val="24"/>
          <w:szCs w:val="24"/>
          <w:u w:val="single"/>
        </w:rPr>
        <w:t>Pakningsstørrelser:</w:t>
      </w:r>
      <w:r w:rsidRPr="00313C25">
        <w:rPr>
          <w:sz w:val="24"/>
          <w:szCs w:val="24"/>
        </w:rPr>
        <w:t xml:space="preserve"> </w:t>
      </w:r>
    </w:p>
    <w:p w14:paraId="6D1C9C63" w14:textId="77777777" w:rsidR="005C5B52" w:rsidRPr="00313C25" w:rsidRDefault="005C5B52" w:rsidP="00313C25">
      <w:pPr>
        <w:ind w:left="851"/>
        <w:rPr>
          <w:sz w:val="24"/>
          <w:szCs w:val="24"/>
        </w:rPr>
      </w:pPr>
      <w:bookmarkStart w:id="2" w:name="_heading=h.8hpvdykzwod1"/>
      <w:bookmarkEnd w:id="2"/>
      <w:r w:rsidRPr="00313C25">
        <w:rPr>
          <w:sz w:val="24"/>
          <w:szCs w:val="24"/>
        </w:rPr>
        <w:t xml:space="preserve">Æske med 1 flaske på 30 ml og 1 oralsprøjte på 1,0 ml gradueret i intervaller af 0,5 mg. </w:t>
      </w:r>
    </w:p>
    <w:p w14:paraId="7DA883F6" w14:textId="77777777" w:rsidR="005C5B52" w:rsidRPr="00313C25" w:rsidRDefault="005C5B52" w:rsidP="00313C25">
      <w:pPr>
        <w:ind w:left="851"/>
        <w:rPr>
          <w:sz w:val="24"/>
          <w:szCs w:val="24"/>
        </w:rPr>
      </w:pPr>
      <w:r w:rsidRPr="00313C25">
        <w:rPr>
          <w:sz w:val="24"/>
          <w:szCs w:val="24"/>
        </w:rPr>
        <w:t>Æske med 1 flaske på 30 ml og 1 oralsprøjte på 1,0 ml gradueret i intervaller af 1,25 mg.</w:t>
      </w:r>
    </w:p>
    <w:p w14:paraId="44DB7A44" w14:textId="77777777" w:rsidR="005C5B52" w:rsidRPr="00313C25" w:rsidRDefault="005C5B52" w:rsidP="00313C25">
      <w:pPr>
        <w:ind w:left="851"/>
        <w:rPr>
          <w:sz w:val="24"/>
          <w:szCs w:val="24"/>
        </w:rPr>
      </w:pPr>
    </w:p>
    <w:p w14:paraId="32EE4CF5" w14:textId="77777777" w:rsidR="005C5B52" w:rsidRPr="00313C25" w:rsidRDefault="005C5B52" w:rsidP="00313C25">
      <w:pPr>
        <w:ind w:left="851"/>
        <w:rPr>
          <w:sz w:val="24"/>
          <w:szCs w:val="24"/>
        </w:rPr>
      </w:pPr>
      <w:r w:rsidRPr="00313C25">
        <w:rPr>
          <w:sz w:val="24"/>
          <w:szCs w:val="24"/>
        </w:rPr>
        <w:t>Ikke alle pakningsstørrelser er nødvendigvis markedsført.</w:t>
      </w:r>
    </w:p>
    <w:p w14:paraId="2C8612E8" w14:textId="77777777" w:rsidR="008203A8" w:rsidRPr="00313C25" w:rsidRDefault="008203A8" w:rsidP="008203A8">
      <w:pPr>
        <w:tabs>
          <w:tab w:val="left" w:pos="851"/>
        </w:tabs>
        <w:ind w:left="851"/>
        <w:rPr>
          <w:sz w:val="24"/>
          <w:szCs w:val="24"/>
        </w:rPr>
      </w:pPr>
    </w:p>
    <w:p w14:paraId="2E900F3F" w14:textId="77777777" w:rsidR="008203A8" w:rsidRPr="00313C25" w:rsidRDefault="008203A8" w:rsidP="008203A8">
      <w:pPr>
        <w:tabs>
          <w:tab w:val="left" w:pos="851"/>
        </w:tabs>
        <w:ind w:left="851" w:hanging="851"/>
        <w:rPr>
          <w:sz w:val="24"/>
          <w:szCs w:val="24"/>
        </w:rPr>
      </w:pPr>
      <w:r w:rsidRPr="00313C25">
        <w:rPr>
          <w:b/>
          <w:sz w:val="24"/>
          <w:szCs w:val="24"/>
        </w:rPr>
        <w:t>5.5</w:t>
      </w:r>
      <w:r w:rsidRPr="00313C25">
        <w:rPr>
          <w:b/>
          <w:sz w:val="24"/>
          <w:szCs w:val="24"/>
        </w:rPr>
        <w:tab/>
        <w:t>Særlige forholdsregler vedrørende bortskaffelse af ubrugte veterinærlægemidler eller affaldsmaterialer fra brugen heraf</w:t>
      </w:r>
    </w:p>
    <w:p w14:paraId="7987C2B2" w14:textId="77777777" w:rsidR="005C5B52" w:rsidRPr="00313C25" w:rsidRDefault="005C5B52" w:rsidP="00313C25">
      <w:pPr>
        <w:ind w:left="851"/>
        <w:rPr>
          <w:sz w:val="24"/>
          <w:szCs w:val="24"/>
        </w:rPr>
      </w:pPr>
      <w:r w:rsidRPr="00313C25">
        <w:rPr>
          <w:sz w:val="24"/>
          <w:szCs w:val="24"/>
        </w:rPr>
        <w:t>Lægemidler må ikke bortskaffes sammen med spildevand eller husholdningsaffald.</w:t>
      </w:r>
    </w:p>
    <w:p w14:paraId="6845242B" w14:textId="77777777" w:rsidR="005C5B52" w:rsidRPr="00313C25" w:rsidRDefault="005C5B52" w:rsidP="00313C25">
      <w:pPr>
        <w:ind w:left="851"/>
        <w:rPr>
          <w:sz w:val="24"/>
          <w:szCs w:val="24"/>
        </w:rPr>
      </w:pPr>
    </w:p>
    <w:p w14:paraId="3F89690D" w14:textId="77777777" w:rsidR="005C5B52" w:rsidRPr="00313C25" w:rsidRDefault="005C5B52" w:rsidP="00313C25">
      <w:pPr>
        <w:ind w:left="851"/>
        <w:rPr>
          <w:sz w:val="24"/>
          <w:szCs w:val="24"/>
        </w:rPr>
      </w:pPr>
      <w:r w:rsidRPr="00313C25">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1CEB38E4" w14:textId="5A115D69" w:rsidR="00313C25" w:rsidRDefault="00313C25">
      <w:pPr>
        <w:rPr>
          <w:sz w:val="24"/>
          <w:szCs w:val="24"/>
        </w:rPr>
      </w:pPr>
      <w:r>
        <w:rPr>
          <w:sz w:val="24"/>
          <w:szCs w:val="24"/>
        </w:rPr>
        <w:br w:type="page"/>
      </w:r>
    </w:p>
    <w:p w14:paraId="67397276" w14:textId="77777777" w:rsidR="008203A8" w:rsidRPr="00313C25" w:rsidRDefault="008203A8" w:rsidP="008203A8">
      <w:pPr>
        <w:tabs>
          <w:tab w:val="left" w:pos="851"/>
        </w:tabs>
        <w:ind w:left="851"/>
        <w:rPr>
          <w:sz w:val="24"/>
          <w:szCs w:val="24"/>
        </w:rPr>
      </w:pPr>
    </w:p>
    <w:p w14:paraId="06F23A81" w14:textId="77777777" w:rsidR="008203A8" w:rsidRPr="00313C25" w:rsidRDefault="008203A8" w:rsidP="008203A8">
      <w:pPr>
        <w:tabs>
          <w:tab w:val="left" w:pos="851"/>
        </w:tabs>
        <w:ind w:left="851" w:hanging="851"/>
        <w:rPr>
          <w:b/>
          <w:sz w:val="24"/>
          <w:szCs w:val="24"/>
        </w:rPr>
      </w:pPr>
      <w:r w:rsidRPr="00313C25">
        <w:rPr>
          <w:b/>
          <w:sz w:val="24"/>
          <w:szCs w:val="24"/>
        </w:rPr>
        <w:t>6.</w:t>
      </w:r>
      <w:r w:rsidRPr="00313C25">
        <w:rPr>
          <w:b/>
          <w:sz w:val="24"/>
          <w:szCs w:val="24"/>
        </w:rPr>
        <w:tab/>
        <w:t>NAVN PÅ INDEHAVEREN AF MARKEDSFØRINGSTILLADELSEN</w:t>
      </w:r>
    </w:p>
    <w:p w14:paraId="45B1EFFE" w14:textId="4EB62D05" w:rsidR="008203A8" w:rsidRPr="00313C25" w:rsidRDefault="00313C25" w:rsidP="00313C25">
      <w:pPr>
        <w:ind w:left="851"/>
        <w:rPr>
          <w:sz w:val="24"/>
          <w:szCs w:val="24"/>
        </w:rPr>
      </w:pPr>
      <w:r w:rsidRPr="00313C25">
        <w:rPr>
          <w:sz w:val="24"/>
          <w:szCs w:val="24"/>
        </w:rPr>
        <w:t>Virbac</w:t>
      </w:r>
    </w:p>
    <w:p w14:paraId="5256F0FB" w14:textId="0DBF2A3E" w:rsidR="00313C25" w:rsidRPr="009F2F49" w:rsidRDefault="00313C25" w:rsidP="00313C25">
      <w:pPr>
        <w:ind w:left="851"/>
        <w:rPr>
          <w:sz w:val="24"/>
          <w:szCs w:val="24"/>
          <w:lang w:val="en-US"/>
        </w:rPr>
      </w:pPr>
      <w:r w:rsidRPr="009F2F49">
        <w:rPr>
          <w:sz w:val="24"/>
          <w:szCs w:val="24"/>
          <w:lang w:val="en-US"/>
        </w:rPr>
        <w:t>1 Ere Avenue 2065 M Lid</w:t>
      </w:r>
    </w:p>
    <w:p w14:paraId="78EC30C3" w14:textId="467C5012" w:rsidR="00313C25" w:rsidRPr="009F2F49" w:rsidRDefault="00313C25" w:rsidP="00313C25">
      <w:pPr>
        <w:ind w:left="851"/>
        <w:rPr>
          <w:sz w:val="24"/>
          <w:szCs w:val="24"/>
          <w:lang w:val="en-US"/>
        </w:rPr>
      </w:pPr>
      <w:r w:rsidRPr="009F2F49">
        <w:rPr>
          <w:sz w:val="24"/>
          <w:szCs w:val="24"/>
          <w:lang w:val="en-US"/>
        </w:rPr>
        <w:t>06516 Carros Cedex</w:t>
      </w:r>
    </w:p>
    <w:p w14:paraId="0CB58C9B" w14:textId="4920231F" w:rsidR="00313C25" w:rsidRPr="00313C25" w:rsidRDefault="00313C25" w:rsidP="00313C25">
      <w:pPr>
        <w:ind w:left="851"/>
        <w:rPr>
          <w:sz w:val="24"/>
          <w:szCs w:val="24"/>
        </w:rPr>
      </w:pPr>
      <w:r w:rsidRPr="00313C25">
        <w:rPr>
          <w:sz w:val="24"/>
          <w:szCs w:val="24"/>
        </w:rPr>
        <w:t>Frankrig</w:t>
      </w:r>
    </w:p>
    <w:p w14:paraId="4A3B9669" w14:textId="77777777" w:rsidR="00313C25" w:rsidRPr="00313C25" w:rsidRDefault="00313C25" w:rsidP="00313C25">
      <w:pPr>
        <w:ind w:left="851"/>
        <w:rPr>
          <w:sz w:val="24"/>
          <w:szCs w:val="24"/>
        </w:rPr>
      </w:pPr>
    </w:p>
    <w:p w14:paraId="5650C67A" w14:textId="77777777" w:rsidR="008203A8" w:rsidRPr="00313C25" w:rsidRDefault="008203A8" w:rsidP="00313C25">
      <w:pPr>
        <w:ind w:left="851"/>
        <w:rPr>
          <w:b/>
          <w:sz w:val="24"/>
          <w:szCs w:val="24"/>
        </w:rPr>
      </w:pPr>
      <w:r w:rsidRPr="00313C25">
        <w:rPr>
          <w:b/>
          <w:sz w:val="24"/>
          <w:szCs w:val="24"/>
        </w:rPr>
        <w:t>Repræsentant</w:t>
      </w:r>
    </w:p>
    <w:p w14:paraId="7E58258F" w14:textId="77777777" w:rsidR="00313C25" w:rsidRPr="00313C25" w:rsidRDefault="00313C25" w:rsidP="00313C25">
      <w:pPr>
        <w:ind w:left="851"/>
        <w:rPr>
          <w:sz w:val="24"/>
          <w:szCs w:val="24"/>
        </w:rPr>
      </w:pPr>
      <w:r w:rsidRPr="00313C25">
        <w:rPr>
          <w:sz w:val="24"/>
          <w:szCs w:val="24"/>
        </w:rPr>
        <w:t>Virbac Danmark A/S</w:t>
      </w:r>
    </w:p>
    <w:p w14:paraId="16A5D6FD" w14:textId="77777777" w:rsidR="00313C25" w:rsidRPr="00313C25" w:rsidRDefault="00313C25" w:rsidP="00313C25">
      <w:pPr>
        <w:ind w:left="851"/>
        <w:rPr>
          <w:sz w:val="24"/>
          <w:szCs w:val="24"/>
        </w:rPr>
      </w:pPr>
      <w:r w:rsidRPr="00313C25">
        <w:rPr>
          <w:sz w:val="24"/>
          <w:szCs w:val="24"/>
        </w:rPr>
        <w:t>Profilvej 1</w:t>
      </w:r>
    </w:p>
    <w:p w14:paraId="73355B15" w14:textId="51AE932D" w:rsidR="00313C25" w:rsidRPr="00313C25" w:rsidRDefault="00313C25" w:rsidP="00313C25">
      <w:pPr>
        <w:ind w:left="851"/>
        <w:rPr>
          <w:sz w:val="24"/>
          <w:szCs w:val="24"/>
        </w:rPr>
      </w:pPr>
      <w:r w:rsidRPr="00313C25">
        <w:rPr>
          <w:sz w:val="24"/>
          <w:szCs w:val="24"/>
        </w:rPr>
        <w:t>6000 Kolding</w:t>
      </w:r>
    </w:p>
    <w:p w14:paraId="38DC25FA" w14:textId="77777777" w:rsidR="008203A8" w:rsidRPr="00313C25" w:rsidRDefault="008203A8" w:rsidP="008203A8">
      <w:pPr>
        <w:tabs>
          <w:tab w:val="left" w:pos="851"/>
        </w:tabs>
        <w:ind w:left="851"/>
        <w:rPr>
          <w:sz w:val="24"/>
          <w:szCs w:val="24"/>
        </w:rPr>
      </w:pPr>
    </w:p>
    <w:p w14:paraId="70A9BEA9" w14:textId="77777777" w:rsidR="008203A8" w:rsidRPr="00313C25" w:rsidRDefault="008203A8" w:rsidP="008203A8">
      <w:pPr>
        <w:ind w:left="851" w:hanging="851"/>
        <w:rPr>
          <w:b/>
          <w:sz w:val="24"/>
          <w:szCs w:val="24"/>
        </w:rPr>
      </w:pPr>
      <w:r w:rsidRPr="00313C25">
        <w:rPr>
          <w:b/>
          <w:sz w:val="24"/>
          <w:szCs w:val="24"/>
        </w:rPr>
        <w:t>7.</w:t>
      </w:r>
      <w:r w:rsidRPr="00313C25">
        <w:rPr>
          <w:b/>
          <w:sz w:val="24"/>
          <w:szCs w:val="24"/>
        </w:rPr>
        <w:tab/>
        <w:t>MARKEDSFØRINGSTILLADELSESNUMMER (-NUMRE)</w:t>
      </w:r>
    </w:p>
    <w:p w14:paraId="3B04473D" w14:textId="40F45743" w:rsidR="008203A8" w:rsidRPr="00313C25" w:rsidRDefault="00313C25" w:rsidP="008203A8">
      <w:pPr>
        <w:tabs>
          <w:tab w:val="left" w:pos="851"/>
        </w:tabs>
        <w:ind w:left="851"/>
        <w:rPr>
          <w:sz w:val="24"/>
          <w:szCs w:val="24"/>
        </w:rPr>
      </w:pPr>
      <w:r w:rsidRPr="00313C25">
        <w:rPr>
          <w:sz w:val="24"/>
          <w:szCs w:val="24"/>
        </w:rPr>
        <w:t>72409</w:t>
      </w:r>
    </w:p>
    <w:p w14:paraId="2E2DD417" w14:textId="77777777" w:rsidR="008203A8" w:rsidRPr="00313C25" w:rsidRDefault="008203A8" w:rsidP="008203A8">
      <w:pPr>
        <w:tabs>
          <w:tab w:val="left" w:pos="851"/>
        </w:tabs>
        <w:ind w:left="851"/>
        <w:rPr>
          <w:sz w:val="24"/>
          <w:szCs w:val="24"/>
        </w:rPr>
      </w:pPr>
    </w:p>
    <w:p w14:paraId="2F2E4388" w14:textId="77777777" w:rsidR="008203A8" w:rsidRPr="00313C25" w:rsidRDefault="008203A8" w:rsidP="008203A8">
      <w:pPr>
        <w:tabs>
          <w:tab w:val="left" w:pos="851"/>
        </w:tabs>
        <w:ind w:left="851" w:hanging="851"/>
        <w:rPr>
          <w:b/>
          <w:sz w:val="24"/>
          <w:szCs w:val="24"/>
        </w:rPr>
      </w:pPr>
      <w:r w:rsidRPr="00313C25">
        <w:rPr>
          <w:b/>
          <w:sz w:val="24"/>
          <w:szCs w:val="24"/>
        </w:rPr>
        <w:t>8.</w:t>
      </w:r>
      <w:r w:rsidRPr="00313C25">
        <w:rPr>
          <w:b/>
          <w:sz w:val="24"/>
          <w:szCs w:val="24"/>
        </w:rPr>
        <w:tab/>
        <w:t>DATO FOR FØRSTE TILLADELSE</w:t>
      </w:r>
    </w:p>
    <w:p w14:paraId="1CE195B2" w14:textId="448F2CC1" w:rsidR="008203A8" w:rsidRPr="00313C25" w:rsidRDefault="00A04736" w:rsidP="008203A8">
      <w:pPr>
        <w:tabs>
          <w:tab w:val="left" w:pos="851"/>
        </w:tabs>
        <w:ind w:left="851"/>
        <w:rPr>
          <w:sz w:val="24"/>
          <w:szCs w:val="24"/>
        </w:rPr>
      </w:pPr>
      <w:r>
        <w:rPr>
          <w:sz w:val="24"/>
          <w:szCs w:val="24"/>
        </w:rPr>
        <w:t>19. marts 2026</w:t>
      </w:r>
    </w:p>
    <w:p w14:paraId="1538869D" w14:textId="77777777" w:rsidR="008203A8" w:rsidRPr="00313C25" w:rsidRDefault="008203A8" w:rsidP="008203A8">
      <w:pPr>
        <w:tabs>
          <w:tab w:val="left" w:pos="851"/>
        </w:tabs>
        <w:ind w:left="851"/>
        <w:rPr>
          <w:sz w:val="24"/>
          <w:szCs w:val="24"/>
        </w:rPr>
      </w:pPr>
    </w:p>
    <w:p w14:paraId="3490EA4F" w14:textId="77777777" w:rsidR="008203A8" w:rsidRPr="00313C25" w:rsidRDefault="008203A8" w:rsidP="008203A8">
      <w:pPr>
        <w:tabs>
          <w:tab w:val="left" w:pos="851"/>
        </w:tabs>
        <w:ind w:left="851" w:hanging="851"/>
        <w:rPr>
          <w:b/>
          <w:sz w:val="24"/>
          <w:szCs w:val="24"/>
        </w:rPr>
      </w:pPr>
      <w:r w:rsidRPr="00313C25">
        <w:rPr>
          <w:b/>
          <w:sz w:val="24"/>
          <w:szCs w:val="24"/>
        </w:rPr>
        <w:t>9.</w:t>
      </w:r>
      <w:r w:rsidRPr="00313C25">
        <w:rPr>
          <w:b/>
          <w:sz w:val="24"/>
          <w:szCs w:val="24"/>
        </w:rPr>
        <w:tab/>
        <w:t>DATO FOR SENESTE ÆNDRING AF PRODUKTRESUMÉET</w:t>
      </w:r>
    </w:p>
    <w:p w14:paraId="3679B829" w14:textId="546C1684" w:rsidR="008203A8" w:rsidRPr="00313C25" w:rsidRDefault="00313C25" w:rsidP="008203A8">
      <w:pPr>
        <w:tabs>
          <w:tab w:val="left" w:pos="851"/>
        </w:tabs>
        <w:ind w:left="851"/>
        <w:rPr>
          <w:sz w:val="24"/>
          <w:szCs w:val="24"/>
        </w:rPr>
      </w:pPr>
      <w:r w:rsidRPr="00313C25">
        <w:rPr>
          <w:sz w:val="24"/>
          <w:szCs w:val="24"/>
        </w:rPr>
        <w:t>-</w:t>
      </w:r>
    </w:p>
    <w:p w14:paraId="769AC01A" w14:textId="77777777" w:rsidR="008203A8" w:rsidRPr="00313C25" w:rsidRDefault="008203A8" w:rsidP="008203A8">
      <w:pPr>
        <w:tabs>
          <w:tab w:val="left" w:pos="851"/>
        </w:tabs>
        <w:ind w:left="851"/>
        <w:rPr>
          <w:sz w:val="24"/>
          <w:szCs w:val="24"/>
        </w:rPr>
      </w:pPr>
    </w:p>
    <w:p w14:paraId="29C8A307" w14:textId="77777777" w:rsidR="008203A8" w:rsidRPr="00313C25" w:rsidRDefault="008203A8" w:rsidP="008203A8">
      <w:pPr>
        <w:tabs>
          <w:tab w:val="left" w:pos="851"/>
        </w:tabs>
        <w:ind w:left="851" w:hanging="851"/>
        <w:rPr>
          <w:b/>
          <w:sz w:val="24"/>
          <w:szCs w:val="24"/>
        </w:rPr>
      </w:pPr>
      <w:r w:rsidRPr="00313C25">
        <w:rPr>
          <w:b/>
          <w:sz w:val="24"/>
          <w:szCs w:val="24"/>
        </w:rPr>
        <w:t>10.</w:t>
      </w:r>
      <w:r w:rsidRPr="00313C25">
        <w:rPr>
          <w:b/>
          <w:sz w:val="24"/>
          <w:szCs w:val="24"/>
        </w:rPr>
        <w:tab/>
        <w:t>KLASSIFICERING AF VETERINÆRLÆGEMIDLER</w:t>
      </w:r>
    </w:p>
    <w:p w14:paraId="3692A1BB" w14:textId="77777777" w:rsidR="00313C25" w:rsidRPr="00313C25" w:rsidRDefault="00313C25" w:rsidP="00313C25">
      <w:pPr>
        <w:ind w:left="851"/>
        <w:rPr>
          <w:sz w:val="24"/>
          <w:szCs w:val="24"/>
          <w:lang w:eastAsia="da-DK"/>
        </w:rPr>
      </w:pPr>
      <w:r w:rsidRPr="00313C25">
        <w:rPr>
          <w:sz w:val="24"/>
          <w:szCs w:val="24"/>
          <w:lang w:eastAsia="da-DK"/>
        </w:rPr>
        <w:t>B</w:t>
      </w:r>
    </w:p>
    <w:p w14:paraId="32536158" w14:textId="77777777" w:rsidR="00313C25" w:rsidRPr="00313C25" w:rsidRDefault="00313C25" w:rsidP="00313C25">
      <w:pPr>
        <w:ind w:left="851"/>
        <w:rPr>
          <w:sz w:val="24"/>
          <w:szCs w:val="24"/>
          <w:lang w:eastAsia="da-DK"/>
        </w:rPr>
      </w:pPr>
    </w:p>
    <w:p w14:paraId="43CA41B6" w14:textId="77777777" w:rsidR="00313C25" w:rsidRPr="00313C25" w:rsidRDefault="00313C25" w:rsidP="00313C25">
      <w:pPr>
        <w:ind w:left="851"/>
        <w:rPr>
          <w:sz w:val="24"/>
          <w:szCs w:val="24"/>
          <w:lang w:eastAsia="da-DK"/>
        </w:rPr>
      </w:pPr>
      <w:r w:rsidRPr="00313C25">
        <w:rPr>
          <w:sz w:val="24"/>
          <w:szCs w:val="24"/>
          <w:lang w:eastAsia="da-DK"/>
        </w:rPr>
        <w:t>Der findes detaljerede oplysninger om dette veterinærlægemiddel i EU-lægemiddeldatabasen (</w:t>
      </w:r>
      <w:hyperlink r:id="rId8" w:history="1">
        <w:r w:rsidRPr="00313C25">
          <w:rPr>
            <w:rStyle w:val="Hyperlink"/>
            <w:sz w:val="24"/>
            <w:szCs w:val="24"/>
            <w:lang w:eastAsia="da-DK"/>
          </w:rPr>
          <w:t>https://medicines.health.europa.eu/veterinary</w:t>
        </w:r>
      </w:hyperlink>
      <w:r w:rsidRPr="00313C25">
        <w:rPr>
          <w:sz w:val="24"/>
          <w:szCs w:val="24"/>
          <w:lang w:eastAsia="da-DK"/>
        </w:rPr>
        <w:t>).</w:t>
      </w:r>
    </w:p>
    <w:p w14:paraId="07E3B00A" w14:textId="77777777" w:rsidR="0003527F" w:rsidRPr="00313C25" w:rsidRDefault="0003527F" w:rsidP="00313C25">
      <w:pPr>
        <w:ind w:left="851"/>
        <w:rPr>
          <w:sz w:val="24"/>
          <w:szCs w:val="24"/>
        </w:rPr>
      </w:pPr>
    </w:p>
    <w:sectPr w:rsidR="0003527F" w:rsidRPr="00313C25" w:rsidSect="00C479BF">
      <w:headerReference w:type="default" r:id="rId9"/>
      <w:footerReference w:type="default" r:id="rId10"/>
      <w:headerReference w:type="first" r:id="rId11"/>
      <w:footerReference w:type="first" r:id="rId12"/>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62AFD" w14:textId="77777777" w:rsidR="0040690C" w:rsidRDefault="0040690C">
      <w:r>
        <w:separator/>
      </w:r>
    </w:p>
  </w:endnote>
  <w:endnote w:type="continuationSeparator" w:id="0">
    <w:p w14:paraId="317738E8" w14:textId="77777777" w:rsidR="0040690C" w:rsidRDefault="0040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74CB1" w14:textId="77777777" w:rsidR="004A62CC" w:rsidRDefault="004A62CC">
    <w:pPr>
      <w:pStyle w:val="Sidefod"/>
      <w:pBdr>
        <w:bottom w:val="single" w:sz="6" w:space="1" w:color="auto"/>
      </w:pBdr>
      <w:tabs>
        <w:tab w:val="clear" w:pos="4819"/>
        <w:tab w:val="left" w:pos="8647"/>
      </w:tabs>
      <w:rPr>
        <w:i/>
        <w:snapToGrid w:val="0"/>
        <w:sz w:val="18"/>
      </w:rPr>
    </w:pPr>
  </w:p>
  <w:p w14:paraId="547613D1" w14:textId="77777777" w:rsidR="004A62CC" w:rsidRDefault="004A62CC">
    <w:pPr>
      <w:pStyle w:val="Sidefod"/>
      <w:tabs>
        <w:tab w:val="clear" w:pos="4819"/>
        <w:tab w:val="left" w:pos="8647"/>
      </w:tabs>
      <w:rPr>
        <w:i/>
        <w:snapToGrid w:val="0"/>
        <w:sz w:val="18"/>
      </w:rPr>
    </w:pPr>
  </w:p>
  <w:p w14:paraId="50E319E2" w14:textId="12FEE99B"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8F5FD6">
      <w:rPr>
        <w:i/>
        <w:noProof/>
        <w:snapToGrid w:val="0"/>
        <w:sz w:val="18"/>
      </w:rPr>
      <w:t>Thiamavance Vet., oral opløsning 10 mg-ml.docx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368C5" w14:textId="77777777" w:rsidR="004A62CC" w:rsidRDefault="004A62CC">
    <w:pPr>
      <w:pStyle w:val="Sidefod"/>
      <w:pBdr>
        <w:bottom w:val="single" w:sz="6" w:space="1" w:color="auto"/>
      </w:pBdr>
      <w:tabs>
        <w:tab w:val="clear" w:pos="4819"/>
        <w:tab w:val="left" w:pos="8647"/>
      </w:tabs>
      <w:rPr>
        <w:i/>
        <w:snapToGrid w:val="0"/>
        <w:sz w:val="18"/>
      </w:rPr>
    </w:pPr>
  </w:p>
  <w:p w14:paraId="64871891" w14:textId="77777777" w:rsidR="004A62CC" w:rsidRDefault="004A62CC">
    <w:pPr>
      <w:pStyle w:val="Sidefod"/>
      <w:tabs>
        <w:tab w:val="clear" w:pos="4819"/>
        <w:tab w:val="left" w:pos="8647"/>
      </w:tabs>
      <w:rPr>
        <w:i/>
        <w:snapToGrid w:val="0"/>
        <w:sz w:val="18"/>
      </w:rPr>
    </w:pPr>
  </w:p>
  <w:p w14:paraId="2DC66C10" w14:textId="3EFD614A"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8F5FD6">
      <w:rPr>
        <w:i/>
        <w:noProof/>
        <w:snapToGrid w:val="0"/>
        <w:sz w:val="18"/>
      </w:rPr>
      <w:t>Thiamavance Vet., oral opløsning 10 mg-ml.docx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4A95B" w14:textId="77777777" w:rsidR="0040690C" w:rsidRDefault="0040690C">
      <w:r>
        <w:separator/>
      </w:r>
    </w:p>
  </w:footnote>
  <w:footnote w:type="continuationSeparator" w:id="0">
    <w:p w14:paraId="497A7842" w14:textId="77777777" w:rsidR="0040690C" w:rsidRDefault="00406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0CDC"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4861"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2141680026">
    <w:abstractNumId w:val="2"/>
  </w:num>
  <w:num w:numId="2" w16cid:durableId="130174472">
    <w:abstractNumId w:val="0"/>
  </w:num>
  <w:num w:numId="3" w16cid:durableId="176896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0C"/>
    <w:rsid w:val="000241E8"/>
    <w:rsid w:val="0003527F"/>
    <w:rsid w:val="0004390D"/>
    <w:rsid w:val="0005355A"/>
    <w:rsid w:val="00065C7D"/>
    <w:rsid w:val="00092AFF"/>
    <w:rsid w:val="000B102C"/>
    <w:rsid w:val="000C6CD4"/>
    <w:rsid w:val="00131D7A"/>
    <w:rsid w:val="001577E4"/>
    <w:rsid w:val="001623D2"/>
    <w:rsid w:val="00162A88"/>
    <w:rsid w:val="00173F52"/>
    <w:rsid w:val="0018534D"/>
    <w:rsid w:val="001858CA"/>
    <w:rsid w:val="001869DB"/>
    <w:rsid w:val="001903E6"/>
    <w:rsid w:val="001C4AEF"/>
    <w:rsid w:val="001D3CC5"/>
    <w:rsid w:val="00202A14"/>
    <w:rsid w:val="00207C0E"/>
    <w:rsid w:val="0025420C"/>
    <w:rsid w:val="002B5F7B"/>
    <w:rsid w:val="002C3E74"/>
    <w:rsid w:val="002E304C"/>
    <w:rsid w:val="002E7439"/>
    <w:rsid w:val="002F3591"/>
    <w:rsid w:val="00313C25"/>
    <w:rsid w:val="00322BDE"/>
    <w:rsid w:val="00340679"/>
    <w:rsid w:val="00371CA6"/>
    <w:rsid w:val="003E4B6F"/>
    <w:rsid w:val="0040690C"/>
    <w:rsid w:val="00406EE7"/>
    <w:rsid w:val="00407013"/>
    <w:rsid w:val="00412537"/>
    <w:rsid w:val="00415D7C"/>
    <w:rsid w:val="00417225"/>
    <w:rsid w:val="00451FEF"/>
    <w:rsid w:val="004A62CC"/>
    <w:rsid w:val="004C733C"/>
    <w:rsid w:val="00514C36"/>
    <w:rsid w:val="00565A74"/>
    <w:rsid w:val="005B0036"/>
    <w:rsid w:val="005C5B52"/>
    <w:rsid w:val="005D1DAA"/>
    <w:rsid w:val="005E336B"/>
    <w:rsid w:val="005F5831"/>
    <w:rsid w:val="00601E64"/>
    <w:rsid w:val="0061389F"/>
    <w:rsid w:val="00614110"/>
    <w:rsid w:val="00627236"/>
    <w:rsid w:val="00633A39"/>
    <w:rsid w:val="00646A5F"/>
    <w:rsid w:val="00662012"/>
    <w:rsid w:val="00666B01"/>
    <w:rsid w:val="00687CE3"/>
    <w:rsid w:val="00696BF6"/>
    <w:rsid w:val="006B1539"/>
    <w:rsid w:val="006C1B12"/>
    <w:rsid w:val="006C2FE7"/>
    <w:rsid w:val="006F0D27"/>
    <w:rsid w:val="006F5621"/>
    <w:rsid w:val="00701164"/>
    <w:rsid w:val="0071651B"/>
    <w:rsid w:val="00734E54"/>
    <w:rsid w:val="00750478"/>
    <w:rsid w:val="00751513"/>
    <w:rsid w:val="007564C7"/>
    <w:rsid w:val="00776C2C"/>
    <w:rsid w:val="00781329"/>
    <w:rsid w:val="007A50BD"/>
    <w:rsid w:val="007A684C"/>
    <w:rsid w:val="007C688A"/>
    <w:rsid w:val="007E2A00"/>
    <w:rsid w:val="008010F2"/>
    <w:rsid w:val="00805902"/>
    <w:rsid w:val="00813E75"/>
    <w:rsid w:val="0081533D"/>
    <w:rsid w:val="008203A8"/>
    <w:rsid w:val="008509BB"/>
    <w:rsid w:val="00851D7F"/>
    <w:rsid w:val="008803C5"/>
    <w:rsid w:val="008E4866"/>
    <w:rsid w:val="008F5FD6"/>
    <w:rsid w:val="009202AE"/>
    <w:rsid w:val="00942FB8"/>
    <w:rsid w:val="00960F5F"/>
    <w:rsid w:val="00967486"/>
    <w:rsid w:val="009D66C6"/>
    <w:rsid w:val="009E300C"/>
    <w:rsid w:val="009E5184"/>
    <w:rsid w:val="009F1F5E"/>
    <w:rsid w:val="009F2F49"/>
    <w:rsid w:val="00A04736"/>
    <w:rsid w:val="00A31E52"/>
    <w:rsid w:val="00A74A8A"/>
    <w:rsid w:val="00A85606"/>
    <w:rsid w:val="00A86C63"/>
    <w:rsid w:val="00A957A6"/>
    <w:rsid w:val="00A96525"/>
    <w:rsid w:val="00AA0D25"/>
    <w:rsid w:val="00AB48AD"/>
    <w:rsid w:val="00AC012D"/>
    <w:rsid w:val="00AD4D77"/>
    <w:rsid w:val="00AE29E5"/>
    <w:rsid w:val="00AE5757"/>
    <w:rsid w:val="00B25EB8"/>
    <w:rsid w:val="00B764E3"/>
    <w:rsid w:val="00B85456"/>
    <w:rsid w:val="00B87267"/>
    <w:rsid w:val="00B93A25"/>
    <w:rsid w:val="00BC634B"/>
    <w:rsid w:val="00BF2AE0"/>
    <w:rsid w:val="00C41394"/>
    <w:rsid w:val="00C479BF"/>
    <w:rsid w:val="00C66C59"/>
    <w:rsid w:val="00C838AB"/>
    <w:rsid w:val="00C83AA2"/>
    <w:rsid w:val="00CE3A44"/>
    <w:rsid w:val="00CE3F86"/>
    <w:rsid w:val="00CF5746"/>
    <w:rsid w:val="00CF75B4"/>
    <w:rsid w:val="00D10EE1"/>
    <w:rsid w:val="00D14DBC"/>
    <w:rsid w:val="00D87E2B"/>
    <w:rsid w:val="00D910BA"/>
    <w:rsid w:val="00D96D04"/>
    <w:rsid w:val="00DD6D71"/>
    <w:rsid w:val="00DF32BE"/>
    <w:rsid w:val="00E14F0A"/>
    <w:rsid w:val="00E321D6"/>
    <w:rsid w:val="00E323FB"/>
    <w:rsid w:val="00E46DDF"/>
    <w:rsid w:val="00E61E78"/>
    <w:rsid w:val="00E84DC6"/>
    <w:rsid w:val="00EB5778"/>
    <w:rsid w:val="00EE14EA"/>
    <w:rsid w:val="00EE5253"/>
    <w:rsid w:val="00EF3C59"/>
    <w:rsid w:val="00F36781"/>
    <w:rsid w:val="00F41E3A"/>
    <w:rsid w:val="00F60B72"/>
    <w:rsid w:val="00FA2112"/>
    <w:rsid w:val="00FA3E7E"/>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410CF"/>
  <w15:chartTrackingRefBased/>
  <w15:docId w15:val="{78008E64-93B5-4652-AD82-5C8BF675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rsid w:val="00DF32BE"/>
    <w:rPr>
      <w:sz w:val="16"/>
      <w:szCs w:val="16"/>
    </w:rPr>
  </w:style>
  <w:style w:type="paragraph" w:styleId="Kommentartekst">
    <w:name w:val="annotation text"/>
    <w:basedOn w:val="Normal"/>
    <w:link w:val="KommentartekstTegn"/>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semiHidden/>
    <w:rsid w:val="00FA66E4"/>
  </w:style>
  <w:style w:type="character" w:customStyle="1" w:styleId="SidehovedTegn">
    <w:name w:val="Sidehoved Tegn"/>
    <w:link w:val="Sidehoved"/>
    <w:rsid w:val="00FA66E4"/>
    <w:rPr>
      <w:sz w:val="24"/>
    </w:rPr>
  </w:style>
  <w:style w:type="character" w:styleId="Hyperlink">
    <w:name w:val="Hyperlink"/>
    <w:basedOn w:val="Standardskrifttypeiafsnit"/>
    <w:uiPriority w:val="99"/>
    <w:unhideWhenUsed/>
    <w:rsid w:val="00313C25"/>
    <w:rPr>
      <w:color w:val="0563C1" w:themeColor="hyperlink"/>
      <w:u w:val="single"/>
    </w:rPr>
  </w:style>
  <w:style w:type="character" w:styleId="Ulstomtale">
    <w:name w:val="Unresolved Mention"/>
    <w:basedOn w:val="Standardskrifttypeiafsnit"/>
    <w:uiPriority w:val="99"/>
    <w:semiHidden/>
    <w:unhideWhenUsed/>
    <w:rsid w:val="00313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110249421">
      <w:bodyDiv w:val="1"/>
      <w:marLeft w:val="0"/>
      <w:marRight w:val="0"/>
      <w:marTop w:val="0"/>
      <w:marBottom w:val="0"/>
      <w:divBdr>
        <w:top w:val="none" w:sz="0" w:space="0" w:color="auto"/>
        <w:left w:val="none" w:sz="0" w:space="0" w:color="auto"/>
        <w:bottom w:val="none" w:sz="0" w:space="0" w:color="auto"/>
        <w:right w:val="none" w:sz="0" w:space="0" w:color="auto"/>
      </w:divBdr>
    </w:div>
    <w:div w:id="115301302">
      <w:bodyDiv w:val="1"/>
      <w:marLeft w:val="0"/>
      <w:marRight w:val="0"/>
      <w:marTop w:val="0"/>
      <w:marBottom w:val="0"/>
      <w:divBdr>
        <w:top w:val="none" w:sz="0" w:space="0" w:color="auto"/>
        <w:left w:val="none" w:sz="0" w:space="0" w:color="auto"/>
        <w:bottom w:val="none" w:sz="0" w:space="0" w:color="auto"/>
        <w:right w:val="none" w:sz="0" w:space="0" w:color="auto"/>
      </w:divBdr>
    </w:div>
    <w:div w:id="122427018">
      <w:bodyDiv w:val="1"/>
      <w:marLeft w:val="0"/>
      <w:marRight w:val="0"/>
      <w:marTop w:val="0"/>
      <w:marBottom w:val="0"/>
      <w:divBdr>
        <w:top w:val="none" w:sz="0" w:space="0" w:color="auto"/>
        <w:left w:val="none" w:sz="0" w:space="0" w:color="auto"/>
        <w:bottom w:val="none" w:sz="0" w:space="0" w:color="auto"/>
        <w:right w:val="none" w:sz="0" w:space="0" w:color="auto"/>
      </w:divBdr>
    </w:div>
    <w:div w:id="145367584">
      <w:bodyDiv w:val="1"/>
      <w:marLeft w:val="0"/>
      <w:marRight w:val="0"/>
      <w:marTop w:val="0"/>
      <w:marBottom w:val="0"/>
      <w:divBdr>
        <w:top w:val="none" w:sz="0" w:space="0" w:color="auto"/>
        <w:left w:val="none" w:sz="0" w:space="0" w:color="auto"/>
        <w:bottom w:val="none" w:sz="0" w:space="0" w:color="auto"/>
        <w:right w:val="none" w:sz="0" w:space="0" w:color="auto"/>
      </w:divBdr>
    </w:div>
    <w:div w:id="162791670">
      <w:bodyDiv w:val="1"/>
      <w:marLeft w:val="0"/>
      <w:marRight w:val="0"/>
      <w:marTop w:val="0"/>
      <w:marBottom w:val="0"/>
      <w:divBdr>
        <w:top w:val="none" w:sz="0" w:space="0" w:color="auto"/>
        <w:left w:val="none" w:sz="0" w:space="0" w:color="auto"/>
        <w:bottom w:val="none" w:sz="0" w:space="0" w:color="auto"/>
        <w:right w:val="none" w:sz="0" w:space="0" w:color="auto"/>
      </w:divBdr>
    </w:div>
    <w:div w:id="163321762">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69948252">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244920702">
      <w:bodyDiv w:val="1"/>
      <w:marLeft w:val="0"/>
      <w:marRight w:val="0"/>
      <w:marTop w:val="0"/>
      <w:marBottom w:val="0"/>
      <w:divBdr>
        <w:top w:val="none" w:sz="0" w:space="0" w:color="auto"/>
        <w:left w:val="none" w:sz="0" w:space="0" w:color="auto"/>
        <w:bottom w:val="none" w:sz="0" w:space="0" w:color="auto"/>
        <w:right w:val="none" w:sz="0" w:space="0" w:color="auto"/>
      </w:divBdr>
    </w:div>
    <w:div w:id="468592161">
      <w:bodyDiv w:val="1"/>
      <w:marLeft w:val="0"/>
      <w:marRight w:val="0"/>
      <w:marTop w:val="0"/>
      <w:marBottom w:val="0"/>
      <w:divBdr>
        <w:top w:val="none" w:sz="0" w:space="0" w:color="auto"/>
        <w:left w:val="none" w:sz="0" w:space="0" w:color="auto"/>
        <w:bottom w:val="none" w:sz="0" w:space="0" w:color="auto"/>
        <w:right w:val="none" w:sz="0" w:space="0" w:color="auto"/>
      </w:divBdr>
    </w:div>
    <w:div w:id="486437151">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519897939">
      <w:bodyDiv w:val="1"/>
      <w:marLeft w:val="0"/>
      <w:marRight w:val="0"/>
      <w:marTop w:val="0"/>
      <w:marBottom w:val="0"/>
      <w:divBdr>
        <w:top w:val="none" w:sz="0" w:space="0" w:color="auto"/>
        <w:left w:val="none" w:sz="0" w:space="0" w:color="auto"/>
        <w:bottom w:val="none" w:sz="0" w:space="0" w:color="auto"/>
        <w:right w:val="none" w:sz="0" w:space="0" w:color="auto"/>
      </w:divBdr>
    </w:div>
    <w:div w:id="531892045">
      <w:bodyDiv w:val="1"/>
      <w:marLeft w:val="0"/>
      <w:marRight w:val="0"/>
      <w:marTop w:val="0"/>
      <w:marBottom w:val="0"/>
      <w:divBdr>
        <w:top w:val="none" w:sz="0" w:space="0" w:color="auto"/>
        <w:left w:val="none" w:sz="0" w:space="0" w:color="auto"/>
        <w:bottom w:val="none" w:sz="0" w:space="0" w:color="auto"/>
        <w:right w:val="none" w:sz="0" w:space="0" w:color="auto"/>
      </w:divBdr>
    </w:div>
    <w:div w:id="545217423">
      <w:bodyDiv w:val="1"/>
      <w:marLeft w:val="0"/>
      <w:marRight w:val="0"/>
      <w:marTop w:val="0"/>
      <w:marBottom w:val="0"/>
      <w:divBdr>
        <w:top w:val="none" w:sz="0" w:space="0" w:color="auto"/>
        <w:left w:val="none" w:sz="0" w:space="0" w:color="auto"/>
        <w:bottom w:val="none" w:sz="0" w:space="0" w:color="auto"/>
        <w:right w:val="none" w:sz="0" w:space="0" w:color="auto"/>
      </w:divBdr>
    </w:div>
    <w:div w:id="554046745">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652833313">
      <w:bodyDiv w:val="1"/>
      <w:marLeft w:val="0"/>
      <w:marRight w:val="0"/>
      <w:marTop w:val="0"/>
      <w:marBottom w:val="0"/>
      <w:divBdr>
        <w:top w:val="none" w:sz="0" w:space="0" w:color="auto"/>
        <w:left w:val="none" w:sz="0" w:space="0" w:color="auto"/>
        <w:bottom w:val="none" w:sz="0" w:space="0" w:color="auto"/>
        <w:right w:val="none" w:sz="0" w:space="0" w:color="auto"/>
      </w:divBdr>
    </w:div>
    <w:div w:id="816651337">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879048623">
      <w:bodyDiv w:val="1"/>
      <w:marLeft w:val="0"/>
      <w:marRight w:val="0"/>
      <w:marTop w:val="0"/>
      <w:marBottom w:val="0"/>
      <w:divBdr>
        <w:top w:val="none" w:sz="0" w:space="0" w:color="auto"/>
        <w:left w:val="none" w:sz="0" w:space="0" w:color="auto"/>
        <w:bottom w:val="none" w:sz="0" w:space="0" w:color="auto"/>
        <w:right w:val="none" w:sz="0" w:space="0" w:color="auto"/>
      </w:divBdr>
    </w:div>
    <w:div w:id="893152254">
      <w:bodyDiv w:val="1"/>
      <w:marLeft w:val="0"/>
      <w:marRight w:val="0"/>
      <w:marTop w:val="0"/>
      <w:marBottom w:val="0"/>
      <w:divBdr>
        <w:top w:val="none" w:sz="0" w:space="0" w:color="auto"/>
        <w:left w:val="none" w:sz="0" w:space="0" w:color="auto"/>
        <w:bottom w:val="none" w:sz="0" w:space="0" w:color="auto"/>
        <w:right w:val="none" w:sz="0" w:space="0" w:color="auto"/>
      </w:divBdr>
    </w:div>
    <w:div w:id="928004392">
      <w:bodyDiv w:val="1"/>
      <w:marLeft w:val="0"/>
      <w:marRight w:val="0"/>
      <w:marTop w:val="0"/>
      <w:marBottom w:val="0"/>
      <w:divBdr>
        <w:top w:val="none" w:sz="0" w:space="0" w:color="auto"/>
        <w:left w:val="none" w:sz="0" w:space="0" w:color="auto"/>
        <w:bottom w:val="none" w:sz="0" w:space="0" w:color="auto"/>
        <w:right w:val="none" w:sz="0" w:space="0" w:color="auto"/>
      </w:divBdr>
    </w:div>
    <w:div w:id="1001545957">
      <w:bodyDiv w:val="1"/>
      <w:marLeft w:val="0"/>
      <w:marRight w:val="0"/>
      <w:marTop w:val="0"/>
      <w:marBottom w:val="0"/>
      <w:divBdr>
        <w:top w:val="none" w:sz="0" w:space="0" w:color="auto"/>
        <w:left w:val="none" w:sz="0" w:space="0" w:color="auto"/>
        <w:bottom w:val="none" w:sz="0" w:space="0" w:color="auto"/>
        <w:right w:val="none" w:sz="0" w:space="0" w:color="auto"/>
      </w:divBdr>
    </w:div>
    <w:div w:id="1019741022">
      <w:bodyDiv w:val="1"/>
      <w:marLeft w:val="0"/>
      <w:marRight w:val="0"/>
      <w:marTop w:val="0"/>
      <w:marBottom w:val="0"/>
      <w:divBdr>
        <w:top w:val="none" w:sz="0" w:space="0" w:color="auto"/>
        <w:left w:val="none" w:sz="0" w:space="0" w:color="auto"/>
        <w:bottom w:val="none" w:sz="0" w:space="0" w:color="auto"/>
        <w:right w:val="none" w:sz="0" w:space="0" w:color="auto"/>
      </w:divBdr>
    </w:div>
    <w:div w:id="1031223020">
      <w:bodyDiv w:val="1"/>
      <w:marLeft w:val="0"/>
      <w:marRight w:val="0"/>
      <w:marTop w:val="0"/>
      <w:marBottom w:val="0"/>
      <w:divBdr>
        <w:top w:val="none" w:sz="0" w:space="0" w:color="auto"/>
        <w:left w:val="none" w:sz="0" w:space="0" w:color="auto"/>
        <w:bottom w:val="none" w:sz="0" w:space="0" w:color="auto"/>
        <w:right w:val="none" w:sz="0" w:space="0" w:color="auto"/>
      </w:divBdr>
    </w:div>
    <w:div w:id="1058089006">
      <w:bodyDiv w:val="1"/>
      <w:marLeft w:val="0"/>
      <w:marRight w:val="0"/>
      <w:marTop w:val="0"/>
      <w:marBottom w:val="0"/>
      <w:divBdr>
        <w:top w:val="none" w:sz="0" w:space="0" w:color="auto"/>
        <w:left w:val="none" w:sz="0" w:space="0" w:color="auto"/>
        <w:bottom w:val="none" w:sz="0" w:space="0" w:color="auto"/>
        <w:right w:val="none" w:sz="0" w:space="0" w:color="auto"/>
      </w:divBdr>
    </w:div>
    <w:div w:id="1081871705">
      <w:bodyDiv w:val="1"/>
      <w:marLeft w:val="0"/>
      <w:marRight w:val="0"/>
      <w:marTop w:val="0"/>
      <w:marBottom w:val="0"/>
      <w:divBdr>
        <w:top w:val="none" w:sz="0" w:space="0" w:color="auto"/>
        <w:left w:val="none" w:sz="0" w:space="0" w:color="auto"/>
        <w:bottom w:val="none" w:sz="0" w:space="0" w:color="auto"/>
        <w:right w:val="none" w:sz="0" w:space="0" w:color="auto"/>
      </w:divBdr>
    </w:div>
    <w:div w:id="1163204594">
      <w:bodyDiv w:val="1"/>
      <w:marLeft w:val="0"/>
      <w:marRight w:val="0"/>
      <w:marTop w:val="0"/>
      <w:marBottom w:val="0"/>
      <w:divBdr>
        <w:top w:val="none" w:sz="0" w:space="0" w:color="auto"/>
        <w:left w:val="none" w:sz="0" w:space="0" w:color="auto"/>
        <w:bottom w:val="none" w:sz="0" w:space="0" w:color="auto"/>
        <w:right w:val="none" w:sz="0" w:space="0" w:color="auto"/>
      </w:divBdr>
    </w:div>
    <w:div w:id="1171413329">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194995872">
      <w:bodyDiv w:val="1"/>
      <w:marLeft w:val="0"/>
      <w:marRight w:val="0"/>
      <w:marTop w:val="0"/>
      <w:marBottom w:val="0"/>
      <w:divBdr>
        <w:top w:val="none" w:sz="0" w:space="0" w:color="auto"/>
        <w:left w:val="none" w:sz="0" w:space="0" w:color="auto"/>
        <w:bottom w:val="none" w:sz="0" w:space="0" w:color="auto"/>
        <w:right w:val="none" w:sz="0" w:space="0" w:color="auto"/>
      </w:divBdr>
    </w:div>
    <w:div w:id="1288855222">
      <w:bodyDiv w:val="1"/>
      <w:marLeft w:val="0"/>
      <w:marRight w:val="0"/>
      <w:marTop w:val="0"/>
      <w:marBottom w:val="0"/>
      <w:divBdr>
        <w:top w:val="none" w:sz="0" w:space="0" w:color="auto"/>
        <w:left w:val="none" w:sz="0" w:space="0" w:color="auto"/>
        <w:bottom w:val="none" w:sz="0" w:space="0" w:color="auto"/>
        <w:right w:val="none" w:sz="0" w:space="0" w:color="auto"/>
      </w:divBdr>
    </w:div>
    <w:div w:id="1380131728">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393774658">
      <w:bodyDiv w:val="1"/>
      <w:marLeft w:val="0"/>
      <w:marRight w:val="0"/>
      <w:marTop w:val="0"/>
      <w:marBottom w:val="0"/>
      <w:divBdr>
        <w:top w:val="none" w:sz="0" w:space="0" w:color="auto"/>
        <w:left w:val="none" w:sz="0" w:space="0" w:color="auto"/>
        <w:bottom w:val="none" w:sz="0" w:space="0" w:color="auto"/>
        <w:right w:val="none" w:sz="0" w:space="0" w:color="auto"/>
      </w:divBdr>
    </w:div>
    <w:div w:id="1401057264">
      <w:bodyDiv w:val="1"/>
      <w:marLeft w:val="0"/>
      <w:marRight w:val="0"/>
      <w:marTop w:val="0"/>
      <w:marBottom w:val="0"/>
      <w:divBdr>
        <w:top w:val="none" w:sz="0" w:space="0" w:color="auto"/>
        <w:left w:val="none" w:sz="0" w:space="0" w:color="auto"/>
        <w:bottom w:val="none" w:sz="0" w:space="0" w:color="auto"/>
        <w:right w:val="none" w:sz="0" w:space="0" w:color="auto"/>
      </w:divBdr>
    </w:div>
    <w:div w:id="1427339380">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68157301">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512792644">
      <w:bodyDiv w:val="1"/>
      <w:marLeft w:val="0"/>
      <w:marRight w:val="0"/>
      <w:marTop w:val="0"/>
      <w:marBottom w:val="0"/>
      <w:divBdr>
        <w:top w:val="none" w:sz="0" w:space="0" w:color="auto"/>
        <w:left w:val="none" w:sz="0" w:space="0" w:color="auto"/>
        <w:bottom w:val="none" w:sz="0" w:space="0" w:color="auto"/>
        <w:right w:val="none" w:sz="0" w:space="0" w:color="auto"/>
      </w:divBdr>
    </w:div>
    <w:div w:id="1513185881">
      <w:bodyDiv w:val="1"/>
      <w:marLeft w:val="0"/>
      <w:marRight w:val="0"/>
      <w:marTop w:val="0"/>
      <w:marBottom w:val="0"/>
      <w:divBdr>
        <w:top w:val="none" w:sz="0" w:space="0" w:color="auto"/>
        <w:left w:val="none" w:sz="0" w:space="0" w:color="auto"/>
        <w:bottom w:val="none" w:sz="0" w:space="0" w:color="auto"/>
        <w:right w:val="none" w:sz="0" w:space="0" w:color="auto"/>
      </w:divBdr>
    </w:div>
    <w:div w:id="1582639510">
      <w:bodyDiv w:val="1"/>
      <w:marLeft w:val="0"/>
      <w:marRight w:val="0"/>
      <w:marTop w:val="0"/>
      <w:marBottom w:val="0"/>
      <w:divBdr>
        <w:top w:val="none" w:sz="0" w:space="0" w:color="auto"/>
        <w:left w:val="none" w:sz="0" w:space="0" w:color="auto"/>
        <w:bottom w:val="none" w:sz="0" w:space="0" w:color="auto"/>
        <w:right w:val="none" w:sz="0" w:space="0" w:color="auto"/>
      </w:divBdr>
    </w:div>
    <w:div w:id="1593081491">
      <w:bodyDiv w:val="1"/>
      <w:marLeft w:val="0"/>
      <w:marRight w:val="0"/>
      <w:marTop w:val="0"/>
      <w:marBottom w:val="0"/>
      <w:divBdr>
        <w:top w:val="none" w:sz="0" w:space="0" w:color="auto"/>
        <w:left w:val="none" w:sz="0" w:space="0" w:color="auto"/>
        <w:bottom w:val="none" w:sz="0" w:space="0" w:color="auto"/>
        <w:right w:val="none" w:sz="0" w:space="0" w:color="auto"/>
      </w:divBdr>
    </w:div>
    <w:div w:id="1632975016">
      <w:bodyDiv w:val="1"/>
      <w:marLeft w:val="0"/>
      <w:marRight w:val="0"/>
      <w:marTop w:val="0"/>
      <w:marBottom w:val="0"/>
      <w:divBdr>
        <w:top w:val="none" w:sz="0" w:space="0" w:color="auto"/>
        <w:left w:val="none" w:sz="0" w:space="0" w:color="auto"/>
        <w:bottom w:val="none" w:sz="0" w:space="0" w:color="auto"/>
        <w:right w:val="none" w:sz="0" w:space="0" w:color="auto"/>
      </w:divBdr>
    </w:div>
    <w:div w:id="1817532736">
      <w:bodyDiv w:val="1"/>
      <w:marLeft w:val="0"/>
      <w:marRight w:val="0"/>
      <w:marTop w:val="0"/>
      <w:marBottom w:val="0"/>
      <w:divBdr>
        <w:top w:val="none" w:sz="0" w:space="0" w:color="auto"/>
        <w:left w:val="none" w:sz="0" w:space="0" w:color="auto"/>
        <w:bottom w:val="none" w:sz="0" w:space="0" w:color="auto"/>
        <w:right w:val="none" w:sz="0" w:space="0" w:color="auto"/>
      </w:divBdr>
    </w:div>
    <w:div w:id="1834446806">
      <w:bodyDiv w:val="1"/>
      <w:marLeft w:val="0"/>
      <w:marRight w:val="0"/>
      <w:marTop w:val="0"/>
      <w:marBottom w:val="0"/>
      <w:divBdr>
        <w:top w:val="none" w:sz="0" w:space="0" w:color="auto"/>
        <w:left w:val="none" w:sz="0" w:space="0" w:color="auto"/>
        <w:bottom w:val="none" w:sz="0" w:space="0" w:color="auto"/>
        <w:right w:val="none" w:sz="0" w:space="0" w:color="auto"/>
      </w:divBdr>
    </w:div>
    <w:div w:id="1841843853">
      <w:bodyDiv w:val="1"/>
      <w:marLeft w:val="0"/>
      <w:marRight w:val="0"/>
      <w:marTop w:val="0"/>
      <w:marBottom w:val="0"/>
      <w:divBdr>
        <w:top w:val="none" w:sz="0" w:space="0" w:color="auto"/>
        <w:left w:val="none" w:sz="0" w:space="0" w:color="auto"/>
        <w:bottom w:val="none" w:sz="0" w:space="0" w:color="auto"/>
        <w:right w:val="none" w:sz="0" w:space="0" w:color="auto"/>
      </w:divBdr>
    </w:div>
    <w:div w:id="1862357672">
      <w:bodyDiv w:val="1"/>
      <w:marLeft w:val="0"/>
      <w:marRight w:val="0"/>
      <w:marTop w:val="0"/>
      <w:marBottom w:val="0"/>
      <w:divBdr>
        <w:top w:val="none" w:sz="0" w:space="0" w:color="auto"/>
        <w:left w:val="none" w:sz="0" w:space="0" w:color="auto"/>
        <w:bottom w:val="none" w:sz="0" w:space="0" w:color="auto"/>
        <w:right w:val="none" w:sz="0" w:space="0" w:color="auto"/>
      </w:divBdr>
    </w:div>
    <w:div w:id="1873809022">
      <w:bodyDiv w:val="1"/>
      <w:marLeft w:val="0"/>
      <w:marRight w:val="0"/>
      <w:marTop w:val="0"/>
      <w:marBottom w:val="0"/>
      <w:divBdr>
        <w:top w:val="none" w:sz="0" w:space="0" w:color="auto"/>
        <w:left w:val="none" w:sz="0" w:space="0" w:color="auto"/>
        <w:bottom w:val="none" w:sz="0" w:space="0" w:color="auto"/>
        <w:right w:val="none" w:sz="0" w:space="0" w:color="auto"/>
      </w:divBdr>
    </w:div>
    <w:div w:id="1907494790">
      <w:bodyDiv w:val="1"/>
      <w:marLeft w:val="0"/>
      <w:marRight w:val="0"/>
      <w:marTop w:val="0"/>
      <w:marBottom w:val="0"/>
      <w:divBdr>
        <w:top w:val="none" w:sz="0" w:space="0" w:color="auto"/>
        <w:left w:val="none" w:sz="0" w:space="0" w:color="auto"/>
        <w:bottom w:val="none" w:sz="0" w:space="0" w:color="auto"/>
        <w:right w:val="none" w:sz="0" w:space="0" w:color="auto"/>
      </w:divBdr>
    </w:div>
    <w:div w:id="1909728773">
      <w:bodyDiv w:val="1"/>
      <w:marLeft w:val="0"/>
      <w:marRight w:val="0"/>
      <w:marTop w:val="0"/>
      <w:marBottom w:val="0"/>
      <w:divBdr>
        <w:top w:val="none" w:sz="0" w:space="0" w:color="auto"/>
        <w:left w:val="none" w:sz="0" w:space="0" w:color="auto"/>
        <w:bottom w:val="none" w:sz="0" w:space="0" w:color="auto"/>
        <w:right w:val="none" w:sz="0" w:space="0" w:color="auto"/>
      </w:divBdr>
    </w:div>
    <w:div w:id="1912301672">
      <w:bodyDiv w:val="1"/>
      <w:marLeft w:val="0"/>
      <w:marRight w:val="0"/>
      <w:marTop w:val="0"/>
      <w:marBottom w:val="0"/>
      <w:divBdr>
        <w:top w:val="none" w:sz="0" w:space="0" w:color="auto"/>
        <w:left w:val="none" w:sz="0" w:space="0" w:color="auto"/>
        <w:bottom w:val="none" w:sz="0" w:space="0" w:color="auto"/>
        <w:right w:val="none" w:sz="0" w:space="0" w:color="auto"/>
      </w:divBdr>
    </w:div>
    <w:div w:id="2058702794">
      <w:bodyDiv w:val="1"/>
      <w:marLeft w:val="0"/>
      <w:marRight w:val="0"/>
      <w:marTop w:val="0"/>
      <w:marBottom w:val="0"/>
      <w:divBdr>
        <w:top w:val="none" w:sz="0" w:space="0" w:color="auto"/>
        <w:left w:val="none" w:sz="0" w:space="0" w:color="auto"/>
        <w:bottom w:val="none" w:sz="0" w:space="0" w:color="auto"/>
        <w:right w:val="none" w:sz="0" w:space="0" w:color="auto"/>
      </w:divBdr>
    </w:div>
    <w:div w:id="206386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(NY-QRDv9).dotx</Template>
  <TotalTime>25</TotalTime>
  <Pages>7</Pages>
  <Words>1912</Words>
  <Characters>12594</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2024083964, MT</dc:description>
  <cp:lastModifiedBy>Gitte Jørgensen</cp:lastModifiedBy>
  <cp:revision>8</cp:revision>
  <cp:lastPrinted>2022-05-18T14:03:00Z</cp:lastPrinted>
  <dcterms:created xsi:type="dcterms:W3CDTF">2026-03-17T13:56:00Z</dcterms:created>
  <dcterms:modified xsi:type="dcterms:W3CDTF">2026-03-19T09:27:00Z</dcterms:modified>
</cp:coreProperties>
</file>