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EB1" w:rsidRPr="008F49E1" w:rsidRDefault="00FB7EB1" w:rsidP="00FB7EB1">
      <w:pPr>
        <w:rPr>
          <w:sz w:val="24"/>
          <w:szCs w:val="24"/>
        </w:rPr>
      </w:pPr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4DE346A6" wp14:editId="231A3675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EB1" w:rsidRDefault="00FB7EB1" w:rsidP="00FB7EB1">
      <w:pPr>
        <w:rPr>
          <w:sz w:val="24"/>
          <w:szCs w:val="24"/>
        </w:rPr>
      </w:pPr>
    </w:p>
    <w:p w:rsidR="00FB7EB1" w:rsidRPr="00C20AF7" w:rsidRDefault="00FB7EB1" w:rsidP="00FB7EB1">
      <w:pPr>
        <w:rPr>
          <w:sz w:val="24"/>
          <w:szCs w:val="24"/>
        </w:rPr>
      </w:pPr>
    </w:p>
    <w:p w:rsidR="00FB7EB1" w:rsidRPr="00406EE7" w:rsidRDefault="00FB7EB1" w:rsidP="00FB7EB1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44CFB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. </w:t>
      </w:r>
      <w:r w:rsidR="00C44CFB">
        <w:rPr>
          <w:b/>
          <w:sz w:val="24"/>
          <w:szCs w:val="24"/>
        </w:rPr>
        <w:t>marts</w:t>
      </w:r>
      <w:r>
        <w:rPr>
          <w:b/>
          <w:sz w:val="24"/>
          <w:szCs w:val="24"/>
        </w:rPr>
        <w:t xml:space="preserve"> 20</w:t>
      </w:r>
      <w:r w:rsidR="00C022CB">
        <w:rPr>
          <w:b/>
          <w:sz w:val="24"/>
          <w:szCs w:val="24"/>
        </w:rPr>
        <w:t>22</w:t>
      </w:r>
    </w:p>
    <w:p w:rsidR="00FB7EB1" w:rsidRPr="00406EE7" w:rsidRDefault="00FB7EB1" w:rsidP="00FB7EB1">
      <w:pPr>
        <w:rPr>
          <w:sz w:val="24"/>
          <w:szCs w:val="24"/>
        </w:rPr>
      </w:pPr>
    </w:p>
    <w:p w:rsidR="00FB7EB1" w:rsidRPr="00406EE7" w:rsidRDefault="00FB7EB1" w:rsidP="00FB7EB1">
      <w:pPr>
        <w:rPr>
          <w:sz w:val="24"/>
          <w:szCs w:val="24"/>
        </w:rPr>
      </w:pPr>
    </w:p>
    <w:p w:rsidR="00FB7EB1" w:rsidRDefault="00FB7EB1" w:rsidP="00FB7EB1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B7EB1" w:rsidRPr="00406EE7" w:rsidRDefault="00FB7EB1" w:rsidP="00FB7EB1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FB7EB1" w:rsidRPr="00406EE7" w:rsidRDefault="00FB7EB1" w:rsidP="00FB7EB1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B7EB1" w:rsidRPr="00406EE7" w:rsidRDefault="00FB7EB1" w:rsidP="00FB7EB1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FB7EB1" w:rsidRPr="00406EE7" w:rsidRDefault="00FB7EB1" w:rsidP="00FB7EB1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B7EB1" w:rsidRPr="00565A74" w:rsidRDefault="00FB7EB1" w:rsidP="00FB7EB1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Tiasol</w:t>
      </w:r>
      <w:proofErr w:type="spellEnd"/>
      <w:r>
        <w:rPr>
          <w:b/>
          <w:sz w:val="24"/>
          <w:szCs w:val="24"/>
        </w:rPr>
        <w:t>, opløsning til anvendelse i drikkevand</w:t>
      </w:r>
    </w:p>
    <w:p w:rsidR="00FB7EB1" w:rsidRPr="00406EE7" w:rsidRDefault="00FB7EB1" w:rsidP="00FB7EB1">
      <w:pPr>
        <w:tabs>
          <w:tab w:val="left" w:pos="8222"/>
        </w:tabs>
        <w:jc w:val="both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222"/>
        </w:tabs>
        <w:jc w:val="both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0.</w:t>
      </w:r>
      <w:r w:rsidRPr="00406EE7">
        <w:rPr>
          <w:b/>
          <w:sz w:val="24"/>
          <w:szCs w:val="24"/>
        </w:rPr>
        <w:tab/>
        <w:t>D.SP.NR</w:t>
      </w:r>
      <w:r>
        <w:rPr>
          <w:b/>
          <w:sz w:val="24"/>
          <w:szCs w:val="24"/>
        </w:rPr>
        <w:t>.</w:t>
      </w:r>
    </w:p>
    <w:p w:rsidR="00FB7EB1" w:rsidRPr="00406EE7" w:rsidRDefault="00FB7EB1" w:rsidP="00FB7EB1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30742</w:t>
      </w:r>
    </w:p>
    <w:p w:rsidR="00FB7EB1" w:rsidRPr="00406EE7" w:rsidRDefault="00FB7EB1" w:rsidP="00FB7EB1">
      <w:pPr>
        <w:tabs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1.</w:t>
      </w:r>
      <w:r w:rsidRPr="00406EE7">
        <w:rPr>
          <w:b/>
          <w:sz w:val="24"/>
          <w:szCs w:val="24"/>
        </w:rPr>
        <w:tab/>
        <w:t>VETERINÆRLÆGEMIDLETS NAVN</w:t>
      </w:r>
    </w:p>
    <w:p w:rsidR="00FB7EB1" w:rsidRPr="00406EE7" w:rsidRDefault="00FB7EB1" w:rsidP="00FB7EB1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Tiasol</w:t>
      </w:r>
      <w:proofErr w:type="spellEnd"/>
    </w:p>
    <w:p w:rsidR="00FB7EB1" w:rsidRPr="00406EE7" w:rsidRDefault="00FB7EB1" w:rsidP="00FB7EB1">
      <w:pPr>
        <w:tabs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2.</w:t>
      </w:r>
      <w:r w:rsidRPr="00406EE7">
        <w:rPr>
          <w:b/>
          <w:sz w:val="24"/>
          <w:szCs w:val="24"/>
        </w:rPr>
        <w:tab/>
        <w:t>KVALITATIV OG KVANTITATIV SAMMENSÆTNING</w:t>
      </w:r>
    </w:p>
    <w:p w:rsidR="00FB7EB1" w:rsidRDefault="00FB7EB1" w:rsidP="00FB7EB1">
      <w:pPr>
        <w:ind w:left="851"/>
        <w:rPr>
          <w:sz w:val="24"/>
          <w:szCs w:val="24"/>
          <w:u w:val="single"/>
          <w:lang w:val="da"/>
        </w:rPr>
      </w:pPr>
    </w:p>
    <w:p w:rsidR="00FB7EB1" w:rsidRPr="00A10766" w:rsidRDefault="00FB7EB1" w:rsidP="00FB7EB1">
      <w:pPr>
        <w:ind w:left="851"/>
        <w:rPr>
          <w:sz w:val="24"/>
          <w:szCs w:val="24"/>
        </w:rPr>
      </w:pPr>
      <w:r w:rsidRPr="00A10766">
        <w:rPr>
          <w:sz w:val="24"/>
          <w:szCs w:val="24"/>
          <w:u w:val="single"/>
          <w:lang w:val="da"/>
        </w:rPr>
        <w:t xml:space="preserve">1 ml opløsning </w:t>
      </w:r>
      <w:proofErr w:type="spellStart"/>
      <w:r>
        <w:rPr>
          <w:sz w:val="24"/>
          <w:szCs w:val="24"/>
          <w:u w:val="single"/>
          <w:lang w:val="da"/>
        </w:rPr>
        <w:t>Tiasol</w:t>
      </w:r>
      <w:proofErr w:type="spellEnd"/>
      <w:r w:rsidRPr="00A10766">
        <w:rPr>
          <w:sz w:val="24"/>
          <w:szCs w:val="24"/>
          <w:u w:val="single"/>
          <w:lang w:val="da"/>
        </w:rPr>
        <w:t xml:space="preserve"> 125 mg/ml indeholder</w:t>
      </w:r>
    </w:p>
    <w:p w:rsidR="00FB7EB1" w:rsidRPr="00A10766" w:rsidRDefault="00FB7EB1" w:rsidP="00FB7EB1">
      <w:pPr>
        <w:ind w:left="851"/>
        <w:rPr>
          <w:b/>
          <w:sz w:val="24"/>
          <w:szCs w:val="24"/>
        </w:rPr>
      </w:pPr>
    </w:p>
    <w:p w:rsidR="00FB7EB1" w:rsidRPr="00A10766" w:rsidRDefault="00FB7EB1" w:rsidP="00FB7EB1">
      <w:pPr>
        <w:tabs>
          <w:tab w:val="left" w:pos="4678"/>
        </w:tabs>
        <w:ind w:left="851"/>
        <w:rPr>
          <w:i/>
          <w:sz w:val="24"/>
          <w:szCs w:val="24"/>
        </w:rPr>
      </w:pPr>
      <w:r w:rsidRPr="00A10766">
        <w:rPr>
          <w:bCs/>
          <w:i/>
          <w:sz w:val="24"/>
          <w:szCs w:val="24"/>
          <w:lang w:val="da"/>
        </w:rPr>
        <w:t>Aktivt stof</w:t>
      </w:r>
    </w:p>
    <w:p w:rsidR="00FB7EB1" w:rsidRPr="00A10766" w:rsidRDefault="00FB7EB1" w:rsidP="00FB7EB1">
      <w:pPr>
        <w:tabs>
          <w:tab w:val="left" w:pos="4678"/>
        </w:tabs>
        <w:ind w:left="851"/>
        <w:rPr>
          <w:sz w:val="24"/>
          <w:szCs w:val="24"/>
        </w:rPr>
      </w:pPr>
      <w:proofErr w:type="spellStart"/>
      <w:r w:rsidRPr="00A10766">
        <w:rPr>
          <w:sz w:val="24"/>
          <w:szCs w:val="24"/>
          <w:lang w:val="da"/>
        </w:rPr>
        <w:t>Tiamulinhydrogenfumarat</w:t>
      </w:r>
      <w:proofErr w:type="spellEnd"/>
      <w:r w:rsidRPr="00A10766">
        <w:rPr>
          <w:sz w:val="24"/>
          <w:szCs w:val="24"/>
          <w:lang w:val="da"/>
        </w:rPr>
        <w:tab/>
        <w:t>125,0 mg</w:t>
      </w:r>
    </w:p>
    <w:p w:rsidR="00FB7EB1" w:rsidRPr="00A10766" w:rsidRDefault="00FB7EB1" w:rsidP="00FB7EB1">
      <w:pPr>
        <w:tabs>
          <w:tab w:val="left" w:pos="4678"/>
        </w:tabs>
        <w:ind w:left="851"/>
        <w:rPr>
          <w:sz w:val="24"/>
          <w:szCs w:val="24"/>
        </w:rPr>
      </w:pPr>
      <w:r w:rsidRPr="00A10766">
        <w:rPr>
          <w:sz w:val="24"/>
          <w:szCs w:val="24"/>
          <w:lang w:val="da"/>
        </w:rPr>
        <w:t xml:space="preserve">svarende til 101,2 mg </w:t>
      </w:r>
      <w:proofErr w:type="spellStart"/>
      <w:r w:rsidRPr="00A10766">
        <w:rPr>
          <w:sz w:val="24"/>
          <w:szCs w:val="24"/>
          <w:lang w:val="da"/>
        </w:rPr>
        <w:t>tiamulin</w:t>
      </w:r>
      <w:proofErr w:type="spellEnd"/>
    </w:p>
    <w:p w:rsidR="00FB7EB1" w:rsidRPr="00A10766" w:rsidRDefault="00FB7EB1" w:rsidP="00FB7EB1">
      <w:pPr>
        <w:tabs>
          <w:tab w:val="left" w:pos="4678"/>
        </w:tabs>
        <w:ind w:left="851"/>
        <w:rPr>
          <w:iCs/>
          <w:sz w:val="24"/>
          <w:szCs w:val="24"/>
        </w:rPr>
      </w:pPr>
    </w:p>
    <w:p w:rsidR="00FB7EB1" w:rsidRPr="00A10766" w:rsidRDefault="00FB7EB1" w:rsidP="00FB7EB1">
      <w:pPr>
        <w:tabs>
          <w:tab w:val="left" w:pos="4678"/>
        </w:tabs>
        <w:ind w:left="851"/>
        <w:rPr>
          <w:i/>
          <w:sz w:val="24"/>
          <w:szCs w:val="24"/>
        </w:rPr>
      </w:pPr>
      <w:r w:rsidRPr="00A10766">
        <w:rPr>
          <w:bCs/>
          <w:i/>
          <w:sz w:val="24"/>
          <w:szCs w:val="24"/>
        </w:rPr>
        <w:t>Hjælpestoffer</w:t>
      </w:r>
    </w:p>
    <w:p w:rsidR="00FB7EB1" w:rsidRPr="00A10766" w:rsidRDefault="00FB7EB1" w:rsidP="00FB7EB1">
      <w:pPr>
        <w:tabs>
          <w:tab w:val="left" w:pos="4678"/>
        </w:tabs>
        <w:ind w:left="851"/>
        <w:rPr>
          <w:sz w:val="24"/>
          <w:szCs w:val="24"/>
        </w:rPr>
      </w:pPr>
      <w:proofErr w:type="spellStart"/>
      <w:r w:rsidRPr="00A10766">
        <w:rPr>
          <w:sz w:val="24"/>
          <w:szCs w:val="24"/>
        </w:rPr>
        <w:t>Methylparahydroxybenzoat</w:t>
      </w:r>
      <w:proofErr w:type="spellEnd"/>
      <w:r w:rsidRPr="00A10766">
        <w:rPr>
          <w:sz w:val="24"/>
          <w:szCs w:val="24"/>
        </w:rPr>
        <w:t xml:space="preserve"> (E218)</w:t>
      </w:r>
      <w:r w:rsidRPr="00A10766">
        <w:rPr>
          <w:sz w:val="24"/>
          <w:szCs w:val="24"/>
        </w:rPr>
        <w:tab/>
        <w:t>0,9 mg</w:t>
      </w:r>
    </w:p>
    <w:p w:rsidR="00FB7EB1" w:rsidRPr="00A10766" w:rsidRDefault="00FB7EB1" w:rsidP="00FB7EB1">
      <w:pPr>
        <w:tabs>
          <w:tab w:val="left" w:pos="4678"/>
        </w:tabs>
        <w:ind w:left="851"/>
        <w:rPr>
          <w:sz w:val="24"/>
          <w:szCs w:val="24"/>
        </w:rPr>
      </w:pPr>
      <w:proofErr w:type="spellStart"/>
      <w:r w:rsidRPr="00A10766">
        <w:rPr>
          <w:sz w:val="24"/>
          <w:szCs w:val="24"/>
        </w:rPr>
        <w:t>Propylparahydroxybenzoat</w:t>
      </w:r>
      <w:proofErr w:type="spellEnd"/>
      <w:r w:rsidRPr="00A10766">
        <w:rPr>
          <w:sz w:val="24"/>
          <w:szCs w:val="24"/>
        </w:rPr>
        <w:tab/>
        <w:t>0,1 mg</w:t>
      </w:r>
    </w:p>
    <w:p w:rsidR="00FB7EB1" w:rsidRPr="00A10766" w:rsidRDefault="00FB7EB1" w:rsidP="00FB7EB1">
      <w:pPr>
        <w:tabs>
          <w:tab w:val="left" w:pos="4678"/>
        </w:tabs>
        <w:ind w:left="851"/>
        <w:rPr>
          <w:sz w:val="24"/>
          <w:szCs w:val="24"/>
        </w:rPr>
      </w:pPr>
    </w:p>
    <w:p w:rsidR="00FB7EB1" w:rsidRPr="00A10766" w:rsidRDefault="00FB7EB1" w:rsidP="00FB7EB1">
      <w:pPr>
        <w:tabs>
          <w:tab w:val="left" w:pos="4678"/>
        </w:tabs>
        <w:ind w:left="851"/>
        <w:rPr>
          <w:sz w:val="24"/>
          <w:szCs w:val="24"/>
        </w:rPr>
      </w:pPr>
      <w:r w:rsidRPr="00A10766">
        <w:rPr>
          <w:sz w:val="24"/>
          <w:szCs w:val="24"/>
          <w:u w:val="single"/>
          <w:lang w:val="da"/>
        </w:rPr>
        <w:t xml:space="preserve">1 ml opløsning </w:t>
      </w:r>
      <w:proofErr w:type="spellStart"/>
      <w:r>
        <w:rPr>
          <w:sz w:val="24"/>
          <w:szCs w:val="24"/>
          <w:u w:val="single"/>
          <w:lang w:val="da"/>
        </w:rPr>
        <w:t>Tiasol</w:t>
      </w:r>
      <w:proofErr w:type="spellEnd"/>
      <w:r w:rsidRPr="00A10766">
        <w:rPr>
          <w:sz w:val="24"/>
          <w:szCs w:val="24"/>
          <w:u w:val="single"/>
          <w:lang w:val="da"/>
        </w:rPr>
        <w:t xml:space="preserve"> 250 mg/ml indeholder</w:t>
      </w:r>
    </w:p>
    <w:p w:rsidR="00FB7EB1" w:rsidRPr="00A10766" w:rsidRDefault="00FB7EB1" w:rsidP="00FB7EB1">
      <w:pPr>
        <w:tabs>
          <w:tab w:val="left" w:pos="4678"/>
        </w:tabs>
        <w:ind w:left="851"/>
        <w:rPr>
          <w:b/>
          <w:sz w:val="24"/>
          <w:szCs w:val="24"/>
        </w:rPr>
      </w:pPr>
    </w:p>
    <w:p w:rsidR="00FB7EB1" w:rsidRPr="00A10766" w:rsidRDefault="00FB7EB1" w:rsidP="00FB7EB1">
      <w:pPr>
        <w:tabs>
          <w:tab w:val="left" w:pos="4678"/>
        </w:tabs>
        <w:ind w:left="851"/>
        <w:rPr>
          <w:i/>
          <w:sz w:val="24"/>
          <w:szCs w:val="24"/>
        </w:rPr>
      </w:pPr>
      <w:r w:rsidRPr="00A10766">
        <w:rPr>
          <w:bCs/>
          <w:i/>
          <w:sz w:val="24"/>
          <w:szCs w:val="24"/>
          <w:lang w:val="da"/>
        </w:rPr>
        <w:t>Aktivt stof</w:t>
      </w:r>
    </w:p>
    <w:p w:rsidR="00FB7EB1" w:rsidRPr="00A10766" w:rsidRDefault="00FB7EB1" w:rsidP="00FB7EB1">
      <w:pPr>
        <w:tabs>
          <w:tab w:val="left" w:pos="4678"/>
        </w:tabs>
        <w:ind w:left="851"/>
        <w:rPr>
          <w:sz w:val="24"/>
          <w:szCs w:val="24"/>
        </w:rPr>
      </w:pPr>
      <w:proofErr w:type="spellStart"/>
      <w:r w:rsidRPr="00A10766">
        <w:rPr>
          <w:sz w:val="24"/>
          <w:szCs w:val="24"/>
          <w:lang w:val="da"/>
        </w:rPr>
        <w:t>Tiamulinhydrogenfumarat</w:t>
      </w:r>
      <w:proofErr w:type="spellEnd"/>
      <w:r w:rsidRPr="00A10766">
        <w:rPr>
          <w:sz w:val="24"/>
          <w:szCs w:val="24"/>
          <w:lang w:val="da"/>
        </w:rPr>
        <w:tab/>
        <w:t>250,0 mg</w:t>
      </w:r>
    </w:p>
    <w:p w:rsidR="00FB7EB1" w:rsidRPr="00A10766" w:rsidRDefault="00FB7EB1" w:rsidP="00FB7EB1">
      <w:pPr>
        <w:tabs>
          <w:tab w:val="left" w:pos="4678"/>
        </w:tabs>
        <w:ind w:left="851"/>
        <w:rPr>
          <w:sz w:val="24"/>
          <w:szCs w:val="24"/>
        </w:rPr>
      </w:pPr>
      <w:r w:rsidRPr="00A10766">
        <w:rPr>
          <w:sz w:val="24"/>
          <w:szCs w:val="24"/>
          <w:lang w:val="da"/>
        </w:rPr>
        <w:t xml:space="preserve">svarende til 202,4 mg </w:t>
      </w:r>
      <w:proofErr w:type="spellStart"/>
      <w:r w:rsidRPr="00A10766">
        <w:rPr>
          <w:sz w:val="24"/>
          <w:szCs w:val="24"/>
          <w:lang w:val="da"/>
        </w:rPr>
        <w:t>tiamulin</w:t>
      </w:r>
      <w:proofErr w:type="spellEnd"/>
    </w:p>
    <w:p w:rsidR="00FB7EB1" w:rsidRPr="00A10766" w:rsidRDefault="00FB7EB1" w:rsidP="00FB7EB1">
      <w:pPr>
        <w:tabs>
          <w:tab w:val="left" w:pos="4678"/>
        </w:tabs>
        <w:ind w:left="851"/>
        <w:rPr>
          <w:sz w:val="24"/>
          <w:szCs w:val="24"/>
        </w:rPr>
      </w:pPr>
    </w:p>
    <w:p w:rsidR="00FB7EB1" w:rsidRPr="00A10766" w:rsidRDefault="00FB7EB1" w:rsidP="00FB7EB1">
      <w:pPr>
        <w:tabs>
          <w:tab w:val="left" w:pos="4678"/>
        </w:tabs>
        <w:ind w:left="851"/>
        <w:rPr>
          <w:i/>
          <w:sz w:val="24"/>
          <w:szCs w:val="24"/>
        </w:rPr>
      </w:pPr>
      <w:r w:rsidRPr="00CE179A">
        <w:rPr>
          <w:bCs/>
          <w:i/>
          <w:sz w:val="24"/>
          <w:szCs w:val="24"/>
          <w:lang w:val="da"/>
        </w:rPr>
        <w:t>Hjælpestoffer</w:t>
      </w:r>
    </w:p>
    <w:p w:rsidR="00FB7EB1" w:rsidRPr="00A10766" w:rsidRDefault="00FB7EB1" w:rsidP="00FB7EB1">
      <w:pPr>
        <w:tabs>
          <w:tab w:val="left" w:pos="4678"/>
        </w:tabs>
        <w:ind w:left="851"/>
        <w:rPr>
          <w:sz w:val="24"/>
          <w:szCs w:val="24"/>
        </w:rPr>
      </w:pPr>
      <w:proofErr w:type="spellStart"/>
      <w:r w:rsidRPr="00A10766">
        <w:rPr>
          <w:sz w:val="24"/>
          <w:szCs w:val="24"/>
          <w:lang w:val="da"/>
        </w:rPr>
        <w:t>Ethanol</w:t>
      </w:r>
      <w:proofErr w:type="spellEnd"/>
      <w:r w:rsidRPr="00A10766">
        <w:rPr>
          <w:sz w:val="24"/>
          <w:szCs w:val="24"/>
          <w:lang w:val="da"/>
        </w:rPr>
        <w:t xml:space="preserve"> 96</w:t>
      </w:r>
      <w:r>
        <w:rPr>
          <w:sz w:val="24"/>
          <w:szCs w:val="24"/>
          <w:lang w:val="da"/>
        </w:rPr>
        <w:t xml:space="preserve"> </w:t>
      </w:r>
      <w:r w:rsidRPr="00A10766">
        <w:rPr>
          <w:sz w:val="24"/>
          <w:szCs w:val="24"/>
          <w:lang w:val="da"/>
        </w:rPr>
        <w:t>%</w:t>
      </w:r>
      <w:r w:rsidRPr="00A10766">
        <w:rPr>
          <w:sz w:val="24"/>
          <w:szCs w:val="24"/>
          <w:lang w:val="da"/>
        </w:rPr>
        <w:tab/>
        <w:t>200,0 mg</w:t>
      </w:r>
    </w:p>
    <w:p w:rsidR="00FB7EB1" w:rsidRPr="00A10766" w:rsidRDefault="00FB7EB1" w:rsidP="00FB7EB1">
      <w:pPr>
        <w:ind w:left="851"/>
        <w:rPr>
          <w:sz w:val="24"/>
          <w:szCs w:val="24"/>
        </w:rPr>
      </w:pPr>
    </w:p>
    <w:p w:rsidR="00FB7EB1" w:rsidRPr="00A10766" w:rsidRDefault="00FB7EB1" w:rsidP="00FB7EB1">
      <w:pPr>
        <w:ind w:left="851"/>
        <w:rPr>
          <w:sz w:val="24"/>
          <w:szCs w:val="24"/>
        </w:rPr>
      </w:pPr>
      <w:r w:rsidRPr="00A10766">
        <w:rPr>
          <w:sz w:val="24"/>
          <w:szCs w:val="24"/>
          <w:lang w:val="da"/>
        </w:rPr>
        <w:t>Alle hjælpestoffer er anført under pkt. 6.1</w:t>
      </w:r>
    </w:p>
    <w:p w:rsidR="00FB7EB1" w:rsidRDefault="00FB7EB1" w:rsidP="00FB7EB1">
      <w:pPr>
        <w:ind w:left="851"/>
        <w:rPr>
          <w:sz w:val="24"/>
          <w:szCs w:val="24"/>
        </w:rPr>
      </w:pPr>
    </w:p>
    <w:p w:rsidR="00FB7EB1" w:rsidRPr="00A10766" w:rsidRDefault="00FB7EB1" w:rsidP="00FB7EB1">
      <w:pPr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3.</w:t>
      </w:r>
      <w:r w:rsidRPr="00406EE7">
        <w:rPr>
          <w:b/>
          <w:sz w:val="24"/>
          <w:szCs w:val="24"/>
        </w:rPr>
        <w:tab/>
        <w:t>LÆGEMIDDELFORM</w:t>
      </w:r>
    </w:p>
    <w:p w:rsidR="00FB7EB1" w:rsidRDefault="00FB7EB1" w:rsidP="00FB7EB1">
      <w:pPr>
        <w:ind w:left="851"/>
        <w:rPr>
          <w:sz w:val="24"/>
          <w:szCs w:val="24"/>
          <w:lang w:val="da"/>
        </w:rPr>
      </w:pPr>
      <w:r w:rsidRPr="001027AE">
        <w:rPr>
          <w:sz w:val="24"/>
          <w:szCs w:val="24"/>
          <w:lang w:val="da"/>
        </w:rPr>
        <w:t>Opløsning til anvendelse i drikkevand</w:t>
      </w:r>
    </w:p>
    <w:p w:rsidR="00FB7EB1" w:rsidRPr="001027AE" w:rsidRDefault="00FB7EB1" w:rsidP="00FB7EB1">
      <w:pPr>
        <w:ind w:left="851"/>
        <w:rPr>
          <w:b/>
          <w:bCs/>
          <w:sz w:val="24"/>
          <w:szCs w:val="24"/>
        </w:rPr>
      </w:pPr>
    </w:p>
    <w:p w:rsidR="00FB7EB1" w:rsidRDefault="00FB7EB1" w:rsidP="00FB7EB1">
      <w:pPr>
        <w:ind w:left="851"/>
        <w:rPr>
          <w:sz w:val="24"/>
          <w:szCs w:val="24"/>
          <w:lang w:val="da"/>
        </w:rPr>
      </w:pPr>
      <w:r w:rsidRPr="001027AE">
        <w:rPr>
          <w:sz w:val="24"/>
          <w:szCs w:val="24"/>
          <w:lang w:val="da"/>
        </w:rPr>
        <w:t>Klar, farveløs til lysegul opløsning.</w:t>
      </w:r>
    </w:p>
    <w:p w:rsidR="00FB7EB1" w:rsidRPr="001027AE" w:rsidRDefault="00FB7EB1" w:rsidP="00FB7EB1">
      <w:pPr>
        <w:ind w:left="851"/>
        <w:rPr>
          <w:b/>
          <w:bCs/>
          <w:sz w:val="24"/>
          <w:szCs w:val="24"/>
        </w:rPr>
      </w:pPr>
    </w:p>
    <w:p w:rsidR="00FB7EB1" w:rsidRPr="001027AE" w:rsidRDefault="00FB7EB1" w:rsidP="00FB7EB1">
      <w:pPr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</w:t>
      </w:r>
      <w:r w:rsidRPr="00406EE7">
        <w:rPr>
          <w:b/>
          <w:sz w:val="24"/>
          <w:szCs w:val="24"/>
        </w:rPr>
        <w:tab/>
        <w:t>KLINISKE OPLYSNINGER</w:t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406EE7">
        <w:rPr>
          <w:b/>
          <w:sz w:val="24"/>
          <w:szCs w:val="24"/>
        </w:rPr>
        <w:t>4.1</w:t>
      </w:r>
      <w:r w:rsidRPr="00406EE7">
        <w:rPr>
          <w:b/>
          <w:sz w:val="24"/>
          <w:szCs w:val="24"/>
        </w:rPr>
        <w:tab/>
        <w:t>Dyrearter</w:t>
      </w:r>
    </w:p>
    <w:p w:rsidR="00FB7EB1" w:rsidRDefault="00FB7EB1" w:rsidP="00FB7EB1">
      <w:pPr>
        <w:ind w:left="851"/>
        <w:rPr>
          <w:sz w:val="24"/>
          <w:szCs w:val="24"/>
          <w:lang w:val="da"/>
        </w:rPr>
      </w:pPr>
      <w:r w:rsidRPr="0019530E">
        <w:rPr>
          <w:sz w:val="24"/>
          <w:szCs w:val="24"/>
          <w:lang w:val="da"/>
        </w:rPr>
        <w:t>Svin</w:t>
      </w:r>
    </w:p>
    <w:p w:rsidR="00FB7EB1" w:rsidRDefault="00FB7EB1" w:rsidP="00FB7EB1">
      <w:pPr>
        <w:ind w:left="851"/>
        <w:rPr>
          <w:sz w:val="24"/>
          <w:szCs w:val="24"/>
          <w:lang w:val="da"/>
        </w:rPr>
      </w:pPr>
      <w:r>
        <w:rPr>
          <w:sz w:val="24"/>
          <w:szCs w:val="24"/>
          <w:lang w:val="da"/>
        </w:rPr>
        <w:t>K</w:t>
      </w:r>
      <w:r w:rsidRPr="0019530E">
        <w:rPr>
          <w:sz w:val="24"/>
          <w:szCs w:val="24"/>
          <w:lang w:val="da"/>
        </w:rPr>
        <w:t xml:space="preserve">yllinger (hønniker, </w:t>
      </w:r>
      <w:r>
        <w:rPr>
          <w:sz w:val="24"/>
          <w:szCs w:val="24"/>
          <w:lang w:val="da"/>
        </w:rPr>
        <w:t>forældredyr</w:t>
      </w:r>
      <w:r w:rsidRPr="0019530E">
        <w:rPr>
          <w:sz w:val="24"/>
          <w:szCs w:val="24"/>
          <w:lang w:val="da"/>
        </w:rPr>
        <w:t>, æglæggende høner)</w:t>
      </w:r>
    </w:p>
    <w:p w:rsidR="00FB7EB1" w:rsidRPr="00EE3D0D" w:rsidRDefault="00FB7EB1" w:rsidP="00FB7EB1">
      <w:pPr>
        <w:ind w:left="851"/>
        <w:rPr>
          <w:bCs/>
          <w:sz w:val="24"/>
          <w:szCs w:val="24"/>
          <w:lang w:val="da"/>
        </w:rPr>
      </w:pPr>
      <w:r>
        <w:rPr>
          <w:sz w:val="24"/>
          <w:szCs w:val="24"/>
          <w:lang w:val="da"/>
        </w:rPr>
        <w:t>K</w:t>
      </w:r>
      <w:r w:rsidRPr="0019530E">
        <w:rPr>
          <w:sz w:val="24"/>
          <w:szCs w:val="24"/>
          <w:lang w:val="da"/>
        </w:rPr>
        <w:t>alkuner (avlskalkuner, æglæggende kalkunhøner)</w:t>
      </w:r>
    </w:p>
    <w:p w:rsidR="00FB7EB1" w:rsidRPr="00406EE7" w:rsidRDefault="00FB7EB1" w:rsidP="00FB7EB1">
      <w:pPr>
        <w:tabs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406EE7">
        <w:rPr>
          <w:b/>
          <w:szCs w:val="24"/>
        </w:rPr>
        <w:t>4.2</w:t>
      </w:r>
      <w:r w:rsidRPr="00406EE7">
        <w:rPr>
          <w:b/>
          <w:szCs w:val="24"/>
        </w:rPr>
        <w:tab/>
        <w:t>Terapeutiske indikationer</w:t>
      </w:r>
    </w:p>
    <w:p w:rsidR="00FB7EB1" w:rsidRDefault="00FB7EB1" w:rsidP="00FB7EB1">
      <w:pPr>
        <w:ind w:left="851"/>
        <w:rPr>
          <w:sz w:val="24"/>
          <w:szCs w:val="24"/>
          <w:u w:val="single"/>
          <w:lang w:val="da"/>
        </w:rPr>
      </w:pPr>
    </w:p>
    <w:p w:rsidR="00FB7EB1" w:rsidRPr="00EE3D0D" w:rsidRDefault="00FB7EB1" w:rsidP="00FB7EB1">
      <w:pPr>
        <w:ind w:left="851"/>
        <w:rPr>
          <w:sz w:val="24"/>
          <w:szCs w:val="24"/>
          <w:u w:val="single"/>
          <w:lang w:val="nl-NL"/>
        </w:rPr>
      </w:pPr>
      <w:r>
        <w:rPr>
          <w:sz w:val="24"/>
          <w:szCs w:val="24"/>
          <w:u w:val="single"/>
          <w:lang w:val="da"/>
        </w:rPr>
        <w:t>Svin</w:t>
      </w:r>
    </w:p>
    <w:p w:rsidR="00FB7EB1" w:rsidRPr="00EE3D0D" w:rsidRDefault="00FB7EB1" w:rsidP="00FB7EB1">
      <w:pPr>
        <w:numPr>
          <w:ilvl w:val="0"/>
          <w:numId w:val="4"/>
        </w:numPr>
        <w:tabs>
          <w:tab w:val="left" w:pos="1134"/>
        </w:tabs>
        <w:ind w:left="1134" w:hanging="283"/>
        <w:contextualSpacing/>
        <w:rPr>
          <w:sz w:val="24"/>
          <w:szCs w:val="24"/>
          <w:u w:val="single"/>
        </w:rPr>
      </w:pPr>
      <w:r w:rsidRPr="00EE3D0D">
        <w:rPr>
          <w:sz w:val="24"/>
          <w:szCs w:val="24"/>
          <w:lang w:val="da"/>
        </w:rPr>
        <w:t xml:space="preserve">Behandling af svinedysenteri forårsaget af </w:t>
      </w:r>
      <w:proofErr w:type="spellStart"/>
      <w:r w:rsidRPr="00EE3D0D">
        <w:rPr>
          <w:i/>
          <w:iCs/>
          <w:sz w:val="24"/>
          <w:szCs w:val="24"/>
          <w:lang w:val="da"/>
        </w:rPr>
        <w:t>Brachyspira</w:t>
      </w:r>
      <w:proofErr w:type="spellEnd"/>
      <w:r w:rsidRPr="00EE3D0D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EE3D0D">
        <w:rPr>
          <w:i/>
          <w:iCs/>
          <w:sz w:val="24"/>
          <w:szCs w:val="24"/>
          <w:lang w:val="da"/>
        </w:rPr>
        <w:t>hyodysenteriae</w:t>
      </w:r>
      <w:proofErr w:type="spellEnd"/>
      <w:r w:rsidRPr="00EE3D0D">
        <w:rPr>
          <w:sz w:val="24"/>
          <w:szCs w:val="24"/>
          <w:lang w:val="da"/>
        </w:rPr>
        <w:t xml:space="preserve">, der er følsom overfor </w:t>
      </w:r>
      <w:proofErr w:type="spellStart"/>
      <w:r w:rsidRPr="00EE3D0D">
        <w:rPr>
          <w:sz w:val="24"/>
          <w:szCs w:val="24"/>
          <w:lang w:val="da"/>
        </w:rPr>
        <w:t>tiamulin</w:t>
      </w:r>
      <w:proofErr w:type="spellEnd"/>
      <w:r w:rsidRPr="00EE3D0D">
        <w:rPr>
          <w:sz w:val="24"/>
          <w:szCs w:val="24"/>
          <w:lang w:val="da"/>
        </w:rPr>
        <w:t>.</w:t>
      </w:r>
    </w:p>
    <w:p w:rsidR="00FB7EB1" w:rsidRPr="00EE3D0D" w:rsidRDefault="00FB7EB1" w:rsidP="00FB7EB1">
      <w:pPr>
        <w:numPr>
          <w:ilvl w:val="0"/>
          <w:numId w:val="4"/>
        </w:numPr>
        <w:tabs>
          <w:tab w:val="left" w:pos="1134"/>
        </w:tabs>
        <w:ind w:left="1134" w:hanging="283"/>
        <w:contextualSpacing/>
        <w:rPr>
          <w:sz w:val="24"/>
          <w:szCs w:val="24"/>
          <w:u w:val="single"/>
        </w:rPr>
      </w:pPr>
      <w:r w:rsidRPr="00EE3D0D">
        <w:rPr>
          <w:sz w:val="24"/>
          <w:szCs w:val="24"/>
          <w:lang w:val="da"/>
        </w:rPr>
        <w:t xml:space="preserve">Behandling af </w:t>
      </w:r>
      <w:proofErr w:type="spellStart"/>
      <w:r w:rsidRPr="00EE3D0D">
        <w:rPr>
          <w:sz w:val="24"/>
          <w:szCs w:val="24"/>
          <w:lang w:val="da"/>
        </w:rPr>
        <w:t>porcin</w:t>
      </w:r>
      <w:proofErr w:type="spellEnd"/>
      <w:r w:rsidRPr="00EE3D0D">
        <w:rPr>
          <w:sz w:val="24"/>
          <w:szCs w:val="24"/>
          <w:lang w:val="da"/>
        </w:rPr>
        <w:t xml:space="preserve"> </w:t>
      </w:r>
      <w:proofErr w:type="spellStart"/>
      <w:r w:rsidRPr="00EE3D0D">
        <w:rPr>
          <w:sz w:val="24"/>
          <w:szCs w:val="24"/>
          <w:lang w:val="da"/>
        </w:rPr>
        <w:t>kolonspirokætose</w:t>
      </w:r>
      <w:proofErr w:type="spellEnd"/>
      <w:r w:rsidRPr="00EE3D0D">
        <w:rPr>
          <w:sz w:val="24"/>
          <w:szCs w:val="24"/>
          <w:lang w:val="da"/>
        </w:rPr>
        <w:t xml:space="preserve"> (colitis) forårsaget af </w:t>
      </w:r>
      <w:proofErr w:type="spellStart"/>
      <w:r w:rsidRPr="00EE3D0D">
        <w:rPr>
          <w:i/>
          <w:iCs/>
          <w:sz w:val="24"/>
          <w:szCs w:val="24"/>
          <w:lang w:val="da"/>
        </w:rPr>
        <w:t>Brachyspira</w:t>
      </w:r>
      <w:proofErr w:type="spellEnd"/>
      <w:r w:rsidRPr="00EE3D0D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EE3D0D">
        <w:rPr>
          <w:i/>
          <w:iCs/>
          <w:sz w:val="24"/>
          <w:szCs w:val="24"/>
          <w:lang w:val="da"/>
        </w:rPr>
        <w:t>pilosicoli</w:t>
      </w:r>
      <w:proofErr w:type="spellEnd"/>
      <w:r w:rsidRPr="00EE3D0D">
        <w:rPr>
          <w:sz w:val="24"/>
          <w:szCs w:val="24"/>
          <w:lang w:val="da"/>
        </w:rPr>
        <w:t xml:space="preserve">, der er følsom over for </w:t>
      </w:r>
      <w:proofErr w:type="spellStart"/>
      <w:r w:rsidRPr="00EE3D0D">
        <w:rPr>
          <w:sz w:val="24"/>
          <w:szCs w:val="24"/>
          <w:lang w:val="da"/>
        </w:rPr>
        <w:t>tiamulin</w:t>
      </w:r>
      <w:proofErr w:type="spellEnd"/>
      <w:r w:rsidRPr="00EE3D0D">
        <w:rPr>
          <w:sz w:val="24"/>
          <w:szCs w:val="24"/>
          <w:lang w:val="da"/>
        </w:rPr>
        <w:t>.</w:t>
      </w:r>
    </w:p>
    <w:p w:rsidR="00FB7EB1" w:rsidRPr="00EE3D0D" w:rsidRDefault="00FB7EB1" w:rsidP="00FB7EB1">
      <w:pPr>
        <w:numPr>
          <w:ilvl w:val="0"/>
          <w:numId w:val="4"/>
        </w:numPr>
        <w:tabs>
          <w:tab w:val="left" w:pos="1134"/>
        </w:tabs>
        <w:ind w:left="1134" w:hanging="283"/>
        <w:contextualSpacing/>
        <w:rPr>
          <w:sz w:val="24"/>
          <w:szCs w:val="24"/>
          <w:u w:val="single"/>
        </w:rPr>
      </w:pPr>
      <w:r w:rsidRPr="00EE3D0D">
        <w:rPr>
          <w:sz w:val="24"/>
          <w:szCs w:val="24"/>
          <w:lang w:val="da"/>
        </w:rPr>
        <w:t xml:space="preserve">Behandling af </w:t>
      </w:r>
      <w:proofErr w:type="spellStart"/>
      <w:r w:rsidRPr="00EE3D0D">
        <w:rPr>
          <w:sz w:val="24"/>
          <w:szCs w:val="24"/>
          <w:lang w:val="da"/>
        </w:rPr>
        <w:t>porcin</w:t>
      </w:r>
      <w:proofErr w:type="spellEnd"/>
      <w:r w:rsidRPr="00EE3D0D">
        <w:rPr>
          <w:sz w:val="24"/>
          <w:szCs w:val="24"/>
          <w:lang w:val="da"/>
        </w:rPr>
        <w:t xml:space="preserve"> </w:t>
      </w:r>
      <w:proofErr w:type="spellStart"/>
      <w:r w:rsidRPr="00EE3D0D">
        <w:rPr>
          <w:sz w:val="24"/>
          <w:szCs w:val="24"/>
          <w:lang w:val="da"/>
        </w:rPr>
        <w:t>proliferativ</w:t>
      </w:r>
      <w:proofErr w:type="spellEnd"/>
      <w:r w:rsidRPr="00EE3D0D">
        <w:rPr>
          <w:sz w:val="24"/>
          <w:szCs w:val="24"/>
          <w:lang w:val="da"/>
        </w:rPr>
        <w:t xml:space="preserve"> </w:t>
      </w:r>
      <w:proofErr w:type="spellStart"/>
      <w:r w:rsidRPr="00EE3D0D">
        <w:rPr>
          <w:sz w:val="24"/>
          <w:szCs w:val="24"/>
          <w:lang w:val="da"/>
        </w:rPr>
        <w:t>enteropati</w:t>
      </w:r>
      <w:proofErr w:type="spellEnd"/>
      <w:r w:rsidRPr="00EE3D0D">
        <w:rPr>
          <w:sz w:val="24"/>
          <w:szCs w:val="24"/>
          <w:lang w:val="da"/>
        </w:rPr>
        <w:t xml:space="preserve"> (</w:t>
      </w:r>
      <w:proofErr w:type="spellStart"/>
      <w:r w:rsidRPr="00EE3D0D">
        <w:rPr>
          <w:sz w:val="24"/>
          <w:szCs w:val="24"/>
          <w:lang w:val="da"/>
        </w:rPr>
        <w:t>ileitis</w:t>
      </w:r>
      <w:proofErr w:type="spellEnd"/>
      <w:r w:rsidRPr="00EE3D0D">
        <w:rPr>
          <w:sz w:val="24"/>
          <w:szCs w:val="24"/>
          <w:lang w:val="da"/>
        </w:rPr>
        <w:t xml:space="preserve">) forårsaget af </w:t>
      </w:r>
      <w:proofErr w:type="spellStart"/>
      <w:r w:rsidRPr="00EE3D0D">
        <w:rPr>
          <w:i/>
          <w:iCs/>
          <w:sz w:val="24"/>
          <w:szCs w:val="24"/>
          <w:lang w:val="da"/>
        </w:rPr>
        <w:t>Lawsonia</w:t>
      </w:r>
      <w:proofErr w:type="spellEnd"/>
      <w:r w:rsidRPr="00EE3D0D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EE3D0D">
        <w:rPr>
          <w:i/>
          <w:iCs/>
          <w:sz w:val="24"/>
          <w:szCs w:val="24"/>
          <w:lang w:val="da"/>
        </w:rPr>
        <w:t>intracellularis</w:t>
      </w:r>
      <w:proofErr w:type="spellEnd"/>
      <w:r w:rsidRPr="00EE3D0D">
        <w:rPr>
          <w:sz w:val="24"/>
          <w:szCs w:val="24"/>
          <w:lang w:val="da"/>
        </w:rPr>
        <w:t xml:space="preserve">, der er følsom over for </w:t>
      </w:r>
      <w:proofErr w:type="spellStart"/>
      <w:r w:rsidRPr="00EE3D0D">
        <w:rPr>
          <w:sz w:val="24"/>
          <w:szCs w:val="24"/>
          <w:lang w:val="da"/>
        </w:rPr>
        <w:t>tiamulin</w:t>
      </w:r>
      <w:proofErr w:type="spellEnd"/>
      <w:r w:rsidRPr="00EE3D0D">
        <w:rPr>
          <w:sz w:val="24"/>
          <w:szCs w:val="24"/>
          <w:lang w:val="da"/>
        </w:rPr>
        <w:t>.</w:t>
      </w:r>
    </w:p>
    <w:p w:rsidR="00FB7EB1" w:rsidRPr="00EE3D0D" w:rsidRDefault="00FB7EB1" w:rsidP="00FB7EB1">
      <w:pPr>
        <w:numPr>
          <w:ilvl w:val="0"/>
          <w:numId w:val="4"/>
        </w:numPr>
        <w:tabs>
          <w:tab w:val="left" w:pos="1134"/>
        </w:tabs>
        <w:ind w:left="1134" w:hanging="283"/>
        <w:contextualSpacing/>
        <w:rPr>
          <w:sz w:val="24"/>
          <w:szCs w:val="24"/>
          <w:u w:val="single"/>
        </w:rPr>
      </w:pPr>
      <w:r w:rsidRPr="00EE3D0D">
        <w:rPr>
          <w:sz w:val="24"/>
          <w:szCs w:val="24"/>
          <w:lang w:val="da"/>
        </w:rPr>
        <w:t xml:space="preserve">Behandling og </w:t>
      </w:r>
      <w:proofErr w:type="spellStart"/>
      <w:r w:rsidRPr="00EE3D0D">
        <w:rPr>
          <w:sz w:val="24"/>
          <w:szCs w:val="24"/>
          <w:lang w:val="da"/>
        </w:rPr>
        <w:t>metafylakse</w:t>
      </w:r>
      <w:proofErr w:type="spellEnd"/>
      <w:r w:rsidRPr="00EE3D0D">
        <w:rPr>
          <w:sz w:val="24"/>
          <w:szCs w:val="24"/>
          <w:lang w:val="da"/>
        </w:rPr>
        <w:t xml:space="preserve"> af </w:t>
      </w:r>
      <w:proofErr w:type="spellStart"/>
      <w:r w:rsidRPr="00EE3D0D">
        <w:rPr>
          <w:sz w:val="24"/>
          <w:szCs w:val="24"/>
          <w:lang w:val="da"/>
        </w:rPr>
        <w:t>enzootisk</w:t>
      </w:r>
      <w:proofErr w:type="spellEnd"/>
      <w:r w:rsidRPr="00EE3D0D">
        <w:rPr>
          <w:sz w:val="24"/>
          <w:szCs w:val="24"/>
          <w:lang w:val="da"/>
        </w:rPr>
        <w:t xml:space="preserve"> pneumoni forårsaget af </w:t>
      </w:r>
      <w:proofErr w:type="spellStart"/>
      <w:r w:rsidRPr="00EE3D0D">
        <w:rPr>
          <w:i/>
          <w:iCs/>
          <w:sz w:val="24"/>
          <w:szCs w:val="24"/>
          <w:lang w:val="da"/>
        </w:rPr>
        <w:t>Mycoplasma</w:t>
      </w:r>
      <w:proofErr w:type="spellEnd"/>
      <w:r w:rsidRPr="00EE3D0D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EE3D0D">
        <w:rPr>
          <w:i/>
          <w:iCs/>
          <w:sz w:val="24"/>
          <w:szCs w:val="24"/>
          <w:lang w:val="da"/>
        </w:rPr>
        <w:t>hyopneumoniae</w:t>
      </w:r>
      <w:proofErr w:type="spellEnd"/>
      <w:r w:rsidRPr="00EE3D0D">
        <w:rPr>
          <w:sz w:val="24"/>
          <w:szCs w:val="24"/>
          <w:lang w:val="da"/>
        </w:rPr>
        <w:t xml:space="preserve">, herunder infektioner kompliceret af </w:t>
      </w:r>
      <w:proofErr w:type="spellStart"/>
      <w:r w:rsidRPr="00EE3D0D">
        <w:rPr>
          <w:i/>
          <w:iCs/>
          <w:sz w:val="24"/>
          <w:szCs w:val="24"/>
          <w:lang w:val="da"/>
        </w:rPr>
        <w:t>Pasteurella</w:t>
      </w:r>
      <w:proofErr w:type="spellEnd"/>
      <w:r w:rsidRPr="00EE3D0D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EE3D0D">
        <w:rPr>
          <w:i/>
          <w:iCs/>
          <w:sz w:val="24"/>
          <w:szCs w:val="24"/>
          <w:lang w:val="da"/>
        </w:rPr>
        <w:t>multocida</w:t>
      </w:r>
      <w:proofErr w:type="spellEnd"/>
      <w:r w:rsidRPr="00EE3D0D">
        <w:rPr>
          <w:sz w:val="24"/>
          <w:szCs w:val="24"/>
          <w:lang w:val="da"/>
        </w:rPr>
        <w:t xml:space="preserve">, der er følsom over for </w:t>
      </w:r>
      <w:proofErr w:type="spellStart"/>
      <w:r w:rsidRPr="00EE3D0D">
        <w:rPr>
          <w:sz w:val="24"/>
          <w:szCs w:val="24"/>
          <w:lang w:val="da"/>
        </w:rPr>
        <w:t>tiamulin</w:t>
      </w:r>
      <w:proofErr w:type="spellEnd"/>
      <w:r w:rsidRPr="00EE3D0D">
        <w:rPr>
          <w:sz w:val="24"/>
          <w:szCs w:val="24"/>
          <w:lang w:val="da"/>
        </w:rPr>
        <w:t>.</w:t>
      </w:r>
    </w:p>
    <w:p w:rsidR="00FB7EB1" w:rsidRPr="00EE3D0D" w:rsidRDefault="00FB7EB1" w:rsidP="00FB7EB1">
      <w:pPr>
        <w:numPr>
          <w:ilvl w:val="0"/>
          <w:numId w:val="4"/>
        </w:numPr>
        <w:tabs>
          <w:tab w:val="left" w:pos="1134"/>
        </w:tabs>
        <w:ind w:left="1134" w:hanging="283"/>
        <w:contextualSpacing/>
        <w:rPr>
          <w:sz w:val="24"/>
          <w:szCs w:val="24"/>
          <w:u w:val="single"/>
        </w:rPr>
      </w:pPr>
      <w:r w:rsidRPr="00EE3D0D">
        <w:rPr>
          <w:sz w:val="24"/>
          <w:szCs w:val="24"/>
          <w:lang w:val="da"/>
        </w:rPr>
        <w:t xml:space="preserve">Behandling af </w:t>
      </w:r>
      <w:proofErr w:type="spellStart"/>
      <w:r w:rsidRPr="00EE3D0D">
        <w:rPr>
          <w:sz w:val="24"/>
          <w:szCs w:val="24"/>
          <w:lang w:val="da"/>
        </w:rPr>
        <w:t>pleuropneumoni</w:t>
      </w:r>
      <w:proofErr w:type="spellEnd"/>
      <w:r w:rsidRPr="00EE3D0D">
        <w:rPr>
          <w:sz w:val="24"/>
          <w:szCs w:val="24"/>
          <w:lang w:val="da"/>
        </w:rPr>
        <w:t xml:space="preserve"> forårsaget af </w:t>
      </w:r>
      <w:proofErr w:type="spellStart"/>
      <w:r w:rsidRPr="00EE3D0D">
        <w:rPr>
          <w:i/>
          <w:iCs/>
          <w:sz w:val="24"/>
          <w:szCs w:val="24"/>
          <w:lang w:val="da"/>
        </w:rPr>
        <w:t>Actinobacillus</w:t>
      </w:r>
      <w:proofErr w:type="spellEnd"/>
      <w:r w:rsidRPr="00EE3D0D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EE3D0D">
        <w:rPr>
          <w:i/>
          <w:iCs/>
          <w:sz w:val="24"/>
          <w:szCs w:val="24"/>
          <w:lang w:val="da"/>
        </w:rPr>
        <w:t>pleuropneumoniae</w:t>
      </w:r>
      <w:proofErr w:type="spellEnd"/>
      <w:r w:rsidRPr="00EE3D0D">
        <w:rPr>
          <w:sz w:val="24"/>
          <w:szCs w:val="24"/>
          <w:lang w:val="da"/>
        </w:rPr>
        <w:t xml:space="preserve">, der er følsom over for </w:t>
      </w:r>
      <w:proofErr w:type="spellStart"/>
      <w:r w:rsidRPr="00EE3D0D">
        <w:rPr>
          <w:sz w:val="24"/>
          <w:szCs w:val="24"/>
          <w:lang w:val="da"/>
        </w:rPr>
        <w:t>tiamulin</w:t>
      </w:r>
      <w:proofErr w:type="spellEnd"/>
      <w:r w:rsidRPr="00EE3D0D">
        <w:rPr>
          <w:sz w:val="24"/>
          <w:szCs w:val="24"/>
          <w:lang w:val="da"/>
        </w:rPr>
        <w:t>.</w:t>
      </w:r>
    </w:p>
    <w:p w:rsidR="00FB7EB1" w:rsidRPr="00EE3D0D" w:rsidRDefault="00FB7EB1" w:rsidP="00FB7EB1">
      <w:pPr>
        <w:ind w:left="851"/>
        <w:rPr>
          <w:sz w:val="24"/>
          <w:szCs w:val="24"/>
          <w:u w:val="single"/>
        </w:rPr>
      </w:pPr>
    </w:p>
    <w:p w:rsidR="00FB7EB1" w:rsidRPr="00EE3D0D" w:rsidRDefault="00FB7EB1" w:rsidP="00FB7EB1">
      <w:pPr>
        <w:ind w:left="851"/>
        <w:rPr>
          <w:sz w:val="24"/>
          <w:szCs w:val="24"/>
        </w:rPr>
      </w:pPr>
      <w:r w:rsidRPr="00EE3D0D">
        <w:rPr>
          <w:sz w:val="24"/>
          <w:szCs w:val="24"/>
          <w:lang w:val="da"/>
        </w:rPr>
        <w:t>Sygdommens tilstedeværelse i besætningen skal være fastslået, før produktet anvendes.</w:t>
      </w:r>
    </w:p>
    <w:p w:rsidR="00FB7EB1" w:rsidRPr="00EE3D0D" w:rsidRDefault="00FB7EB1" w:rsidP="00FB7EB1">
      <w:pPr>
        <w:ind w:left="851"/>
        <w:rPr>
          <w:sz w:val="24"/>
          <w:szCs w:val="24"/>
          <w:u w:val="single"/>
        </w:rPr>
      </w:pPr>
    </w:p>
    <w:p w:rsidR="00FB7EB1" w:rsidRPr="00EE3D0D" w:rsidRDefault="00FB7EB1" w:rsidP="00FB7EB1">
      <w:pPr>
        <w:ind w:left="851"/>
        <w:rPr>
          <w:sz w:val="24"/>
          <w:szCs w:val="24"/>
          <w:u w:val="single"/>
        </w:rPr>
      </w:pPr>
      <w:r w:rsidRPr="00EE3D0D">
        <w:rPr>
          <w:sz w:val="24"/>
          <w:szCs w:val="24"/>
          <w:u w:val="single"/>
          <w:lang w:val="da"/>
        </w:rPr>
        <w:t>Kyllinger</w:t>
      </w:r>
    </w:p>
    <w:p w:rsidR="00FB7EB1" w:rsidRPr="00EE3D0D" w:rsidRDefault="00FB7EB1" w:rsidP="00FB7EB1">
      <w:pPr>
        <w:ind w:left="851"/>
        <w:rPr>
          <w:sz w:val="24"/>
          <w:szCs w:val="24"/>
        </w:rPr>
      </w:pPr>
      <w:r w:rsidRPr="00EE3D0D">
        <w:rPr>
          <w:sz w:val="24"/>
          <w:szCs w:val="24"/>
          <w:lang w:val="da"/>
        </w:rPr>
        <w:t xml:space="preserve">Behandling og </w:t>
      </w:r>
      <w:proofErr w:type="spellStart"/>
      <w:r w:rsidRPr="00EE3D0D">
        <w:rPr>
          <w:sz w:val="24"/>
          <w:szCs w:val="24"/>
          <w:lang w:val="da"/>
        </w:rPr>
        <w:t>metafylakse</w:t>
      </w:r>
      <w:proofErr w:type="spellEnd"/>
      <w:r w:rsidRPr="00EE3D0D">
        <w:rPr>
          <w:sz w:val="24"/>
          <w:szCs w:val="24"/>
          <w:lang w:val="da"/>
        </w:rPr>
        <w:t xml:space="preserve"> af kronisk luftvejssygdom (CRD) forårsaget af </w:t>
      </w:r>
      <w:proofErr w:type="spellStart"/>
      <w:r w:rsidRPr="00EE3D0D">
        <w:rPr>
          <w:i/>
          <w:iCs/>
          <w:sz w:val="24"/>
          <w:szCs w:val="24"/>
          <w:lang w:val="da"/>
        </w:rPr>
        <w:t>Mycoplasma</w:t>
      </w:r>
      <w:proofErr w:type="spellEnd"/>
      <w:r w:rsidRPr="00EE3D0D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EE3D0D">
        <w:rPr>
          <w:i/>
          <w:iCs/>
          <w:sz w:val="24"/>
          <w:szCs w:val="24"/>
          <w:lang w:val="da"/>
        </w:rPr>
        <w:t>gallisepticum</w:t>
      </w:r>
      <w:proofErr w:type="spellEnd"/>
      <w:r w:rsidRPr="00EE3D0D">
        <w:rPr>
          <w:sz w:val="24"/>
          <w:szCs w:val="24"/>
          <w:lang w:val="da"/>
        </w:rPr>
        <w:t xml:space="preserve"> samt </w:t>
      </w:r>
      <w:proofErr w:type="spellStart"/>
      <w:r w:rsidRPr="00EE3D0D">
        <w:rPr>
          <w:sz w:val="24"/>
          <w:szCs w:val="24"/>
          <w:lang w:val="da"/>
        </w:rPr>
        <w:t>luftsækbetændelse</w:t>
      </w:r>
      <w:proofErr w:type="spellEnd"/>
      <w:r w:rsidRPr="00EE3D0D">
        <w:rPr>
          <w:sz w:val="24"/>
          <w:szCs w:val="24"/>
          <w:lang w:val="da"/>
        </w:rPr>
        <w:t xml:space="preserve"> og smitsom </w:t>
      </w:r>
      <w:proofErr w:type="spellStart"/>
      <w:r w:rsidRPr="00EE3D0D">
        <w:rPr>
          <w:sz w:val="24"/>
          <w:szCs w:val="24"/>
          <w:lang w:val="da"/>
        </w:rPr>
        <w:t>synovitis</w:t>
      </w:r>
      <w:proofErr w:type="spellEnd"/>
      <w:r w:rsidRPr="00EE3D0D">
        <w:rPr>
          <w:sz w:val="24"/>
          <w:szCs w:val="24"/>
          <w:lang w:val="da"/>
        </w:rPr>
        <w:t xml:space="preserve"> forårsaget af </w:t>
      </w:r>
      <w:proofErr w:type="spellStart"/>
      <w:r w:rsidRPr="00EE3D0D">
        <w:rPr>
          <w:i/>
          <w:iCs/>
          <w:sz w:val="24"/>
          <w:szCs w:val="24"/>
          <w:lang w:val="da"/>
        </w:rPr>
        <w:t>Mycoplasma</w:t>
      </w:r>
      <w:proofErr w:type="spellEnd"/>
      <w:r w:rsidRPr="00EE3D0D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EE3D0D">
        <w:rPr>
          <w:i/>
          <w:iCs/>
          <w:sz w:val="24"/>
          <w:szCs w:val="24"/>
          <w:lang w:val="da"/>
        </w:rPr>
        <w:t>synoviae</w:t>
      </w:r>
      <w:proofErr w:type="spellEnd"/>
      <w:r w:rsidRPr="00EE3D0D">
        <w:rPr>
          <w:sz w:val="24"/>
          <w:szCs w:val="24"/>
          <w:lang w:val="da"/>
        </w:rPr>
        <w:t xml:space="preserve">, der er følsomme over for </w:t>
      </w:r>
      <w:proofErr w:type="spellStart"/>
      <w:r w:rsidRPr="00EE3D0D">
        <w:rPr>
          <w:sz w:val="24"/>
          <w:szCs w:val="24"/>
          <w:lang w:val="da"/>
        </w:rPr>
        <w:t>tiamulin</w:t>
      </w:r>
      <w:proofErr w:type="spellEnd"/>
      <w:r w:rsidRPr="00EE3D0D">
        <w:rPr>
          <w:sz w:val="24"/>
          <w:szCs w:val="24"/>
          <w:lang w:val="da"/>
        </w:rPr>
        <w:t xml:space="preserve">. </w:t>
      </w:r>
    </w:p>
    <w:p w:rsidR="00FB7EB1" w:rsidRPr="00EE3D0D" w:rsidRDefault="00FB7EB1" w:rsidP="00FB7EB1">
      <w:pPr>
        <w:ind w:left="851"/>
        <w:rPr>
          <w:sz w:val="24"/>
          <w:szCs w:val="24"/>
          <w:u w:val="single"/>
        </w:rPr>
      </w:pPr>
    </w:p>
    <w:p w:rsidR="00FB7EB1" w:rsidRPr="00EE3D0D" w:rsidRDefault="00FB7EB1" w:rsidP="00FB7EB1">
      <w:pPr>
        <w:ind w:left="851"/>
        <w:rPr>
          <w:sz w:val="24"/>
          <w:szCs w:val="24"/>
        </w:rPr>
      </w:pPr>
      <w:r w:rsidRPr="00EE3D0D">
        <w:rPr>
          <w:sz w:val="24"/>
          <w:szCs w:val="24"/>
          <w:lang w:val="da"/>
        </w:rPr>
        <w:t>Sygdommens tilstedeværelse i besætningen skal være fastslået, før produktet anvendes.</w:t>
      </w:r>
    </w:p>
    <w:p w:rsidR="00FB7EB1" w:rsidRPr="00EE3D0D" w:rsidRDefault="00FB7EB1" w:rsidP="00FB7EB1">
      <w:pPr>
        <w:ind w:left="851"/>
        <w:rPr>
          <w:sz w:val="24"/>
          <w:szCs w:val="24"/>
          <w:u w:val="single"/>
        </w:rPr>
      </w:pPr>
    </w:p>
    <w:p w:rsidR="00FB7EB1" w:rsidRPr="00EE3D0D" w:rsidRDefault="00FB7EB1" w:rsidP="00FB7EB1">
      <w:pPr>
        <w:ind w:left="851"/>
        <w:rPr>
          <w:sz w:val="24"/>
          <w:szCs w:val="24"/>
          <w:u w:val="single"/>
        </w:rPr>
      </w:pPr>
      <w:r w:rsidRPr="00EE3D0D">
        <w:rPr>
          <w:sz w:val="24"/>
          <w:szCs w:val="24"/>
          <w:u w:val="single"/>
          <w:lang w:val="da"/>
        </w:rPr>
        <w:t>Kalkuner</w:t>
      </w:r>
    </w:p>
    <w:p w:rsidR="00FB7EB1" w:rsidRPr="00EE3D0D" w:rsidRDefault="00FB7EB1" w:rsidP="00FB7EB1">
      <w:pPr>
        <w:ind w:left="851"/>
        <w:rPr>
          <w:sz w:val="24"/>
          <w:szCs w:val="24"/>
        </w:rPr>
      </w:pPr>
      <w:r w:rsidRPr="00EE3D0D">
        <w:rPr>
          <w:sz w:val="24"/>
          <w:szCs w:val="24"/>
          <w:lang w:val="da"/>
        </w:rPr>
        <w:t xml:space="preserve">Behandling og </w:t>
      </w:r>
      <w:proofErr w:type="spellStart"/>
      <w:r w:rsidRPr="00EE3D0D">
        <w:rPr>
          <w:sz w:val="24"/>
          <w:szCs w:val="24"/>
          <w:lang w:val="da"/>
        </w:rPr>
        <w:t>metafylakse</w:t>
      </w:r>
      <w:proofErr w:type="spellEnd"/>
      <w:r w:rsidRPr="00EE3D0D">
        <w:rPr>
          <w:sz w:val="24"/>
          <w:szCs w:val="24"/>
          <w:lang w:val="da"/>
        </w:rPr>
        <w:t xml:space="preserve"> af smitsom bihulebetændelse og </w:t>
      </w:r>
      <w:proofErr w:type="spellStart"/>
      <w:r w:rsidRPr="00EE3D0D">
        <w:rPr>
          <w:sz w:val="24"/>
          <w:szCs w:val="24"/>
          <w:lang w:val="da"/>
        </w:rPr>
        <w:t>luftsækbetændelse</w:t>
      </w:r>
      <w:proofErr w:type="spellEnd"/>
      <w:r w:rsidRPr="00EE3D0D">
        <w:rPr>
          <w:sz w:val="24"/>
          <w:szCs w:val="24"/>
          <w:lang w:val="da"/>
        </w:rPr>
        <w:t xml:space="preserve"> forårsaget af </w:t>
      </w:r>
      <w:proofErr w:type="spellStart"/>
      <w:r w:rsidRPr="00EE3D0D">
        <w:rPr>
          <w:i/>
          <w:iCs/>
          <w:sz w:val="24"/>
          <w:szCs w:val="24"/>
          <w:lang w:val="da"/>
        </w:rPr>
        <w:t>Mycoplasma</w:t>
      </w:r>
      <w:proofErr w:type="spellEnd"/>
      <w:r w:rsidRPr="00EE3D0D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EE3D0D">
        <w:rPr>
          <w:i/>
          <w:iCs/>
          <w:sz w:val="24"/>
          <w:szCs w:val="24"/>
          <w:lang w:val="da"/>
        </w:rPr>
        <w:t>gallisepticum</w:t>
      </w:r>
      <w:proofErr w:type="spellEnd"/>
      <w:r w:rsidRPr="00EE3D0D">
        <w:rPr>
          <w:sz w:val="24"/>
          <w:szCs w:val="24"/>
          <w:lang w:val="da"/>
        </w:rPr>
        <w:t xml:space="preserve">, </w:t>
      </w:r>
      <w:proofErr w:type="spellStart"/>
      <w:r w:rsidRPr="00EE3D0D">
        <w:rPr>
          <w:i/>
          <w:iCs/>
          <w:sz w:val="24"/>
          <w:szCs w:val="24"/>
          <w:lang w:val="da"/>
        </w:rPr>
        <w:t>Mycoplasma</w:t>
      </w:r>
      <w:proofErr w:type="spellEnd"/>
      <w:r w:rsidRPr="00EE3D0D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EE3D0D">
        <w:rPr>
          <w:i/>
          <w:iCs/>
          <w:sz w:val="24"/>
          <w:szCs w:val="24"/>
          <w:lang w:val="da"/>
        </w:rPr>
        <w:t>synoviae</w:t>
      </w:r>
      <w:proofErr w:type="spellEnd"/>
      <w:r w:rsidRPr="00EE3D0D">
        <w:rPr>
          <w:sz w:val="24"/>
          <w:szCs w:val="24"/>
          <w:lang w:val="da"/>
        </w:rPr>
        <w:t xml:space="preserve"> og </w:t>
      </w:r>
      <w:proofErr w:type="spellStart"/>
      <w:r w:rsidRPr="00EE3D0D">
        <w:rPr>
          <w:i/>
          <w:iCs/>
          <w:sz w:val="24"/>
          <w:szCs w:val="24"/>
          <w:lang w:val="da"/>
        </w:rPr>
        <w:t>Mycoplasma</w:t>
      </w:r>
      <w:proofErr w:type="spellEnd"/>
      <w:r w:rsidRPr="00EE3D0D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EE3D0D">
        <w:rPr>
          <w:i/>
          <w:iCs/>
          <w:sz w:val="24"/>
          <w:szCs w:val="24"/>
          <w:lang w:val="da"/>
        </w:rPr>
        <w:t>meleagridis</w:t>
      </w:r>
      <w:proofErr w:type="spellEnd"/>
      <w:r w:rsidRPr="00EE3D0D">
        <w:rPr>
          <w:sz w:val="24"/>
          <w:szCs w:val="24"/>
          <w:lang w:val="da"/>
        </w:rPr>
        <w:t xml:space="preserve">, der er følsomme over for </w:t>
      </w:r>
      <w:proofErr w:type="spellStart"/>
      <w:r w:rsidRPr="00EE3D0D">
        <w:rPr>
          <w:sz w:val="24"/>
          <w:szCs w:val="24"/>
          <w:lang w:val="da"/>
        </w:rPr>
        <w:t>tiamulin</w:t>
      </w:r>
      <w:proofErr w:type="spellEnd"/>
      <w:r w:rsidRPr="00EE3D0D">
        <w:rPr>
          <w:sz w:val="24"/>
          <w:szCs w:val="24"/>
          <w:lang w:val="da"/>
        </w:rPr>
        <w:t>.</w:t>
      </w:r>
    </w:p>
    <w:p w:rsidR="00FB7EB1" w:rsidRPr="00EE3D0D" w:rsidRDefault="00FB7EB1" w:rsidP="00FB7EB1">
      <w:pPr>
        <w:ind w:left="851"/>
        <w:rPr>
          <w:sz w:val="24"/>
          <w:szCs w:val="24"/>
        </w:rPr>
      </w:pPr>
    </w:p>
    <w:p w:rsidR="00FB7EB1" w:rsidRPr="00752F40" w:rsidRDefault="00FB7EB1" w:rsidP="00FB7EB1">
      <w:pPr>
        <w:ind w:left="851"/>
        <w:rPr>
          <w:snapToGrid w:val="0"/>
          <w:sz w:val="24"/>
          <w:szCs w:val="24"/>
        </w:rPr>
      </w:pPr>
      <w:r w:rsidRPr="00EE3D0D">
        <w:rPr>
          <w:snapToGrid w:val="0"/>
          <w:sz w:val="24"/>
          <w:szCs w:val="24"/>
          <w:lang w:val="da"/>
        </w:rPr>
        <w:t>Sygdommens tilstedeværelse i besætningen skal være fastslået, før produktet anvendes.</w:t>
      </w:r>
    </w:p>
    <w:p w:rsidR="00FB7EB1" w:rsidRPr="00406EE7" w:rsidRDefault="00FB7EB1" w:rsidP="00FB7EB1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FB7EB1" w:rsidRPr="00406EE7" w:rsidRDefault="00FB7EB1" w:rsidP="00FB7EB1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406EE7">
        <w:rPr>
          <w:b/>
          <w:szCs w:val="24"/>
        </w:rPr>
        <w:t>4.3</w:t>
      </w:r>
      <w:r w:rsidRPr="00406EE7">
        <w:rPr>
          <w:b/>
          <w:szCs w:val="24"/>
        </w:rPr>
        <w:tab/>
        <w:t>Kontraindikationer</w:t>
      </w:r>
    </w:p>
    <w:p w:rsidR="00FB7EB1" w:rsidRPr="0005139D" w:rsidRDefault="00FB7EB1" w:rsidP="00FB7EB1">
      <w:pPr>
        <w:ind w:left="851"/>
        <w:rPr>
          <w:bCs/>
          <w:sz w:val="24"/>
          <w:szCs w:val="24"/>
        </w:rPr>
      </w:pPr>
      <w:r w:rsidRPr="0005139D">
        <w:rPr>
          <w:sz w:val="24"/>
          <w:szCs w:val="24"/>
          <w:lang w:val="da"/>
        </w:rPr>
        <w:t xml:space="preserve">Må ikke anvendes til svin og fugle, der kan få præparater, der indeholder </w:t>
      </w:r>
      <w:proofErr w:type="spellStart"/>
      <w:r w:rsidRPr="0005139D">
        <w:rPr>
          <w:sz w:val="24"/>
          <w:szCs w:val="24"/>
          <w:lang w:val="da"/>
        </w:rPr>
        <w:t>monensin</w:t>
      </w:r>
      <w:proofErr w:type="spellEnd"/>
      <w:r w:rsidRPr="0005139D">
        <w:rPr>
          <w:sz w:val="24"/>
          <w:szCs w:val="24"/>
          <w:lang w:val="da"/>
        </w:rPr>
        <w:t xml:space="preserve">, </w:t>
      </w:r>
      <w:proofErr w:type="spellStart"/>
      <w:r w:rsidRPr="0005139D">
        <w:rPr>
          <w:sz w:val="24"/>
          <w:szCs w:val="24"/>
          <w:lang w:val="da"/>
        </w:rPr>
        <w:t>narasin</w:t>
      </w:r>
      <w:proofErr w:type="spellEnd"/>
      <w:r w:rsidRPr="0005139D">
        <w:rPr>
          <w:sz w:val="24"/>
          <w:szCs w:val="24"/>
          <w:lang w:val="da"/>
        </w:rPr>
        <w:t xml:space="preserve"> eller </w:t>
      </w:r>
      <w:proofErr w:type="spellStart"/>
      <w:r w:rsidRPr="0005139D">
        <w:rPr>
          <w:sz w:val="24"/>
          <w:szCs w:val="24"/>
          <w:lang w:val="da"/>
        </w:rPr>
        <w:t>salinomycin</w:t>
      </w:r>
      <w:proofErr w:type="spellEnd"/>
      <w:r>
        <w:rPr>
          <w:sz w:val="24"/>
          <w:szCs w:val="24"/>
          <w:lang w:val="da"/>
        </w:rPr>
        <w:t>,</w:t>
      </w:r>
      <w:r w:rsidRPr="0005139D">
        <w:rPr>
          <w:sz w:val="24"/>
          <w:szCs w:val="24"/>
          <w:lang w:val="da"/>
        </w:rPr>
        <w:t xml:space="preserve"> under og i mindst syv dage før og efter behandlingen med </w:t>
      </w:r>
      <w:proofErr w:type="spellStart"/>
      <w:r w:rsidRPr="0005139D">
        <w:rPr>
          <w:sz w:val="24"/>
          <w:szCs w:val="24"/>
          <w:lang w:val="da"/>
        </w:rPr>
        <w:t>tiamulin</w:t>
      </w:r>
      <w:proofErr w:type="spellEnd"/>
      <w:r w:rsidRPr="0005139D">
        <w:rPr>
          <w:sz w:val="24"/>
          <w:szCs w:val="24"/>
          <w:lang w:val="da"/>
        </w:rPr>
        <w:t>. Dette kan medføre svær væksthæmning eller død.</w:t>
      </w:r>
    </w:p>
    <w:p w:rsidR="00FB7EB1" w:rsidRPr="0005139D" w:rsidRDefault="00FB7EB1" w:rsidP="00FB7EB1">
      <w:pPr>
        <w:ind w:left="851"/>
        <w:rPr>
          <w:bCs/>
          <w:sz w:val="24"/>
          <w:szCs w:val="24"/>
        </w:rPr>
      </w:pPr>
      <w:r w:rsidRPr="0005139D">
        <w:rPr>
          <w:sz w:val="24"/>
          <w:szCs w:val="24"/>
          <w:lang w:val="da"/>
        </w:rPr>
        <w:t>Bør ikke anvendes i tilfælde af overfølsomhed overfor det aktive stof eller overfor et eller flere af hjælpestofferne.</w:t>
      </w:r>
    </w:p>
    <w:p w:rsidR="00FB7EB1" w:rsidRPr="0005139D" w:rsidRDefault="00FB7EB1" w:rsidP="00FB7EB1">
      <w:pPr>
        <w:ind w:left="851"/>
        <w:rPr>
          <w:b/>
          <w:bCs/>
          <w:sz w:val="24"/>
          <w:szCs w:val="24"/>
        </w:rPr>
      </w:pPr>
      <w:r w:rsidRPr="0005139D">
        <w:rPr>
          <w:sz w:val="24"/>
          <w:szCs w:val="24"/>
          <w:lang w:val="da"/>
        </w:rPr>
        <w:t xml:space="preserve">Se </w:t>
      </w:r>
      <w:r>
        <w:rPr>
          <w:sz w:val="24"/>
          <w:szCs w:val="24"/>
          <w:lang w:val="da"/>
        </w:rPr>
        <w:t>pkt.</w:t>
      </w:r>
      <w:r w:rsidRPr="0005139D">
        <w:rPr>
          <w:sz w:val="24"/>
          <w:szCs w:val="24"/>
          <w:lang w:val="da"/>
        </w:rPr>
        <w:t xml:space="preserve"> 4.8 for oplysninger om interaktion mellem </w:t>
      </w:r>
      <w:proofErr w:type="spellStart"/>
      <w:r w:rsidRPr="0005139D">
        <w:rPr>
          <w:sz w:val="24"/>
          <w:szCs w:val="24"/>
          <w:lang w:val="da"/>
        </w:rPr>
        <w:t>tiamulin</w:t>
      </w:r>
      <w:proofErr w:type="spellEnd"/>
      <w:r w:rsidRPr="0005139D">
        <w:rPr>
          <w:sz w:val="24"/>
          <w:szCs w:val="24"/>
          <w:lang w:val="da"/>
        </w:rPr>
        <w:t xml:space="preserve"> og </w:t>
      </w:r>
      <w:proofErr w:type="spellStart"/>
      <w:r w:rsidRPr="0005139D">
        <w:rPr>
          <w:sz w:val="24"/>
          <w:szCs w:val="24"/>
          <w:lang w:val="da"/>
        </w:rPr>
        <w:t>ionoforer</w:t>
      </w:r>
      <w:proofErr w:type="spellEnd"/>
      <w:r w:rsidRPr="0005139D">
        <w:rPr>
          <w:sz w:val="24"/>
          <w:szCs w:val="24"/>
          <w:lang w:val="da"/>
        </w:rPr>
        <w:t>.</w:t>
      </w:r>
    </w:p>
    <w:p w:rsidR="00FB7EB1" w:rsidRDefault="00FB7EB1" w:rsidP="00FB7EB1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FB7EB1" w:rsidRPr="00406EE7" w:rsidRDefault="00FB7EB1" w:rsidP="00FB7EB1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FB7EB1" w:rsidRPr="00406EE7" w:rsidRDefault="00FB7EB1" w:rsidP="00FB7EB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4.4</w:t>
      </w:r>
      <w:r w:rsidRPr="00406EE7">
        <w:rPr>
          <w:b/>
          <w:sz w:val="24"/>
          <w:szCs w:val="24"/>
        </w:rPr>
        <w:tab/>
        <w:t>Særlige advarsler</w:t>
      </w:r>
    </w:p>
    <w:p w:rsidR="00FB7EB1" w:rsidRPr="0005139D" w:rsidRDefault="00FB7EB1" w:rsidP="00FB7EB1">
      <w:pPr>
        <w:ind w:left="851"/>
        <w:rPr>
          <w:bCs/>
          <w:snapToGrid w:val="0"/>
          <w:sz w:val="24"/>
          <w:szCs w:val="24"/>
        </w:rPr>
      </w:pPr>
      <w:r w:rsidRPr="0005139D">
        <w:rPr>
          <w:snapToGrid w:val="0"/>
          <w:sz w:val="24"/>
          <w:szCs w:val="24"/>
          <w:lang w:val="da"/>
        </w:rPr>
        <w:t>Svin med reduceret vandindtag og/eller i svækket tilstand skal behandles parenteralt.</w:t>
      </w:r>
    </w:p>
    <w:p w:rsidR="00FB7EB1" w:rsidRPr="0005139D" w:rsidRDefault="00FB7EB1" w:rsidP="00FB7EB1">
      <w:pPr>
        <w:ind w:left="851"/>
        <w:rPr>
          <w:bCs/>
          <w:snapToGrid w:val="0"/>
          <w:sz w:val="24"/>
          <w:szCs w:val="24"/>
        </w:rPr>
      </w:pPr>
    </w:p>
    <w:p w:rsidR="00FB7EB1" w:rsidRPr="0005139D" w:rsidRDefault="00FB7EB1" w:rsidP="00FB7EB1">
      <w:pPr>
        <w:ind w:left="851"/>
        <w:rPr>
          <w:bCs/>
          <w:snapToGrid w:val="0"/>
          <w:sz w:val="24"/>
          <w:szCs w:val="24"/>
          <w:lang w:val="da"/>
        </w:rPr>
      </w:pPr>
      <w:r w:rsidRPr="0005139D">
        <w:rPr>
          <w:snapToGrid w:val="0"/>
          <w:sz w:val="24"/>
          <w:szCs w:val="24"/>
          <w:lang w:val="da"/>
        </w:rPr>
        <w:t xml:space="preserve">Vandindtaget hos fugle skal overvåges med hyppige mellemrum, især i varmt vejr, fordi vandindtag kan være nedsat under administration af </w:t>
      </w:r>
      <w:proofErr w:type="spellStart"/>
      <w:r w:rsidRPr="0005139D">
        <w:rPr>
          <w:snapToGrid w:val="0"/>
          <w:sz w:val="24"/>
          <w:szCs w:val="24"/>
          <w:lang w:val="da"/>
        </w:rPr>
        <w:t>tiamulin</w:t>
      </w:r>
      <w:proofErr w:type="spellEnd"/>
      <w:r w:rsidRPr="0005139D">
        <w:rPr>
          <w:snapToGrid w:val="0"/>
          <w:sz w:val="24"/>
          <w:szCs w:val="24"/>
          <w:lang w:val="da"/>
        </w:rPr>
        <w:t xml:space="preserve">. Dette synes at være afhængigt af koncentrationen, men synes ikke at have nogen negativ indvirkning på fuglenes almene tilstand eller på veterinærlægemidlets effekt. Hos kyllinger kan 500 mg </w:t>
      </w:r>
      <w:proofErr w:type="spellStart"/>
      <w:r w:rsidRPr="0005139D">
        <w:rPr>
          <w:snapToGrid w:val="0"/>
          <w:sz w:val="24"/>
          <w:szCs w:val="24"/>
          <w:lang w:val="da"/>
        </w:rPr>
        <w:t>tiamulinhydrogenfumarat</w:t>
      </w:r>
      <w:proofErr w:type="spellEnd"/>
      <w:r w:rsidRPr="0005139D">
        <w:rPr>
          <w:snapToGrid w:val="0"/>
          <w:sz w:val="24"/>
          <w:szCs w:val="24"/>
          <w:lang w:val="da"/>
        </w:rPr>
        <w:t xml:space="preserve"> i 4 liter vand reducere vandindtaget med ca. 10 %, og 500 mg </w:t>
      </w:r>
      <w:proofErr w:type="spellStart"/>
      <w:r w:rsidRPr="0005139D">
        <w:rPr>
          <w:snapToGrid w:val="0"/>
          <w:sz w:val="24"/>
          <w:szCs w:val="24"/>
          <w:lang w:val="da"/>
        </w:rPr>
        <w:t>tiamulinhydrogenfumarat</w:t>
      </w:r>
      <w:proofErr w:type="spellEnd"/>
      <w:r w:rsidRPr="0005139D">
        <w:rPr>
          <w:snapToGrid w:val="0"/>
          <w:sz w:val="24"/>
          <w:szCs w:val="24"/>
          <w:lang w:val="da"/>
        </w:rPr>
        <w:t xml:space="preserve"> i 2 liter vand med 15 %. Hos kalkuner er denne effekt mere markant med en observeret reduktion på ca. 20 %, og det frarådes derfor at benytte højere koncentrationer end 500 mg </w:t>
      </w:r>
      <w:proofErr w:type="spellStart"/>
      <w:r w:rsidRPr="0005139D">
        <w:rPr>
          <w:snapToGrid w:val="0"/>
          <w:sz w:val="24"/>
          <w:szCs w:val="24"/>
          <w:lang w:val="da"/>
        </w:rPr>
        <w:t>tiamulinhydrogenfumarat</w:t>
      </w:r>
      <w:proofErr w:type="spellEnd"/>
      <w:r w:rsidRPr="0005139D">
        <w:rPr>
          <w:snapToGrid w:val="0"/>
          <w:sz w:val="24"/>
          <w:szCs w:val="24"/>
          <w:lang w:val="da"/>
        </w:rPr>
        <w:t xml:space="preserve"> til 2 liter drikkevand.</w:t>
      </w:r>
    </w:p>
    <w:p w:rsidR="00FB7EB1" w:rsidRPr="00406EE7" w:rsidRDefault="00FB7EB1" w:rsidP="00FB7EB1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FB7EB1" w:rsidRPr="00406EE7" w:rsidRDefault="00FB7EB1" w:rsidP="00FB7EB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4.5</w:t>
      </w:r>
      <w:r w:rsidRPr="00406EE7">
        <w:rPr>
          <w:b/>
          <w:sz w:val="24"/>
          <w:szCs w:val="24"/>
        </w:rPr>
        <w:tab/>
        <w:t>Særlige forsigtighedsregler vedrørende brugen</w:t>
      </w:r>
    </w:p>
    <w:p w:rsidR="00FB7EB1" w:rsidRPr="002374DA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dyret</w:t>
      </w:r>
    </w:p>
    <w:p w:rsidR="00FB7EB1" w:rsidRPr="000B6C9D" w:rsidRDefault="00FB7EB1" w:rsidP="00FB7EB1">
      <w:pPr>
        <w:ind w:left="851"/>
        <w:rPr>
          <w:sz w:val="24"/>
          <w:szCs w:val="24"/>
        </w:rPr>
      </w:pPr>
      <w:r w:rsidRPr="000B6C9D">
        <w:rPr>
          <w:sz w:val="24"/>
          <w:szCs w:val="24"/>
          <w:lang w:val="da"/>
        </w:rPr>
        <w:t xml:space="preserve">Anvendelsen af produktet skal baseres på følsomhedstestning af bakterier isoleret fra dyret. Hvis dette ikke er muligt, skal behandlingen baseres på lokal (regional, gårdniveau) epidemiologisk information om målbakteriernes følsomhed. I visse områder af Europa udviser en stigende andel af </w:t>
      </w:r>
      <w:proofErr w:type="spellStart"/>
      <w:r w:rsidRPr="000B6C9D">
        <w:rPr>
          <w:sz w:val="24"/>
          <w:szCs w:val="24"/>
          <w:lang w:val="da"/>
        </w:rPr>
        <w:t>Brachyspira</w:t>
      </w:r>
      <w:proofErr w:type="spellEnd"/>
      <w:r w:rsidRPr="000B6C9D">
        <w:rPr>
          <w:sz w:val="24"/>
          <w:szCs w:val="24"/>
          <w:lang w:val="da"/>
        </w:rPr>
        <w:t xml:space="preserve"> </w:t>
      </w:r>
      <w:proofErr w:type="spellStart"/>
      <w:r w:rsidRPr="000B6C9D">
        <w:rPr>
          <w:sz w:val="24"/>
          <w:szCs w:val="24"/>
          <w:lang w:val="da"/>
        </w:rPr>
        <w:t>hyodysenteriae-isolater</w:t>
      </w:r>
      <w:proofErr w:type="spellEnd"/>
      <w:r w:rsidRPr="000B6C9D">
        <w:rPr>
          <w:sz w:val="24"/>
          <w:szCs w:val="24"/>
          <w:lang w:val="da"/>
        </w:rPr>
        <w:t xml:space="preserve"> fra kliniske tilfælde en signifikant nedsat in </w:t>
      </w:r>
      <w:proofErr w:type="spellStart"/>
      <w:r w:rsidRPr="000B6C9D">
        <w:rPr>
          <w:sz w:val="24"/>
          <w:szCs w:val="24"/>
          <w:lang w:val="da"/>
        </w:rPr>
        <w:t>vitro</w:t>
      </w:r>
      <w:proofErr w:type="spellEnd"/>
      <w:r w:rsidRPr="000B6C9D">
        <w:rPr>
          <w:sz w:val="24"/>
          <w:szCs w:val="24"/>
          <w:lang w:val="da"/>
        </w:rPr>
        <w:t xml:space="preserve">-følsomhed over for </w:t>
      </w:r>
      <w:proofErr w:type="spellStart"/>
      <w:r w:rsidRPr="000B6C9D">
        <w:rPr>
          <w:sz w:val="24"/>
          <w:szCs w:val="24"/>
          <w:lang w:val="da"/>
        </w:rPr>
        <w:t>tiamulin</w:t>
      </w:r>
      <w:proofErr w:type="spellEnd"/>
      <w:r w:rsidRPr="000B6C9D">
        <w:rPr>
          <w:sz w:val="24"/>
          <w:szCs w:val="24"/>
          <w:lang w:val="da"/>
        </w:rPr>
        <w:t>.</w:t>
      </w:r>
    </w:p>
    <w:p w:rsidR="00FB7EB1" w:rsidRPr="00BF0BBA" w:rsidRDefault="00FB7EB1" w:rsidP="00FB7EB1">
      <w:pPr>
        <w:ind w:left="851"/>
        <w:rPr>
          <w:sz w:val="24"/>
          <w:szCs w:val="24"/>
          <w:lang w:val="da"/>
        </w:rPr>
      </w:pPr>
      <w:r w:rsidRPr="000B6C9D">
        <w:rPr>
          <w:sz w:val="24"/>
          <w:szCs w:val="24"/>
          <w:lang w:val="da"/>
        </w:rPr>
        <w:t xml:space="preserve">Forkert anvendelse af dette veterinærlægemiddel kan øge forekomsten af </w:t>
      </w:r>
      <w:proofErr w:type="spellStart"/>
      <w:r w:rsidRPr="000B6C9D">
        <w:rPr>
          <w:sz w:val="24"/>
          <w:szCs w:val="24"/>
          <w:lang w:val="da"/>
        </w:rPr>
        <w:t>tiamulinresistente</w:t>
      </w:r>
      <w:proofErr w:type="spellEnd"/>
      <w:r w:rsidRPr="000B6C9D">
        <w:rPr>
          <w:sz w:val="24"/>
          <w:szCs w:val="24"/>
          <w:lang w:val="da"/>
        </w:rPr>
        <w:t xml:space="preserve"> bakterier.</w:t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personer, der administrerer lægemidlet</w:t>
      </w:r>
    </w:p>
    <w:p w:rsidR="00FB7EB1" w:rsidRPr="00BF0BBA" w:rsidRDefault="00FB7EB1" w:rsidP="00FB7EB1">
      <w:pPr>
        <w:ind w:left="851"/>
        <w:rPr>
          <w:b/>
          <w:bCs/>
          <w:sz w:val="24"/>
          <w:szCs w:val="24"/>
        </w:rPr>
      </w:pPr>
      <w:r w:rsidRPr="00BF0BBA">
        <w:rPr>
          <w:sz w:val="24"/>
          <w:szCs w:val="24"/>
          <w:lang w:val="da"/>
        </w:rPr>
        <w:t>Dette produkt kan give anledning til hud- og øjenirritation. Under blandingen skal direkte kontakt med hud og øjne undgås ved at anvende uigennemtrængelige gummihandsker og beskyttelsesbriller.</w:t>
      </w:r>
    </w:p>
    <w:p w:rsidR="00FB7EB1" w:rsidRPr="00BF0BBA" w:rsidRDefault="00FB7EB1" w:rsidP="00FB7EB1">
      <w:pPr>
        <w:ind w:left="851"/>
        <w:rPr>
          <w:b/>
          <w:bCs/>
          <w:sz w:val="24"/>
          <w:szCs w:val="24"/>
          <w:lang w:val="da"/>
        </w:rPr>
      </w:pPr>
      <w:r w:rsidRPr="00BF0BBA">
        <w:rPr>
          <w:sz w:val="24"/>
          <w:szCs w:val="24"/>
          <w:lang w:val="da"/>
        </w:rPr>
        <w:t>I tilfælde af øjenkontakt ved et uheld skylles øjnene øjeblikkeligt grundigt med rindende vand. Søg lægehjælp, hvis irritationen varer ved.</w:t>
      </w:r>
    </w:p>
    <w:p w:rsidR="00FB7EB1" w:rsidRPr="00BF0BBA" w:rsidRDefault="00FB7EB1" w:rsidP="00FB7EB1">
      <w:pPr>
        <w:ind w:left="851"/>
        <w:rPr>
          <w:b/>
          <w:bCs/>
          <w:sz w:val="24"/>
          <w:szCs w:val="24"/>
          <w:lang w:val="da"/>
        </w:rPr>
      </w:pPr>
      <w:r w:rsidRPr="00BF0BBA">
        <w:rPr>
          <w:sz w:val="24"/>
          <w:szCs w:val="24"/>
          <w:lang w:val="da"/>
        </w:rPr>
        <w:t>Tilsmudset tøj skal tages af, og eventuelle stænk på huden skal øjeblikkeligt vaskes af.</w:t>
      </w:r>
    </w:p>
    <w:p w:rsidR="00FB7EB1" w:rsidRPr="00BF0BBA" w:rsidRDefault="00FB7EB1" w:rsidP="00FB7EB1">
      <w:pPr>
        <w:ind w:left="851"/>
        <w:rPr>
          <w:b/>
          <w:bCs/>
          <w:sz w:val="24"/>
          <w:szCs w:val="24"/>
        </w:rPr>
      </w:pPr>
      <w:r w:rsidRPr="00BF0BBA">
        <w:rPr>
          <w:sz w:val="24"/>
          <w:szCs w:val="24"/>
          <w:lang w:val="da"/>
        </w:rPr>
        <w:t>Vask hænderne efter brugen.</w:t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4.6</w:t>
      </w:r>
      <w:r w:rsidRPr="00406EE7">
        <w:rPr>
          <w:b/>
          <w:sz w:val="24"/>
          <w:szCs w:val="24"/>
        </w:rPr>
        <w:tab/>
        <w:t>Bivirkninger</w:t>
      </w:r>
    </w:p>
    <w:p w:rsidR="00FB7EB1" w:rsidRPr="006E506E" w:rsidRDefault="00FB7EB1" w:rsidP="00FB7EB1">
      <w:pPr>
        <w:ind w:left="851"/>
        <w:rPr>
          <w:bCs/>
          <w:sz w:val="24"/>
          <w:szCs w:val="24"/>
        </w:rPr>
      </w:pPr>
      <w:r w:rsidRPr="006E506E">
        <w:rPr>
          <w:sz w:val="24"/>
          <w:szCs w:val="24"/>
          <w:lang w:val="da"/>
        </w:rPr>
        <w:t xml:space="preserve">I meget sjældne tilfælde kan der forekomme </w:t>
      </w:r>
      <w:proofErr w:type="spellStart"/>
      <w:r w:rsidRPr="006E506E">
        <w:rPr>
          <w:sz w:val="24"/>
          <w:szCs w:val="24"/>
          <w:lang w:val="da"/>
        </w:rPr>
        <w:t>erytem</w:t>
      </w:r>
      <w:proofErr w:type="spellEnd"/>
      <w:r w:rsidRPr="006E506E">
        <w:rPr>
          <w:sz w:val="24"/>
          <w:szCs w:val="24"/>
          <w:lang w:val="da"/>
        </w:rPr>
        <w:t xml:space="preserve"> eller mildt ødem på huden hos grise efter brug af </w:t>
      </w:r>
      <w:proofErr w:type="spellStart"/>
      <w:r w:rsidRPr="006E506E">
        <w:rPr>
          <w:sz w:val="24"/>
          <w:szCs w:val="24"/>
          <w:lang w:val="da"/>
        </w:rPr>
        <w:t>tiamulinhydrogenfumarat</w:t>
      </w:r>
      <w:proofErr w:type="spellEnd"/>
      <w:r w:rsidRPr="006E506E">
        <w:rPr>
          <w:sz w:val="24"/>
          <w:szCs w:val="24"/>
          <w:lang w:val="da"/>
        </w:rPr>
        <w:t>. Dette kan resultere i apati og død.</w:t>
      </w:r>
    </w:p>
    <w:p w:rsidR="00FB7EB1" w:rsidRPr="006E506E" w:rsidRDefault="00FB7EB1" w:rsidP="00FB7EB1">
      <w:pPr>
        <w:ind w:left="851"/>
        <w:rPr>
          <w:bCs/>
          <w:sz w:val="24"/>
          <w:szCs w:val="24"/>
        </w:rPr>
      </w:pPr>
    </w:p>
    <w:p w:rsidR="00FB7EB1" w:rsidRPr="006E506E" w:rsidRDefault="00FB7EB1" w:rsidP="00FB7EB1">
      <w:pPr>
        <w:ind w:left="851"/>
        <w:rPr>
          <w:bCs/>
          <w:sz w:val="24"/>
          <w:szCs w:val="24"/>
          <w:u w:val="single"/>
        </w:rPr>
      </w:pPr>
      <w:r w:rsidRPr="006E506E">
        <w:rPr>
          <w:sz w:val="24"/>
          <w:szCs w:val="24"/>
          <w:u w:val="single"/>
          <w:lang w:val="da"/>
        </w:rPr>
        <w:t>Hyppigheden a</w:t>
      </w:r>
      <w:r>
        <w:rPr>
          <w:sz w:val="24"/>
          <w:szCs w:val="24"/>
          <w:u w:val="single"/>
          <w:lang w:val="da"/>
        </w:rPr>
        <w:t>f bivirkninger er defineret som</w:t>
      </w:r>
    </w:p>
    <w:p w:rsidR="00FB7EB1" w:rsidRPr="006E506E" w:rsidRDefault="00FB7EB1" w:rsidP="00FB7EB1">
      <w:pPr>
        <w:ind w:left="1134" w:hanging="283"/>
        <w:rPr>
          <w:bCs/>
          <w:sz w:val="24"/>
          <w:szCs w:val="24"/>
        </w:rPr>
      </w:pPr>
      <w:r w:rsidRPr="006E506E">
        <w:rPr>
          <w:sz w:val="24"/>
          <w:szCs w:val="24"/>
          <w:lang w:val="da"/>
        </w:rPr>
        <w:t>-</w:t>
      </w:r>
      <w:r>
        <w:rPr>
          <w:sz w:val="24"/>
          <w:szCs w:val="24"/>
          <w:lang w:val="da"/>
        </w:rPr>
        <w:tab/>
      </w:r>
      <w:r w:rsidRPr="006E506E">
        <w:rPr>
          <w:sz w:val="24"/>
          <w:szCs w:val="24"/>
          <w:lang w:val="da"/>
        </w:rPr>
        <w:t>Meget almindelig (flere end 1 ud af 10 behandlede dyr, der viser bivirkninger i løbet af en behandling)</w:t>
      </w:r>
    </w:p>
    <w:p w:rsidR="00FB7EB1" w:rsidRPr="006E506E" w:rsidRDefault="00FB7EB1" w:rsidP="00FB7EB1">
      <w:pPr>
        <w:ind w:left="1134" w:hanging="283"/>
        <w:rPr>
          <w:bCs/>
          <w:sz w:val="24"/>
          <w:szCs w:val="24"/>
        </w:rPr>
      </w:pPr>
      <w:r>
        <w:rPr>
          <w:sz w:val="24"/>
          <w:szCs w:val="24"/>
          <w:lang w:val="da"/>
        </w:rPr>
        <w:t>-</w:t>
      </w:r>
      <w:r>
        <w:rPr>
          <w:sz w:val="24"/>
          <w:szCs w:val="24"/>
          <w:lang w:val="da"/>
        </w:rPr>
        <w:tab/>
        <w:t>Almindelig</w:t>
      </w:r>
      <w:r w:rsidRPr="006E506E">
        <w:rPr>
          <w:sz w:val="24"/>
          <w:szCs w:val="24"/>
          <w:lang w:val="da"/>
        </w:rPr>
        <w:t xml:space="preserve"> (flere end 1, men færre end 10 dyr af 100 behandlede dyr) </w:t>
      </w:r>
    </w:p>
    <w:p w:rsidR="00FB7EB1" w:rsidRPr="006E506E" w:rsidRDefault="00FB7EB1" w:rsidP="00FB7EB1">
      <w:pPr>
        <w:ind w:left="1134" w:hanging="283"/>
        <w:rPr>
          <w:bCs/>
          <w:sz w:val="24"/>
          <w:szCs w:val="24"/>
        </w:rPr>
      </w:pPr>
      <w:r>
        <w:rPr>
          <w:sz w:val="24"/>
          <w:szCs w:val="24"/>
          <w:lang w:val="da"/>
        </w:rPr>
        <w:t>-</w:t>
      </w:r>
      <w:r>
        <w:rPr>
          <w:sz w:val="24"/>
          <w:szCs w:val="24"/>
          <w:lang w:val="da"/>
        </w:rPr>
        <w:tab/>
      </w:r>
      <w:r w:rsidRPr="006E506E">
        <w:rPr>
          <w:sz w:val="24"/>
          <w:szCs w:val="24"/>
          <w:lang w:val="da"/>
        </w:rPr>
        <w:t xml:space="preserve">Ikke almindelige (flere end 1, men færre end 10 dyr af 1.000 behandlede dyr) </w:t>
      </w:r>
    </w:p>
    <w:p w:rsidR="00FB7EB1" w:rsidRPr="006E506E" w:rsidRDefault="00FB7EB1" w:rsidP="00FB7EB1">
      <w:pPr>
        <w:ind w:left="1134" w:hanging="283"/>
        <w:rPr>
          <w:bCs/>
          <w:sz w:val="24"/>
          <w:szCs w:val="24"/>
        </w:rPr>
      </w:pPr>
      <w:r>
        <w:rPr>
          <w:sz w:val="24"/>
          <w:szCs w:val="24"/>
          <w:lang w:val="da"/>
        </w:rPr>
        <w:t>-</w:t>
      </w:r>
      <w:r>
        <w:rPr>
          <w:sz w:val="24"/>
          <w:szCs w:val="24"/>
          <w:lang w:val="da"/>
        </w:rPr>
        <w:tab/>
      </w:r>
      <w:r w:rsidRPr="006E506E">
        <w:rPr>
          <w:sz w:val="24"/>
          <w:szCs w:val="24"/>
          <w:lang w:val="da"/>
        </w:rPr>
        <w:t>Sjæld</w:t>
      </w:r>
      <w:r>
        <w:rPr>
          <w:sz w:val="24"/>
          <w:szCs w:val="24"/>
          <w:lang w:val="da"/>
        </w:rPr>
        <w:t>en</w:t>
      </w:r>
      <w:r w:rsidRPr="006E506E">
        <w:rPr>
          <w:sz w:val="24"/>
          <w:szCs w:val="24"/>
          <w:lang w:val="da"/>
        </w:rPr>
        <w:t xml:space="preserve"> (flere end 1, men færre end 10 dyr ud af 10.000 behandlede dyr) </w:t>
      </w:r>
    </w:p>
    <w:p w:rsidR="00FB7EB1" w:rsidRPr="00A93598" w:rsidRDefault="00FB7EB1" w:rsidP="00FB7EB1">
      <w:pPr>
        <w:ind w:left="1134" w:hanging="283"/>
        <w:rPr>
          <w:b/>
          <w:bCs/>
          <w:sz w:val="24"/>
          <w:szCs w:val="24"/>
          <w:lang w:val="da"/>
        </w:rPr>
      </w:pPr>
      <w:r>
        <w:rPr>
          <w:sz w:val="24"/>
          <w:szCs w:val="24"/>
          <w:lang w:val="da"/>
        </w:rPr>
        <w:t>-</w:t>
      </w:r>
      <w:r>
        <w:rPr>
          <w:sz w:val="24"/>
          <w:szCs w:val="24"/>
          <w:lang w:val="da"/>
        </w:rPr>
        <w:tab/>
      </w:r>
      <w:r w:rsidRPr="006E506E">
        <w:rPr>
          <w:sz w:val="24"/>
          <w:szCs w:val="24"/>
          <w:lang w:val="da"/>
        </w:rPr>
        <w:t>Meget sjælden (færre end 1 dyr ud af 10.000 behandlede dyr, herunder isolerede rapporter)</w:t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4.7</w:t>
      </w:r>
      <w:r w:rsidRPr="00406EE7">
        <w:rPr>
          <w:b/>
          <w:sz w:val="24"/>
          <w:szCs w:val="24"/>
        </w:rPr>
        <w:tab/>
        <w:t>Drægtighed, diegivning eller æglægning</w:t>
      </w:r>
    </w:p>
    <w:p w:rsidR="00FB7EB1" w:rsidRDefault="00FB7EB1" w:rsidP="00FB7EB1">
      <w:pPr>
        <w:ind w:left="851"/>
        <w:rPr>
          <w:sz w:val="24"/>
          <w:szCs w:val="24"/>
          <w:lang w:val="da"/>
        </w:rPr>
      </w:pPr>
    </w:p>
    <w:p w:rsidR="00FB7EB1" w:rsidRPr="00A93598" w:rsidRDefault="00FB7EB1" w:rsidP="00FB7EB1">
      <w:pPr>
        <w:ind w:left="851"/>
        <w:rPr>
          <w:bCs/>
          <w:sz w:val="24"/>
          <w:szCs w:val="24"/>
          <w:u w:val="single"/>
        </w:rPr>
      </w:pPr>
      <w:r>
        <w:rPr>
          <w:sz w:val="24"/>
          <w:szCs w:val="24"/>
          <w:u w:val="single"/>
          <w:lang w:val="da"/>
        </w:rPr>
        <w:t>Drægtighed og laktation</w:t>
      </w:r>
    </w:p>
    <w:p w:rsidR="00FB7EB1" w:rsidRPr="00A93598" w:rsidRDefault="00FB7EB1" w:rsidP="00FB7EB1">
      <w:pPr>
        <w:ind w:left="851"/>
        <w:rPr>
          <w:bCs/>
          <w:sz w:val="24"/>
          <w:szCs w:val="24"/>
        </w:rPr>
      </w:pPr>
      <w:r w:rsidRPr="00A93598">
        <w:rPr>
          <w:sz w:val="24"/>
          <w:szCs w:val="24"/>
          <w:lang w:val="da"/>
        </w:rPr>
        <w:t>Kan anvendes til svin under drægtighed og laktation.</w:t>
      </w:r>
    </w:p>
    <w:p w:rsidR="00FB7EB1" w:rsidRPr="00A93598" w:rsidRDefault="00FB7EB1" w:rsidP="00FB7EB1">
      <w:pPr>
        <w:ind w:left="851"/>
        <w:rPr>
          <w:bCs/>
          <w:sz w:val="24"/>
          <w:szCs w:val="24"/>
        </w:rPr>
      </w:pPr>
    </w:p>
    <w:p w:rsidR="00FB7EB1" w:rsidRPr="00A93598" w:rsidRDefault="00FB7EB1" w:rsidP="00FB7EB1">
      <w:pPr>
        <w:ind w:left="851"/>
        <w:rPr>
          <w:bCs/>
          <w:sz w:val="24"/>
          <w:szCs w:val="24"/>
          <w:u w:val="single"/>
        </w:rPr>
      </w:pPr>
      <w:r>
        <w:rPr>
          <w:sz w:val="24"/>
          <w:szCs w:val="24"/>
          <w:u w:val="single"/>
          <w:lang w:val="da"/>
        </w:rPr>
        <w:lastRenderedPageBreak/>
        <w:t>Æglæggende fugle</w:t>
      </w:r>
    </w:p>
    <w:p w:rsidR="00FB7EB1" w:rsidRPr="00A93598" w:rsidRDefault="00FB7EB1" w:rsidP="00FB7EB1">
      <w:pPr>
        <w:ind w:left="851"/>
        <w:rPr>
          <w:bCs/>
          <w:sz w:val="24"/>
          <w:szCs w:val="24"/>
          <w:lang w:val="da"/>
        </w:rPr>
      </w:pPr>
      <w:r w:rsidRPr="00A93598">
        <w:rPr>
          <w:sz w:val="24"/>
          <w:szCs w:val="24"/>
          <w:lang w:val="da"/>
        </w:rPr>
        <w:t>Kan anvendes til æglæggende høns og rugende høns og kalkuner.</w:t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4.8</w:t>
      </w:r>
      <w:r w:rsidRPr="00406EE7">
        <w:rPr>
          <w:b/>
          <w:sz w:val="24"/>
          <w:szCs w:val="24"/>
        </w:rPr>
        <w:tab/>
        <w:t>Interaktion med andre lægemidler og andre former for interaktion</w:t>
      </w:r>
    </w:p>
    <w:p w:rsidR="00FB7EB1" w:rsidRPr="00A93598" w:rsidRDefault="00FB7EB1" w:rsidP="00FB7EB1">
      <w:pPr>
        <w:ind w:left="851"/>
        <w:rPr>
          <w:bCs/>
          <w:sz w:val="24"/>
          <w:szCs w:val="24"/>
          <w:lang w:val="da"/>
        </w:rPr>
      </w:pPr>
      <w:r w:rsidRPr="00A93598">
        <w:rPr>
          <w:sz w:val="24"/>
          <w:szCs w:val="24"/>
          <w:lang w:val="da"/>
        </w:rPr>
        <w:t xml:space="preserve">Det er påvist, at </w:t>
      </w:r>
      <w:proofErr w:type="spellStart"/>
      <w:r w:rsidRPr="00A93598">
        <w:rPr>
          <w:sz w:val="24"/>
          <w:szCs w:val="24"/>
          <w:lang w:val="da"/>
        </w:rPr>
        <w:t>tiamulin</w:t>
      </w:r>
      <w:proofErr w:type="spellEnd"/>
      <w:r w:rsidRPr="00A93598">
        <w:rPr>
          <w:sz w:val="24"/>
          <w:szCs w:val="24"/>
          <w:lang w:val="da"/>
        </w:rPr>
        <w:t xml:space="preserve"> interagerer med </w:t>
      </w:r>
      <w:proofErr w:type="spellStart"/>
      <w:r w:rsidRPr="00A93598">
        <w:rPr>
          <w:sz w:val="24"/>
          <w:szCs w:val="24"/>
          <w:lang w:val="da"/>
        </w:rPr>
        <w:t>ionophorer</w:t>
      </w:r>
      <w:proofErr w:type="spellEnd"/>
      <w:r w:rsidRPr="00A93598">
        <w:rPr>
          <w:sz w:val="24"/>
          <w:szCs w:val="24"/>
          <w:lang w:val="da"/>
        </w:rPr>
        <w:t xml:space="preserve"> som f.eks. </w:t>
      </w:r>
      <w:proofErr w:type="spellStart"/>
      <w:r w:rsidRPr="00A93598">
        <w:rPr>
          <w:sz w:val="24"/>
          <w:szCs w:val="24"/>
          <w:lang w:val="da"/>
        </w:rPr>
        <w:t>monensin</w:t>
      </w:r>
      <w:proofErr w:type="spellEnd"/>
      <w:r w:rsidRPr="00A93598">
        <w:rPr>
          <w:sz w:val="24"/>
          <w:szCs w:val="24"/>
          <w:lang w:val="da"/>
        </w:rPr>
        <w:t xml:space="preserve">, </w:t>
      </w:r>
      <w:proofErr w:type="spellStart"/>
      <w:r w:rsidRPr="00A93598">
        <w:rPr>
          <w:sz w:val="24"/>
          <w:szCs w:val="24"/>
          <w:lang w:val="da"/>
        </w:rPr>
        <w:t>salinomycin</w:t>
      </w:r>
      <w:proofErr w:type="spellEnd"/>
      <w:r w:rsidRPr="00A93598">
        <w:rPr>
          <w:sz w:val="24"/>
          <w:szCs w:val="24"/>
          <w:lang w:val="da"/>
        </w:rPr>
        <w:t xml:space="preserve"> og </w:t>
      </w:r>
      <w:proofErr w:type="spellStart"/>
      <w:r w:rsidRPr="00A93598">
        <w:rPr>
          <w:sz w:val="24"/>
          <w:szCs w:val="24"/>
          <w:lang w:val="da"/>
        </w:rPr>
        <w:t>narasin</w:t>
      </w:r>
      <w:proofErr w:type="spellEnd"/>
      <w:r w:rsidRPr="00A93598">
        <w:rPr>
          <w:sz w:val="24"/>
          <w:szCs w:val="24"/>
          <w:lang w:val="da"/>
        </w:rPr>
        <w:t xml:space="preserve">, hvilket kan medføre tegn, som ikke kan skelnes fra en </w:t>
      </w:r>
      <w:proofErr w:type="spellStart"/>
      <w:r w:rsidRPr="00A93598">
        <w:rPr>
          <w:sz w:val="24"/>
          <w:szCs w:val="24"/>
          <w:lang w:val="da"/>
        </w:rPr>
        <w:t>ionophor-toksikose</w:t>
      </w:r>
      <w:proofErr w:type="spellEnd"/>
      <w:r w:rsidRPr="00A93598">
        <w:rPr>
          <w:sz w:val="24"/>
          <w:szCs w:val="24"/>
          <w:lang w:val="da"/>
        </w:rPr>
        <w:t xml:space="preserve">. Dyr må ikke få præparater, der indeholder </w:t>
      </w:r>
      <w:proofErr w:type="spellStart"/>
      <w:r w:rsidRPr="00A93598">
        <w:rPr>
          <w:sz w:val="24"/>
          <w:szCs w:val="24"/>
          <w:lang w:val="da"/>
        </w:rPr>
        <w:t>monensin</w:t>
      </w:r>
      <w:proofErr w:type="spellEnd"/>
      <w:r w:rsidRPr="00A93598">
        <w:rPr>
          <w:sz w:val="24"/>
          <w:szCs w:val="24"/>
          <w:lang w:val="da"/>
        </w:rPr>
        <w:t xml:space="preserve">, </w:t>
      </w:r>
      <w:proofErr w:type="spellStart"/>
      <w:r w:rsidRPr="00A93598">
        <w:rPr>
          <w:sz w:val="24"/>
          <w:szCs w:val="24"/>
          <w:lang w:val="da"/>
        </w:rPr>
        <w:t>narasin</w:t>
      </w:r>
      <w:proofErr w:type="spellEnd"/>
      <w:r w:rsidRPr="00A93598">
        <w:rPr>
          <w:sz w:val="24"/>
          <w:szCs w:val="24"/>
          <w:lang w:val="da"/>
        </w:rPr>
        <w:t xml:space="preserve"> eller </w:t>
      </w:r>
      <w:proofErr w:type="spellStart"/>
      <w:r w:rsidRPr="00A93598">
        <w:rPr>
          <w:sz w:val="24"/>
          <w:szCs w:val="24"/>
          <w:lang w:val="da"/>
        </w:rPr>
        <w:t>salinomycin</w:t>
      </w:r>
      <w:proofErr w:type="spellEnd"/>
      <w:r w:rsidRPr="00A93598">
        <w:rPr>
          <w:sz w:val="24"/>
          <w:szCs w:val="24"/>
          <w:lang w:val="da"/>
        </w:rPr>
        <w:t xml:space="preserve">, under og i mindst 7 dage før og efter behandling med </w:t>
      </w:r>
      <w:proofErr w:type="spellStart"/>
      <w:r w:rsidRPr="00A93598">
        <w:rPr>
          <w:sz w:val="24"/>
          <w:szCs w:val="24"/>
          <w:lang w:val="da"/>
        </w:rPr>
        <w:t>tiamulin</w:t>
      </w:r>
      <w:proofErr w:type="spellEnd"/>
      <w:r w:rsidRPr="00A93598">
        <w:rPr>
          <w:sz w:val="24"/>
          <w:szCs w:val="24"/>
          <w:lang w:val="da"/>
        </w:rPr>
        <w:t xml:space="preserve">. Dette kan medføre svær væksthæmning, </w:t>
      </w:r>
      <w:proofErr w:type="spellStart"/>
      <w:r w:rsidRPr="00A93598">
        <w:rPr>
          <w:sz w:val="24"/>
          <w:szCs w:val="24"/>
          <w:lang w:val="da"/>
        </w:rPr>
        <w:t>ataksi</w:t>
      </w:r>
      <w:proofErr w:type="spellEnd"/>
      <w:r w:rsidRPr="00A93598">
        <w:rPr>
          <w:sz w:val="24"/>
          <w:szCs w:val="24"/>
          <w:lang w:val="da"/>
        </w:rPr>
        <w:t>, lammelse eller dødsfald.</w:t>
      </w:r>
    </w:p>
    <w:p w:rsidR="00FB7EB1" w:rsidRPr="00A93598" w:rsidRDefault="00FB7EB1" w:rsidP="00FB7EB1">
      <w:pPr>
        <w:ind w:left="851"/>
        <w:rPr>
          <w:bCs/>
          <w:sz w:val="24"/>
          <w:szCs w:val="24"/>
          <w:lang w:val="da"/>
        </w:rPr>
      </w:pPr>
    </w:p>
    <w:p w:rsidR="00FB7EB1" w:rsidRPr="00A93598" w:rsidRDefault="00FB7EB1" w:rsidP="00FB7EB1">
      <w:pPr>
        <w:ind w:left="851"/>
        <w:rPr>
          <w:bCs/>
          <w:sz w:val="24"/>
          <w:szCs w:val="24"/>
          <w:lang w:val="da"/>
        </w:rPr>
      </w:pPr>
      <w:r w:rsidRPr="00A93598">
        <w:rPr>
          <w:sz w:val="24"/>
          <w:szCs w:val="24"/>
          <w:lang w:val="da"/>
        </w:rPr>
        <w:t xml:space="preserve">Hvis der opstår tegn på en interaktion, skal administrationen både af </w:t>
      </w:r>
      <w:proofErr w:type="spellStart"/>
      <w:r w:rsidRPr="00A93598">
        <w:rPr>
          <w:sz w:val="24"/>
          <w:szCs w:val="24"/>
          <w:lang w:val="da"/>
        </w:rPr>
        <w:t>tiamulin</w:t>
      </w:r>
      <w:proofErr w:type="spellEnd"/>
      <w:r w:rsidRPr="00A93598">
        <w:rPr>
          <w:sz w:val="24"/>
          <w:szCs w:val="24"/>
          <w:lang w:val="da"/>
        </w:rPr>
        <w:t xml:space="preserve">-medicineret drikkevand og det </w:t>
      </w:r>
      <w:proofErr w:type="spellStart"/>
      <w:r w:rsidRPr="00A93598">
        <w:rPr>
          <w:sz w:val="24"/>
          <w:szCs w:val="24"/>
          <w:lang w:val="da"/>
        </w:rPr>
        <w:t>ionophor</w:t>
      </w:r>
      <w:proofErr w:type="spellEnd"/>
      <w:r w:rsidRPr="00A93598">
        <w:rPr>
          <w:sz w:val="24"/>
          <w:szCs w:val="24"/>
          <w:lang w:val="da"/>
        </w:rPr>
        <w:t xml:space="preserve">-kontaminerede foder straks seponeres. Foderet skal fjernes og erstattes med frisk foder, der ikke indeholder coccidiosemidlerne </w:t>
      </w:r>
      <w:proofErr w:type="spellStart"/>
      <w:r w:rsidRPr="00A93598">
        <w:rPr>
          <w:sz w:val="24"/>
          <w:szCs w:val="24"/>
          <w:lang w:val="da"/>
        </w:rPr>
        <w:t>monensin</w:t>
      </w:r>
      <w:proofErr w:type="spellEnd"/>
      <w:r w:rsidRPr="00A93598">
        <w:rPr>
          <w:sz w:val="24"/>
          <w:szCs w:val="24"/>
          <w:lang w:val="da"/>
        </w:rPr>
        <w:t xml:space="preserve">, </w:t>
      </w:r>
      <w:proofErr w:type="spellStart"/>
      <w:r w:rsidRPr="00A93598">
        <w:rPr>
          <w:sz w:val="24"/>
          <w:szCs w:val="24"/>
          <w:lang w:val="da"/>
        </w:rPr>
        <w:t>salinomycin</w:t>
      </w:r>
      <w:proofErr w:type="spellEnd"/>
      <w:r w:rsidRPr="00A93598">
        <w:rPr>
          <w:sz w:val="24"/>
          <w:szCs w:val="24"/>
          <w:lang w:val="da"/>
        </w:rPr>
        <w:t xml:space="preserve"> eller </w:t>
      </w:r>
      <w:proofErr w:type="spellStart"/>
      <w:r w:rsidRPr="00A93598">
        <w:rPr>
          <w:sz w:val="24"/>
          <w:szCs w:val="24"/>
          <w:lang w:val="da"/>
        </w:rPr>
        <w:t>narasin</w:t>
      </w:r>
      <w:proofErr w:type="spellEnd"/>
      <w:r w:rsidRPr="00A93598">
        <w:rPr>
          <w:sz w:val="24"/>
          <w:szCs w:val="24"/>
          <w:lang w:val="da"/>
        </w:rPr>
        <w:t>.</w:t>
      </w:r>
    </w:p>
    <w:p w:rsidR="00FB7EB1" w:rsidRPr="00A93598" w:rsidRDefault="00FB7EB1" w:rsidP="00FB7EB1">
      <w:pPr>
        <w:ind w:left="851"/>
        <w:rPr>
          <w:bCs/>
          <w:sz w:val="24"/>
          <w:szCs w:val="24"/>
          <w:lang w:val="da"/>
        </w:rPr>
      </w:pPr>
    </w:p>
    <w:p w:rsidR="00FB7EB1" w:rsidRPr="00A669B8" w:rsidRDefault="00FB7EB1" w:rsidP="00FB7EB1">
      <w:pPr>
        <w:ind w:left="851"/>
        <w:rPr>
          <w:bCs/>
          <w:sz w:val="24"/>
          <w:szCs w:val="24"/>
          <w:lang w:val="da"/>
        </w:rPr>
      </w:pPr>
      <w:r w:rsidRPr="00A93598">
        <w:rPr>
          <w:sz w:val="24"/>
          <w:szCs w:val="24"/>
          <w:lang w:val="da"/>
        </w:rPr>
        <w:t xml:space="preserve">Samtidig brug af </w:t>
      </w:r>
      <w:proofErr w:type="spellStart"/>
      <w:r w:rsidRPr="00A93598">
        <w:rPr>
          <w:sz w:val="24"/>
          <w:szCs w:val="24"/>
          <w:lang w:val="da"/>
        </w:rPr>
        <w:t>tiamulin</w:t>
      </w:r>
      <w:proofErr w:type="spellEnd"/>
      <w:r w:rsidRPr="00A93598">
        <w:rPr>
          <w:sz w:val="24"/>
          <w:szCs w:val="24"/>
          <w:lang w:val="da"/>
        </w:rPr>
        <w:t xml:space="preserve"> og de divalente </w:t>
      </w:r>
      <w:proofErr w:type="spellStart"/>
      <w:r w:rsidRPr="00A93598">
        <w:rPr>
          <w:sz w:val="24"/>
          <w:szCs w:val="24"/>
          <w:lang w:val="da"/>
        </w:rPr>
        <w:t>ionophore</w:t>
      </w:r>
      <w:proofErr w:type="spellEnd"/>
      <w:r w:rsidRPr="00A93598">
        <w:rPr>
          <w:sz w:val="24"/>
          <w:szCs w:val="24"/>
          <w:lang w:val="da"/>
        </w:rPr>
        <w:t xml:space="preserve"> coccidiosemidler </w:t>
      </w:r>
      <w:proofErr w:type="spellStart"/>
      <w:r w:rsidRPr="00A93598">
        <w:rPr>
          <w:sz w:val="24"/>
          <w:szCs w:val="24"/>
          <w:lang w:val="da"/>
        </w:rPr>
        <w:t>lasalocid</w:t>
      </w:r>
      <w:proofErr w:type="spellEnd"/>
      <w:r w:rsidRPr="00A93598">
        <w:rPr>
          <w:sz w:val="24"/>
          <w:szCs w:val="24"/>
          <w:lang w:val="da"/>
        </w:rPr>
        <w:t xml:space="preserve"> og </w:t>
      </w:r>
      <w:proofErr w:type="spellStart"/>
      <w:r w:rsidRPr="00A93598">
        <w:rPr>
          <w:sz w:val="24"/>
          <w:szCs w:val="24"/>
          <w:lang w:val="da"/>
        </w:rPr>
        <w:t>semduramicin</w:t>
      </w:r>
      <w:proofErr w:type="spellEnd"/>
      <w:r w:rsidRPr="00A93598">
        <w:rPr>
          <w:sz w:val="24"/>
          <w:szCs w:val="24"/>
          <w:lang w:val="da"/>
        </w:rPr>
        <w:t xml:space="preserve"> synes ikke at forårsage nogen interaktion. Samtidig brug af </w:t>
      </w:r>
      <w:proofErr w:type="spellStart"/>
      <w:r w:rsidRPr="00A93598">
        <w:rPr>
          <w:sz w:val="24"/>
          <w:szCs w:val="24"/>
          <w:lang w:val="da"/>
        </w:rPr>
        <w:t>maduramicin</w:t>
      </w:r>
      <w:proofErr w:type="spellEnd"/>
      <w:r w:rsidRPr="00A93598">
        <w:rPr>
          <w:sz w:val="24"/>
          <w:szCs w:val="24"/>
          <w:lang w:val="da"/>
        </w:rPr>
        <w:t xml:space="preserve"> kan dog medføre mild til moderat væksthæmning hos kyllinger. Situationen er forbigående, og bedring ses for det meste inden for 3-5 dage efter </w:t>
      </w:r>
      <w:proofErr w:type="spellStart"/>
      <w:r w:rsidRPr="00A93598">
        <w:rPr>
          <w:sz w:val="24"/>
          <w:szCs w:val="24"/>
          <w:lang w:val="da"/>
        </w:rPr>
        <w:t>seponering</w:t>
      </w:r>
      <w:proofErr w:type="spellEnd"/>
      <w:r w:rsidRPr="00A93598">
        <w:rPr>
          <w:sz w:val="24"/>
          <w:szCs w:val="24"/>
          <w:lang w:val="da"/>
        </w:rPr>
        <w:t xml:space="preserve"> af </w:t>
      </w:r>
      <w:proofErr w:type="spellStart"/>
      <w:r w:rsidRPr="00A93598">
        <w:rPr>
          <w:sz w:val="24"/>
          <w:szCs w:val="24"/>
          <w:lang w:val="da"/>
        </w:rPr>
        <w:t>tiamulinbehandlingen</w:t>
      </w:r>
      <w:proofErr w:type="spellEnd"/>
      <w:r w:rsidRPr="00A93598">
        <w:rPr>
          <w:sz w:val="24"/>
          <w:szCs w:val="24"/>
          <w:lang w:val="da"/>
        </w:rPr>
        <w:t>.</w:t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4.9</w:t>
      </w:r>
      <w:r w:rsidRPr="00406EE7">
        <w:rPr>
          <w:b/>
          <w:sz w:val="24"/>
          <w:szCs w:val="24"/>
        </w:rPr>
        <w:tab/>
        <w:t>Dosering og indgivelsesmåde</w:t>
      </w:r>
    </w:p>
    <w:p w:rsidR="00FB7EB1" w:rsidRPr="00A669B8" w:rsidRDefault="00FB7EB1" w:rsidP="00FB7EB1">
      <w:pPr>
        <w:ind w:left="851"/>
        <w:rPr>
          <w:sz w:val="24"/>
          <w:szCs w:val="24"/>
        </w:rPr>
      </w:pPr>
      <w:r w:rsidRPr="00A669B8">
        <w:rPr>
          <w:sz w:val="24"/>
          <w:szCs w:val="24"/>
          <w:lang w:val="da"/>
        </w:rPr>
        <w:t>Til anvendelse i drikkevand.</w:t>
      </w:r>
    </w:p>
    <w:p w:rsidR="00FB7EB1" w:rsidRPr="00A669B8" w:rsidRDefault="00FB7EB1" w:rsidP="00FB7EB1">
      <w:pPr>
        <w:ind w:left="851"/>
        <w:rPr>
          <w:sz w:val="24"/>
          <w:szCs w:val="24"/>
        </w:rPr>
      </w:pPr>
    </w:p>
    <w:p w:rsidR="00FB7EB1" w:rsidRPr="00A669B8" w:rsidRDefault="00FB7EB1" w:rsidP="00FB7EB1">
      <w:pPr>
        <w:ind w:left="851"/>
        <w:rPr>
          <w:sz w:val="24"/>
          <w:szCs w:val="24"/>
        </w:rPr>
      </w:pPr>
      <w:r w:rsidRPr="00A669B8">
        <w:rPr>
          <w:sz w:val="24"/>
          <w:szCs w:val="24"/>
          <w:lang w:val="da"/>
        </w:rPr>
        <w:t>Produktet skal administreres ved hjælp af passende kalibreret udstyr.</w:t>
      </w:r>
    </w:p>
    <w:p w:rsidR="00FB7EB1" w:rsidRPr="00A669B8" w:rsidRDefault="00FB7EB1" w:rsidP="00FB7EB1">
      <w:pPr>
        <w:ind w:left="851"/>
        <w:rPr>
          <w:sz w:val="24"/>
          <w:szCs w:val="24"/>
        </w:rPr>
      </w:pPr>
    </w:p>
    <w:p w:rsidR="00FB7EB1" w:rsidRPr="00A669B8" w:rsidRDefault="00FB7EB1" w:rsidP="00FB7EB1">
      <w:pPr>
        <w:ind w:left="851"/>
        <w:rPr>
          <w:bCs/>
          <w:sz w:val="24"/>
          <w:szCs w:val="24"/>
          <w:u w:val="single"/>
        </w:rPr>
      </w:pPr>
      <w:r w:rsidRPr="00A669B8">
        <w:rPr>
          <w:sz w:val="24"/>
          <w:szCs w:val="24"/>
          <w:u w:val="single"/>
          <w:lang w:val="da"/>
        </w:rPr>
        <w:t>Vejlednin</w:t>
      </w:r>
      <w:r>
        <w:rPr>
          <w:sz w:val="24"/>
          <w:szCs w:val="24"/>
          <w:u w:val="single"/>
          <w:lang w:val="da"/>
        </w:rPr>
        <w:t>g i tilberedning af opløsninger</w:t>
      </w:r>
    </w:p>
    <w:p w:rsidR="00FB7EB1" w:rsidRPr="00A669B8" w:rsidRDefault="00FB7EB1" w:rsidP="00FB7EB1">
      <w:pPr>
        <w:ind w:left="851"/>
        <w:rPr>
          <w:bCs/>
          <w:sz w:val="24"/>
          <w:szCs w:val="24"/>
        </w:rPr>
      </w:pPr>
      <w:r w:rsidRPr="00A669B8">
        <w:rPr>
          <w:sz w:val="24"/>
          <w:szCs w:val="24"/>
          <w:lang w:val="da"/>
        </w:rPr>
        <w:t>Ved medicinering af store mængder vand tilberedes først en koncentreret opløsning, som efterfølgende fortyndes til den ønskede koncentration.</w:t>
      </w:r>
    </w:p>
    <w:p w:rsidR="00FB7EB1" w:rsidRPr="00A669B8" w:rsidRDefault="00FB7EB1" w:rsidP="00FB7EB1">
      <w:pPr>
        <w:ind w:left="851"/>
        <w:rPr>
          <w:bCs/>
          <w:iCs/>
          <w:sz w:val="24"/>
          <w:szCs w:val="24"/>
        </w:rPr>
      </w:pPr>
      <w:r w:rsidRPr="00A669B8">
        <w:rPr>
          <w:sz w:val="24"/>
          <w:szCs w:val="24"/>
          <w:lang w:val="da"/>
        </w:rPr>
        <w:t>Produktet er opløseligt og stabilt fra lav koncentration op til den maksimale koncentration af produktet på 500 ml/l (1:1 fortynding) i vand med en temperatur på mindst 4 °C.</w:t>
      </w:r>
    </w:p>
    <w:p w:rsidR="00FB7EB1" w:rsidRPr="00A669B8" w:rsidRDefault="00FB7EB1" w:rsidP="00FB7EB1">
      <w:pPr>
        <w:ind w:left="851"/>
        <w:rPr>
          <w:bCs/>
          <w:sz w:val="24"/>
          <w:szCs w:val="24"/>
        </w:rPr>
      </w:pPr>
    </w:p>
    <w:p w:rsidR="00FB7EB1" w:rsidRPr="00A669B8" w:rsidRDefault="00FB7EB1" w:rsidP="00FB7EB1">
      <w:pPr>
        <w:ind w:left="851"/>
        <w:rPr>
          <w:bCs/>
          <w:sz w:val="24"/>
          <w:szCs w:val="24"/>
        </w:rPr>
      </w:pPr>
      <w:r w:rsidRPr="00A669B8">
        <w:rPr>
          <w:sz w:val="24"/>
          <w:szCs w:val="24"/>
          <w:lang w:val="da"/>
        </w:rPr>
        <w:t xml:space="preserve">Der bør tilberedes friske opløsninger af </w:t>
      </w:r>
      <w:proofErr w:type="spellStart"/>
      <w:r w:rsidRPr="00A669B8">
        <w:rPr>
          <w:sz w:val="24"/>
          <w:szCs w:val="24"/>
          <w:lang w:val="da"/>
        </w:rPr>
        <w:t>tiamulin</w:t>
      </w:r>
      <w:proofErr w:type="spellEnd"/>
      <w:r w:rsidRPr="00A669B8">
        <w:rPr>
          <w:sz w:val="24"/>
          <w:szCs w:val="24"/>
          <w:lang w:val="da"/>
        </w:rPr>
        <w:t xml:space="preserve"> medicineret drikkevand hver dag. Eventuelt resterende medicineret drikkevand fra dagen før skal kasseres.</w:t>
      </w:r>
    </w:p>
    <w:p w:rsidR="00FB7EB1" w:rsidRPr="00A669B8" w:rsidRDefault="00FB7EB1" w:rsidP="00FB7EB1">
      <w:pPr>
        <w:ind w:left="851"/>
        <w:rPr>
          <w:bCs/>
          <w:sz w:val="24"/>
          <w:szCs w:val="24"/>
        </w:rPr>
      </w:pPr>
    </w:p>
    <w:p w:rsidR="00FB7EB1" w:rsidRPr="00A669B8" w:rsidRDefault="00FB7EB1" w:rsidP="00FB7EB1">
      <w:pPr>
        <w:ind w:left="851"/>
        <w:rPr>
          <w:bCs/>
          <w:sz w:val="24"/>
          <w:szCs w:val="24"/>
        </w:rPr>
      </w:pPr>
      <w:r w:rsidRPr="00A669B8">
        <w:rPr>
          <w:sz w:val="24"/>
          <w:szCs w:val="24"/>
          <w:lang w:val="da"/>
        </w:rPr>
        <w:t xml:space="preserve">For at sikre en korrekt dosering skal kropsvægten bestemmes så nøjagtigt som muligt for at undgå underdosering. Indtaget af medicineret vand afhænger af dyrenes kliniske tilstand. Koncentrationen af </w:t>
      </w:r>
      <w:proofErr w:type="spellStart"/>
      <w:r w:rsidRPr="00A669B8">
        <w:rPr>
          <w:sz w:val="24"/>
          <w:szCs w:val="24"/>
          <w:lang w:val="da"/>
        </w:rPr>
        <w:t>tiamulin</w:t>
      </w:r>
      <w:proofErr w:type="spellEnd"/>
      <w:r w:rsidRPr="00A669B8">
        <w:rPr>
          <w:sz w:val="24"/>
          <w:szCs w:val="24"/>
          <w:lang w:val="da"/>
        </w:rPr>
        <w:t xml:space="preserve"> skal justeres i overensstemmelse hermed for at få den korrekte dosering.</w:t>
      </w:r>
    </w:p>
    <w:p w:rsidR="00FB7EB1" w:rsidRPr="00A669B8" w:rsidRDefault="00FB7EB1" w:rsidP="00FB7EB1">
      <w:pPr>
        <w:ind w:left="851"/>
        <w:rPr>
          <w:bCs/>
          <w:sz w:val="24"/>
          <w:szCs w:val="24"/>
        </w:rPr>
      </w:pPr>
    </w:p>
    <w:p w:rsidR="00FB7EB1" w:rsidRPr="00A669B8" w:rsidRDefault="00FB7EB1" w:rsidP="00FB7EB1">
      <w:pPr>
        <w:ind w:left="851"/>
        <w:rPr>
          <w:bCs/>
          <w:sz w:val="24"/>
          <w:szCs w:val="24"/>
        </w:rPr>
      </w:pPr>
      <w:r w:rsidRPr="00A669B8">
        <w:rPr>
          <w:sz w:val="24"/>
          <w:szCs w:val="24"/>
          <w:lang w:val="da"/>
        </w:rPr>
        <w:t xml:space="preserve">Sørg for, at dyrene ikke har adgang til ikke-medicineret drikkevand i den periode, hvor der gives medicineret drikkevand. </w:t>
      </w:r>
    </w:p>
    <w:p w:rsidR="00FB7EB1" w:rsidRPr="00A669B8" w:rsidRDefault="00FB7EB1" w:rsidP="00FB7EB1">
      <w:pPr>
        <w:ind w:left="851"/>
        <w:rPr>
          <w:bCs/>
          <w:sz w:val="24"/>
          <w:szCs w:val="24"/>
        </w:rPr>
      </w:pPr>
      <w:r w:rsidRPr="00A669B8">
        <w:rPr>
          <w:sz w:val="24"/>
          <w:szCs w:val="24"/>
          <w:lang w:val="da"/>
        </w:rPr>
        <w:t>Efter afslutning af medicineringsperioden skal vandforsyningssystemet rengøres korrekt for at undgå indtag af subterapeutiske mængder af det aktive indholdsstof.</w:t>
      </w:r>
    </w:p>
    <w:p w:rsidR="00FB7EB1" w:rsidRPr="00A669B8" w:rsidRDefault="00FB7EB1" w:rsidP="00FB7EB1">
      <w:pPr>
        <w:ind w:left="851"/>
        <w:rPr>
          <w:bCs/>
          <w:sz w:val="24"/>
          <w:szCs w:val="24"/>
        </w:rPr>
      </w:pPr>
    </w:p>
    <w:p w:rsidR="00FB7EB1" w:rsidRPr="00A669B8" w:rsidRDefault="00FB7EB1" w:rsidP="00FB7EB1">
      <w:pPr>
        <w:ind w:left="851"/>
        <w:rPr>
          <w:bCs/>
          <w:sz w:val="24"/>
          <w:szCs w:val="24"/>
        </w:rPr>
      </w:pPr>
      <w:r w:rsidRPr="00A669B8">
        <w:rPr>
          <w:sz w:val="24"/>
          <w:szCs w:val="24"/>
          <w:lang w:val="da"/>
        </w:rPr>
        <w:t xml:space="preserve">For at undgå interaktioner mellem </w:t>
      </w:r>
      <w:proofErr w:type="spellStart"/>
      <w:r w:rsidRPr="00A669B8">
        <w:rPr>
          <w:sz w:val="24"/>
          <w:szCs w:val="24"/>
          <w:lang w:val="da"/>
        </w:rPr>
        <w:t>ionophorer</w:t>
      </w:r>
      <w:proofErr w:type="spellEnd"/>
      <w:r w:rsidRPr="00A669B8">
        <w:rPr>
          <w:sz w:val="24"/>
          <w:szCs w:val="24"/>
          <w:lang w:val="da"/>
        </w:rPr>
        <w:t xml:space="preserve"> og </w:t>
      </w:r>
      <w:proofErr w:type="spellStart"/>
      <w:r w:rsidRPr="00A669B8">
        <w:rPr>
          <w:sz w:val="24"/>
          <w:szCs w:val="24"/>
          <w:lang w:val="da"/>
        </w:rPr>
        <w:t>tiamulin</w:t>
      </w:r>
      <w:proofErr w:type="spellEnd"/>
      <w:r w:rsidRPr="00A669B8">
        <w:rPr>
          <w:sz w:val="24"/>
          <w:szCs w:val="24"/>
          <w:lang w:val="da"/>
        </w:rPr>
        <w:t xml:space="preserve"> skal dyrlægen og landmanden kontrollere, at etiketten på foderet ikke angiver, at det indeholder </w:t>
      </w:r>
      <w:proofErr w:type="spellStart"/>
      <w:r w:rsidRPr="00A669B8">
        <w:rPr>
          <w:sz w:val="24"/>
          <w:szCs w:val="24"/>
          <w:lang w:val="da"/>
        </w:rPr>
        <w:t>salinomycin</w:t>
      </w:r>
      <w:proofErr w:type="spellEnd"/>
      <w:r w:rsidRPr="00A669B8">
        <w:rPr>
          <w:sz w:val="24"/>
          <w:szCs w:val="24"/>
          <w:lang w:val="da"/>
        </w:rPr>
        <w:t xml:space="preserve">, </w:t>
      </w:r>
      <w:proofErr w:type="spellStart"/>
      <w:r w:rsidRPr="00A669B8">
        <w:rPr>
          <w:sz w:val="24"/>
          <w:szCs w:val="24"/>
          <w:lang w:val="da"/>
        </w:rPr>
        <w:t>monensin</w:t>
      </w:r>
      <w:proofErr w:type="spellEnd"/>
      <w:r w:rsidRPr="00A669B8">
        <w:rPr>
          <w:sz w:val="24"/>
          <w:szCs w:val="24"/>
          <w:lang w:val="da"/>
        </w:rPr>
        <w:t xml:space="preserve"> og </w:t>
      </w:r>
      <w:proofErr w:type="spellStart"/>
      <w:r w:rsidRPr="00A669B8">
        <w:rPr>
          <w:sz w:val="24"/>
          <w:szCs w:val="24"/>
          <w:lang w:val="da"/>
        </w:rPr>
        <w:t>narasin</w:t>
      </w:r>
      <w:proofErr w:type="spellEnd"/>
      <w:r w:rsidRPr="00A669B8">
        <w:rPr>
          <w:sz w:val="24"/>
          <w:szCs w:val="24"/>
          <w:lang w:val="da"/>
        </w:rPr>
        <w:t>.</w:t>
      </w:r>
    </w:p>
    <w:p w:rsidR="00FB7EB1" w:rsidRDefault="00FB7EB1" w:rsidP="00FB7E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FB7EB1" w:rsidRPr="00A669B8" w:rsidRDefault="00FB7EB1" w:rsidP="00FB7EB1">
      <w:pPr>
        <w:ind w:left="851"/>
        <w:rPr>
          <w:bCs/>
          <w:sz w:val="24"/>
          <w:szCs w:val="24"/>
        </w:rPr>
      </w:pPr>
    </w:p>
    <w:p w:rsidR="00FB7EB1" w:rsidRPr="00A669B8" w:rsidRDefault="00FB7EB1" w:rsidP="00FB7EB1">
      <w:pPr>
        <w:ind w:left="851"/>
        <w:rPr>
          <w:sz w:val="24"/>
          <w:szCs w:val="24"/>
          <w:u w:val="single"/>
          <w:lang w:val="da"/>
        </w:rPr>
      </w:pPr>
      <w:r w:rsidRPr="00A669B8">
        <w:rPr>
          <w:sz w:val="24"/>
          <w:szCs w:val="24"/>
          <w:u w:val="single"/>
          <w:lang w:val="da"/>
        </w:rPr>
        <w:t>Til kyllinger og kalkuner</w:t>
      </w:r>
    </w:p>
    <w:p w:rsidR="00FB7EB1" w:rsidRPr="00A669B8" w:rsidRDefault="00FB7EB1" w:rsidP="00FB7EB1">
      <w:pPr>
        <w:ind w:left="851"/>
        <w:rPr>
          <w:bCs/>
          <w:sz w:val="24"/>
          <w:szCs w:val="24"/>
        </w:rPr>
      </w:pPr>
      <w:r w:rsidRPr="00A669B8">
        <w:rPr>
          <w:sz w:val="24"/>
          <w:szCs w:val="24"/>
          <w:lang w:val="da"/>
        </w:rPr>
        <w:t xml:space="preserve">For at undgå interaktioner mellem de inkompatible </w:t>
      </w:r>
      <w:proofErr w:type="spellStart"/>
      <w:r w:rsidRPr="00A669B8">
        <w:rPr>
          <w:sz w:val="24"/>
          <w:szCs w:val="24"/>
          <w:lang w:val="da"/>
        </w:rPr>
        <w:t>ionophorer</w:t>
      </w:r>
      <w:proofErr w:type="spellEnd"/>
      <w:r w:rsidRPr="00A669B8">
        <w:rPr>
          <w:sz w:val="24"/>
          <w:szCs w:val="24"/>
          <w:lang w:val="da"/>
        </w:rPr>
        <w:t xml:space="preserve"> </w:t>
      </w:r>
      <w:proofErr w:type="spellStart"/>
      <w:r w:rsidRPr="00A669B8">
        <w:rPr>
          <w:sz w:val="24"/>
          <w:szCs w:val="24"/>
          <w:lang w:val="da"/>
        </w:rPr>
        <w:t>monensin</w:t>
      </w:r>
      <w:proofErr w:type="spellEnd"/>
      <w:r w:rsidRPr="00A669B8">
        <w:rPr>
          <w:sz w:val="24"/>
          <w:szCs w:val="24"/>
          <w:lang w:val="da"/>
        </w:rPr>
        <w:t xml:space="preserve">, </w:t>
      </w:r>
      <w:proofErr w:type="spellStart"/>
      <w:r w:rsidRPr="00A669B8">
        <w:rPr>
          <w:sz w:val="24"/>
          <w:szCs w:val="24"/>
          <w:lang w:val="da"/>
        </w:rPr>
        <w:t>narasin</w:t>
      </w:r>
      <w:proofErr w:type="spellEnd"/>
      <w:r w:rsidRPr="00A669B8">
        <w:rPr>
          <w:sz w:val="24"/>
          <w:szCs w:val="24"/>
          <w:lang w:val="da"/>
        </w:rPr>
        <w:t xml:space="preserve"> og </w:t>
      </w:r>
      <w:proofErr w:type="spellStart"/>
      <w:r w:rsidRPr="00A669B8">
        <w:rPr>
          <w:sz w:val="24"/>
          <w:szCs w:val="24"/>
          <w:lang w:val="da"/>
        </w:rPr>
        <w:t>salinomycin</w:t>
      </w:r>
      <w:proofErr w:type="spellEnd"/>
      <w:r w:rsidRPr="00A669B8">
        <w:rPr>
          <w:sz w:val="24"/>
          <w:szCs w:val="24"/>
          <w:lang w:val="da"/>
        </w:rPr>
        <w:t xml:space="preserve"> og </w:t>
      </w:r>
      <w:proofErr w:type="spellStart"/>
      <w:r w:rsidRPr="00A669B8">
        <w:rPr>
          <w:sz w:val="24"/>
          <w:szCs w:val="24"/>
          <w:lang w:val="da"/>
        </w:rPr>
        <w:t>tiamulin</w:t>
      </w:r>
      <w:proofErr w:type="spellEnd"/>
      <w:r w:rsidRPr="00A669B8">
        <w:rPr>
          <w:sz w:val="24"/>
          <w:szCs w:val="24"/>
          <w:lang w:val="da"/>
        </w:rPr>
        <w:t xml:space="preserve"> skal fodermøllen, der leverer foder til fuglene, have besked om, at der vil blive anvendt </w:t>
      </w:r>
      <w:proofErr w:type="spellStart"/>
      <w:r w:rsidRPr="00A669B8">
        <w:rPr>
          <w:sz w:val="24"/>
          <w:szCs w:val="24"/>
          <w:lang w:val="da"/>
        </w:rPr>
        <w:t>tiamulin</w:t>
      </w:r>
      <w:proofErr w:type="spellEnd"/>
      <w:r w:rsidRPr="00A669B8">
        <w:rPr>
          <w:sz w:val="24"/>
          <w:szCs w:val="24"/>
          <w:lang w:val="da"/>
        </w:rPr>
        <w:t>, og at disse coccidiosemidler ikke må inkluderes i foderet eller kontaminere foderet.</w:t>
      </w:r>
    </w:p>
    <w:p w:rsidR="00FB7EB1" w:rsidRPr="00A669B8" w:rsidRDefault="00FB7EB1" w:rsidP="00FB7EB1">
      <w:pPr>
        <w:ind w:left="851"/>
        <w:rPr>
          <w:bCs/>
          <w:sz w:val="24"/>
          <w:szCs w:val="24"/>
        </w:rPr>
      </w:pPr>
    </w:p>
    <w:p w:rsidR="00FB7EB1" w:rsidRPr="00A669B8" w:rsidRDefault="00FB7EB1" w:rsidP="00FB7EB1">
      <w:pPr>
        <w:ind w:left="851"/>
        <w:rPr>
          <w:bCs/>
          <w:sz w:val="24"/>
          <w:szCs w:val="24"/>
        </w:rPr>
      </w:pPr>
      <w:r w:rsidRPr="00A669B8">
        <w:rPr>
          <w:sz w:val="24"/>
          <w:szCs w:val="24"/>
          <w:lang w:val="da"/>
        </w:rPr>
        <w:t xml:space="preserve">Foderet skal undersøges for </w:t>
      </w:r>
      <w:proofErr w:type="spellStart"/>
      <w:r w:rsidRPr="00A669B8">
        <w:rPr>
          <w:sz w:val="24"/>
          <w:szCs w:val="24"/>
          <w:lang w:val="da"/>
        </w:rPr>
        <w:t>ionophorer</w:t>
      </w:r>
      <w:proofErr w:type="spellEnd"/>
      <w:r w:rsidRPr="00A669B8">
        <w:rPr>
          <w:sz w:val="24"/>
          <w:szCs w:val="24"/>
          <w:lang w:val="da"/>
        </w:rPr>
        <w:t xml:space="preserve"> før anvendelse, hvis der foreligger en eventuel mistanke om, at foderet kan være kontamineret.</w:t>
      </w:r>
    </w:p>
    <w:p w:rsidR="00FB7EB1" w:rsidRPr="00A669B8" w:rsidRDefault="00FB7EB1" w:rsidP="00FB7EB1">
      <w:pPr>
        <w:ind w:left="851"/>
        <w:rPr>
          <w:bCs/>
          <w:sz w:val="24"/>
          <w:szCs w:val="24"/>
        </w:rPr>
      </w:pPr>
    </w:p>
    <w:p w:rsidR="00FB7EB1" w:rsidRPr="00A669B8" w:rsidRDefault="00FB7EB1" w:rsidP="00FB7EB1">
      <w:pPr>
        <w:ind w:left="851"/>
        <w:rPr>
          <w:bCs/>
          <w:sz w:val="24"/>
          <w:szCs w:val="24"/>
        </w:rPr>
      </w:pPr>
      <w:r w:rsidRPr="00A669B8">
        <w:rPr>
          <w:sz w:val="24"/>
          <w:szCs w:val="24"/>
          <w:lang w:val="da"/>
        </w:rPr>
        <w:t xml:space="preserve">Hvis der forekommer en interaktion, skal medicineringen med </w:t>
      </w:r>
      <w:proofErr w:type="spellStart"/>
      <w:r w:rsidRPr="00A669B8">
        <w:rPr>
          <w:sz w:val="24"/>
          <w:szCs w:val="24"/>
          <w:lang w:val="da"/>
        </w:rPr>
        <w:t>tiamulin</w:t>
      </w:r>
      <w:proofErr w:type="spellEnd"/>
      <w:r w:rsidRPr="00A669B8">
        <w:rPr>
          <w:sz w:val="24"/>
          <w:szCs w:val="24"/>
          <w:lang w:val="da"/>
        </w:rPr>
        <w:t xml:space="preserve"> straks seponeres og erstattes med frisk drikkevand. Kontamineret foder fjernes så hurtigt som muligt og erstattes med foder, som ikke indeholder de </w:t>
      </w:r>
      <w:proofErr w:type="spellStart"/>
      <w:r w:rsidRPr="00A669B8">
        <w:rPr>
          <w:sz w:val="24"/>
          <w:szCs w:val="24"/>
          <w:lang w:val="da"/>
        </w:rPr>
        <w:t>tiamulininkompatible</w:t>
      </w:r>
      <w:proofErr w:type="spellEnd"/>
      <w:r w:rsidRPr="00A669B8">
        <w:rPr>
          <w:sz w:val="24"/>
          <w:szCs w:val="24"/>
          <w:lang w:val="da"/>
        </w:rPr>
        <w:t xml:space="preserve"> </w:t>
      </w:r>
      <w:proofErr w:type="spellStart"/>
      <w:r w:rsidRPr="00A669B8">
        <w:rPr>
          <w:sz w:val="24"/>
          <w:szCs w:val="24"/>
          <w:lang w:val="da"/>
        </w:rPr>
        <w:t>ionophorer</w:t>
      </w:r>
      <w:proofErr w:type="spellEnd"/>
      <w:r w:rsidRPr="00A669B8">
        <w:rPr>
          <w:sz w:val="24"/>
          <w:szCs w:val="24"/>
          <w:lang w:val="da"/>
        </w:rPr>
        <w:t>.</w:t>
      </w:r>
    </w:p>
    <w:p w:rsidR="00FB7EB1" w:rsidRPr="00A669B8" w:rsidRDefault="00FB7EB1" w:rsidP="00FB7EB1">
      <w:pPr>
        <w:ind w:left="851"/>
        <w:rPr>
          <w:bCs/>
          <w:sz w:val="24"/>
          <w:szCs w:val="24"/>
        </w:rPr>
      </w:pPr>
    </w:p>
    <w:p w:rsidR="00FB7EB1" w:rsidRPr="00A669B8" w:rsidRDefault="00FB7EB1" w:rsidP="00FB7EB1">
      <w:pPr>
        <w:ind w:left="851"/>
        <w:rPr>
          <w:bCs/>
          <w:sz w:val="24"/>
          <w:szCs w:val="24"/>
        </w:rPr>
      </w:pPr>
      <w:r w:rsidRPr="00A669B8">
        <w:rPr>
          <w:sz w:val="24"/>
          <w:szCs w:val="24"/>
          <w:lang w:val="da"/>
        </w:rPr>
        <w:t>Doseringen af den mængde produkt, der skal anvendes, beregnes efter følgende formel:</w:t>
      </w:r>
    </w:p>
    <w:p w:rsidR="00FB7EB1" w:rsidRPr="00A669B8" w:rsidRDefault="00FB7EB1" w:rsidP="00FB7EB1">
      <w:pPr>
        <w:ind w:left="851"/>
        <w:rPr>
          <w:sz w:val="24"/>
          <w:szCs w:val="24"/>
        </w:rPr>
      </w:pPr>
    </w:p>
    <w:tbl>
      <w:tblPr>
        <w:tblW w:w="9210" w:type="dxa"/>
        <w:tblInd w:w="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241"/>
        <w:gridCol w:w="2712"/>
        <w:gridCol w:w="2524"/>
      </w:tblGrid>
      <w:tr w:rsidR="00FB7EB1" w:rsidRPr="00A669B8" w:rsidTr="00AB5E79"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B1" w:rsidRPr="00A669B8" w:rsidRDefault="00FB7EB1" w:rsidP="00AB5E79">
            <w:pPr>
              <w:ind w:left="168"/>
              <w:rPr>
                <w:bCs/>
                <w:sz w:val="24"/>
                <w:szCs w:val="24"/>
              </w:rPr>
            </w:pPr>
            <w:r w:rsidRPr="00A669B8">
              <w:rPr>
                <w:sz w:val="24"/>
                <w:szCs w:val="24"/>
                <w:lang w:val="da"/>
              </w:rPr>
              <w:t>Dosis (ml produkt pr. kg kropsvægt pr. dag)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B1" w:rsidRPr="00A669B8" w:rsidRDefault="00FB7EB1" w:rsidP="00AB5E79">
            <w:pPr>
              <w:ind w:left="851"/>
              <w:rPr>
                <w:bCs/>
                <w:sz w:val="24"/>
                <w:szCs w:val="24"/>
              </w:rPr>
            </w:pPr>
          </w:p>
          <w:p w:rsidR="00FB7EB1" w:rsidRPr="00A669B8" w:rsidRDefault="00FB7EB1" w:rsidP="00AB5E79">
            <w:pPr>
              <w:ind w:left="412"/>
              <w:rPr>
                <w:bCs/>
                <w:sz w:val="24"/>
                <w:szCs w:val="24"/>
                <w:lang w:val="nl-NL"/>
              </w:rPr>
            </w:pPr>
            <w:r w:rsidRPr="00A669B8">
              <w:rPr>
                <w:sz w:val="24"/>
                <w:szCs w:val="24"/>
                <w:lang w:val="da"/>
              </w:rPr>
              <w:t>X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B1" w:rsidRPr="00A669B8" w:rsidRDefault="00FB7EB1" w:rsidP="00AB5E79">
            <w:pPr>
              <w:ind w:left="305" w:right="-77"/>
              <w:rPr>
                <w:bCs/>
                <w:sz w:val="24"/>
                <w:szCs w:val="24"/>
              </w:rPr>
            </w:pPr>
            <w:r w:rsidRPr="00A669B8">
              <w:rPr>
                <w:sz w:val="24"/>
                <w:szCs w:val="24"/>
                <w:lang w:val="da"/>
              </w:rPr>
              <w:t>Gennemsnitlig kropsvægt (kg) af de dyr, der skal behandles</w:t>
            </w:r>
          </w:p>
        </w:tc>
        <w:tc>
          <w:tcPr>
            <w:tcW w:w="2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B1" w:rsidRPr="00A669B8" w:rsidRDefault="00FB7EB1" w:rsidP="00AB5E79">
            <w:pPr>
              <w:ind w:left="144"/>
              <w:rPr>
                <w:bCs/>
                <w:sz w:val="24"/>
                <w:szCs w:val="24"/>
              </w:rPr>
            </w:pPr>
          </w:p>
          <w:p w:rsidR="00FB7EB1" w:rsidRPr="00A669B8" w:rsidRDefault="00FB7EB1" w:rsidP="00AB5E79">
            <w:pPr>
              <w:ind w:left="286" w:hanging="142"/>
              <w:rPr>
                <w:bCs/>
                <w:sz w:val="24"/>
                <w:szCs w:val="24"/>
              </w:rPr>
            </w:pPr>
            <w:r w:rsidRPr="00A669B8">
              <w:rPr>
                <w:sz w:val="24"/>
                <w:szCs w:val="24"/>
                <w:lang w:val="da"/>
              </w:rPr>
              <w:t>= ___ ml produkt pr. liter drikkevand</w:t>
            </w:r>
          </w:p>
        </w:tc>
      </w:tr>
      <w:tr w:rsidR="00FB7EB1" w:rsidRPr="00A669B8" w:rsidTr="00AB5E79">
        <w:tc>
          <w:tcPr>
            <w:tcW w:w="6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B1" w:rsidRPr="00A669B8" w:rsidRDefault="00FB7EB1" w:rsidP="00AB5E79">
            <w:pPr>
              <w:ind w:left="168"/>
              <w:rPr>
                <w:bCs/>
                <w:sz w:val="24"/>
                <w:szCs w:val="24"/>
              </w:rPr>
            </w:pPr>
            <w:r w:rsidRPr="00A669B8">
              <w:rPr>
                <w:sz w:val="24"/>
                <w:szCs w:val="24"/>
                <w:lang w:val="da"/>
              </w:rPr>
              <w:t xml:space="preserve">Gennemsnitligt </w:t>
            </w:r>
            <w:r>
              <w:rPr>
                <w:sz w:val="24"/>
                <w:szCs w:val="24"/>
                <w:lang w:val="da"/>
              </w:rPr>
              <w:t>daglig</w:t>
            </w:r>
            <w:r w:rsidRPr="00A669B8">
              <w:rPr>
                <w:sz w:val="24"/>
                <w:szCs w:val="24"/>
                <w:lang w:val="da"/>
              </w:rPr>
              <w:t xml:space="preserve"> vandindtag (liter) pr. dyr pr. dag</w:t>
            </w:r>
          </w:p>
        </w:tc>
        <w:tc>
          <w:tcPr>
            <w:tcW w:w="0" w:type="auto"/>
            <w:vMerge/>
            <w:vAlign w:val="center"/>
            <w:hideMark/>
          </w:tcPr>
          <w:p w:rsidR="00FB7EB1" w:rsidRPr="00A669B8" w:rsidRDefault="00FB7EB1" w:rsidP="00AB5E79">
            <w:pPr>
              <w:ind w:left="144"/>
              <w:rPr>
                <w:bCs/>
                <w:sz w:val="24"/>
                <w:szCs w:val="24"/>
              </w:rPr>
            </w:pPr>
          </w:p>
        </w:tc>
      </w:tr>
    </w:tbl>
    <w:p w:rsidR="00FB7EB1" w:rsidRPr="00A669B8" w:rsidRDefault="00FB7EB1" w:rsidP="00FB7EB1">
      <w:pPr>
        <w:ind w:left="851"/>
        <w:rPr>
          <w:bCs/>
          <w:sz w:val="24"/>
          <w:szCs w:val="24"/>
        </w:rPr>
      </w:pPr>
    </w:p>
    <w:p w:rsidR="00FB7EB1" w:rsidRPr="00A669B8" w:rsidRDefault="00FB7EB1" w:rsidP="00FB7EB1">
      <w:pPr>
        <w:ind w:left="851"/>
        <w:rPr>
          <w:iCs/>
          <w:sz w:val="24"/>
          <w:szCs w:val="24"/>
          <w:u w:val="single"/>
        </w:rPr>
      </w:pPr>
      <w:r>
        <w:rPr>
          <w:sz w:val="24"/>
          <w:szCs w:val="24"/>
          <w:u w:val="single"/>
          <w:lang w:val="da"/>
        </w:rPr>
        <w:t>Svin</w:t>
      </w:r>
    </w:p>
    <w:p w:rsidR="00FB7EB1" w:rsidRPr="00A669B8" w:rsidRDefault="00FB7EB1" w:rsidP="00FB7EB1">
      <w:pPr>
        <w:ind w:left="851"/>
        <w:rPr>
          <w:iCs/>
          <w:sz w:val="24"/>
          <w:szCs w:val="24"/>
          <w:u w:val="single"/>
        </w:rPr>
      </w:pPr>
    </w:p>
    <w:p w:rsidR="00FB7EB1" w:rsidRPr="00A669B8" w:rsidRDefault="00FB7EB1" w:rsidP="00FB7EB1">
      <w:pPr>
        <w:ind w:left="851"/>
        <w:rPr>
          <w:iCs/>
          <w:sz w:val="24"/>
          <w:szCs w:val="24"/>
        </w:rPr>
      </w:pPr>
      <w:r w:rsidRPr="00A669B8">
        <w:rPr>
          <w:sz w:val="24"/>
          <w:szCs w:val="24"/>
          <w:lang w:val="da"/>
        </w:rPr>
        <w:t xml:space="preserve">i) Til behandling af svinedysenteri forårsaget af </w:t>
      </w:r>
      <w:proofErr w:type="spellStart"/>
      <w:r w:rsidRPr="00A669B8">
        <w:rPr>
          <w:i/>
          <w:iCs/>
          <w:sz w:val="24"/>
          <w:szCs w:val="24"/>
          <w:lang w:val="da"/>
        </w:rPr>
        <w:t>Brachyspira</w:t>
      </w:r>
      <w:proofErr w:type="spellEnd"/>
      <w:r w:rsidRPr="00A669B8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A669B8">
        <w:rPr>
          <w:i/>
          <w:iCs/>
          <w:sz w:val="24"/>
          <w:szCs w:val="24"/>
          <w:lang w:val="da"/>
        </w:rPr>
        <w:t>hyodysenteriae</w:t>
      </w:r>
      <w:proofErr w:type="spellEnd"/>
      <w:r w:rsidRPr="00A669B8">
        <w:rPr>
          <w:sz w:val="24"/>
          <w:szCs w:val="24"/>
          <w:lang w:val="da"/>
        </w:rPr>
        <w:t>.</w:t>
      </w:r>
    </w:p>
    <w:p w:rsidR="00FB7EB1" w:rsidRPr="00A669B8" w:rsidRDefault="00FB7EB1" w:rsidP="00FB7EB1">
      <w:pPr>
        <w:ind w:left="851"/>
        <w:rPr>
          <w:iCs/>
          <w:sz w:val="24"/>
          <w:szCs w:val="24"/>
        </w:rPr>
      </w:pPr>
      <w:r w:rsidRPr="00A669B8">
        <w:rPr>
          <w:sz w:val="24"/>
          <w:szCs w:val="24"/>
          <w:lang w:val="da"/>
        </w:rPr>
        <w:t xml:space="preserve">Doseringen er 8,8 mg </w:t>
      </w:r>
      <w:proofErr w:type="spellStart"/>
      <w:r w:rsidRPr="00A669B8">
        <w:rPr>
          <w:sz w:val="24"/>
          <w:szCs w:val="24"/>
          <w:lang w:val="da"/>
        </w:rPr>
        <w:t>tiamulinhydrogenfumarat</w:t>
      </w:r>
      <w:proofErr w:type="spellEnd"/>
      <w:r w:rsidRPr="00A669B8">
        <w:rPr>
          <w:sz w:val="24"/>
          <w:szCs w:val="24"/>
          <w:lang w:val="da"/>
        </w:rPr>
        <w:t xml:space="preserve"> (svarende til 0,07 ml opløsning </w:t>
      </w:r>
      <w:proofErr w:type="spellStart"/>
      <w:r w:rsidRPr="00A669B8">
        <w:rPr>
          <w:sz w:val="24"/>
          <w:szCs w:val="24"/>
          <w:lang w:val="da"/>
        </w:rPr>
        <w:t>Tiasol</w:t>
      </w:r>
      <w:proofErr w:type="spellEnd"/>
      <w:r w:rsidRPr="00A669B8">
        <w:rPr>
          <w:sz w:val="24"/>
          <w:szCs w:val="24"/>
          <w:lang w:val="da"/>
        </w:rPr>
        <w:t xml:space="preserve"> 125 mg/ml eller svarende til 0,035 ml opløsning </w:t>
      </w:r>
      <w:proofErr w:type="spellStart"/>
      <w:r w:rsidRPr="00A669B8">
        <w:rPr>
          <w:sz w:val="24"/>
          <w:szCs w:val="24"/>
          <w:lang w:val="da"/>
        </w:rPr>
        <w:t>Tiasol</w:t>
      </w:r>
      <w:proofErr w:type="spellEnd"/>
      <w:r w:rsidRPr="00A669B8">
        <w:rPr>
          <w:sz w:val="24"/>
          <w:szCs w:val="24"/>
          <w:lang w:val="da"/>
        </w:rPr>
        <w:t xml:space="preserve"> 250 mg/</w:t>
      </w:r>
      <w:proofErr w:type="gramStart"/>
      <w:r w:rsidRPr="00A669B8">
        <w:rPr>
          <w:sz w:val="24"/>
          <w:szCs w:val="24"/>
          <w:lang w:val="da"/>
        </w:rPr>
        <w:t>ml)/</w:t>
      </w:r>
      <w:proofErr w:type="gramEnd"/>
      <w:r w:rsidRPr="00A669B8">
        <w:rPr>
          <w:sz w:val="24"/>
          <w:szCs w:val="24"/>
          <w:lang w:val="da"/>
        </w:rPr>
        <w:t xml:space="preserve">kg kropsvægt administreret </w:t>
      </w:r>
      <w:r>
        <w:rPr>
          <w:sz w:val="24"/>
          <w:szCs w:val="24"/>
          <w:lang w:val="da"/>
        </w:rPr>
        <w:t>daglig</w:t>
      </w:r>
      <w:r w:rsidRPr="00A669B8">
        <w:rPr>
          <w:sz w:val="24"/>
          <w:szCs w:val="24"/>
          <w:lang w:val="da"/>
        </w:rPr>
        <w:t xml:space="preserve"> i drikkevandet til svin i 3 til 5 på hinanden følgende dage afhængigt af infektionens sværhedsgrad og/eller sygdommens varighed.</w:t>
      </w:r>
    </w:p>
    <w:p w:rsidR="00FB7EB1" w:rsidRPr="00A669B8" w:rsidRDefault="00FB7EB1" w:rsidP="00FB7EB1">
      <w:pPr>
        <w:ind w:left="851"/>
        <w:rPr>
          <w:iCs/>
          <w:sz w:val="24"/>
          <w:szCs w:val="24"/>
        </w:rPr>
      </w:pPr>
    </w:p>
    <w:p w:rsidR="00FB7EB1" w:rsidRPr="00A669B8" w:rsidRDefault="00FB7EB1" w:rsidP="00FB7EB1">
      <w:pPr>
        <w:ind w:left="851"/>
        <w:rPr>
          <w:iCs/>
          <w:sz w:val="24"/>
          <w:szCs w:val="24"/>
        </w:rPr>
      </w:pPr>
      <w:r w:rsidRPr="00A669B8">
        <w:rPr>
          <w:sz w:val="24"/>
          <w:szCs w:val="24"/>
          <w:lang w:val="da"/>
        </w:rPr>
        <w:t xml:space="preserve">ii) Til behandling af </w:t>
      </w:r>
      <w:proofErr w:type="spellStart"/>
      <w:r w:rsidRPr="00A669B8">
        <w:rPr>
          <w:sz w:val="24"/>
          <w:szCs w:val="24"/>
          <w:lang w:val="da"/>
        </w:rPr>
        <w:t>porcin</w:t>
      </w:r>
      <w:proofErr w:type="spellEnd"/>
      <w:r w:rsidRPr="00A669B8">
        <w:rPr>
          <w:sz w:val="24"/>
          <w:szCs w:val="24"/>
          <w:lang w:val="da"/>
        </w:rPr>
        <w:t xml:space="preserve"> </w:t>
      </w:r>
      <w:proofErr w:type="spellStart"/>
      <w:r w:rsidRPr="00A669B8">
        <w:rPr>
          <w:sz w:val="24"/>
          <w:szCs w:val="24"/>
          <w:lang w:val="da"/>
        </w:rPr>
        <w:t>kolonspirokætose</w:t>
      </w:r>
      <w:proofErr w:type="spellEnd"/>
      <w:r w:rsidRPr="00A669B8">
        <w:rPr>
          <w:sz w:val="24"/>
          <w:szCs w:val="24"/>
          <w:lang w:val="da"/>
        </w:rPr>
        <w:t xml:space="preserve"> (colitis) forårsaget af </w:t>
      </w:r>
      <w:proofErr w:type="spellStart"/>
      <w:r w:rsidRPr="00A669B8">
        <w:rPr>
          <w:i/>
          <w:iCs/>
          <w:sz w:val="24"/>
          <w:szCs w:val="24"/>
          <w:lang w:val="da"/>
        </w:rPr>
        <w:t>Brachyspira</w:t>
      </w:r>
      <w:proofErr w:type="spellEnd"/>
      <w:r w:rsidRPr="00A669B8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A669B8">
        <w:rPr>
          <w:i/>
          <w:iCs/>
          <w:sz w:val="24"/>
          <w:szCs w:val="24"/>
          <w:lang w:val="da"/>
        </w:rPr>
        <w:t>pilosicoli</w:t>
      </w:r>
      <w:proofErr w:type="spellEnd"/>
      <w:r w:rsidRPr="00A669B8">
        <w:rPr>
          <w:sz w:val="24"/>
          <w:szCs w:val="24"/>
          <w:lang w:val="da"/>
        </w:rPr>
        <w:t>.</w:t>
      </w:r>
    </w:p>
    <w:p w:rsidR="00FB7EB1" w:rsidRPr="00A669B8" w:rsidRDefault="00FB7EB1" w:rsidP="00FB7EB1">
      <w:pPr>
        <w:ind w:left="851"/>
        <w:rPr>
          <w:iCs/>
          <w:sz w:val="24"/>
          <w:szCs w:val="24"/>
        </w:rPr>
      </w:pPr>
      <w:r w:rsidRPr="00A669B8">
        <w:rPr>
          <w:sz w:val="24"/>
          <w:szCs w:val="24"/>
          <w:lang w:val="da"/>
        </w:rPr>
        <w:t xml:space="preserve">Doseringen er 8,8 mg </w:t>
      </w:r>
      <w:proofErr w:type="spellStart"/>
      <w:r w:rsidRPr="00A669B8">
        <w:rPr>
          <w:sz w:val="24"/>
          <w:szCs w:val="24"/>
          <w:lang w:val="da"/>
        </w:rPr>
        <w:t>tiamulinhydrogenfumarat</w:t>
      </w:r>
      <w:proofErr w:type="spellEnd"/>
      <w:r w:rsidRPr="00A669B8">
        <w:rPr>
          <w:sz w:val="24"/>
          <w:szCs w:val="24"/>
          <w:lang w:val="da"/>
        </w:rPr>
        <w:t xml:space="preserve"> (svarende til 0,07 ml opløsning </w:t>
      </w:r>
      <w:proofErr w:type="spellStart"/>
      <w:r w:rsidRPr="00A669B8">
        <w:rPr>
          <w:sz w:val="24"/>
          <w:szCs w:val="24"/>
          <w:lang w:val="da"/>
        </w:rPr>
        <w:t>Tiasol</w:t>
      </w:r>
      <w:proofErr w:type="spellEnd"/>
      <w:r w:rsidRPr="00A669B8">
        <w:rPr>
          <w:sz w:val="24"/>
          <w:szCs w:val="24"/>
          <w:lang w:val="da"/>
        </w:rPr>
        <w:t xml:space="preserve"> 125 mg/ml eller svarende til 0,035 ml opløsning </w:t>
      </w:r>
      <w:proofErr w:type="spellStart"/>
      <w:r w:rsidRPr="00A669B8">
        <w:rPr>
          <w:sz w:val="24"/>
          <w:szCs w:val="24"/>
          <w:lang w:val="da"/>
        </w:rPr>
        <w:t>Tiasol</w:t>
      </w:r>
      <w:proofErr w:type="spellEnd"/>
      <w:r w:rsidRPr="00A669B8">
        <w:rPr>
          <w:sz w:val="24"/>
          <w:szCs w:val="24"/>
          <w:lang w:val="da"/>
        </w:rPr>
        <w:t xml:space="preserve"> 250 mg/</w:t>
      </w:r>
      <w:proofErr w:type="gramStart"/>
      <w:r w:rsidRPr="00A669B8">
        <w:rPr>
          <w:sz w:val="24"/>
          <w:szCs w:val="24"/>
          <w:lang w:val="da"/>
        </w:rPr>
        <w:t>ml)/</w:t>
      </w:r>
      <w:proofErr w:type="gramEnd"/>
      <w:r w:rsidRPr="00A669B8">
        <w:rPr>
          <w:sz w:val="24"/>
          <w:szCs w:val="24"/>
          <w:lang w:val="da"/>
        </w:rPr>
        <w:t xml:space="preserve">kg kropsvægt administreret </w:t>
      </w:r>
      <w:r>
        <w:rPr>
          <w:sz w:val="24"/>
          <w:szCs w:val="24"/>
          <w:lang w:val="da"/>
        </w:rPr>
        <w:t>daglig</w:t>
      </w:r>
      <w:r w:rsidRPr="00A669B8">
        <w:rPr>
          <w:sz w:val="24"/>
          <w:szCs w:val="24"/>
          <w:lang w:val="da"/>
        </w:rPr>
        <w:t xml:space="preserve"> i drikkevandet til svin i 3 til 5 på hinanden følgende dage afhængigt af infektionens sværhedsgrad og/eller sygdommens varighed.</w:t>
      </w:r>
    </w:p>
    <w:p w:rsidR="00FB7EB1" w:rsidRPr="00A669B8" w:rsidRDefault="00FB7EB1" w:rsidP="00FB7EB1">
      <w:pPr>
        <w:ind w:left="851"/>
        <w:rPr>
          <w:iCs/>
          <w:sz w:val="24"/>
          <w:szCs w:val="24"/>
        </w:rPr>
      </w:pPr>
    </w:p>
    <w:p w:rsidR="00FB7EB1" w:rsidRPr="00A669B8" w:rsidRDefault="00FB7EB1" w:rsidP="00FB7EB1">
      <w:pPr>
        <w:ind w:left="851"/>
        <w:rPr>
          <w:iCs/>
          <w:sz w:val="24"/>
          <w:szCs w:val="24"/>
        </w:rPr>
      </w:pPr>
      <w:r w:rsidRPr="00A669B8">
        <w:rPr>
          <w:sz w:val="24"/>
          <w:szCs w:val="24"/>
          <w:lang w:val="da"/>
        </w:rPr>
        <w:t xml:space="preserve">iii) Til behandling af </w:t>
      </w:r>
      <w:proofErr w:type="spellStart"/>
      <w:r w:rsidRPr="00A669B8">
        <w:rPr>
          <w:sz w:val="24"/>
          <w:szCs w:val="24"/>
          <w:lang w:val="da"/>
        </w:rPr>
        <w:t>porcin</w:t>
      </w:r>
      <w:proofErr w:type="spellEnd"/>
      <w:r w:rsidRPr="00A669B8">
        <w:rPr>
          <w:sz w:val="24"/>
          <w:szCs w:val="24"/>
          <w:lang w:val="da"/>
        </w:rPr>
        <w:t xml:space="preserve"> </w:t>
      </w:r>
      <w:proofErr w:type="spellStart"/>
      <w:r w:rsidRPr="00A669B8">
        <w:rPr>
          <w:sz w:val="24"/>
          <w:szCs w:val="24"/>
          <w:lang w:val="da"/>
        </w:rPr>
        <w:t>proliferativ</w:t>
      </w:r>
      <w:proofErr w:type="spellEnd"/>
      <w:r w:rsidRPr="00A669B8">
        <w:rPr>
          <w:sz w:val="24"/>
          <w:szCs w:val="24"/>
          <w:lang w:val="da"/>
        </w:rPr>
        <w:t xml:space="preserve"> </w:t>
      </w:r>
      <w:proofErr w:type="spellStart"/>
      <w:r w:rsidRPr="00A669B8">
        <w:rPr>
          <w:sz w:val="24"/>
          <w:szCs w:val="24"/>
          <w:lang w:val="da"/>
        </w:rPr>
        <w:t>enteropati</w:t>
      </w:r>
      <w:proofErr w:type="spellEnd"/>
      <w:r w:rsidRPr="00A669B8">
        <w:rPr>
          <w:sz w:val="24"/>
          <w:szCs w:val="24"/>
          <w:lang w:val="da"/>
        </w:rPr>
        <w:t xml:space="preserve"> (</w:t>
      </w:r>
      <w:proofErr w:type="spellStart"/>
      <w:r w:rsidRPr="00A669B8">
        <w:rPr>
          <w:sz w:val="24"/>
          <w:szCs w:val="24"/>
          <w:lang w:val="da"/>
        </w:rPr>
        <w:t>ileitis</w:t>
      </w:r>
      <w:proofErr w:type="spellEnd"/>
      <w:r w:rsidRPr="00A669B8">
        <w:rPr>
          <w:sz w:val="24"/>
          <w:szCs w:val="24"/>
          <w:lang w:val="da"/>
        </w:rPr>
        <w:t xml:space="preserve">) forårsaget af </w:t>
      </w:r>
      <w:proofErr w:type="spellStart"/>
      <w:r w:rsidRPr="00A669B8">
        <w:rPr>
          <w:i/>
          <w:iCs/>
          <w:sz w:val="24"/>
          <w:szCs w:val="24"/>
          <w:lang w:val="da"/>
        </w:rPr>
        <w:t>Lawsonia</w:t>
      </w:r>
      <w:proofErr w:type="spellEnd"/>
      <w:r w:rsidRPr="00A669B8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A669B8">
        <w:rPr>
          <w:i/>
          <w:iCs/>
          <w:sz w:val="24"/>
          <w:szCs w:val="24"/>
          <w:lang w:val="da"/>
        </w:rPr>
        <w:t>intracellularis</w:t>
      </w:r>
      <w:proofErr w:type="spellEnd"/>
      <w:r w:rsidRPr="00A669B8">
        <w:rPr>
          <w:sz w:val="24"/>
          <w:szCs w:val="24"/>
          <w:lang w:val="da"/>
        </w:rPr>
        <w:t>.</w:t>
      </w:r>
    </w:p>
    <w:p w:rsidR="00FB7EB1" w:rsidRPr="00A669B8" w:rsidRDefault="00FB7EB1" w:rsidP="00FB7EB1">
      <w:pPr>
        <w:ind w:left="851"/>
        <w:rPr>
          <w:iCs/>
          <w:sz w:val="24"/>
          <w:szCs w:val="24"/>
        </w:rPr>
      </w:pPr>
      <w:r w:rsidRPr="00A669B8">
        <w:rPr>
          <w:sz w:val="24"/>
          <w:szCs w:val="24"/>
          <w:lang w:val="da"/>
        </w:rPr>
        <w:t xml:space="preserve">Doseringen er 8,8 mg </w:t>
      </w:r>
      <w:proofErr w:type="spellStart"/>
      <w:r w:rsidRPr="00A669B8">
        <w:rPr>
          <w:sz w:val="24"/>
          <w:szCs w:val="24"/>
          <w:lang w:val="da"/>
        </w:rPr>
        <w:t>tiamulinhydrogenfumarat</w:t>
      </w:r>
      <w:proofErr w:type="spellEnd"/>
      <w:r w:rsidRPr="00A669B8">
        <w:rPr>
          <w:sz w:val="24"/>
          <w:szCs w:val="24"/>
          <w:lang w:val="da"/>
        </w:rPr>
        <w:t xml:space="preserve"> (svarende til 0,07 ml opløsning </w:t>
      </w:r>
      <w:proofErr w:type="spellStart"/>
      <w:r w:rsidRPr="00A669B8">
        <w:rPr>
          <w:sz w:val="24"/>
          <w:szCs w:val="24"/>
          <w:lang w:val="da"/>
        </w:rPr>
        <w:t>Tiasol</w:t>
      </w:r>
      <w:proofErr w:type="spellEnd"/>
      <w:r w:rsidRPr="00A669B8">
        <w:rPr>
          <w:sz w:val="24"/>
          <w:szCs w:val="24"/>
          <w:lang w:val="da"/>
        </w:rPr>
        <w:t xml:space="preserve"> 125 mg/ml eller svarende til 0,035 ml opløsning </w:t>
      </w:r>
      <w:proofErr w:type="spellStart"/>
      <w:r w:rsidRPr="00A669B8">
        <w:rPr>
          <w:sz w:val="24"/>
          <w:szCs w:val="24"/>
          <w:lang w:val="da"/>
        </w:rPr>
        <w:t>Tiasol</w:t>
      </w:r>
      <w:proofErr w:type="spellEnd"/>
      <w:r w:rsidRPr="00A669B8">
        <w:rPr>
          <w:sz w:val="24"/>
          <w:szCs w:val="24"/>
          <w:lang w:val="da"/>
        </w:rPr>
        <w:t xml:space="preserve"> 250 mg/</w:t>
      </w:r>
      <w:proofErr w:type="gramStart"/>
      <w:r w:rsidRPr="00A669B8">
        <w:rPr>
          <w:sz w:val="24"/>
          <w:szCs w:val="24"/>
          <w:lang w:val="da"/>
        </w:rPr>
        <w:t>ml)/</w:t>
      </w:r>
      <w:proofErr w:type="gramEnd"/>
      <w:r w:rsidRPr="00A669B8">
        <w:rPr>
          <w:sz w:val="24"/>
          <w:szCs w:val="24"/>
          <w:lang w:val="da"/>
        </w:rPr>
        <w:t xml:space="preserve">kg kropsvægt administreret </w:t>
      </w:r>
      <w:r>
        <w:rPr>
          <w:sz w:val="24"/>
          <w:szCs w:val="24"/>
          <w:lang w:val="da"/>
        </w:rPr>
        <w:t>daglig</w:t>
      </w:r>
      <w:r w:rsidRPr="00A669B8">
        <w:rPr>
          <w:sz w:val="24"/>
          <w:szCs w:val="24"/>
          <w:lang w:val="da"/>
        </w:rPr>
        <w:t xml:space="preserve"> i drikkevandet til svin i 5 på hinanden følgende dage.</w:t>
      </w:r>
    </w:p>
    <w:p w:rsidR="00FB7EB1" w:rsidRPr="00A669B8" w:rsidRDefault="00FB7EB1" w:rsidP="00FB7EB1">
      <w:pPr>
        <w:ind w:left="851"/>
        <w:rPr>
          <w:iCs/>
          <w:sz w:val="24"/>
          <w:szCs w:val="24"/>
        </w:rPr>
      </w:pPr>
    </w:p>
    <w:p w:rsidR="00FB7EB1" w:rsidRPr="00A669B8" w:rsidRDefault="00FB7EB1" w:rsidP="00FB7EB1">
      <w:pPr>
        <w:ind w:left="851"/>
        <w:rPr>
          <w:iCs/>
          <w:sz w:val="24"/>
          <w:szCs w:val="24"/>
        </w:rPr>
      </w:pPr>
      <w:r w:rsidRPr="00A669B8">
        <w:rPr>
          <w:sz w:val="24"/>
          <w:szCs w:val="24"/>
          <w:lang w:val="da"/>
        </w:rPr>
        <w:t xml:space="preserve">iv) Til behandling og </w:t>
      </w:r>
      <w:proofErr w:type="spellStart"/>
      <w:r w:rsidRPr="00A669B8">
        <w:rPr>
          <w:sz w:val="24"/>
          <w:szCs w:val="24"/>
          <w:lang w:val="da"/>
        </w:rPr>
        <w:t>metafylakse</w:t>
      </w:r>
      <w:proofErr w:type="spellEnd"/>
      <w:r w:rsidRPr="00A669B8">
        <w:rPr>
          <w:sz w:val="24"/>
          <w:szCs w:val="24"/>
          <w:lang w:val="da"/>
        </w:rPr>
        <w:t xml:space="preserve"> af </w:t>
      </w:r>
      <w:proofErr w:type="spellStart"/>
      <w:r w:rsidRPr="00A669B8">
        <w:rPr>
          <w:sz w:val="24"/>
          <w:szCs w:val="24"/>
          <w:lang w:val="da"/>
        </w:rPr>
        <w:t>enzootisk</w:t>
      </w:r>
      <w:proofErr w:type="spellEnd"/>
      <w:r w:rsidRPr="00A669B8">
        <w:rPr>
          <w:sz w:val="24"/>
          <w:szCs w:val="24"/>
          <w:lang w:val="da"/>
        </w:rPr>
        <w:t xml:space="preserve"> pneumoni forårsaget af </w:t>
      </w:r>
      <w:proofErr w:type="spellStart"/>
      <w:r w:rsidRPr="00A669B8">
        <w:rPr>
          <w:i/>
          <w:iCs/>
          <w:sz w:val="24"/>
          <w:szCs w:val="24"/>
          <w:lang w:val="da"/>
        </w:rPr>
        <w:t>Mycoplasma</w:t>
      </w:r>
      <w:proofErr w:type="spellEnd"/>
      <w:r w:rsidRPr="00A669B8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A669B8">
        <w:rPr>
          <w:i/>
          <w:iCs/>
          <w:sz w:val="24"/>
          <w:szCs w:val="24"/>
          <w:lang w:val="da"/>
        </w:rPr>
        <w:t>hyopneumoniae</w:t>
      </w:r>
      <w:proofErr w:type="spellEnd"/>
      <w:r w:rsidRPr="00A669B8">
        <w:rPr>
          <w:sz w:val="24"/>
          <w:szCs w:val="24"/>
          <w:lang w:val="da"/>
        </w:rPr>
        <w:t xml:space="preserve">, herunder infektioner kompliceret af </w:t>
      </w:r>
      <w:proofErr w:type="spellStart"/>
      <w:r w:rsidRPr="00A669B8">
        <w:rPr>
          <w:i/>
          <w:iCs/>
          <w:sz w:val="24"/>
          <w:szCs w:val="24"/>
          <w:lang w:val="da"/>
        </w:rPr>
        <w:t>Pasteurella</w:t>
      </w:r>
      <w:proofErr w:type="spellEnd"/>
      <w:r w:rsidRPr="00A669B8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A669B8">
        <w:rPr>
          <w:i/>
          <w:iCs/>
          <w:sz w:val="24"/>
          <w:szCs w:val="24"/>
          <w:lang w:val="da"/>
        </w:rPr>
        <w:t>multocida</w:t>
      </w:r>
      <w:proofErr w:type="spellEnd"/>
      <w:r w:rsidRPr="00A669B8">
        <w:rPr>
          <w:sz w:val="24"/>
          <w:szCs w:val="24"/>
          <w:lang w:val="da"/>
        </w:rPr>
        <w:t xml:space="preserve">, der er følsom over for </w:t>
      </w:r>
      <w:proofErr w:type="spellStart"/>
      <w:r w:rsidRPr="00A669B8">
        <w:rPr>
          <w:sz w:val="24"/>
          <w:szCs w:val="24"/>
          <w:lang w:val="da"/>
        </w:rPr>
        <w:t>tiamulin</w:t>
      </w:r>
      <w:proofErr w:type="spellEnd"/>
      <w:r w:rsidRPr="00A669B8">
        <w:rPr>
          <w:sz w:val="24"/>
          <w:szCs w:val="24"/>
          <w:lang w:val="da"/>
        </w:rPr>
        <w:t>.</w:t>
      </w:r>
    </w:p>
    <w:p w:rsidR="00FB7EB1" w:rsidRPr="00A669B8" w:rsidRDefault="00FB7EB1" w:rsidP="00FB7EB1">
      <w:pPr>
        <w:ind w:left="851"/>
        <w:rPr>
          <w:iCs/>
          <w:sz w:val="24"/>
          <w:szCs w:val="24"/>
        </w:rPr>
      </w:pPr>
      <w:r w:rsidRPr="00A669B8">
        <w:rPr>
          <w:sz w:val="24"/>
          <w:szCs w:val="24"/>
          <w:lang w:val="da"/>
        </w:rPr>
        <w:t xml:space="preserve">Doseringen er 20 mg </w:t>
      </w:r>
      <w:proofErr w:type="spellStart"/>
      <w:r w:rsidRPr="00A669B8">
        <w:rPr>
          <w:sz w:val="24"/>
          <w:szCs w:val="24"/>
          <w:lang w:val="da"/>
        </w:rPr>
        <w:t>tiamulinhydrogenfumarat</w:t>
      </w:r>
      <w:proofErr w:type="spellEnd"/>
      <w:r w:rsidRPr="00A669B8">
        <w:rPr>
          <w:sz w:val="24"/>
          <w:szCs w:val="24"/>
          <w:lang w:val="da"/>
        </w:rPr>
        <w:t xml:space="preserve"> (svarende til 0,16 ml opløsning </w:t>
      </w:r>
      <w:proofErr w:type="spellStart"/>
      <w:r w:rsidRPr="00A669B8">
        <w:rPr>
          <w:sz w:val="24"/>
          <w:szCs w:val="24"/>
          <w:lang w:val="da"/>
        </w:rPr>
        <w:t>Tiasol</w:t>
      </w:r>
      <w:proofErr w:type="spellEnd"/>
      <w:r w:rsidRPr="00A669B8">
        <w:rPr>
          <w:sz w:val="24"/>
          <w:szCs w:val="24"/>
          <w:lang w:val="da"/>
        </w:rPr>
        <w:t xml:space="preserve"> 125 mg/ml eller svarende til 0,08 ml opløsning </w:t>
      </w:r>
      <w:proofErr w:type="spellStart"/>
      <w:r w:rsidRPr="00A669B8">
        <w:rPr>
          <w:sz w:val="24"/>
          <w:szCs w:val="24"/>
          <w:lang w:val="da"/>
        </w:rPr>
        <w:t>Tiasol</w:t>
      </w:r>
      <w:proofErr w:type="spellEnd"/>
      <w:r w:rsidRPr="00A669B8">
        <w:rPr>
          <w:sz w:val="24"/>
          <w:szCs w:val="24"/>
          <w:lang w:val="da"/>
        </w:rPr>
        <w:t xml:space="preserve"> 250 mg/</w:t>
      </w:r>
      <w:proofErr w:type="gramStart"/>
      <w:r w:rsidRPr="00A669B8">
        <w:rPr>
          <w:sz w:val="24"/>
          <w:szCs w:val="24"/>
          <w:lang w:val="da"/>
        </w:rPr>
        <w:t>ml)/</w:t>
      </w:r>
      <w:proofErr w:type="gramEnd"/>
      <w:r w:rsidRPr="00A669B8">
        <w:rPr>
          <w:sz w:val="24"/>
          <w:szCs w:val="24"/>
          <w:lang w:val="da"/>
        </w:rPr>
        <w:t xml:space="preserve">kg kropsvægt administreret </w:t>
      </w:r>
      <w:r>
        <w:rPr>
          <w:sz w:val="24"/>
          <w:szCs w:val="24"/>
          <w:lang w:val="da"/>
        </w:rPr>
        <w:t>daglig</w:t>
      </w:r>
      <w:r w:rsidRPr="00A669B8">
        <w:rPr>
          <w:sz w:val="24"/>
          <w:szCs w:val="24"/>
          <w:lang w:val="da"/>
        </w:rPr>
        <w:t xml:space="preserve"> i 5 på hinanden følgende dage.</w:t>
      </w:r>
    </w:p>
    <w:p w:rsidR="00FB7EB1" w:rsidRPr="00A669B8" w:rsidRDefault="00FB7EB1" w:rsidP="00FB7EB1">
      <w:pPr>
        <w:ind w:left="851"/>
        <w:rPr>
          <w:iCs/>
          <w:sz w:val="24"/>
          <w:szCs w:val="24"/>
        </w:rPr>
      </w:pPr>
    </w:p>
    <w:p w:rsidR="00FB7EB1" w:rsidRPr="00A669B8" w:rsidRDefault="00FB7EB1" w:rsidP="00FB7EB1">
      <w:pPr>
        <w:ind w:left="851"/>
        <w:rPr>
          <w:iCs/>
          <w:sz w:val="24"/>
          <w:szCs w:val="24"/>
        </w:rPr>
      </w:pPr>
      <w:r w:rsidRPr="00A669B8">
        <w:rPr>
          <w:sz w:val="24"/>
          <w:szCs w:val="24"/>
          <w:lang w:val="da"/>
        </w:rPr>
        <w:t xml:space="preserve">v) Til behandling af </w:t>
      </w:r>
      <w:proofErr w:type="spellStart"/>
      <w:r w:rsidRPr="00A669B8">
        <w:rPr>
          <w:sz w:val="24"/>
          <w:szCs w:val="24"/>
          <w:lang w:val="da"/>
        </w:rPr>
        <w:t>pleuropneumoni</w:t>
      </w:r>
      <w:proofErr w:type="spellEnd"/>
      <w:r w:rsidRPr="00A669B8">
        <w:rPr>
          <w:sz w:val="24"/>
          <w:szCs w:val="24"/>
          <w:lang w:val="da"/>
        </w:rPr>
        <w:t xml:space="preserve"> forårsaget af </w:t>
      </w:r>
      <w:proofErr w:type="spellStart"/>
      <w:r w:rsidRPr="00A669B8">
        <w:rPr>
          <w:i/>
          <w:iCs/>
          <w:sz w:val="24"/>
          <w:szCs w:val="24"/>
          <w:lang w:val="da"/>
        </w:rPr>
        <w:t>Actinobacillus</w:t>
      </w:r>
      <w:proofErr w:type="spellEnd"/>
      <w:r w:rsidRPr="00A669B8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A669B8">
        <w:rPr>
          <w:i/>
          <w:iCs/>
          <w:sz w:val="24"/>
          <w:szCs w:val="24"/>
          <w:lang w:val="da"/>
        </w:rPr>
        <w:t>pleuropneumoniae</w:t>
      </w:r>
      <w:proofErr w:type="spellEnd"/>
      <w:r w:rsidRPr="00A669B8">
        <w:rPr>
          <w:sz w:val="24"/>
          <w:szCs w:val="24"/>
          <w:lang w:val="da"/>
        </w:rPr>
        <w:t xml:space="preserve">, der er følsom over for </w:t>
      </w:r>
      <w:proofErr w:type="spellStart"/>
      <w:r w:rsidRPr="00A669B8">
        <w:rPr>
          <w:sz w:val="24"/>
          <w:szCs w:val="24"/>
          <w:lang w:val="da"/>
        </w:rPr>
        <w:t>tiamulin</w:t>
      </w:r>
      <w:proofErr w:type="spellEnd"/>
      <w:r w:rsidRPr="00A669B8">
        <w:rPr>
          <w:sz w:val="24"/>
          <w:szCs w:val="24"/>
          <w:lang w:val="da"/>
        </w:rPr>
        <w:t>.</w:t>
      </w:r>
    </w:p>
    <w:p w:rsidR="00FB7EB1" w:rsidRPr="00A669B8" w:rsidRDefault="00FB7EB1" w:rsidP="00FB7EB1">
      <w:pPr>
        <w:ind w:left="851"/>
        <w:rPr>
          <w:iCs/>
          <w:sz w:val="24"/>
          <w:szCs w:val="24"/>
        </w:rPr>
      </w:pPr>
      <w:r w:rsidRPr="00A669B8">
        <w:rPr>
          <w:sz w:val="24"/>
          <w:szCs w:val="24"/>
          <w:lang w:val="da"/>
        </w:rPr>
        <w:lastRenderedPageBreak/>
        <w:t xml:space="preserve">Doseringen er 20 mg </w:t>
      </w:r>
      <w:proofErr w:type="spellStart"/>
      <w:r w:rsidRPr="00A669B8">
        <w:rPr>
          <w:sz w:val="24"/>
          <w:szCs w:val="24"/>
          <w:lang w:val="da"/>
        </w:rPr>
        <w:t>tiamulinhydrogenfumarat</w:t>
      </w:r>
      <w:proofErr w:type="spellEnd"/>
      <w:r w:rsidRPr="00A669B8">
        <w:rPr>
          <w:sz w:val="24"/>
          <w:szCs w:val="24"/>
          <w:lang w:val="da"/>
        </w:rPr>
        <w:t xml:space="preserve"> (svarende til 0,16 ml opløsning </w:t>
      </w:r>
      <w:proofErr w:type="spellStart"/>
      <w:r w:rsidRPr="00A669B8">
        <w:rPr>
          <w:sz w:val="24"/>
          <w:szCs w:val="24"/>
          <w:lang w:val="da"/>
        </w:rPr>
        <w:t>Tiasol</w:t>
      </w:r>
      <w:proofErr w:type="spellEnd"/>
      <w:r w:rsidRPr="00A669B8">
        <w:rPr>
          <w:sz w:val="24"/>
          <w:szCs w:val="24"/>
          <w:lang w:val="da"/>
        </w:rPr>
        <w:t xml:space="preserve"> 125 mg/ml eller svarende til 0,08 ml opløsning </w:t>
      </w:r>
      <w:proofErr w:type="spellStart"/>
      <w:r w:rsidRPr="00A669B8">
        <w:rPr>
          <w:sz w:val="24"/>
          <w:szCs w:val="24"/>
          <w:lang w:val="da"/>
        </w:rPr>
        <w:t>Tiasol</w:t>
      </w:r>
      <w:proofErr w:type="spellEnd"/>
      <w:r w:rsidRPr="00A669B8">
        <w:rPr>
          <w:sz w:val="24"/>
          <w:szCs w:val="24"/>
          <w:lang w:val="da"/>
        </w:rPr>
        <w:t xml:space="preserve"> 250 mg/</w:t>
      </w:r>
      <w:proofErr w:type="gramStart"/>
      <w:r w:rsidRPr="00A669B8">
        <w:rPr>
          <w:sz w:val="24"/>
          <w:szCs w:val="24"/>
          <w:lang w:val="da"/>
        </w:rPr>
        <w:t>ml)/</w:t>
      </w:r>
      <w:proofErr w:type="gramEnd"/>
      <w:r w:rsidRPr="00A669B8">
        <w:rPr>
          <w:sz w:val="24"/>
          <w:szCs w:val="24"/>
          <w:lang w:val="da"/>
        </w:rPr>
        <w:t xml:space="preserve">kg kropsvægt administreret </w:t>
      </w:r>
      <w:r>
        <w:rPr>
          <w:sz w:val="24"/>
          <w:szCs w:val="24"/>
          <w:lang w:val="da"/>
        </w:rPr>
        <w:t>daglig</w:t>
      </w:r>
      <w:r w:rsidRPr="00A669B8">
        <w:rPr>
          <w:sz w:val="24"/>
          <w:szCs w:val="24"/>
          <w:lang w:val="da"/>
        </w:rPr>
        <w:t xml:space="preserve"> i 5 på hinanden følgende dage.</w:t>
      </w:r>
    </w:p>
    <w:p w:rsidR="00FB7EB1" w:rsidRPr="00A669B8" w:rsidRDefault="00FB7EB1" w:rsidP="00FB7EB1">
      <w:pPr>
        <w:ind w:left="851"/>
        <w:rPr>
          <w:iCs/>
          <w:sz w:val="24"/>
          <w:szCs w:val="24"/>
          <w:u w:val="single"/>
        </w:rPr>
      </w:pPr>
    </w:p>
    <w:p w:rsidR="00FB7EB1" w:rsidRPr="00A669B8" w:rsidRDefault="00FB7EB1" w:rsidP="00FB7EB1">
      <w:pPr>
        <w:ind w:left="851"/>
        <w:rPr>
          <w:iCs/>
          <w:sz w:val="24"/>
          <w:szCs w:val="24"/>
          <w:u w:val="single"/>
        </w:rPr>
      </w:pPr>
      <w:r w:rsidRPr="00A669B8">
        <w:rPr>
          <w:sz w:val="24"/>
          <w:szCs w:val="24"/>
          <w:u w:val="single"/>
          <w:lang w:val="da"/>
        </w:rPr>
        <w:t>Kyllinger</w:t>
      </w:r>
    </w:p>
    <w:p w:rsidR="00FB7EB1" w:rsidRPr="00A669B8" w:rsidRDefault="00FB7EB1" w:rsidP="00FB7EB1">
      <w:pPr>
        <w:ind w:left="851"/>
        <w:rPr>
          <w:iCs/>
          <w:sz w:val="24"/>
          <w:szCs w:val="24"/>
        </w:rPr>
      </w:pPr>
      <w:r w:rsidRPr="00A669B8">
        <w:rPr>
          <w:sz w:val="24"/>
          <w:szCs w:val="24"/>
          <w:lang w:val="da"/>
        </w:rPr>
        <w:t xml:space="preserve">Til behandling og </w:t>
      </w:r>
      <w:proofErr w:type="spellStart"/>
      <w:r w:rsidRPr="00A669B8">
        <w:rPr>
          <w:sz w:val="24"/>
          <w:szCs w:val="24"/>
          <w:lang w:val="da"/>
        </w:rPr>
        <w:t>metafylakse</w:t>
      </w:r>
      <w:proofErr w:type="spellEnd"/>
      <w:r w:rsidRPr="00A669B8">
        <w:rPr>
          <w:sz w:val="24"/>
          <w:szCs w:val="24"/>
          <w:lang w:val="da"/>
        </w:rPr>
        <w:t xml:space="preserve"> af kronisk luftvejssygdom (CRD) forårsaget af </w:t>
      </w:r>
      <w:proofErr w:type="spellStart"/>
      <w:r w:rsidRPr="00A669B8">
        <w:rPr>
          <w:i/>
          <w:iCs/>
          <w:sz w:val="24"/>
          <w:szCs w:val="24"/>
          <w:lang w:val="da"/>
        </w:rPr>
        <w:t>Mycoplasma</w:t>
      </w:r>
      <w:proofErr w:type="spellEnd"/>
      <w:r w:rsidRPr="00A669B8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A669B8">
        <w:rPr>
          <w:i/>
          <w:iCs/>
          <w:sz w:val="24"/>
          <w:szCs w:val="24"/>
          <w:lang w:val="da"/>
        </w:rPr>
        <w:t>gallisepticum</w:t>
      </w:r>
      <w:proofErr w:type="spellEnd"/>
      <w:r w:rsidRPr="00A669B8">
        <w:rPr>
          <w:sz w:val="24"/>
          <w:szCs w:val="24"/>
          <w:lang w:val="da"/>
        </w:rPr>
        <w:t xml:space="preserve"> samt </w:t>
      </w:r>
      <w:proofErr w:type="spellStart"/>
      <w:r w:rsidRPr="00A669B8">
        <w:rPr>
          <w:sz w:val="24"/>
          <w:szCs w:val="24"/>
          <w:lang w:val="da"/>
        </w:rPr>
        <w:t>luftsækbetændelse</w:t>
      </w:r>
      <w:proofErr w:type="spellEnd"/>
      <w:r w:rsidRPr="00A669B8">
        <w:rPr>
          <w:sz w:val="24"/>
          <w:szCs w:val="24"/>
          <w:lang w:val="da"/>
        </w:rPr>
        <w:t xml:space="preserve"> og smitsom </w:t>
      </w:r>
      <w:proofErr w:type="spellStart"/>
      <w:r w:rsidRPr="00A669B8">
        <w:rPr>
          <w:sz w:val="24"/>
          <w:szCs w:val="24"/>
          <w:lang w:val="da"/>
        </w:rPr>
        <w:t>synovitis</w:t>
      </w:r>
      <w:proofErr w:type="spellEnd"/>
      <w:r w:rsidRPr="00A669B8">
        <w:rPr>
          <w:sz w:val="24"/>
          <w:szCs w:val="24"/>
          <w:lang w:val="da"/>
        </w:rPr>
        <w:t xml:space="preserve"> forårsaget af </w:t>
      </w:r>
      <w:proofErr w:type="spellStart"/>
      <w:r w:rsidRPr="00A669B8">
        <w:rPr>
          <w:i/>
          <w:iCs/>
          <w:sz w:val="24"/>
          <w:szCs w:val="24"/>
          <w:lang w:val="da"/>
        </w:rPr>
        <w:t>Mycoplasma</w:t>
      </w:r>
      <w:proofErr w:type="spellEnd"/>
      <w:r w:rsidRPr="00A669B8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A669B8">
        <w:rPr>
          <w:i/>
          <w:iCs/>
          <w:sz w:val="24"/>
          <w:szCs w:val="24"/>
          <w:lang w:val="da"/>
        </w:rPr>
        <w:t>synoviae</w:t>
      </w:r>
      <w:proofErr w:type="spellEnd"/>
      <w:r w:rsidRPr="00A669B8">
        <w:rPr>
          <w:sz w:val="24"/>
          <w:szCs w:val="24"/>
          <w:lang w:val="da"/>
        </w:rPr>
        <w:t>.</w:t>
      </w:r>
    </w:p>
    <w:p w:rsidR="00FB7EB1" w:rsidRPr="00A669B8" w:rsidRDefault="00FB7EB1" w:rsidP="00FB7EB1">
      <w:pPr>
        <w:ind w:left="851"/>
        <w:rPr>
          <w:iCs/>
          <w:sz w:val="24"/>
          <w:szCs w:val="24"/>
        </w:rPr>
      </w:pPr>
      <w:r w:rsidRPr="00A669B8">
        <w:rPr>
          <w:sz w:val="24"/>
          <w:szCs w:val="24"/>
          <w:lang w:val="da"/>
        </w:rPr>
        <w:t xml:space="preserve">Doseringen er 25 mg </w:t>
      </w:r>
      <w:proofErr w:type="spellStart"/>
      <w:r w:rsidRPr="00A669B8">
        <w:rPr>
          <w:sz w:val="24"/>
          <w:szCs w:val="24"/>
          <w:lang w:val="da"/>
        </w:rPr>
        <w:t>tiamulinhydrogenfumarat</w:t>
      </w:r>
      <w:proofErr w:type="spellEnd"/>
      <w:r w:rsidRPr="00A669B8">
        <w:rPr>
          <w:sz w:val="24"/>
          <w:szCs w:val="24"/>
          <w:lang w:val="da"/>
        </w:rPr>
        <w:t xml:space="preserve"> (svarende til 0,2 ml opløsning </w:t>
      </w:r>
      <w:proofErr w:type="spellStart"/>
      <w:r w:rsidRPr="00A669B8">
        <w:rPr>
          <w:sz w:val="24"/>
          <w:szCs w:val="24"/>
          <w:lang w:val="da"/>
        </w:rPr>
        <w:t>Tiasol</w:t>
      </w:r>
      <w:proofErr w:type="spellEnd"/>
      <w:r w:rsidRPr="00A669B8">
        <w:rPr>
          <w:sz w:val="24"/>
          <w:szCs w:val="24"/>
          <w:lang w:val="da"/>
        </w:rPr>
        <w:t xml:space="preserve"> 125 mg/ml eller svarende til 0,1 ml opløsning </w:t>
      </w:r>
      <w:proofErr w:type="spellStart"/>
      <w:r w:rsidRPr="00A669B8">
        <w:rPr>
          <w:sz w:val="24"/>
          <w:szCs w:val="24"/>
          <w:lang w:val="da"/>
        </w:rPr>
        <w:t>Tiasol</w:t>
      </w:r>
      <w:proofErr w:type="spellEnd"/>
      <w:r w:rsidRPr="00A669B8">
        <w:rPr>
          <w:sz w:val="24"/>
          <w:szCs w:val="24"/>
          <w:lang w:val="da"/>
        </w:rPr>
        <w:t xml:space="preserve"> 250 mg/</w:t>
      </w:r>
      <w:proofErr w:type="gramStart"/>
      <w:r w:rsidRPr="00A669B8">
        <w:rPr>
          <w:sz w:val="24"/>
          <w:szCs w:val="24"/>
          <w:lang w:val="da"/>
        </w:rPr>
        <w:t>ml)/</w:t>
      </w:r>
      <w:proofErr w:type="gramEnd"/>
      <w:r w:rsidRPr="00A669B8">
        <w:rPr>
          <w:sz w:val="24"/>
          <w:szCs w:val="24"/>
          <w:lang w:val="da"/>
        </w:rPr>
        <w:t xml:space="preserve">kg kropsvægt administreret </w:t>
      </w:r>
      <w:r>
        <w:rPr>
          <w:sz w:val="24"/>
          <w:szCs w:val="24"/>
          <w:lang w:val="da"/>
        </w:rPr>
        <w:t>daglig</w:t>
      </w:r>
      <w:r w:rsidRPr="00A669B8">
        <w:rPr>
          <w:sz w:val="24"/>
          <w:szCs w:val="24"/>
          <w:lang w:val="da"/>
        </w:rPr>
        <w:t xml:space="preserve"> i en periode på 3 til 5 på hinanden følgende dage.</w:t>
      </w:r>
    </w:p>
    <w:p w:rsidR="00FB7EB1" w:rsidRPr="00A669B8" w:rsidRDefault="00FB7EB1" w:rsidP="00FB7EB1">
      <w:pPr>
        <w:ind w:left="851"/>
        <w:rPr>
          <w:iCs/>
          <w:sz w:val="24"/>
          <w:szCs w:val="24"/>
          <w:u w:val="single"/>
        </w:rPr>
      </w:pPr>
    </w:p>
    <w:p w:rsidR="00FB7EB1" w:rsidRPr="00A669B8" w:rsidRDefault="00FB7EB1" w:rsidP="00FB7EB1">
      <w:pPr>
        <w:ind w:left="851"/>
        <w:rPr>
          <w:iCs/>
          <w:sz w:val="24"/>
          <w:szCs w:val="24"/>
          <w:u w:val="single"/>
        </w:rPr>
      </w:pPr>
      <w:r w:rsidRPr="00A669B8">
        <w:rPr>
          <w:sz w:val="24"/>
          <w:szCs w:val="24"/>
          <w:u w:val="single"/>
          <w:lang w:val="da"/>
        </w:rPr>
        <w:t>Kalkuner</w:t>
      </w:r>
    </w:p>
    <w:p w:rsidR="00FB7EB1" w:rsidRPr="00A669B8" w:rsidRDefault="00FB7EB1" w:rsidP="00FB7EB1">
      <w:pPr>
        <w:ind w:left="851"/>
        <w:rPr>
          <w:iCs/>
          <w:sz w:val="24"/>
          <w:szCs w:val="24"/>
        </w:rPr>
      </w:pPr>
      <w:r w:rsidRPr="00A669B8">
        <w:rPr>
          <w:sz w:val="24"/>
          <w:szCs w:val="24"/>
          <w:lang w:val="da"/>
        </w:rPr>
        <w:t xml:space="preserve">Til behandling og </w:t>
      </w:r>
      <w:proofErr w:type="spellStart"/>
      <w:r w:rsidRPr="00A669B8">
        <w:rPr>
          <w:sz w:val="24"/>
          <w:szCs w:val="24"/>
          <w:lang w:val="da"/>
        </w:rPr>
        <w:t>metafylakse</w:t>
      </w:r>
      <w:proofErr w:type="spellEnd"/>
      <w:r w:rsidRPr="00A669B8">
        <w:rPr>
          <w:sz w:val="24"/>
          <w:szCs w:val="24"/>
          <w:lang w:val="da"/>
        </w:rPr>
        <w:t xml:space="preserve"> af smitsom bihulebetændelse og </w:t>
      </w:r>
      <w:proofErr w:type="spellStart"/>
      <w:r w:rsidRPr="00A669B8">
        <w:rPr>
          <w:sz w:val="24"/>
          <w:szCs w:val="24"/>
          <w:lang w:val="da"/>
        </w:rPr>
        <w:t>luftsækbetændelse</w:t>
      </w:r>
      <w:proofErr w:type="spellEnd"/>
      <w:r w:rsidRPr="00A669B8">
        <w:rPr>
          <w:sz w:val="24"/>
          <w:szCs w:val="24"/>
          <w:lang w:val="da"/>
        </w:rPr>
        <w:t xml:space="preserve"> forårsaget af </w:t>
      </w:r>
      <w:proofErr w:type="spellStart"/>
      <w:r w:rsidRPr="00A669B8">
        <w:rPr>
          <w:i/>
          <w:iCs/>
          <w:sz w:val="24"/>
          <w:szCs w:val="24"/>
          <w:lang w:val="da"/>
        </w:rPr>
        <w:t>Mycoplasma</w:t>
      </w:r>
      <w:proofErr w:type="spellEnd"/>
      <w:r w:rsidRPr="00A669B8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A669B8">
        <w:rPr>
          <w:i/>
          <w:iCs/>
          <w:sz w:val="24"/>
          <w:szCs w:val="24"/>
          <w:lang w:val="da"/>
        </w:rPr>
        <w:t>gallisepticum</w:t>
      </w:r>
      <w:proofErr w:type="spellEnd"/>
      <w:r w:rsidRPr="00A669B8">
        <w:rPr>
          <w:sz w:val="24"/>
          <w:szCs w:val="24"/>
          <w:lang w:val="da"/>
        </w:rPr>
        <w:t xml:space="preserve">, </w:t>
      </w:r>
      <w:proofErr w:type="spellStart"/>
      <w:r w:rsidRPr="00A669B8">
        <w:rPr>
          <w:i/>
          <w:iCs/>
          <w:sz w:val="24"/>
          <w:szCs w:val="24"/>
          <w:lang w:val="da"/>
        </w:rPr>
        <w:t>Mycoplasma</w:t>
      </w:r>
      <w:proofErr w:type="spellEnd"/>
      <w:r w:rsidRPr="00A669B8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A669B8">
        <w:rPr>
          <w:i/>
          <w:iCs/>
          <w:sz w:val="24"/>
          <w:szCs w:val="24"/>
          <w:lang w:val="da"/>
        </w:rPr>
        <w:t>synoviae</w:t>
      </w:r>
      <w:proofErr w:type="spellEnd"/>
      <w:r w:rsidRPr="00A669B8">
        <w:rPr>
          <w:sz w:val="24"/>
          <w:szCs w:val="24"/>
          <w:lang w:val="da"/>
        </w:rPr>
        <w:t xml:space="preserve"> og </w:t>
      </w:r>
      <w:proofErr w:type="spellStart"/>
      <w:r w:rsidRPr="00A669B8">
        <w:rPr>
          <w:i/>
          <w:iCs/>
          <w:sz w:val="24"/>
          <w:szCs w:val="24"/>
          <w:lang w:val="da"/>
        </w:rPr>
        <w:t>Mycoplasma</w:t>
      </w:r>
      <w:proofErr w:type="spellEnd"/>
      <w:r w:rsidRPr="00A669B8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A669B8">
        <w:rPr>
          <w:i/>
          <w:iCs/>
          <w:sz w:val="24"/>
          <w:szCs w:val="24"/>
          <w:lang w:val="da"/>
        </w:rPr>
        <w:t>meleagridis</w:t>
      </w:r>
      <w:proofErr w:type="spellEnd"/>
      <w:r w:rsidRPr="00A669B8">
        <w:rPr>
          <w:sz w:val="24"/>
          <w:szCs w:val="24"/>
          <w:lang w:val="da"/>
        </w:rPr>
        <w:t>.</w:t>
      </w:r>
    </w:p>
    <w:p w:rsidR="00FB7EB1" w:rsidRPr="00C321C9" w:rsidRDefault="00FB7EB1" w:rsidP="00FB7EB1">
      <w:pPr>
        <w:ind w:left="851"/>
        <w:rPr>
          <w:iCs/>
          <w:sz w:val="24"/>
          <w:szCs w:val="24"/>
          <w:lang w:val="da"/>
        </w:rPr>
      </w:pPr>
      <w:r w:rsidRPr="00A669B8">
        <w:rPr>
          <w:sz w:val="24"/>
          <w:szCs w:val="24"/>
          <w:lang w:val="da"/>
        </w:rPr>
        <w:t xml:space="preserve">Doseringen er 40 mg </w:t>
      </w:r>
      <w:proofErr w:type="spellStart"/>
      <w:r w:rsidRPr="00A669B8">
        <w:rPr>
          <w:sz w:val="24"/>
          <w:szCs w:val="24"/>
          <w:lang w:val="da"/>
        </w:rPr>
        <w:t>tiamulinhydrogenfumarat</w:t>
      </w:r>
      <w:proofErr w:type="spellEnd"/>
      <w:r w:rsidRPr="00A669B8">
        <w:rPr>
          <w:sz w:val="24"/>
          <w:szCs w:val="24"/>
          <w:lang w:val="da"/>
        </w:rPr>
        <w:t xml:space="preserve"> (svarende til 0,32 ml opløsning </w:t>
      </w:r>
      <w:proofErr w:type="spellStart"/>
      <w:r w:rsidRPr="00A669B8">
        <w:rPr>
          <w:sz w:val="24"/>
          <w:szCs w:val="24"/>
          <w:lang w:val="da"/>
        </w:rPr>
        <w:t>Tiasol</w:t>
      </w:r>
      <w:proofErr w:type="spellEnd"/>
      <w:r w:rsidRPr="00A669B8">
        <w:rPr>
          <w:sz w:val="24"/>
          <w:szCs w:val="24"/>
          <w:lang w:val="da"/>
        </w:rPr>
        <w:t xml:space="preserve"> 125 mg/ml eller svarende til 0,16 ml opløsning </w:t>
      </w:r>
      <w:proofErr w:type="spellStart"/>
      <w:r w:rsidRPr="00A669B8">
        <w:rPr>
          <w:sz w:val="24"/>
          <w:szCs w:val="24"/>
          <w:lang w:val="da"/>
        </w:rPr>
        <w:t>Tiasol</w:t>
      </w:r>
      <w:proofErr w:type="spellEnd"/>
      <w:r w:rsidRPr="00A669B8">
        <w:rPr>
          <w:sz w:val="24"/>
          <w:szCs w:val="24"/>
          <w:lang w:val="da"/>
        </w:rPr>
        <w:t xml:space="preserve"> 250 mg/</w:t>
      </w:r>
      <w:proofErr w:type="gramStart"/>
      <w:r w:rsidRPr="00A669B8">
        <w:rPr>
          <w:sz w:val="24"/>
          <w:szCs w:val="24"/>
          <w:lang w:val="da"/>
        </w:rPr>
        <w:t>ml)/</w:t>
      </w:r>
      <w:proofErr w:type="gramEnd"/>
      <w:r w:rsidRPr="00A669B8">
        <w:rPr>
          <w:sz w:val="24"/>
          <w:szCs w:val="24"/>
          <w:lang w:val="da"/>
        </w:rPr>
        <w:t xml:space="preserve">kg kropsvægt administreret </w:t>
      </w:r>
      <w:r>
        <w:rPr>
          <w:sz w:val="24"/>
          <w:szCs w:val="24"/>
          <w:lang w:val="da"/>
        </w:rPr>
        <w:t>daglig</w:t>
      </w:r>
      <w:r w:rsidRPr="00A669B8">
        <w:rPr>
          <w:sz w:val="24"/>
          <w:szCs w:val="24"/>
          <w:lang w:val="da"/>
        </w:rPr>
        <w:t xml:space="preserve"> i en periode på 3 til 5 på hinanden følgende dage.</w:t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4.10</w:t>
      </w:r>
      <w:r w:rsidRPr="00406EE7">
        <w:rPr>
          <w:b/>
          <w:sz w:val="24"/>
          <w:szCs w:val="24"/>
        </w:rPr>
        <w:tab/>
        <w:t>Overdosering</w:t>
      </w:r>
    </w:p>
    <w:p w:rsidR="00FB7EB1" w:rsidRPr="0024118D" w:rsidRDefault="00FB7EB1" w:rsidP="00FB7EB1">
      <w:pPr>
        <w:ind w:left="851"/>
        <w:rPr>
          <w:bCs/>
          <w:sz w:val="24"/>
          <w:szCs w:val="24"/>
          <w:lang w:val="da"/>
        </w:rPr>
      </w:pPr>
      <w:r w:rsidRPr="0024118D">
        <w:rPr>
          <w:sz w:val="24"/>
          <w:szCs w:val="24"/>
          <w:lang w:val="da"/>
        </w:rPr>
        <w:t xml:space="preserve">Enkelte orale doser på 100 mg </w:t>
      </w:r>
      <w:proofErr w:type="spellStart"/>
      <w:r w:rsidRPr="0024118D">
        <w:rPr>
          <w:sz w:val="24"/>
          <w:szCs w:val="24"/>
          <w:lang w:val="da"/>
        </w:rPr>
        <w:t>tiamulinhydrogenfumarat</w:t>
      </w:r>
      <w:proofErr w:type="spellEnd"/>
      <w:r w:rsidRPr="0024118D">
        <w:rPr>
          <w:sz w:val="24"/>
          <w:szCs w:val="24"/>
          <w:lang w:val="da"/>
        </w:rPr>
        <w:t xml:space="preserve">/kg kropsvægt til svin forårsagede hyperventilation og </w:t>
      </w:r>
      <w:proofErr w:type="spellStart"/>
      <w:r w:rsidRPr="0024118D">
        <w:rPr>
          <w:sz w:val="24"/>
          <w:szCs w:val="24"/>
          <w:lang w:val="da"/>
        </w:rPr>
        <w:t>abdominale</w:t>
      </w:r>
      <w:proofErr w:type="spellEnd"/>
      <w:r w:rsidRPr="0024118D">
        <w:rPr>
          <w:sz w:val="24"/>
          <w:szCs w:val="24"/>
          <w:lang w:val="da"/>
        </w:rPr>
        <w:t xml:space="preserve"> gener. Ved en dosis på 150 mg </w:t>
      </w:r>
      <w:proofErr w:type="spellStart"/>
      <w:r w:rsidRPr="0024118D">
        <w:rPr>
          <w:sz w:val="24"/>
          <w:szCs w:val="24"/>
          <w:lang w:val="da"/>
        </w:rPr>
        <w:t>tiamulinhydrogen</w:t>
      </w:r>
      <w:r>
        <w:rPr>
          <w:sz w:val="24"/>
          <w:szCs w:val="24"/>
          <w:lang w:val="da"/>
        </w:rPr>
        <w:softHyphen/>
      </w:r>
      <w:r w:rsidRPr="0024118D">
        <w:rPr>
          <w:sz w:val="24"/>
          <w:szCs w:val="24"/>
          <w:lang w:val="da"/>
        </w:rPr>
        <w:t>fumarat</w:t>
      </w:r>
      <w:proofErr w:type="spellEnd"/>
      <w:r w:rsidRPr="0024118D">
        <w:rPr>
          <w:sz w:val="24"/>
          <w:szCs w:val="24"/>
          <w:lang w:val="da"/>
        </w:rPr>
        <w:t xml:space="preserve">/kg kropsvægt blev der ikke observeret nogen effekt på centralnervesystemet bortset fra sløvhed. Ved en dosis på 55 mg </w:t>
      </w:r>
      <w:proofErr w:type="spellStart"/>
      <w:r w:rsidRPr="0024118D">
        <w:rPr>
          <w:sz w:val="24"/>
          <w:szCs w:val="24"/>
          <w:lang w:val="da"/>
        </w:rPr>
        <w:t>tiamulinhydrogenfumarat</w:t>
      </w:r>
      <w:proofErr w:type="spellEnd"/>
      <w:r w:rsidRPr="0024118D">
        <w:rPr>
          <w:sz w:val="24"/>
          <w:szCs w:val="24"/>
          <w:lang w:val="da"/>
        </w:rPr>
        <w:t xml:space="preserve">/kg kropsvægt administreret </w:t>
      </w:r>
      <w:r>
        <w:rPr>
          <w:sz w:val="24"/>
          <w:szCs w:val="24"/>
          <w:lang w:val="da"/>
        </w:rPr>
        <w:t>daglig</w:t>
      </w:r>
      <w:r w:rsidRPr="0024118D">
        <w:rPr>
          <w:sz w:val="24"/>
          <w:szCs w:val="24"/>
          <w:lang w:val="da"/>
        </w:rPr>
        <w:t xml:space="preserve"> i 14 dage opstod der forbigående spytafsondring og mild irritation af maven. </w:t>
      </w:r>
      <w:proofErr w:type="spellStart"/>
      <w:r w:rsidRPr="0024118D">
        <w:rPr>
          <w:sz w:val="24"/>
          <w:szCs w:val="24"/>
          <w:lang w:val="da"/>
        </w:rPr>
        <w:t>Tiamulinhydrogenfumarat</w:t>
      </w:r>
      <w:proofErr w:type="spellEnd"/>
      <w:r w:rsidRPr="0024118D">
        <w:rPr>
          <w:sz w:val="24"/>
          <w:szCs w:val="24"/>
          <w:lang w:val="da"/>
        </w:rPr>
        <w:t xml:space="preserve"> anses for at have et tilstrækkeligt højt terapeutisk indeks hos svin, og en mindste dødelig dosis er ikke fastlagt.</w:t>
      </w:r>
    </w:p>
    <w:p w:rsidR="00FB7EB1" w:rsidRPr="0024118D" w:rsidRDefault="00FB7EB1" w:rsidP="00FB7EB1">
      <w:pPr>
        <w:ind w:left="851"/>
        <w:rPr>
          <w:bCs/>
          <w:sz w:val="24"/>
          <w:szCs w:val="24"/>
          <w:lang w:val="da"/>
        </w:rPr>
      </w:pPr>
    </w:p>
    <w:p w:rsidR="00FB7EB1" w:rsidRPr="0024118D" w:rsidRDefault="00FB7EB1" w:rsidP="00FB7EB1">
      <w:pPr>
        <w:ind w:left="851"/>
        <w:rPr>
          <w:bCs/>
          <w:sz w:val="24"/>
          <w:szCs w:val="24"/>
        </w:rPr>
      </w:pPr>
      <w:r w:rsidRPr="0024118D">
        <w:rPr>
          <w:sz w:val="24"/>
          <w:szCs w:val="24"/>
          <w:lang w:val="da"/>
        </w:rPr>
        <w:t xml:space="preserve">Hos fjerkræ har </w:t>
      </w:r>
      <w:proofErr w:type="spellStart"/>
      <w:r w:rsidRPr="0024118D">
        <w:rPr>
          <w:sz w:val="24"/>
          <w:szCs w:val="24"/>
          <w:lang w:val="da"/>
        </w:rPr>
        <w:t>tiamulinhydrogenfumarat</w:t>
      </w:r>
      <w:proofErr w:type="spellEnd"/>
      <w:r w:rsidRPr="0024118D">
        <w:rPr>
          <w:sz w:val="24"/>
          <w:szCs w:val="24"/>
          <w:lang w:val="da"/>
        </w:rPr>
        <w:t xml:space="preserve"> et relativt højt terapeutisk indeks, og sandsynligheden for en overdosis anses for at være lav, især da vandindtaget og dermed indtaget af </w:t>
      </w:r>
      <w:proofErr w:type="spellStart"/>
      <w:r w:rsidRPr="0024118D">
        <w:rPr>
          <w:sz w:val="24"/>
          <w:szCs w:val="24"/>
          <w:lang w:val="da"/>
        </w:rPr>
        <w:t>tiamulinhydrogenfumarat</w:t>
      </w:r>
      <w:proofErr w:type="spellEnd"/>
      <w:r w:rsidRPr="0024118D">
        <w:rPr>
          <w:sz w:val="24"/>
          <w:szCs w:val="24"/>
          <w:lang w:val="da"/>
        </w:rPr>
        <w:t xml:space="preserve"> er reduceret, hvis der indgives abnormt høje koncentrationer. LD50 er 1090 mg/kg kropsvægt for kyllinger og 840 mg/kg kropsvægt for kalkuner.</w:t>
      </w:r>
    </w:p>
    <w:p w:rsidR="00FB7EB1" w:rsidRPr="0024118D" w:rsidRDefault="00FB7EB1" w:rsidP="00FB7EB1">
      <w:pPr>
        <w:ind w:left="851"/>
        <w:rPr>
          <w:bCs/>
          <w:sz w:val="24"/>
          <w:szCs w:val="24"/>
        </w:rPr>
      </w:pPr>
    </w:p>
    <w:p w:rsidR="00FB7EB1" w:rsidRPr="0024118D" w:rsidRDefault="00FB7EB1" w:rsidP="00FB7EB1">
      <w:pPr>
        <w:ind w:left="851"/>
        <w:rPr>
          <w:bCs/>
          <w:sz w:val="24"/>
          <w:szCs w:val="24"/>
        </w:rPr>
      </w:pPr>
      <w:r w:rsidRPr="0024118D">
        <w:rPr>
          <w:sz w:val="24"/>
          <w:szCs w:val="24"/>
          <w:lang w:val="da"/>
        </w:rPr>
        <w:t xml:space="preserve">Hos kyllinger er de kliniske tegn på akut toksicitet: vokalisering, klonisk krampe og sideleje og hos kalkuner: klonisk krampe, sideleje eller rygleje, spytafsondring og </w:t>
      </w:r>
      <w:proofErr w:type="spellStart"/>
      <w:r w:rsidRPr="0024118D">
        <w:rPr>
          <w:sz w:val="24"/>
          <w:szCs w:val="24"/>
          <w:lang w:val="da"/>
        </w:rPr>
        <w:t>ptose</w:t>
      </w:r>
      <w:proofErr w:type="spellEnd"/>
      <w:r w:rsidRPr="0024118D">
        <w:rPr>
          <w:sz w:val="24"/>
          <w:szCs w:val="24"/>
          <w:lang w:val="da"/>
        </w:rPr>
        <w:t>.</w:t>
      </w:r>
    </w:p>
    <w:p w:rsidR="00FB7EB1" w:rsidRPr="0024118D" w:rsidRDefault="00FB7EB1" w:rsidP="00FB7EB1">
      <w:pPr>
        <w:ind w:left="851"/>
        <w:rPr>
          <w:bCs/>
          <w:sz w:val="24"/>
          <w:szCs w:val="24"/>
        </w:rPr>
      </w:pPr>
    </w:p>
    <w:p w:rsidR="00FB7EB1" w:rsidRPr="005F6F3D" w:rsidRDefault="00FB7EB1" w:rsidP="00FB7EB1">
      <w:pPr>
        <w:ind w:left="851"/>
        <w:rPr>
          <w:bCs/>
          <w:sz w:val="24"/>
          <w:szCs w:val="24"/>
          <w:lang w:val="da"/>
        </w:rPr>
      </w:pPr>
      <w:r w:rsidRPr="0024118D">
        <w:rPr>
          <w:sz w:val="24"/>
          <w:szCs w:val="24"/>
          <w:lang w:val="da"/>
        </w:rPr>
        <w:t>Hvis der opstår tegn på forgiftning, skal det medicinerede vand straks fjernes og erstattes med frisk vand.</w:t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4.11</w:t>
      </w:r>
      <w:r w:rsidRPr="00406EE7">
        <w:rPr>
          <w:b/>
          <w:sz w:val="24"/>
          <w:szCs w:val="24"/>
        </w:rPr>
        <w:tab/>
        <w:t>Tilbageholdelsestid</w:t>
      </w:r>
    </w:p>
    <w:p w:rsidR="00FB7EB1" w:rsidRDefault="00FB7EB1" w:rsidP="00FB7EB1">
      <w:pPr>
        <w:ind w:left="851"/>
        <w:rPr>
          <w:sz w:val="24"/>
          <w:szCs w:val="24"/>
          <w:u w:val="single"/>
          <w:lang w:val="da"/>
        </w:rPr>
      </w:pPr>
    </w:p>
    <w:p w:rsidR="00FB7EB1" w:rsidRPr="005F6F3D" w:rsidRDefault="00FB7EB1" w:rsidP="00FB7EB1">
      <w:pPr>
        <w:ind w:left="851"/>
        <w:rPr>
          <w:iCs/>
          <w:sz w:val="24"/>
          <w:szCs w:val="24"/>
          <w:u w:val="single"/>
        </w:rPr>
      </w:pPr>
      <w:r w:rsidRPr="005F6F3D">
        <w:rPr>
          <w:sz w:val="24"/>
          <w:szCs w:val="24"/>
          <w:u w:val="single"/>
          <w:lang w:val="da"/>
        </w:rPr>
        <w:t>Svin</w:t>
      </w:r>
    </w:p>
    <w:p w:rsidR="00FB7EB1" w:rsidRDefault="00FB7EB1" w:rsidP="00FB7EB1">
      <w:pPr>
        <w:ind w:left="851"/>
        <w:rPr>
          <w:sz w:val="24"/>
          <w:szCs w:val="24"/>
          <w:lang w:val="da"/>
        </w:rPr>
      </w:pPr>
      <w:r>
        <w:rPr>
          <w:sz w:val="24"/>
          <w:szCs w:val="24"/>
          <w:lang w:val="da"/>
        </w:rPr>
        <w:t>Slagtning:</w:t>
      </w:r>
    </w:p>
    <w:p w:rsidR="00FB7EB1" w:rsidRPr="005F6F3D" w:rsidRDefault="00FB7EB1" w:rsidP="00FB7EB1">
      <w:pPr>
        <w:ind w:left="851"/>
        <w:rPr>
          <w:iCs/>
          <w:sz w:val="24"/>
          <w:szCs w:val="24"/>
        </w:rPr>
      </w:pPr>
      <w:r w:rsidRPr="00713A57">
        <w:rPr>
          <w:i/>
          <w:sz w:val="24"/>
          <w:szCs w:val="24"/>
          <w:lang w:val="da"/>
        </w:rPr>
        <w:t>2 dage</w:t>
      </w:r>
      <w:r>
        <w:rPr>
          <w:sz w:val="24"/>
          <w:szCs w:val="24"/>
          <w:lang w:val="da"/>
        </w:rPr>
        <w:t xml:space="preserve">: </w:t>
      </w:r>
      <w:r w:rsidRPr="005F6F3D">
        <w:rPr>
          <w:sz w:val="24"/>
          <w:szCs w:val="24"/>
          <w:lang w:val="da"/>
        </w:rPr>
        <w:t xml:space="preserve">8,8 mg </w:t>
      </w:r>
      <w:proofErr w:type="spellStart"/>
      <w:r w:rsidRPr="005F6F3D">
        <w:rPr>
          <w:sz w:val="24"/>
          <w:szCs w:val="24"/>
          <w:lang w:val="da"/>
        </w:rPr>
        <w:t>tiamulinhydrogenfumarat</w:t>
      </w:r>
      <w:proofErr w:type="spellEnd"/>
      <w:r w:rsidRPr="005F6F3D">
        <w:rPr>
          <w:sz w:val="24"/>
          <w:szCs w:val="24"/>
          <w:lang w:val="da"/>
        </w:rPr>
        <w:t xml:space="preserve"> (svarende til 0,07 ml opløsning </w:t>
      </w:r>
      <w:proofErr w:type="spellStart"/>
      <w:r w:rsidRPr="005F6F3D">
        <w:rPr>
          <w:sz w:val="24"/>
          <w:szCs w:val="24"/>
          <w:lang w:val="da"/>
        </w:rPr>
        <w:t>Tiasol</w:t>
      </w:r>
      <w:proofErr w:type="spellEnd"/>
      <w:r w:rsidRPr="005F6F3D">
        <w:rPr>
          <w:sz w:val="24"/>
          <w:szCs w:val="24"/>
          <w:lang w:val="da"/>
        </w:rPr>
        <w:t xml:space="preserve"> 125 mg/ml eller svarende til 0,035 ml opløsning </w:t>
      </w:r>
      <w:proofErr w:type="spellStart"/>
      <w:r w:rsidRPr="005F6F3D">
        <w:rPr>
          <w:sz w:val="24"/>
          <w:szCs w:val="24"/>
          <w:lang w:val="da"/>
        </w:rPr>
        <w:t>Tiasol</w:t>
      </w:r>
      <w:proofErr w:type="spellEnd"/>
      <w:r>
        <w:rPr>
          <w:sz w:val="24"/>
          <w:szCs w:val="24"/>
          <w:lang w:val="da"/>
        </w:rPr>
        <w:t xml:space="preserve"> 250 mg/</w:t>
      </w:r>
      <w:proofErr w:type="gramStart"/>
      <w:r>
        <w:rPr>
          <w:sz w:val="24"/>
          <w:szCs w:val="24"/>
          <w:lang w:val="da"/>
        </w:rPr>
        <w:t>ml)/</w:t>
      </w:r>
      <w:proofErr w:type="gramEnd"/>
      <w:r>
        <w:rPr>
          <w:sz w:val="24"/>
          <w:szCs w:val="24"/>
          <w:lang w:val="da"/>
        </w:rPr>
        <w:t>kg kropsvægt).</w:t>
      </w:r>
    </w:p>
    <w:p w:rsidR="00FB7EB1" w:rsidRPr="005F6F3D" w:rsidRDefault="00FB7EB1" w:rsidP="00FB7EB1">
      <w:pPr>
        <w:ind w:left="851"/>
        <w:rPr>
          <w:iCs/>
          <w:sz w:val="24"/>
          <w:szCs w:val="24"/>
        </w:rPr>
      </w:pPr>
      <w:r w:rsidRPr="005F6F3D">
        <w:rPr>
          <w:i/>
          <w:sz w:val="24"/>
          <w:szCs w:val="24"/>
          <w:lang w:val="da"/>
        </w:rPr>
        <w:t>4 dage</w:t>
      </w:r>
      <w:r w:rsidRPr="00713A57">
        <w:rPr>
          <w:sz w:val="24"/>
          <w:szCs w:val="24"/>
          <w:lang w:val="da"/>
        </w:rPr>
        <w:t>:</w:t>
      </w:r>
      <w:r>
        <w:rPr>
          <w:sz w:val="24"/>
          <w:szCs w:val="24"/>
          <w:lang w:val="da"/>
        </w:rPr>
        <w:t xml:space="preserve"> </w:t>
      </w:r>
      <w:r w:rsidRPr="005F6F3D">
        <w:rPr>
          <w:sz w:val="24"/>
          <w:szCs w:val="24"/>
          <w:lang w:val="da"/>
        </w:rPr>
        <w:t xml:space="preserve">20 mg </w:t>
      </w:r>
      <w:proofErr w:type="spellStart"/>
      <w:r w:rsidRPr="005F6F3D">
        <w:rPr>
          <w:sz w:val="24"/>
          <w:szCs w:val="24"/>
          <w:lang w:val="da"/>
        </w:rPr>
        <w:t>tiamulinhydrogenfumarat</w:t>
      </w:r>
      <w:proofErr w:type="spellEnd"/>
      <w:r w:rsidRPr="005F6F3D">
        <w:rPr>
          <w:sz w:val="24"/>
          <w:szCs w:val="24"/>
          <w:lang w:val="da"/>
        </w:rPr>
        <w:t xml:space="preserve"> (svarende til 0,16 ml opløsning </w:t>
      </w:r>
      <w:proofErr w:type="spellStart"/>
      <w:r w:rsidRPr="005F6F3D">
        <w:rPr>
          <w:sz w:val="24"/>
          <w:szCs w:val="24"/>
          <w:lang w:val="da"/>
        </w:rPr>
        <w:t>Tiasol</w:t>
      </w:r>
      <w:proofErr w:type="spellEnd"/>
      <w:r w:rsidRPr="005F6F3D">
        <w:rPr>
          <w:sz w:val="24"/>
          <w:szCs w:val="24"/>
          <w:lang w:val="da"/>
        </w:rPr>
        <w:t xml:space="preserve"> 125 mg/ml eller svarende til 0,08 ml opløsning </w:t>
      </w:r>
      <w:proofErr w:type="spellStart"/>
      <w:r w:rsidRPr="005F6F3D">
        <w:rPr>
          <w:sz w:val="24"/>
          <w:szCs w:val="24"/>
          <w:lang w:val="da"/>
        </w:rPr>
        <w:t>Tiasol</w:t>
      </w:r>
      <w:proofErr w:type="spellEnd"/>
      <w:r w:rsidRPr="005F6F3D">
        <w:rPr>
          <w:sz w:val="24"/>
          <w:szCs w:val="24"/>
          <w:lang w:val="da"/>
        </w:rPr>
        <w:t xml:space="preserve"> 250 mg/</w:t>
      </w:r>
      <w:proofErr w:type="gramStart"/>
      <w:r w:rsidRPr="005F6F3D">
        <w:rPr>
          <w:sz w:val="24"/>
          <w:szCs w:val="24"/>
          <w:lang w:val="da"/>
        </w:rPr>
        <w:t>ml)/</w:t>
      </w:r>
      <w:proofErr w:type="gramEnd"/>
      <w:r w:rsidRPr="005F6F3D">
        <w:rPr>
          <w:sz w:val="24"/>
          <w:szCs w:val="24"/>
          <w:lang w:val="da"/>
        </w:rPr>
        <w:t>kg kropsvægt)</w:t>
      </w:r>
      <w:r>
        <w:rPr>
          <w:sz w:val="24"/>
          <w:szCs w:val="24"/>
          <w:lang w:val="da"/>
        </w:rPr>
        <w:t>.</w:t>
      </w:r>
    </w:p>
    <w:p w:rsidR="00FB7EB1" w:rsidRDefault="00FB7EB1" w:rsidP="00FB7EB1">
      <w:pPr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:rsidR="00FB7EB1" w:rsidRPr="005F6F3D" w:rsidRDefault="00FB7EB1" w:rsidP="00FB7EB1">
      <w:pPr>
        <w:ind w:left="851"/>
        <w:rPr>
          <w:iCs/>
          <w:sz w:val="24"/>
          <w:szCs w:val="24"/>
        </w:rPr>
      </w:pPr>
    </w:p>
    <w:p w:rsidR="00FB7EB1" w:rsidRPr="005F6F3D" w:rsidRDefault="00FB7EB1" w:rsidP="00FB7EB1">
      <w:pPr>
        <w:ind w:left="851"/>
        <w:rPr>
          <w:iCs/>
          <w:sz w:val="24"/>
          <w:szCs w:val="24"/>
          <w:u w:val="single"/>
        </w:rPr>
      </w:pPr>
      <w:r w:rsidRPr="005F6F3D">
        <w:rPr>
          <w:sz w:val="24"/>
          <w:szCs w:val="24"/>
          <w:u w:val="single"/>
          <w:lang w:val="da"/>
        </w:rPr>
        <w:t>Kyllinger</w:t>
      </w:r>
    </w:p>
    <w:p w:rsidR="00FB7EB1" w:rsidRPr="005F6F3D" w:rsidRDefault="00FB7EB1" w:rsidP="00FB7EB1">
      <w:pPr>
        <w:ind w:left="851"/>
        <w:rPr>
          <w:iCs/>
          <w:sz w:val="24"/>
          <w:szCs w:val="24"/>
        </w:rPr>
      </w:pPr>
      <w:r w:rsidRPr="005F6F3D">
        <w:rPr>
          <w:sz w:val="24"/>
          <w:szCs w:val="24"/>
          <w:lang w:val="da"/>
        </w:rPr>
        <w:t>Slagtning: 2 dage</w:t>
      </w:r>
      <w:r>
        <w:rPr>
          <w:sz w:val="24"/>
          <w:szCs w:val="24"/>
          <w:lang w:val="da"/>
        </w:rPr>
        <w:t>.</w:t>
      </w:r>
    </w:p>
    <w:p w:rsidR="00FB7EB1" w:rsidRPr="005F6F3D" w:rsidRDefault="00FB7EB1" w:rsidP="00FB7EB1">
      <w:pPr>
        <w:ind w:left="851"/>
        <w:rPr>
          <w:iCs/>
          <w:sz w:val="24"/>
          <w:szCs w:val="24"/>
        </w:rPr>
      </w:pPr>
      <w:r w:rsidRPr="005F6F3D">
        <w:rPr>
          <w:sz w:val="24"/>
          <w:szCs w:val="24"/>
          <w:lang w:val="da"/>
        </w:rPr>
        <w:t>Æg: 0 dage</w:t>
      </w:r>
      <w:r>
        <w:rPr>
          <w:sz w:val="24"/>
          <w:szCs w:val="24"/>
          <w:lang w:val="da"/>
        </w:rPr>
        <w:t>.</w:t>
      </w:r>
    </w:p>
    <w:p w:rsidR="00FB7EB1" w:rsidRPr="005F6F3D" w:rsidRDefault="00FB7EB1" w:rsidP="00FB7EB1">
      <w:pPr>
        <w:ind w:left="851"/>
        <w:rPr>
          <w:iCs/>
          <w:sz w:val="24"/>
          <w:szCs w:val="24"/>
        </w:rPr>
      </w:pPr>
    </w:p>
    <w:p w:rsidR="00FB7EB1" w:rsidRPr="005F6F3D" w:rsidRDefault="00FB7EB1" w:rsidP="00FB7EB1">
      <w:pPr>
        <w:ind w:left="851"/>
        <w:rPr>
          <w:iCs/>
          <w:sz w:val="24"/>
          <w:szCs w:val="24"/>
          <w:u w:val="single"/>
        </w:rPr>
      </w:pPr>
      <w:r w:rsidRPr="005F6F3D">
        <w:rPr>
          <w:sz w:val="24"/>
          <w:szCs w:val="24"/>
          <w:u w:val="single"/>
          <w:lang w:val="da"/>
        </w:rPr>
        <w:t>Kalkuner</w:t>
      </w:r>
    </w:p>
    <w:p w:rsidR="00FB7EB1" w:rsidRPr="005F6F3D" w:rsidRDefault="00FB7EB1" w:rsidP="00FB7EB1">
      <w:pPr>
        <w:ind w:left="851"/>
        <w:rPr>
          <w:iCs/>
          <w:sz w:val="24"/>
          <w:szCs w:val="24"/>
        </w:rPr>
      </w:pPr>
      <w:r w:rsidRPr="005F6F3D">
        <w:rPr>
          <w:sz w:val="24"/>
          <w:szCs w:val="24"/>
          <w:lang w:val="da"/>
        </w:rPr>
        <w:t>Slagtning: 6 dage</w:t>
      </w:r>
      <w:r>
        <w:rPr>
          <w:iCs/>
          <w:sz w:val="24"/>
          <w:szCs w:val="24"/>
        </w:rPr>
        <w:t>.</w:t>
      </w:r>
    </w:p>
    <w:p w:rsidR="00FB7EB1" w:rsidRPr="00406EE7" w:rsidRDefault="00FB7EB1" w:rsidP="00FB7EB1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AD278C" w:rsidRDefault="00FB7EB1" w:rsidP="00FB7EB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D278C">
        <w:rPr>
          <w:b/>
          <w:sz w:val="24"/>
          <w:szCs w:val="24"/>
        </w:rPr>
        <w:t>5.</w:t>
      </w:r>
      <w:r w:rsidRPr="00AD278C">
        <w:rPr>
          <w:b/>
          <w:sz w:val="24"/>
          <w:szCs w:val="24"/>
        </w:rPr>
        <w:tab/>
        <w:t>FARMAKOLOGISKE EGENSKABER</w:t>
      </w:r>
    </w:p>
    <w:p w:rsidR="00FB7EB1" w:rsidRPr="00AD278C" w:rsidRDefault="00FB7EB1" w:rsidP="00FB7EB1">
      <w:pPr>
        <w:tabs>
          <w:tab w:val="left" w:pos="8222"/>
        </w:tabs>
        <w:ind w:left="851"/>
        <w:rPr>
          <w:sz w:val="24"/>
          <w:szCs w:val="24"/>
        </w:rPr>
      </w:pPr>
    </w:p>
    <w:p w:rsidR="00FB7EB1" w:rsidRPr="0027377E" w:rsidRDefault="00FB7EB1" w:rsidP="00FB7EB1">
      <w:pPr>
        <w:ind w:left="851"/>
        <w:rPr>
          <w:sz w:val="24"/>
          <w:szCs w:val="24"/>
        </w:rPr>
      </w:pPr>
      <w:proofErr w:type="spellStart"/>
      <w:r w:rsidRPr="0027377E">
        <w:rPr>
          <w:sz w:val="24"/>
          <w:szCs w:val="24"/>
          <w:lang w:val="da"/>
        </w:rPr>
        <w:t>Farmakoterapeutisk</w:t>
      </w:r>
      <w:proofErr w:type="spellEnd"/>
      <w:r w:rsidRPr="0027377E">
        <w:rPr>
          <w:sz w:val="24"/>
          <w:szCs w:val="24"/>
          <w:lang w:val="da"/>
        </w:rPr>
        <w:t xml:space="preserve"> gruppe: Antibakterielle midler til systemisk brug, </w:t>
      </w:r>
      <w:proofErr w:type="spellStart"/>
      <w:r w:rsidRPr="0027377E">
        <w:rPr>
          <w:sz w:val="24"/>
          <w:szCs w:val="24"/>
          <w:lang w:val="da"/>
        </w:rPr>
        <w:t>pleuromutiliner</w:t>
      </w:r>
      <w:proofErr w:type="spellEnd"/>
      <w:r w:rsidRPr="0027377E">
        <w:rPr>
          <w:sz w:val="24"/>
          <w:szCs w:val="24"/>
          <w:lang w:val="da"/>
        </w:rPr>
        <w:t xml:space="preserve">, </w:t>
      </w:r>
      <w:proofErr w:type="spellStart"/>
      <w:r w:rsidRPr="0027377E">
        <w:rPr>
          <w:sz w:val="24"/>
          <w:szCs w:val="24"/>
          <w:lang w:val="da"/>
        </w:rPr>
        <w:t>tiamulin</w:t>
      </w:r>
      <w:proofErr w:type="spellEnd"/>
      <w:r w:rsidRPr="0027377E">
        <w:rPr>
          <w:sz w:val="24"/>
          <w:szCs w:val="24"/>
          <w:lang w:val="da"/>
        </w:rPr>
        <w:t>.</w:t>
      </w:r>
    </w:p>
    <w:p w:rsidR="00FB7EB1" w:rsidRPr="0027377E" w:rsidRDefault="00FB7EB1" w:rsidP="00FB7EB1">
      <w:pPr>
        <w:ind w:left="851"/>
        <w:rPr>
          <w:sz w:val="24"/>
          <w:szCs w:val="24"/>
        </w:rPr>
      </w:pPr>
      <w:proofErr w:type="spellStart"/>
      <w:r w:rsidRPr="0027377E">
        <w:rPr>
          <w:sz w:val="24"/>
          <w:szCs w:val="24"/>
          <w:lang w:val="da"/>
        </w:rPr>
        <w:t>ATCvet</w:t>
      </w:r>
      <w:proofErr w:type="spellEnd"/>
      <w:r w:rsidRPr="0027377E">
        <w:rPr>
          <w:sz w:val="24"/>
          <w:szCs w:val="24"/>
          <w:lang w:val="da"/>
        </w:rPr>
        <w:t>-kode: QJ</w:t>
      </w:r>
      <w:r w:rsidRPr="00AD278C">
        <w:rPr>
          <w:sz w:val="24"/>
          <w:szCs w:val="24"/>
          <w:lang w:val="da"/>
        </w:rPr>
        <w:t xml:space="preserve"> </w:t>
      </w:r>
      <w:r w:rsidRPr="0027377E">
        <w:rPr>
          <w:sz w:val="24"/>
          <w:szCs w:val="24"/>
          <w:lang w:val="da"/>
        </w:rPr>
        <w:t>01</w:t>
      </w:r>
      <w:r w:rsidRPr="00AD278C">
        <w:rPr>
          <w:sz w:val="24"/>
          <w:szCs w:val="24"/>
          <w:lang w:val="da"/>
        </w:rPr>
        <w:t xml:space="preserve"> </w:t>
      </w:r>
      <w:r w:rsidRPr="0027377E">
        <w:rPr>
          <w:sz w:val="24"/>
          <w:szCs w:val="24"/>
          <w:lang w:val="da"/>
        </w:rPr>
        <w:t>XQ</w:t>
      </w:r>
      <w:r w:rsidRPr="00AD278C">
        <w:rPr>
          <w:sz w:val="24"/>
          <w:szCs w:val="24"/>
          <w:lang w:val="da"/>
        </w:rPr>
        <w:t xml:space="preserve"> </w:t>
      </w:r>
      <w:r w:rsidRPr="0027377E">
        <w:rPr>
          <w:sz w:val="24"/>
          <w:szCs w:val="24"/>
          <w:lang w:val="da"/>
        </w:rPr>
        <w:t>01.</w:t>
      </w:r>
    </w:p>
    <w:p w:rsidR="00FB7EB1" w:rsidRPr="00AD278C" w:rsidRDefault="00FB7EB1" w:rsidP="00FB7EB1">
      <w:pPr>
        <w:tabs>
          <w:tab w:val="left" w:pos="8222"/>
        </w:tabs>
        <w:ind w:left="851"/>
        <w:rPr>
          <w:sz w:val="24"/>
          <w:szCs w:val="24"/>
        </w:rPr>
      </w:pPr>
    </w:p>
    <w:p w:rsidR="00FB7EB1" w:rsidRPr="00AD278C" w:rsidRDefault="00FB7EB1" w:rsidP="00FB7EB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AD278C">
        <w:rPr>
          <w:b/>
          <w:sz w:val="24"/>
          <w:szCs w:val="24"/>
        </w:rPr>
        <w:t>5.1</w:t>
      </w:r>
      <w:r w:rsidRPr="00AD278C">
        <w:rPr>
          <w:b/>
          <w:sz w:val="24"/>
          <w:szCs w:val="24"/>
        </w:rPr>
        <w:tab/>
      </w:r>
      <w:proofErr w:type="spellStart"/>
      <w:r w:rsidRPr="00AD278C">
        <w:rPr>
          <w:b/>
          <w:sz w:val="24"/>
          <w:szCs w:val="24"/>
        </w:rPr>
        <w:t>Farmakodynamiske</w:t>
      </w:r>
      <w:proofErr w:type="spellEnd"/>
      <w:r w:rsidRPr="00AD278C">
        <w:rPr>
          <w:b/>
          <w:sz w:val="24"/>
          <w:szCs w:val="24"/>
        </w:rPr>
        <w:t xml:space="preserve"> egenskaber</w:t>
      </w:r>
    </w:p>
    <w:p w:rsidR="00FB7EB1" w:rsidRPr="00AD278C" w:rsidRDefault="00FB7EB1" w:rsidP="00FB7EB1">
      <w:pPr>
        <w:ind w:left="851"/>
        <w:rPr>
          <w:bCs/>
          <w:sz w:val="24"/>
          <w:szCs w:val="24"/>
        </w:rPr>
      </w:pPr>
      <w:proofErr w:type="spellStart"/>
      <w:r w:rsidRPr="00AD278C">
        <w:rPr>
          <w:sz w:val="24"/>
          <w:szCs w:val="24"/>
          <w:lang w:val="da"/>
        </w:rPr>
        <w:t>Tiamulin</w:t>
      </w:r>
      <w:proofErr w:type="spellEnd"/>
      <w:r w:rsidRPr="00AD278C">
        <w:rPr>
          <w:sz w:val="24"/>
          <w:szCs w:val="24"/>
          <w:lang w:val="da"/>
        </w:rPr>
        <w:t xml:space="preserve"> er et </w:t>
      </w:r>
      <w:proofErr w:type="spellStart"/>
      <w:r w:rsidRPr="00AD278C">
        <w:rPr>
          <w:sz w:val="24"/>
          <w:szCs w:val="24"/>
          <w:lang w:val="da"/>
        </w:rPr>
        <w:t>bakteriostatisk</w:t>
      </w:r>
      <w:proofErr w:type="spellEnd"/>
      <w:r w:rsidRPr="00AD278C">
        <w:rPr>
          <w:sz w:val="24"/>
          <w:szCs w:val="24"/>
          <w:lang w:val="da"/>
        </w:rPr>
        <w:t xml:space="preserve"> semisyntetisk antibiotikum, som tilhører </w:t>
      </w:r>
      <w:proofErr w:type="spellStart"/>
      <w:r w:rsidRPr="00AD278C">
        <w:rPr>
          <w:sz w:val="24"/>
          <w:szCs w:val="24"/>
          <w:lang w:val="da"/>
        </w:rPr>
        <w:t>pleuromutilingruppen</w:t>
      </w:r>
      <w:proofErr w:type="spellEnd"/>
      <w:r w:rsidRPr="00AD278C">
        <w:rPr>
          <w:sz w:val="24"/>
          <w:szCs w:val="24"/>
          <w:lang w:val="da"/>
        </w:rPr>
        <w:t xml:space="preserve"> af antibiotika, og som virker på det ribosomale niveau, hvor det hæmmer den bakterielle proteinsyntese.</w:t>
      </w:r>
    </w:p>
    <w:p w:rsidR="00FB7EB1" w:rsidRPr="00AD278C" w:rsidRDefault="00FB7EB1" w:rsidP="00FB7EB1">
      <w:pPr>
        <w:ind w:left="851"/>
        <w:rPr>
          <w:bCs/>
          <w:sz w:val="24"/>
          <w:szCs w:val="24"/>
        </w:rPr>
      </w:pPr>
    </w:p>
    <w:p w:rsidR="00FB7EB1" w:rsidRPr="00AD278C" w:rsidRDefault="00FB7EB1" w:rsidP="00FB7EB1">
      <w:pPr>
        <w:ind w:left="851"/>
        <w:rPr>
          <w:bCs/>
          <w:sz w:val="24"/>
          <w:szCs w:val="24"/>
        </w:rPr>
      </w:pPr>
      <w:proofErr w:type="spellStart"/>
      <w:r w:rsidRPr="00AD278C">
        <w:rPr>
          <w:sz w:val="24"/>
          <w:szCs w:val="24"/>
        </w:rPr>
        <w:t>Tiamulin</w:t>
      </w:r>
      <w:proofErr w:type="spellEnd"/>
      <w:r w:rsidRPr="00AD278C">
        <w:rPr>
          <w:sz w:val="24"/>
          <w:szCs w:val="24"/>
        </w:rPr>
        <w:t xml:space="preserve"> har udvist et højt niveau af</w:t>
      </w:r>
      <w:r w:rsidRPr="00AD278C">
        <w:rPr>
          <w:i/>
          <w:iCs/>
          <w:sz w:val="24"/>
          <w:szCs w:val="24"/>
        </w:rPr>
        <w:t xml:space="preserve"> in </w:t>
      </w:r>
      <w:proofErr w:type="spellStart"/>
      <w:r w:rsidRPr="00AD278C">
        <w:rPr>
          <w:i/>
          <w:iCs/>
          <w:sz w:val="24"/>
          <w:szCs w:val="24"/>
        </w:rPr>
        <w:t>vitro</w:t>
      </w:r>
      <w:proofErr w:type="spellEnd"/>
      <w:r w:rsidRPr="00AD278C">
        <w:rPr>
          <w:sz w:val="24"/>
          <w:szCs w:val="24"/>
        </w:rPr>
        <w:t xml:space="preserve">-aktivitet over for </w:t>
      </w:r>
      <w:proofErr w:type="spellStart"/>
      <w:r w:rsidRPr="00AD278C">
        <w:rPr>
          <w:sz w:val="24"/>
          <w:szCs w:val="24"/>
        </w:rPr>
        <w:t>porcine</w:t>
      </w:r>
      <w:proofErr w:type="spellEnd"/>
      <w:r w:rsidRPr="00AD278C">
        <w:rPr>
          <w:sz w:val="24"/>
          <w:szCs w:val="24"/>
        </w:rPr>
        <w:t xml:space="preserve"> og </w:t>
      </w:r>
      <w:proofErr w:type="spellStart"/>
      <w:r w:rsidRPr="00AD278C">
        <w:rPr>
          <w:sz w:val="24"/>
          <w:szCs w:val="24"/>
        </w:rPr>
        <w:t>aviære</w:t>
      </w:r>
      <w:proofErr w:type="spellEnd"/>
      <w:r w:rsidRPr="00AD278C">
        <w:rPr>
          <w:sz w:val="24"/>
          <w:szCs w:val="24"/>
        </w:rPr>
        <w:t xml:space="preserve"> </w:t>
      </w:r>
      <w:proofErr w:type="spellStart"/>
      <w:r w:rsidRPr="00AD278C">
        <w:rPr>
          <w:i/>
          <w:iCs/>
          <w:sz w:val="24"/>
          <w:szCs w:val="24"/>
        </w:rPr>
        <w:t>Mycoplasma</w:t>
      </w:r>
      <w:proofErr w:type="spellEnd"/>
      <w:r w:rsidRPr="00AD278C">
        <w:rPr>
          <w:sz w:val="24"/>
          <w:szCs w:val="24"/>
        </w:rPr>
        <w:t>-arter samt gramnegative anaerobe bakterier (</w:t>
      </w:r>
      <w:proofErr w:type="spellStart"/>
      <w:r w:rsidRPr="00AD278C">
        <w:rPr>
          <w:i/>
          <w:iCs/>
          <w:sz w:val="24"/>
          <w:szCs w:val="24"/>
        </w:rPr>
        <w:t>Brachyspira</w:t>
      </w:r>
      <w:proofErr w:type="spellEnd"/>
      <w:r w:rsidRPr="00AD278C">
        <w:rPr>
          <w:i/>
          <w:iCs/>
          <w:sz w:val="24"/>
          <w:szCs w:val="24"/>
        </w:rPr>
        <w:t xml:space="preserve"> </w:t>
      </w:r>
      <w:proofErr w:type="spellStart"/>
      <w:r w:rsidRPr="00AD278C">
        <w:rPr>
          <w:i/>
          <w:iCs/>
          <w:sz w:val="24"/>
          <w:szCs w:val="24"/>
        </w:rPr>
        <w:t>hyodysenteriae</w:t>
      </w:r>
      <w:proofErr w:type="spellEnd"/>
      <w:r w:rsidRPr="00AD278C">
        <w:rPr>
          <w:i/>
          <w:iCs/>
          <w:sz w:val="24"/>
          <w:szCs w:val="24"/>
        </w:rPr>
        <w:t xml:space="preserve">, </w:t>
      </w:r>
      <w:proofErr w:type="spellStart"/>
      <w:r w:rsidRPr="00AD278C">
        <w:rPr>
          <w:i/>
          <w:iCs/>
          <w:sz w:val="24"/>
          <w:szCs w:val="24"/>
        </w:rPr>
        <w:t>Brachyspira</w:t>
      </w:r>
      <w:proofErr w:type="spellEnd"/>
      <w:r w:rsidRPr="00AD278C">
        <w:rPr>
          <w:i/>
          <w:iCs/>
          <w:sz w:val="24"/>
          <w:szCs w:val="24"/>
        </w:rPr>
        <w:t xml:space="preserve"> </w:t>
      </w:r>
      <w:proofErr w:type="spellStart"/>
      <w:r w:rsidRPr="00AD278C">
        <w:rPr>
          <w:i/>
          <w:iCs/>
          <w:sz w:val="24"/>
          <w:szCs w:val="24"/>
        </w:rPr>
        <w:t>pilosicoli</w:t>
      </w:r>
      <w:proofErr w:type="spellEnd"/>
      <w:r w:rsidRPr="00AD278C">
        <w:rPr>
          <w:sz w:val="24"/>
          <w:szCs w:val="24"/>
        </w:rPr>
        <w:t>) og gramnegative aerobe bakterier (</w:t>
      </w:r>
      <w:proofErr w:type="spellStart"/>
      <w:r w:rsidRPr="00AD278C">
        <w:rPr>
          <w:i/>
          <w:iCs/>
          <w:sz w:val="24"/>
          <w:szCs w:val="24"/>
        </w:rPr>
        <w:t>Actinobacillus</w:t>
      </w:r>
      <w:proofErr w:type="spellEnd"/>
      <w:r w:rsidRPr="00AD278C">
        <w:rPr>
          <w:i/>
          <w:iCs/>
          <w:sz w:val="24"/>
          <w:szCs w:val="24"/>
        </w:rPr>
        <w:t xml:space="preserve"> </w:t>
      </w:r>
      <w:proofErr w:type="spellStart"/>
      <w:r w:rsidRPr="00AD278C">
        <w:rPr>
          <w:i/>
          <w:iCs/>
          <w:sz w:val="24"/>
          <w:szCs w:val="24"/>
        </w:rPr>
        <w:t>pleuropneumoniae</w:t>
      </w:r>
      <w:proofErr w:type="spellEnd"/>
      <w:r w:rsidRPr="00AD278C">
        <w:rPr>
          <w:sz w:val="24"/>
          <w:szCs w:val="24"/>
        </w:rPr>
        <w:t xml:space="preserve"> og </w:t>
      </w:r>
      <w:proofErr w:type="spellStart"/>
      <w:r w:rsidRPr="00AD278C">
        <w:rPr>
          <w:i/>
          <w:iCs/>
          <w:sz w:val="24"/>
          <w:szCs w:val="24"/>
        </w:rPr>
        <w:t>Pasteurella</w:t>
      </w:r>
      <w:proofErr w:type="spellEnd"/>
      <w:r w:rsidRPr="00AD278C">
        <w:rPr>
          <w:i/>
          <w:iCs/>
          <w:sz w:val="24"/>
          <w:szCs w:val="24"/>
        </w:rPr>
        <w:t xml:space="preserve"> </w:t>
      </w:r>
      <w:proofErr w:type="spellStart"/>
      <w:r w:rsidRPr="00AD278C">
        <w:rPr>
          <w:i/>
          <w:iCs/>
          <w:sz w:val="24"/>
          <w:szCs w:val="24"/>
        </w:rPr>
        <w:t>multocida</w:t>
      </w:r>
      <w:proofErr w:type="spellEnd"/>
      <w:r w:rsidRPr="00AD278C">
        <w:rPr>
          <w:sz w:val="24"/>
          <w:szCs w:val="24"/>
        </w:rPr>
        <w:t>).</w:t>
      </w:r>
    </w:p>
    <w:p w:rsidR="00FB7EB1" w:rsidRPr="00AD278C" w:rsidRDefault="00FB7EB1" w:rsidP="00FB7EB1">
      <w:pPr>
        <w:ind w:left="851"/>
        <w:rPr>
          <w:bCs/>
          <w:sz w:val="24"/>
          <w:szCs w:val="24"/>
        </w:rPr>
      </w:pPr>
    </w:p>
    <w:p w:rsidR="00FB7EB1" w:rsidRPr="00AD278C" w:rsidRDefault="00FB7EB1" w:rsidP="00FB7EB1">
      <w:pPr>
        <w:ind w:left="851"/>
        <w:rPr>
          <w:bCs/>
          <w:sz w:val="24"/>
          <w:szCs w:val="24"/>
          <w:lang w:val="da"/>
        </w:rPr>
      </w:pPr>
      <w:r w:rsidRPr="00AD278C">
        <w:rPr>
          <w:sz w:val="24"/>
          <w:szCs w:val="24"/>
          <w:lang w:val="da"/>
        </w:rPr>
        <w:t xml:space="preserve">Det er blevet påvist, at </w:t>
      </w:r>
      <w:proofErr w:type="spellStart"/>
      <w:r w:rsidRPr="00AD278C">
        <w:rPr>
          <w:sz w:val="24"/>
          <w:szCs w:val="24"/>
          <w:lang w:val="da"/>
        </w:rPr>
        <w:t>tiamulin</w:t>
      </w:r>
      <w:proofErr w:type="spellEnd"/>
      <w:r w:rsidRPr="00AD278C">
        <w:rPr>
          <w:sz w:val="24"/>
          <w:szCs w:val="24"/>
          <w:lang w:val="da"/>
        </w:rPr>
        <w:t xml:space="preserve"> fungerer på 70S-ribosomniveauet, og det primære bindingssted er på 50S-underenheden. </w:t>
      </w:r>
      <w:proofErr w:type="spellStart"/>
      <w:r w:rsidRPr="00AD278C">
        <w:rPr>
          <w:sz w:val="24"/>
          <w:szCs w:val="24"/>
          <w:lang w:val="da"/>
        </w:rPr>
        <w:t>Tiamulin</w:t>
      </w:r>
      <w:proofErr w:type="spellEnd"/>
      <w:r w:rsidRPr="00AD278C">
        <w:rPr>
          <w:sz w:val="24"/>
          <w:szCs w:val="24"/>
          <w:lang w:val="da"/>
        </w:rPr>
        <w:t xml:space="preserve"> synes at hæmme den mikrobielle proteinproduktion ved at producere biokemiske inaktive initieringskomplekser, som forhindrer forlængelse af polypeptidkæden.</w:t>
      </w:r>
    </w:p>
    <w:p w:rsidR="00FB7EB1" w:rsidRPr="00AD278C" w:rsidRDefault="00FB7EB1" w:rsidP="00FB7EB1">
      <w:pPr>
        <w:ind w:left="851"/>
        <w:rPr>
          <w:bCs/>
          <w:sz w:val="24"/>
          <w:szCs w:val="24"/>
          <w:lang w:val="da"/>
        </w:rPr>
      </w:pPr>
    </w:p>
    <w:p w:rsidR="00FB7EB1" w:rsidRPr="00AD278C" w:rsidRDefault="00FB7EB1" w:rsidP="00FB7EB1">
      <w:pPr>
        <w:ind w:left="851"/>
        <w:rPr>
          <w:bCs/>
          <w:sz w:val="24"/>
          <w:szCs w:val="24"/>
        </w:rPr>
      </w:pPr>
      <w:r w:rsidRPr="00AD278C">
        <w:rPr>
          <w:sz w:val="24"/>
          <w:szCs w:val="24"/>
          <w:lang w:val="da"/>
        </w:rPr>
        <w:t xml:space="preserve">Baktericide koncentrationer kan opnås, men varierer alt efter bakterien. Koncentrationen kan være så lille som to gange MIC for </w:t>
      </w:r>
      <w:proofErr w:type="spellStart"/>
      <w:r w:rsidRPr="00AD278C">
        <w:rPr>
          <w:i/>
          <w:iCs/>
          <w:sz w:val="24"/>
          <w:szCs w:val="24"/>
          <w:lang w:val="da"/>
        </w:rPr>
        <w:t>Brachyspira</w:t>
      </w:r>
      <w:proofErr w:type="spellEnd"/>
      <w:r w:rsidRPr="00AD278C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AD278C">
        <w:rPr>
          <w:i/>
          <w:iCs/>
          <w:sz w:val="24"/>
          <w:szCs w:val="24"/>
          <w:lang w:val="da"/>
        </w:rPr>
        <w:t>hyodysenteriae</w:t>
      </w:r>
      <w:proofErr w:type="spellEnd"/>
      <w:r w:rsidRPr="00AD278C">
        <w:rPr>
          <w:sz w:val="24"/>
          <w:szCs w:val="24"/>
          <w:lang w:val="da"/>
        </w:rPr>
        <w:t xml:space="preserve"> og </w:t>
      </w:r>
      <w:proofErr w:type="spellStart"/>
      <w:r w:rsidRPr="00AD278C">
        <w:rPr>
          <w:i/>
          <w:iCs/>
          <w:sz w:val="24"/>
          <w:szCs w:val="24"/>
          <w:lang w:val="da"/>
        </w:rPr>
        <w:t>Actinobacillus</w:t>
      </w:r>
      <w:proofErr w:type="spellEnd"/>
      <w:r w:rsidRPr="00AD278C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AD278C">
        <w:rPr>
          <w:i/>
          <w:iCs/>
          <w:sz w:val="24"/>
          <w:szCs w:val="24"/>
          <w:lang w:val="da"/>
        </w:rPr>
        <w:t>pleuropneumoniae</w:t>
      </w:r>
      <w:proofErr w:type="spellEnd"/>
      <w:r w:rsidRPr="00AD278C">
        <w:rPr>
          <w:sz w:val="24"/>
          <w:szCs w:val="24"/>
          <w:lang w:val="da"/>
        </w:rPr>
        <w:t xml:space="preserve">, men så høj som 50-100 gange det </w:t>
      </w:r>
      <w:proofErr w:type="spellStart"/>
      <w:r w:rsidRPr="00AD278C">
        <w:rPr>
          <w:sz w:val="24"/>
          <w:szCs w:val="24"/>
          <w:lang w:val="da"/>
        </w:rPr>
        <w:t>bakteriostatiske</w:t>
      </w:r>
      <w:proofErr w:type="spellEnd"/>
      <w:r w:rsidRPr="00AD278C">
        <w:rPr>
          <w:sz w:val="24"/>
          <w:szCs w:val="24"/>
          <w:lang w:val="da"/>
        </w:rPr>
        <w:t xml:space="preserve"> niveau for </w:t>
      </w:r>
      <w:proofErr w:type="spellStart"/>
      <w:r w:rsidRPr="00AD278C">
        <w:rPr>
          <w:i/>
          <w:iCs/>
          <w:sz w:val="24"/>
          <w:szCs w:val="24"/>
          <w:lang w:val="da"/>
        </w:rPr>
        <w:t>Staphylococcus</w:t>
      </w:r>
      <w:proofErr w:type="spellEnd"/>
      <w:r w:rsidRPr="00AD278C">
        <w:rPr>
          <w:i/>
          <w:iCs/>
          <w:sz w:val="24"/>
          <w:szCs w:val="24"/>
          <w:lang w:val="da"/>
        </w:rPr>
        <w:t xml:space="preserve"> aureus</w:t>
      </w:r>
      <w:r w:rsidRPr="00AD278C">
        <w:rPr>
          <w:sz w:val="24"/>
          <w:szCs w:val="24"/>
          <w:lang w:val="da"/>
        </w:rPr>
        <w:t xml:space="preserve">. MIC-fordelingen for </w:t>
      </w:r>
      <w:proofErr w:type="spellStart"/>
      <w:r w:rsidRPr="00AD278C">
        <w:rPr>
          <w:sz w:val="24"/>
          <w:szCs w:val="24"/>
          <w:lang w:val="da"/>
        </w:rPr>
        <w:t>tiamulin</w:t>
      </w:r>
      <w:proofErr w:type="spellEnd"/>
      <w:r w:rsidRPr="00AD278C">
        <w:rPr>
          <w:sz w:val="24"/>
          <w:szCs w:val="24"/>
          <w:lang w:val="da"/>
        </w:rPr>
        <w:t xml:space="preserve"> over for </w:t>
      </w:r>
      <w:proofErr w:type="spellStart"/>
      <w:r w:rsidRPr="00AD278C">
        <w:rPr>
          <w:i/>
          <w:iCs/>
          <w:sz w:val="24"/>
          <w:szCs w:val="24"/>
          <w:lang w:val="da"/>
        </w:rPr>
        <w:t>Brachyspira</w:t>
      </w:r>
      <w:proofErr w:type="spellEnd"/>
      <w:r w:rsidRPr="00AD278C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AD278C">
        <w:rPr>
          <w:i/>
          <w:iCs/>
          <w:sz w:val="24"/>
          <w:szCs w:val="24"/>
          <w:lang w:val="da"/>
        </w:rPr>
        <w:t>hyodysenteriae</w:t>
      </w:r>
      <w:proofErr w:type="spellEnd"/>
      <w:r w:rsidRPr="00AD278C">
        <w:rPr>
          <w:sz w:val="24"/>
          <w:szCs w:val="24"/>
          <w:lang w:val="da"/>
        </w:rPr>
        <w:t xml:space="preserve"> er </w:t>
      </w:r>
      <w:proofErr w:type="spellStart"/>
      <w:r w:rsidRPr="00AD278C">
        <w:rPr>
          <w:sz w:val="24"/>
          <w:szCs w:val="24"/>
          <w:lang w:val="da"/>
        </w:rPr>
        <w:t>bimodal</w:t>
      </w:r>
      <w:proofErr w:type="spellEnd"/>
      <w:r w:rsidRPr="00AD278C">
        <w:rPr>
          <w:sz w:val="24"/>
          <w:szCs w:val="24"/>
          <w:lang w:val="da"/>
        </w:rPr>
        <w:t xml:space="preserve">, hvilket tyder på nedsat følsomhed over for </w:t>
      </w:r>
      <w:proofErr w:type="spellStart"/>
      <w:r w:rsidRPr="00AD278C">
        <w:rPr>
          <w:sz w:val="24"/>
          <w:szCs w:val="24"/>
          <w:lang w:val="da"/>
        </w:rPr>
        <w:t>tiamulin</w:t>
      </w:r>
      <w:proofErr w:type="spellEnd"/>
      <w:r w:rsidRPr="00AD278C">
        <w:rPr>
          <w:sz w:val="24"/>
          <w:szCs w:val="24"/>
          <w:lang w:val="da"/>
        </w:rPr>
        <w:t xml:space="preserve"> hos visse stammer. På grund af tekniske begrænsninger er det vanskeligt at teste følsomheden af </w:t>
      </w:r>
      <w:proofErr w:type="spellStart"/>
      <w:r w:rsidRPr="00AD278C">
        <w:rPr>
          <w:i/>
          <w:iCs/>
          <w:sz w:val="24"/>
          <w:szCs w:val="24"/>
          <w:lang w:val="da"/>
        </w:rPr>
        <w:t>Lawsonia</w:t>
      </w:r>
      <w:proofErr w:type="spellEnd"/>
      <w:r w:rsidRPr="00AD278C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AD278C">
        <w:rPr>
          <w:i/>
          <w:iCs/>
          <w:sz w:val="24"/>
          <w:szCs w:val="24"/>
          <w:lang w:val="da"/>
        </w:rPr>
        <w:t>intracellularis</w:t>
      </w:r>
      <w:proofErr w:type="spellEnd"/>
      <w:r w:rsidRPr="00AD278C">
        <w:rPr>
          <w:sz w:val="24"/>
          <w:szCs w:val="24"/>
          <w:lang w:val="da"/>
        </w:rPr>
        <w:t xml:space="preserve"> </w:t>
      </w:r>
      <w:r w:rsidRPr="00AD278C">
        <w:rPr>
          <w:i/>
          <w:iCs/>
          <w:sz w:val="24"/>
          <w:szCs w:val="24"/>
          <w:lang w:val="da"/>
        </w:rPr>
        <w:t xml:space="preserve">in </w:t>
      </w:r>
      <w:proofErr w:type="spellStart"/>
      <w:r w:rsidRPr="00AD278C">
        <w:rPr>
          <w:i/>
          <w:iCs/>
          <w:sz w:val="24"/>
          <w:szCs w:val="24"/>
          <w:lang w:val="da"/>
        </w:rPr>
        <w:t>vitro</w:t>
      </w:r>
      <w:proofErr w:type="spellEnd"/>
      <w:r w:rsidRPr="00AD278C">
        <w:rPr>
          <w:sz w:val="24"/>
          <w:szCs w:val="24"/>
          <w:lang w:val="da"/>
        </w:rPr>
        <w:t>.</w:t>
      </w:r>
    </w:p>
    <w:p w:rsidR="00FB7EB1" w:rsidRPr="00AD278C" w:rsidRDefault="00FB7EB1" w:rsidP="00FB7EB1">
      <w:pPr>
        <w:ind w:left="851"/>
        <w:rPr>
          <w:bCs/>
          <w:sz w:val="24"/>
          <w:szCs w:val="24"/>
        </w:rPr>
      </w:pPr>
    </w:p>
    <w:p w:rsidR="00FB7EB1" w:rsidRPr="009229D8" w:rsidRDefault="00FB7EB1" w:rsidP="00FB7EB1">
      <w:pPr>
        <w:ind w:left="851"/>
        <w:rPr>
          <w:bCs/>
          <w:sz w:val="24"/>
          <w:szCs w:val="24"/>
          <w:lang w:val="da"/>
        </w:rPr>
      </w:pPr>
      <w:r w:rsidRPr="00AD278C">
        <w:rPr>
          <w:sz w:val="24"/>
          <w:szCs w:val="24"/>
          <w:lang w:val="da"/>
        </w:rPr>
        <w:t xml:space="preserve">Resistens skyldes kromosomale mutationer i 23 </w:t>
      </w:r>
      <w:proofErr w:type="spellStart"/>
      <w:r w:rsidRPr="00AD278C">
        <w:rPr>
          <w:sz w:val="24"/>
          <w:szCs w:val="24"/>
          <w:lang w:val="da"/>
        </w:rPr>
        <w:t>rRNA</w:t>
      </w:r>
      <w:proofErr w:type="spellEnd"/>
      <w:r w:rsidRPr="00AD278C">
        <w:rPr>
          <w:sz w:val="24"/>
          <w:szCs w:val="24"/>
          <w:lang w:val="da"/>
        </w:rPr>
        <w:t xml:space="preserve">- og </w:t>
      </w:r>
      <w:proofErr w:type="spellStart"/>
      <w:r w:rsidRPr="00AD278C">
        <w:rPr>
          <w:i/>
          <w:iCs/>
          <w:sz w:val="24"/>
          <w:szCs w:val="24"/>
          <w:lang w:val="da"/>
        </w:rPr>
        <w:t>rplC</w:t>
      </w:r>
      <w:proofErr w:type="spellEnd"/>
      <w:r w:rsidRPr="00AD278C">
        <w:rPr>
          <w:i/>
          <w:iCs/>
          <w:sz w:val="24"/>
          <w:szCs w:val="24"/>
          <w:lang w:val="da"/>
        </w:rPr>
        <w:t>-genet.</w:t>
      </w:r>
      <w:r w:rsidRPr="00AD278C">
        <w:rPr>
          <w:sz w:val="24"/>
          <w:szCs w:val="24"/>
          <w:lang w:val="da"/>
        </w:rPr>
        <w:t xml:space="preserve"> Disse kromosomale mutationer opstår relativt langsomt og trinvist, og de overføres ikke horisontalt. Hertil kommer, at resistensgenerne kan lokaliseres på plasmider eller på </w:t>
      </w:r>
      <w:proofErr w:type="spellStart"/>
      <w:r w:rsidRPr="00AD278C">
        <w:rPr>
          <w:sz w:val="24"/>
          <w:szCs w:val="24"/>
          <w:lang w:val="da"/>
        </w:rPr>
        <w:t>transposoner</w:t>
      </w:r>
      <w:proofErr w:type="spellEnd"/>
      <w:r w:rsidRPr="00AD278C">
        <w:rPr>
          <w:sz w:val="24"/>
          <w:szCs w:val="24"/>
          <w:lang w:val="da"/>
        </w:rPr>
        <w:t xml:space="preserve"> som f.eks. </w:t>
      </w:r>
      <w:proofErr w:type="spellStart"/>
      <w:r w:rsidRPr="00AD278C">
        <w:rPr>
          <w:i/>
          <w:iCs/>
          <w:sz w:val="24"/>
          <w:szCs w:val="24"/>
          <w:lang w:val="da"/>
        </w:rPr>
        <w:t>vga</w:t>
      </w:r>
      <w:proofErr w:type="spellEnd"/>
      <w:r w:rsidRPr="00AD278C">
        <w:rPr>
          <w:i/>
          <w:iCs/>
          <w:sz w:val="24"/>
          <w:szCs w:val="24"/>
          <w:lang w:val="da"/>
        </w:rPr>
        <w:t>-</w:t>
      </w:r>
      <w:r w:rsidRPr="00AD278C">
        <w:rPr>
          <w:sz w:val="24"/>
          <w:szCs w:val="24"/>
          <w:lang w:val="da"/>
        </w:rPr>
        <w:t xml:space="preserve">generne og </w:t>
      </w:r>
      <w:proofErr w:type="spellStart"/>
      <w:r w:rsidRPr="00AD278C">
        <w:rPr>
          <w:i/>
          <w:iCs/>
          <w:sz w:val="24"/>
          <w:szCs w:val="24"/>
          <w:lang w:val="da"/>
        </w:rPr>
        <w:t>cfr</w:t>
      </w:r>
      <w:proofErr w:type="spellEnd"/>
      <w:r w:rsidRPr="00AD278C">
        <w:rPr>
          <w:i/>
          <w:iCs/>
          <w:sz w:val="24"/>
          <w:szCs w:val="24"/>
          <w:lang w:val="da"/>
        </w:rPr>
        <w:t>-</w:t>
      </w:r>
      <w:r w:rsidRPr="00AD278C">
        <w:rPr>
          <w:sz w:val="24"/>
          <w:szCs w:val="24"/>
          <w:lang w:val="da"/>
        </w:rPr>
        <w:t>genet. Denne type resistens kan overføres mellem bakterier og bakteriearter. Den antimikrobielle resistensmekanisme varierer afhængig af bakteriearten.</w:t>
      </w:r>
      <w:r w:rsidRPr="00AD278C">
        <w:rPr>
          <w:color w:val="000000"/>
          <w:sz w:val="24"/>
          <w:szCs w:val="24"/>
          <w:lang w:val="da"/>
        </w:rPr>
        <w:t xml:space="preserve"> </w:t>
      </w:r>
      <w:r w:rsidRPr="00AD278C">
        <w:rPr>
          <w:sz w:val="24"/>
          <w:szCs w:val="24"/>
          <w:lang w:val="da"/>
        </w:rPr>
        <w:t xml:space="preserve">Mutationer i genet for det ribosomale protein L3 og 23S ribosomalt RNA-gen, som påvirker </w:t>
      </w:r>
      <w:proofErr w:type="spellStart"/>
      <w:r w:rsidRPr="00AD278C">
        <w:rPr>
          <w:sz w:val="24"/>
          <w:szCs w:val="24"/>
          <w:lang w:val="da"/>
        </w:rPr>
        <w:t>peptidyltransferasecentrene</w:t>
      </w:r>
      <w:proofErr w:type="spellEnd"/>
      <w:r w:rsidRPr="00AD278C">
        <w:rPr>
          <w:sz w:val="24"/>
          <w:szCs w:val="24"/>
          <w:lang w:val="da"/>
        </w:rPr>
        <w:t xml:space="preserve"> er associeret med nedsat følsomhed over for </w:t>
      </w:r>
      <w:proofErr w:type="spellStart"/>
      <w:r w:rsidRPr="00AD278C">
        <w:rPr>
          <w:sz w:val="24"/>
          <w:szCs w:val="24"/>
          <w:lang w:val="da"/>
        </w:rPr>
        <w:t>tiamulin</w:t>
      </w:r>
      <w:proofErr w:type="spellEnd"/>
      <w:r w:rsidRPr="00AD278C">
        <w:rPr>
          <w:sz w:val="24"/>
          <w:szCs w:val="24"/>
          <w:lang w:val="da"/>
        </w:rPr>
        <w:t xml:space="preserve"> i </w:t>
      </w:r>
      <w:proofErr w:type="spellStart"/>
      <w:r w:rsidRPr="00AD278C">
        <w:rPr>
          <w:i/>
          <w:iCs/>
          <w:sz w:val="24"/>
          <w:szCs w:val="24"/>
          <w:lang w:val="da"/>
        </w:rPr>
        <w:t>Brachyspira</w:t>
      </w:r>
      <w:proofErr w:type="spellEnd"/>
      <w:r w:rsidRPr="00AD278C">
        <w:rPr>
          <w:sz w:val="24"/>
          <w:szCs w:val="24"/>
          <w:lang w:val="da"/>
        </w:rPr>
        <w:t xml:space="preserve">-arter. Mutationer i 23S ribosomalt RNA-gen er også associeret med </w:t>
      </w:r>
      <w:proofErr w:type="spellStart"/>
      <w:r w:rsidRPr="00AD278C">
        <w:rPr>
          <w:sz w:val="24"/>
          <w:szCs w:val="24"/>
          <w:lang w:val="da"/>
        </w:rPr>
        <w:t>tiamulinresistens</w:t>
      </w:r>
      <w:proofErr w:type="spellEnd"/>
      <w:r w:rsidRPr="00AD278C">
        <w:rPr>
          <w:sz w:val="24"/>
          <w:szCs w:val="24"/>
          <w:lang w:val="da"/>
        </w:rPr>
        <w:t xml:space="preserve"> i </w:t>
      </w:r>
      <w:proofErr w:type="spellStart"/>
      <w:r w:rsidRPr="00AD278C">
        <w:rPr>
          <w:i/>
          <w:iCs/>
          <w:sz w:val="24"/>
          <w:szCs w:val="24"/>
          <w:lang w:val="da"/>
        </w:rPr>
        <w:t>Mycoplasma</w:t>
      </w:r>
      <w:proofErr w:type="spellEnd"/>
      <w:r w:rsidRPr="00AD278C">
        <w:rPr>
          <w:sz w:val="24"/>
          <w:szCs w:val="24"/>
          <w:lang w:val="da"/>
        </w:rPr>
        <w:t>-arter.</w:t>
      </w:r>
    </w:p>
    <w:p w:rsidR="00FB7EB1" w:rsidRDefault="00FB7EB1" w:rsidP="00FB7EB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B7EB1" w:rsidRPr="00AD278C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AD278C" w:rsidRDefault="00FB7EB1" w:rsidP="00FB7EB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AD278C">
        <w:rPr>
          <w:b/>
          <w:sz w:val="24"/>
          <w:szCs w:val="24"/>
        </w:rPr>
        <w:t>5.2</w:t>
      </w:r>
      <w:r w:rsidRPr="00AD278C">
        <w:rPr>
          <w:b/>
          <w:sz w:val="24"/>
          <w:szCs w:val="24"/>
        </w:rPr>
        <w:tab/>
      </w:r>
      <w:proofErr w:type="spellStart"/>
      <w:r w:rsidRPr="00AD278C">
        <w:rPr>
          <w:b/>
          <w:sz w:val="24"/>
          <w:szCs w:val="24"/>
        </w:rPr>
        <w:t>Farmakokinetiske</w:t>
      </w:r>
      <w:proofErr w:type="spellEnd"/>
      <w:r w:rsidRPr="00AD278C">
        <w:rPr>
          <w:b/>
          <w:sz w:val="24"/>
          <w:szCs w:val="24"/>
        </w:rPr>
        <w:t xml:space="preserve"> egenskaber</w:t>
      </w:r>
    </w:p>
    <w:p w:rsidR="00FB7EB1" w:rsidRDefault="00FB7EB1" w:rsidP="00FB7EB1">
      <w:pPr>
        <w:ind w:left="851"/>
        <w:rPr>
          <w:sz w:val="24"/>
          <w:szCs w:val="24"/>
          <w:u w:val="single"/>
          <w:lang w:val="da"/>
        </w:rPr>
      </w:pPr>
    </w:p>
    <w:p w:rsidR="00FB7EB1" w:rsidRPr="009229D8" w:rsidRDefault="00FB7EB1" w:rsidP="00FB7EB1">
      <w:pPr>
        <w:ind w:left="851"/>
        <w:rPr>
          <w:bCs/>
          <w:sz w:val="24"/>
          <w:szCs w:val="24"/>
          <w:u w:val="single"/>
        </w:rPr>
      </w:pPr>
      <w:r>
        <w:rPr>
          <w:sz w:val="24"/>
          <w:szCs w:val="24"/>
          <w:u w:val="single"/>
          <w:lang w:val="da"/>
        </w:rPr>
        <w:t>Svin</w:t>
      </w:r>
    </w:p>
    <w:p w:rsidR="00FB7EB1" w:rsidRPr="009229D8" w:rsidRDefault="00FB7EB1" w:rsidP="00FB7EB1">
      <w:pPr>
        <w:ind w:left="851"/>
        <w:rPr>
          <w:bCs/>
          <w:sz w:val="24"/>
          <w:szCs w:val="24"/>
          <w:lang w:val="da"/>
        </w:rPr>
      </w:pPr>
      <w:proofErr w:type="spellStart"/>
      <w:r w:rsidRPr="009229D8">
        <w:rPr>
          <w:sz w:val="24"/>
          <w:szCs w:val="24"/>
          <w:lang w:val="da"/>
        </w:rPr>
        <w:t>Tiamulinhydrogenfumarat</w:t>
      </w:r>
      <w:proofErr w:type="spellEnd"/>
      <w:r w:rsidRPr="009229D8">
        <w:rPr>
          <w:sz w:val="24"/>
          <w:szCs w:val="24"/>
          <w:lang w:val="da"/>
        </w:rPr>
        <w:t xml:space="preserve"> absorberes godt hos grise (over 90 %) efter oral administration og fordeles ud i hele kroppen. Efter en enkelt oral dosis på 10 mg og 25 mg </w:t>
      </w:r>
      <w:proofErr w:type="spellStart"/>
      <w:r w:rsidRPr="009229D8">
        <w:rPr>
          <w:sz w:val="24"/>
          <w:szCs w:val="24"/>
          <w:lang w:val="da"/>
        </w:rPr>
        <w:t>tiamulinhydrogenfumarat</w:t>
      </w:r>
      <w:proofErr w:type="spellEnd"/>
      <w:r w:rsidRPr="009229D8">
        <w:rPr>
          <w:sz w:val="24"/>
          <w:szCs w:val="24"/>
          <w:lang w:val="da"/>
        </w:rPr>
        <w:t xml:space="preserve">/kg kropsvægt var </w:t>
      </w:r>
      <w:proofErr w:type="spellStart"/>
      <w:r w:rsidRPr="009229D8">
        <w:rPr>
          <w:sz w:val="24"/>
          <w:szCs w:val="24"/>
          <w:lang w:val="da"/>
        </w:rPr>
        <w:t>C</w:t>
      </w:r>
      <w:r w:rsidRPr="009229D8">
        <w:rPr>
          <w:sz w:val="24"/>
          <w:szCs w:val="24"/>
          <w:vertAlign w:val="subscript"/>
          <w:lang w:val="da"/>
        </w:rPr>
        <w:t>max</w:t>
      </w:r>
      <w:proofErr w:type="spellEnd"/>
      <w:r w:rsidRPr="009229D8">
        <w:rPr>
          <w:sz w:val="24"/>
          <w:szCs w:val="24"/>
          <w:lang w:val="da"/>
        </w:rPr>
        <w:t xml:space="preserve"> henholdsvis 1,03 µg/ml og 1,82 µg/ml i serum i en mikrobiologisk analyse, og </w:t>
      </w:r>
      <w:proofErr w:type="spellStart"/>
      <w:r w:rsidRPr="009229D8">
        <w:rPr>
          <w:sz w:val="24"/>
          <w:szCs w:val="24"/>
          <w:lang w:val="da"/>
        </w:rPr>
        <w:t>Tmax</w:t>
      </w:r>
      <w:proofErr w:type="spellEnd"/>
      <w:r w:rsidRPr="009229D8">
        <w:rPr>
          <w:sz w:val="24"/>
          <w:szCs w:val="24"/>
          <w:lang w:val="da"/>
        </w:rPr>
        <w:t xml:space="preserve"> var 2 timer for begge. Det er påvist, at det koncentrerer sig i lungerne, de </w:t>
      </w:r>
      <w:proofErr w:type="spellStart"/>
      <w:r w:rsidRPr="009229D8">
        <w:rPr>
          <w:sz w:val="24"/>
          <w:szCs w:val="24"/>
          <w:lang w:val="da"/>
        </w:rPr>
        <w:t>polymorfnukleære</w:t>
      </w:r>
      <w:proofErr w:type="spellEnd"/>
      <w:r w:rsidRPr="009229D8">
        <w:rPr>
          <w:sz w:val="24"/>
          <w:szCs w:val="24"/>
          <w:lang w:val="da"/>
        </w:rPr>
        <w:t xml:space="preserve"> leukocytter og også i leveren, hvor det </w:t>
      </w:r>
      <w:proofErr w:type="spellStart"/>
      <w:r w:rsidRPr="009229D8">
        <w:rPr>
          <w:sz w:val="24"/>
          <w:szCs w:val="24"/>
          <w:lang w:val="da"/>
        </w:rPr>
        <w:t>metaboliseres</w:t>
      </w:r>
      <w:proofErr w:type="spellEnd"/>
      <w:r w:rsidRPr="009229D8">
        <w:rPr>
          <w:sz w:val="24"/>
          <w:szCs w:val="24"/>
          <w:lang w:val="da"/>
        </w:rPr>
        <w:t xml:space="preserve"> og udskilles (70-85 %) i galden, resten udskilles via nyrerne (15-30 %). Serumproteinbindingen er ca. 30 %. </w:t>
      </w:r>
      <w:proofErr w:type="spellStart"/>
      <w:r w:rsidRPr="009229D8">
        <w:rPr>
          <w:sz w:val="24"/>
          <w:szCs w:val="24"/>
          <w:lang w:val="da"/>
        </w:rPr>
        <w:t>Tiamulin</w:t>
      </w:r>
      <w:proofErr w:type="spellEnd"/>
      <w:r w:rsidRPr="009229D8">
        <w:rPr>
          <w:sz w:val="24"/>
          <w:szCs w:val="24"/>
          <w:lang w:val="da"/>
        </w:rPr>
        <w:t xml:space="preserve">, som ikke er absorberet eller omsat, passerer gennem tarmene til </w:t>
      </w:r>
      <w:proofErr w:type="spellStart"/>
      <w:r w:rsidRPr="009229D8">
        <w:rPr>
          <w:sz w:val="24"/>
          <w:szCs w:val="24"/>
          <w:lang w:val="da"/>
        </w:rPr>
        <w:t>colon</w:t>
      </w:r>
      <w:proofErr w:type="spellEnd"/>
      <w:r w:rsidRPr="009229D8">
        <w:rPr>
          <w:sz w:val="24"/>
          <w:szCs w:val="24"/>
          <w:lang w:val="da"/>
        </w:rPr>
        <w:t xml:space="preserve">. Koncentrationen af </w:t>
      </w:r>
      <w:proofErr w:type="spellStart"/>
      <w:r w:rsidRPr="009229D8">
        <w:rPr>
          <w:sz w:val="24"/>
          <w:szCs w:val="24"/>
          <w:lang w:val="da"/>
        </w:rPr>
        <w:t>tiamulin</w:t>
      </w:r>
      <w:proofErr w:type="spellEnd"/>
      <w:r w:rsidRPr="009229D8">
        <w:rPr>
          <w:sz w:val="24"/>
          <w:szCs w:val="24"/>
          <w:lang w:val="da"/>
        </w:rPr>
        <w:t xml:space="preserve"> i </w:t>
      </w:r>
      <w:proofErr w:type="spellStart"/>
      <w:r w:rsidRPr="009229D8">
        <w:rPr>
          <w:sz w:val="24"/>
          <w:szCs w:val="24"/>
          <w:lang w:val="da"/>
        </w:rPr>
        <w:t>colon</w:t>
      </w:r>
      <w:proofErr w:type="spellEnd"/>
      <w:r w:rsidRPr="009229D8">
        <w:rPr>
          <w:sz w:val="24"/>
          <w:szCs w:val="24"/>
          <w:lang w:val="da"/>
        </w:rPr>
        <w:t xml:space="preserve"> er blevet estimeret til 3,41 µg/ml efter administration af </w:t>
      </w:r>
      <w:proofErr w:type="spellStart"/>
      <w:r w:rsidRPr="009229D8">
        <w:rPr>
          <w:sz w:val="24"/>
          <w:szCs w:val="24"/>
          <w:lang w:val="da"/>
        </w:rPr>
        <w:t>tiamulinhydrogenfumarat</w:t>
      </w:r>
      <w:proofErr w:type="spellEnd"/>
      <w:r w:rsidRPr="009229D8">
        <w:rPr>
          <w:sz w:val="24"/>
          <w:szCs w:val="24"/>
          <w:lang w:val="da"/>
        </w:rPr>
        <w:t xml:space="preserve"> med 8,8 mg/kg kropsvægt.</w:t>
      </w:r>
    </w:p>
    <w:p w:rsidR="00FB7EB1" w:rsidRPr="009229D8" w:rsidRDefault="00FB7EB1" w:rsidP="00FB7EB1">
      <w:pPr>
        <w:ind w:left="851"/>
        <w:rPr>
          <w:bCs/>
          <w:sz w:val="24"/>
          <w:szCs w:val="24"/>
          <w:u w:val="single"/>
          <w:lang w:val="da"/>
        </w:rPr>
      </w:pPr>
    </w:p>
    <w:p w:rsidR="00FB7EB1" w:rsidRPr="009229D8" w:rsidRDefault="00FB7EB1" w:rsidP="00FB7EB1">
      <w:pPr>
        <w:ind w:left="851"/>
        <w:rPr>
          <w:bCs/>
          <w:sz w:val="24"/>
          <w:szCs w:val="24"/>
          <w:u w:val="single"/>
          <w:lang w:val="da"/>
        </w:rPr>
      </w:pPr>
      <w:r w:rsidRPr="009229D8">
        <w:rPr>
          <w:sz w:val="24"/>
          <w:szCs w:val="24"/>
          <w:u w:val="single"/>
          <w:lang w:val="da"/>
        </w:rPr>
        <w:t>Kyllinger</w:t>
      </w:r>
    </w:p>
    <w:p w:rsidR="00FB7EB1" w:rsidRPr="009229D8" w:rsidRDefault="00FB7EB1" w:rsidP="00FB7EB1">
      <w:pPr>
        <w:ind w:left="851"/>
        <w:rPr>
          <w:bCs/>
          <w:sz w:val="24"/>
          <w:szCs w:val="24"/>
        </w:rPr>
      </w:pPr>
      <w:proofErr w:type="spellStart"/>
      <w:r w:rsidRPr="009229D8">
        <w:rPr>
          <w:sz w:val="24"/>
          <w:szCs w:val="24"/>
          <w:lang w:val="da"/>
        </w:rPr>
        <w:t>Tiamulinhydrogenfumarat</w:t>
      </w:r>
      <w:proofErr w:type="spellEnd"/>
      <w:r w:rsidRPr="009229D8">
        <w:rPr>
          <w:sz w:val="24"/>
          <w:szCs w:val="24"/>
          <w:lang w:val="da"/>
        </w:rPr>
        <w:t xml:space="preserve"> absorberes godt hos kyllinger (70-95 %) efter oral administration og når maksimale koncentrationer inden for 2-4 timer (</w:t>
      </w:r>
      <w:proofErr w:type="spellStart"/>
      <w:r w:rsidRPr="009229D8">
        <w:rPr>
          <w:sz w:val="24"/>
          <w:szCs w:val="24"/>
          <w:lang w:val="da"/>
        </w:rPr>
        <w:t>T</w:t>
      </w:r>
      <w:r w:rsidRPr="009229D8">
        <w:rPr>
          <w:sz w:val="24"/>
          <w:szCs w:val="24"/>
          <w:vertAlign w:val="subscript"/>
          <w:lang w:val="da"/>
        </w:rPr>
        <w:t>max</w:t>
      </w:r>
      <w:proofErr w:type="spellEnd"/>
      <w:r w:rsidRPr="009229D8">
        <w:rPr>
          <w:sz w:val="24"/>
          <w:szCs w:val="24"/>
          <w:lang w:val="da"/>
        </w:rPr>
        <w:t xml:space="preserve"> 2,85 timer). Efter en enkelt dosis på 50 mg </w:t>
      </w:r>
      <w:proofErr w:type="spellStart"/>
      <w:r w:rsidRPr="009229D8">
        <w:rPr>
          <w:sz w:val="24"/>
          <w:szCs w:val="24"/>
          <w:lang w:val="da"/>
        </w:rPr>
        <w:t>tiamulinhydrogenfumarat</w:t>
      </w:r>
      <w:proofErr w:type="spellEnd"/>
      <w:r w:rsidRPr="009229D8">
        <w:rPr>
          <w:sz w:val="24"/>
          <w:szCs w:val="24"/>
          <w:lang w:val="da"/>
        </w:rPr>
        <w:t xml:space="preserve">/kg kropsvægt var </w:t>
      </w:r>
      <w:proofErr w:type="spellStart"/>
      <w:r w:rsidRPr="009229D8">
        <w:rPr>
          <w:sz w:val="24"/>
          <w:szCs w:val="24"/>
          <w:lang w:val="da"/>
        </w:rPr>
        <w:t>C</w:t>
      </w:r>
      <w:r w:rsidRPr="009229D8">
        <w:rPr>
          <w:sz w:val="24"/>
          <w:szCs w:val="24"/>
          <w:vertAlign w:val="subscript"/>
          <w:lang w:val="da"/>
        </w:rPr>
        <w:t>max</w:t>
      </w:r>
      <w:proofErr w:type="spellEnd"/>
      <w:r w:rsidRPr="009229D8">
        <w:rPr>
          <w:sz w:val="24"/>
          <w:szCs w:val="24"/>
          <w:lang w:val="da"/>
        </w:rPr>
        <w:t xml:space="preserve"> 4,02 µg/ml i serum i en mikrobiologisk analyse, og efter en dosis på 25 mg/kg var den 1,86 µg/ml. I drikkevand gav en koncentration på 250 ppm (0,025 %) </w:t>
      </w:r>
      <w:proofErr w:type="spellStart"/>
      <w:r w:rsidRPr="009229D8">
        <w:rPr>
          <w:sz w:val="24"/>
          <w:szCs w:val="24"/>
          <w:lang w:val="da"/>
        </w:rPr>
        <w:t>tiamulinhydrogenfumarat</w:t>
      </w:r>
      <w:proofErr w:type="spellEnd"/>
      <w:r w:rsidRPr="009229D8">
        <w:rPr>
          <w:sz w:val="24"/>
          <w:szCs w:val="24"/>
          <w:lang w:val="da"/>
        </w:rPr>
        <w:t xml:space="preserve"> en rullende serumkoncentration på 0,78 µg/ml (interval 1,4-0,45 µg/ml) i løbet af en medicineringsperiode på 48 timer, hvor 125 ppm (0,0125 %) gav 0,38 µg/ml (interval 0,65-0,2 µg/ml) hos 8 uger gamle kyllinger. Serumproteinbindingen var ca. 45 %. </w:t>
      </w:r>
      <w:proofErr w:type="spellStart"/>
      <w:r w:rsidRPr="009229D8">
        <w:rPr>
          <w:sz w:val="24"/>
          <w:szCs w:val="24"/>
          <w:lang w:val="da"/>
        </w:rPr>
        <w:t>Tiamulin</w:t>
      </w:r>
      <w:proofErr w:type="spellEnd"/>
      <w:r w:rsidRPr="009229D8">
        <w:rPr>
          <w:sz w:val="24"/>
          <w:szCs w:val="24"/>
          <w:lang w:val="da"/>
        </w:rPr>
        <w:t xml:space="preserve"> fordeles ud i hele kroppen, og det er påvist, at det koncentrerer sig i leveren og nyrerne (udskillelsessteder) og i lungerne (30 gange serumkoncentrationen). Udskillelsen sker hovedsageligt via galden (55-65 %) og nyrerne (15-30 %) primært som mikrobiologisk inaktive metabolitter, og ganske hurtigt med 99 % af dosis inden for 48 timer.</w:t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9229D8" w:rsidRDefault="00FB7EB1" w:rsidP="00FB7EB1">
      <w:pPr>
        <w:ind w:left="851"/>
        <w:rPr>
          <w:bCs/>
          <w:sz w:val="24"/>
          <w:szCs w:val="24"/>
          <w:u w:val="single"/>
        </w:rPr>
      </w:pPr>
      <w:r w:rsidRPr="009229D8">
        <w:rPr>
          <w:sz w:val="24"/>
          <w:szCs w:val="24"/>
          <w:u w:val="single"/>
          <w:lang w:val="da"/>
        </w:rPr>
        <w:t>Kalkuner</w:t>
      </w:r>
    </w:p>
    <w:p w:rsidR="00FB7EB1" w:rsidRPr="009229D8" w:rsidRDefault="00FB7EB1" w:rsidP="00FB7EB1">
      <w:pPr>
        <w:ind w:left="851"/>
        <w:rPr>
          <w:bCs/>
          <w:sz w:val="24"/>
          <w:szCs w:val="24"/>
        </w:rPr>
      </w:pPr>
      <w:r w:rsidRPr="009229D8">
        <w:rPr>
          <w:sz w:val="24"/>
          <w:szCs w:val="24"/>
          <w:lang w:val="da"/>
        </w:rPr>
        <w:t xml:space="preserve">Hos kalkuner er serumkoncentrationen af </w:t>
      </w:r>
      <w:proofErr w:type="spellStart"/>
      <w:r w:rsidRPr="009229D8">
        <w:rPr>
          <w:sz w:val="24"/>
          <w:szCs w:val="24"/>
          <w:lang w:val="da"/>
        </w:rPr>
        <w:t>tiamulinhydrogenfumarat</w:t>
      </w:r>
      <w:proofErr w:type="spellEnd"/>
      <w:r w:rsidRPr="009229D8">
        <w:rPr>
          <w:sz w:val="24"/>
          <w:szCs w:val="24"/>
          <w:lang w:val="da"/>
        </w:rPr>
        <w:t xml:space="preserve"> lavere. En enkelt dosis på 50 mg </w:t>
      </w:r>
      <w:proofErr w:type="spellStart"/>
      <w:r w:rsidRPr="009229D8">
        <w:rPr>
          <w:sz w:val="24"/>
          <w:szCs w:val="24"/>
          <w:lang w:val="da"/>
        </w:rPr>
        <w:t>tiamulinhydrogenfumarat</w:t>
      </w:r>
      <w:proofErr w:type="spellEnd"/>
      <w:r w:rsidRPr="009229D8">
        <w:rPr>
          <w:sz w:val="24"/>
          <w:szCs w:val="24"/>
          <w:lang w:val="da"/>
        </w:rPr>
        <w:t xml:space="preserve">/kg kropsvægt giver et </w:t>
      </w:r>
      <w:proofErr w:type="spellStart"/>
      <w:r w:rsidRPr="009229D8">
        <w:rPr>
          <w:sz w:val="24"/>
          <w:szCs w:val="24"/>
          <w:lang w:val="da"/>
        </w:rPr>
        <w:t>Cmax</w:t>
      </w:r>
      <w:proofErr w:type="spellEnd"/>
      <w:r w:rsidRPr="009229D8">
        <w:rPr>
          <w:sz w:val="24"/>
          <w:szCs w:val="24"/>
          <w:lang w:val="da"/>
        </w:rPr>
        <w:t xml:space="preserve"> på 3,02 µg/ml i serum, hvor 25 mg/kg giver 1,46 µg/ml. Disse værdier blev opnået ca. 2-4 timer efter dosering. Hos forældredyr, der fik 0,025 % </w:t>
      </w:r>
      <w:proofErr w:type="spellStart"/>
      <w:r w:rsidRPr="009229D8">
        <w:rPr>
          <w:sz w:val="24"/>
          <w:szCs w:val="24"/>
          <w:lang w:val="da"/>
        </w:rPr>
        <w:t>tiamulinhydrogenfumarat</w:t>
      </w:r>
      <w:proofErr w:type="spellEnd"/>
      <w:r w:rsidRPr="009229D8">
        <w:rPr>
          <w:sz w:val="24"/>
          <w:szCs w:val="24"/>
          <w:lang w:val="da"/>
        </w:rPr>
        <w:t>, var den gennemsnitlige serumkoncentration 0,36 µg/ml (interval 0,22-0,5 µg/ml). Serumproteinbindingen var ca. 50 %.</w:t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5.3</w:t>
      </w:r>
      <w:r w:rsidRPr="00406EE7">
        <w:rPr>
          <w:b/>
          <w:sz w:val="24"/>
          <w:szCs w:val="24"/>
        </w:rPr>
        <w:tab/>
        <w:t>Miljømæssige forhold</w:t>
      </w:r>
    </w:p>
    <w:p w:rsidR="00FB7EB1" w:rsidRPr="006D588D" w:rsidRDefault="00FB7EB1" w:rsidP="00FB7EB1">
      <w:pPr>
        <w:ind w:left="851"/>
        <w:rPr>
          <w:sz w:val="24"/>
          <w:szCs w:val="24"/>
          <w:lang w:val="da"/>
        </w:rPr>
      </w:pPr>
      <w:proofErr w:type="spellStart"/>
      <w:r w:rsidRPr="00511514">
        <w:rPr>
          <w:sz w:val="24"/>
          <w:szCs w:val="24"/>
          <w:lang w:val="da"/>
        </w:rPr>
        <w:t>Tiamulin</w:t>
      </w:r>
      <w:proofErr w:type="spellEnd"/>
      <w:r w:rsidRPr="00511514">
        <w:rPr>
          <w:sz w:val="24"/>
          <w:szCs w:val="24"/>
          <w:lang w:val="da"/>
        </w:rPr>
        <w:t xml:space="preserve"> er meget persisterende i jorden.</w:t>
      </w:r>
    </w:p>
    <w:p w:rsidR="00FB7EB1" w:rsidRPr="00406EE7" w:rsidRDefault="00FB7EB1" w:rsidP="00FB7EB1">
      <w:pPr>
        <w:tabs>
          <w:tab w:val="left" w:pos="8222"/>
        </w:tabs>
        <w:ind w:left="851"/>
        <w:rPr>
          <w:sz w:val="24"/>
          <w:szCs w:val="24"/>
        </w:rPr>
      </w:pPr>
    </w:p>
    <w:p w:rsidR="00FB7EB1" w:rsidRDefault="00FB7EB1" w:rsidP="00FB7EB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</w:t>
      </w:r>
      <w:r w:rsidRPr="00406EE7">
        <w:rPr>
          <w:b/>
          <w:sz w:val="24"/>
          <w:szCs w:val="24"/>
        </w:rPr>
        <w:tab/>
        <w:t>FARMACEUTISKE OPLYSNINGER</w:t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6.1</w:t>
      </w:r>
      <w:r w:rsidRPr="00406EE7">
        <w:rPr>
          <w:b/>
          <w:sz w:val="24"/>
          <w:szCs w:val="24"/>
        </w:rPr>
        <w:tab/>
        <w:t>Hjælpestoffer</w:t>
      </w:r>
    </w:p>
    <w:p w:rsidR="00FB7EB1" w:rsidRDefault="00FB7EB1" w:rsidP="00FB7EB1">
      <w:pPr>
        <w:ind w:left="851"/>
        <w:rPr>
          <w:sz w:val="24"/>
          <w:szCs w:val="24"/>
          <w:lang w:val="da"/>
        </w:rPr>
      </w:pPr>
    </w:p>
    <w:p w:rsidR="00FB7EB1" w:rsidRPr="00B905DA" w:rsidRDefault="00FB7EB1" w:rsidP="00FB7EB1">
      <w:pPr>
        <w:ind w:left="851"/>
        <w:rPr>
          <w:sz w:val="24"/>
          <w:szCs w:val="24"/>
          <w:u w:val="single"/>
          <w:lang w:val="da"/>
        </w:rPr>
      </w:pPr>
      <w:r>
        <w:rPr>
          <w:sz w:val="24"/>
          <w:szCs w:val="24"/>
          <w:u w:val="single"/>
          <w:lang w:val="da"/>
        </w:rPr>
        <w:t>125 mg/ml</w:t>
      </w:r>
    </w:p>
    <w:p w:rsidR="00FB7EB1" w:rsidRPr="00B905DA" w:rsidRDefault="00FB7EB1" w:rsidP="00FB7EB1">
      <w:pPr>
        <w:ind w:left="851"/>
        <w:rPr>
          <w:b/>
          <w:sz w:val="24"/>
          <w:szCs w:val="24"/>
        </w:rPr>
      </w:pPr>
      <w:proofErr w:type="spellStart"/>
      <w:r w:rsidRPr="00B905DA">
        <w:rPr>
          <w:sz w:val="24"/>
          <w:szCs w:val="24"/>
          <w:lang w:val="da"/>
        </w:rPr>
        <w:t>Methylparahydroxybenzoat</w:t>
      </w:r>
      <w:proofErr w:type="spellEnd"/>
      <w:r w:rsidRPr="00B905DA">
        <w:rPr>
          <w:sz w:val="24"/>
          <w:szCs w:val="24"/>
          <w:lang w:val="da"/>
        </w:rPr>
        <w:t xml:space="preserve"> (E218)</w:t>
      </w:r>
    </w:p>
    <w:p w:rsidR="00FB7EB1" w:rsidRPr="00B905DA" w:rsidRDefault="00FB7EB1" w:rsidP="00FB7EB1">
      <w:pPr>
        <w:ind w:left="851"/>
        <w:rPr>
          <w:b/>
          <w:sz w:val="24"/>
          <w:szCs w:val="24"/>
        </w:rPr>
      </w:pPr>
      <w:proofErr w:type="spellStart"/>
      <w:r w:rsidRPr="00B905DA">
        <w:rPr>
          <w:sz w:val="24"/>
          <w:szCs w:val="24"/>
        </w:rPr>
        <w:t>Propylparahydroxybenzoat</w:t>
      </w:r>
      <w:proofErr w:type="spellEnd"/>
    </w:p>
    <w:p w:rsidR="00FB7EB1" w:rsidRPr="00B905DA" w:rsidRDefault="00FB7EB1" w:rsidP="00FB7EB1">
      <w:pPr>
        <w:ind w:left="851"/>
        <w:rPr>
          <w:b/>
          <w:sz w:val="24"/>
          <w:szCs w:val="24"/>
        </w:rPr>
      </w:pPr>
      <w:r w:rsidRPr="00B905DA">
        <w:rPr>
          <w:sz w:val="24"/>
          <w:szCs w:val="24"/>
        </w:rPr>
        <w:t>Citronsyremonohydrat</w:t>
      </w:r>
    </w:p>
    <w:p w:rsidR="00FB7EB1" w:rsidRPr="00B905DA" w:rsidRDefault="00FB7EB1" w:rsidP="00FB7EB1">
      <w:pPr>
        <w:ind w:left="851"/>
        <w:rPr>
          <w:b/>
          <w:sz w:val="24"/>
          <w:szCs w:val="24"/>
        </w:rPr>
      </w:pPr>
      <w:proofErr w:type="spellStart"/>
      <w:r w:rsidRPr="00B905DA">
        <w:rPr>
          <w:sz w:val="24"/>
          <w:szCs w:val="24"/>
        </w:rPr>
        <w:t>Dinatriumphosphatdihydrat</w:t>
      </w:r>
      <w:proofErr w:type="spellEnd"/>
    </w:p>
    <w:p w:rsidR="00FB7EB1" w:rsidRPr="00B905DA" w:rsidRDefault="00FB7EB1" w:rsidP="00FB7EB1">
      <w:pPr>
        <w:ind w:left="851"/>
        <w:rPr>
          <w:b/>
          <w:sz w:val="24"/>
          <w:szCs w:val="24"/>
        </w:rPr>
      </w:pPr>
      <w:proofErr w:type="spellStart"/>
      <w:r w:rsidRPr="00B905DA">
        <w:rPr>
          <w:sz w:val="24"/>
          <w:szCs w:val="24"/>
        </w:rPr>
        <w:t>Ethanol</w:t>
      </w:r>
      <w:proofErr w:type="spellEnd"/>
      <w:r w:rsidRPr="00B905DA">
        <w:rPr>
          <w:sz w:val="24"/>
          <w:szCs w:val="24"/>
        </w:rPr>
        <w:t xml:space="preserve"> 96 %</w:t>
      </w:r>
    </w:p>
    <w:p w:rsidR="00FB7EB1" w:rsidRPr="00B905DA" w:rsidRDefault="00FB7EB1" w:rsidP="00FB7EB1">
      <w:pPr>
        <w:ind w:left="851"/>
        <w:rPr>
          <w:sz w:val="24"/>
          <w:szCs w:val="24"/>
        </w:rPr>
      </w:pPr>
      <w:r w:rsidRPr="00B905DA">
        <w:rPr>
          <w:sz w:val="24"/>
          <w:szCs w:val="24"/>
        </w:rPr>
        <w:t>Vand, renset</w:t>
      </w:r>
    </w:p>
    <w:p w:rsidR="00FB7EB1" w:rsidRPr="00B905DA" w:rsidRDefault="00FB7EB1" w:rsidP="00FB7EB1">
      <w:pPr>
        <w:ind w:left="851"/>
        <w:rPr>
          <w:sz w:val="24"/>
          <w:szCs w:val="24"/>
        </w:rPr>
      </w:pPr>
    </w:p>
    <w:p w:rsidR="00FB7EB1" w:rsidRPr="00B905DA" w:rsidRDefault="00FB7EB1" w:rsidP="00FB7EB1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250 mg/ml</w:t>
      </w:r>
    </w:p>
    <w:p w:rsidR="00FB7EB1" w:rsidRPr="00B905DA" w:rsidRDefault="00FB7EB1" w:rsidP="00FB7EB1">
      <w:pPr>
        <w:ind w:left="851"/>
        <w:rPr>
          <w:sz w:val="24"/>
          <w:szCs w:val="24"/>
        </w:rPr>
      </w:pPr>
      <w:proofErr w:type="spellStart"/>
      <w:r w:rsidRPr="00B905DA">
        <w:rPr>
          <w:sz w:val="24"/>
          <w:szCs w:val="24"/>
          <w:lang w:val="da"/>
        </w:rPr>
        <w:t>Ethanol</w:t>
      </w:r>
      <w:proofErr w:type="spellEnd"/>
      <w:r w:rsidRPr="00B905DA">
        <w:rPr>
          <w:sz w:val="24"/>
          <w:szCs w:val="24"/>
          <w:lang w:val="da"/>
        </w:rPr>
        <w:t xml:space="preserve"> 96 %</w:t>
      </w:r>
    </w:p>
    <w:p w:rsidR="00FB7EB1" w:rsidRPr="00B905DA" w:rsidRDefault="00FB7EB1" w:rsidP="00FB7EB1">
      <w:pPr>
        <w:ind w:left="851"/>
        <w:rPr>
          <w:b/>
          <w:sz w:val="24"/>
          <w:szCs w:val="24"/>
        </w:rPr>
      </w:pPr>
      <w:r w:rsidRPr="00B905DA">
        <w:rPr>
          <w:sz w:val="24"/>
          <w:szCs w:val="24"/>
          <w:lang w:val="da"/>
        </w:rPr>
        <w:t>Citronsyremonohydrat</w:t>
      </w:r>
    </w:p>
    <w:p w:rsidR="00FB7EB1" w:rsidRPr="00B905DA" w:rsidRDefault="00FB7EB1" w:rsidP="00FB7EB1">
      <w:pPr>
        <w:ind w:left="851"/>
        <w:rPr>
          <w:b/>
          <w:sz w:val="24"/>
          <w:szCs w:val="24"/>
        </w:rPr>
      </w:pPr>
      <w:proofErr w:type="spellStart"/>
      <w:r w:rsidRPr="00B905DA">
        <w:rPr>
          <w:sz w:val="24"/>
          <w:szCs w:val="24"/>
          <w:lang w:val="da"/>
        </w:rPr>
        <w:t>Dinatriumphosphatdihydrat</w:t>
      </w:r>
      <w:proofErr w:type="spellEnd"/>
    </w:p>
    <w:p w:rsidR="00FB7EB1" w:rsidRPr="00B905DA" w:rsidRDefault="00FB7EB1" w:rsidP="00FB7EB1">
      <w:pPr>
        <w:ind w:left="851"/>
        <w:rPr>
          <w:sz w:val="24"/>
          <w:szCs w:val="24"/>
          <w:lang w:val="da"/>
        </w:rPr>
      </w:pPr>
      <w:r w:rsidRPr="00B905DA">
        <w:rPr>
          <w:sz w:val="24"/>
          <w:szCs w:val="24"/>
          <w:lang w:val="da"/>
        </w:rPr>
        <w:t>Vand, renset</w:t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6.2</w:t>
      </w:r>
      <w:r w:rsidRPr="00406EE7">
        <w:rPr>
          <w:b/>
          <w:sz w:val="24"/>
          <w:szCs w:val="24"/>
        </w:rPr>
        <w:tab/>
        <w:t>Uforligeligheder</w:t>
      </w:r>
    </w:p>
    <w:p w:rsidR="00FB7EB1" w:rsidRPr="00991008" w:rsidRDefault="00FB7EB1" w:rsidP="00FB7EB1">
      <w:pPr>
        <w:ind w:left="851"/>
        <w:rPr>
          <w:sz w:val="24"/>
          <w:szCs w:val="24"/>
          <w:lang w:val="da"/>
        </w:rPr>
      </w:pPr>
      <w:r w:rsidRPr="00B905DA">
        <w:rPr>
          <w:sz w:val="24"/>
          <w:szCs w:val="24"/>
          <w:lang w:val="da"/>
        </w:rPr>
        <w:t>Da der ikke foreligger undersøgelser vedrørende eventuelle uforligeligheder, bør dette lægemiddel ikke blandes med andre lægemidler.</w:t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6.3</w:t>
      </w:r>
      <w:r w:rsidRPr="00406EE7">
        <w:rPr>
          <w:b/>
          <w:sz w:val="24"/>
          <w:szCs w:val="24"/>
        </w:rPr>
        <w:tab/>
        <w:t>Opbevaringstid</w:t>
      </w:r>
    </w:p>
    <w:p w:rsidR="00FB7EB1" w:rsidRDefault="00FB7EB1" w:rsidP="00FB7EB1">
      <w:pPr>
        <w:ind w:left="851"/>
        <w:rPr>
          <w:sz w:val="24"/>
          <w:szCs w:val="24"/>
          <w:lang w:val="da"/>
        </w:rPr>
      </w:pPr>
      <w:r>
        <w:rPr>
          <w:sz w:val="24"/>
          <w:szCs w:val="24"/>
          <w:lang w:val="da"/>
        </w:rPr>
        <w:t>I</w:t>
      </w:r>
      <w:r w:rsidRPr="00991008">
        <w:rPr>
          <w:sz w:val="24"/>
          <w:szCs w:val="24"/>
          <w:lang w:val="da"/>
        </w:rPr>
        <w:t xml:space="preserve"> salgspakning: 2 år.</w:t>
      </w:r>
    </w:p>
    <w:p w:rsidR="00FB7EB1" w:rsidRDefault="00FB7EB1" w:rsidP="00FB7EB1">
      <w:pPr>
        <w:ind w:left="851"/>
        <w:rPr>
          <w:sz w:val="24"/>
          <w:szCs w:val="24"/>
          <w:lang w:val="da"/>
        </w:rPr>
      </w:pPr>
      <w:r>
        <w:rPr>
          <w:sz w:val="24"/>
          <w:szCs w:val="24"/>
          <w:lang w:val="da"/>
        </w:rPr>
        <w:t>E</w:t>
      </w:r>
      <w:r w:rsidRPr="00991008">
        <w:rPr>
          <w:sz w:val="24"/>
          <w:szCs w:val="24"/>
          <w:lang w:val="da"/>
        </w:rPr>
        <w:t>fter første åbning af den indre emballage: 3 måneder.</w:t>
      </w:r>
    </w:p>
    <w:p w:rsidR="00FB7EB1" w:rsidRPr="00406EE7" w:rsidRDefault="00FB7EB1" w:rsidP="00FB7EB1">
      <w:pPr>
        <w:ind w:left="851"/>
        <w:rPr>
          <w:sz w:val="24"/>
          <w:szCs w:val="24"/>
        </w:rPr>
      </w:pPr>
      <w:r>
        <w:rPr>
          <w:sz w:val="24"/>
          <w:szCs w:val="24"/>
          <w:lang w:val="da"/>
        </w:rPr>
        <w:t>Ef</w:t>
      </w:r>
      <w:r w:rsidRPr="00991008">
        <w:rPr>
          <w:sz w:val="24"/>
          <w:szCs w:val="24"/>
          <w:lang w:val="da"/>
        </w:rPr>
        <w:t xml:space="preserve">ter fortynding eller </w:t>
      </w:r>
      <w:proofErr w:type="spellStart"/>
      <w:r w:rsidRPr="00991008">
        <w:rPr>
          <w:sz w:val="24"/>
          <w:szCs w:val="24"/>
          <w:lang w:val="da"/>
        </w:rPr>
        <w:t>rekonstituering</w:t>
      </w:r>
      <w:proofErr w:type="spellEnd"/>
      <w:r w:rsidRPr="00991008">
        <w:rPr>
          <w:sz w:val="24"/>
          <w:szCs w:val="24"/>
          <w:lang w:val="da"/>
        </w:rPr>
        <w:t xml:space="preserve"> ifølge anvisning: 24 timer.</w:t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6.4</w:t>
      </w:r>
      <w:r w:rsidRPr="00406EE7">
        <w:rPr>
          <w:b/>
          <w:sz w:val="24"/>
          <w:szCs w:val="24"/>
        </w:rPr>
        <w:tab/>
        <w:t>Særlige opbevaringsforhold</w:t>
      </w:r>
    </w:p>
    <w:p w:rsidR="00FB7EB1" w:rsidRDefault="00FB7EB1" w:rsidP="00FB7EB1">
      <w:pPr>
        <w:ind w:left="851"/>
        <w:rPr>
          <w:sz w:val="24"/>
          <w:szCs w:val="24"/>
          <w:lang w:val="da"/>
        </w:rPr>
      </w:pPr>
    </w:p>
    <w:p w:rsidR="00FB7EB1" w:rsidRPr="00C61FFD" w:rsidRDefault="00FB7EB1" w:rsidP="00FB7EB1">
      <w:pPr>
        <w:ind w:left="851"/>
        <w:rPr>
          <w:sz w:val="24"/>
          <w:szCs w:val="24"/>
          <w:u w:val="single"/>
          <w:lang w:val="da"/>
        </w:rPr>
      </w:pPr>
      <w:r w:rsidRPr="00C61FFD">
        <w:rPr>
          <w:sz w:val="24"/>
          <w:szCs w:val="24"/>
          <w:u w:val="single"/>
          <w:lang w:val="da"/>
        </w:rPr>
        <w:t>125 mg/ml</w:t>
      </w:r>
    </w:p>
    <w:p w:rsidR="00FB7EB1" w:rsidRPr="00991008" w:rsidRDefault="00FB7EB1" w:rsidP="00FB7EB1">
      <w:pPr>
        <w:ind w:left="851"/>
        <w:rPr>
          <w:sz w:val="24"/>
          <w:szCs w:val="24"/>
        </w:rPr>
      </w:pPr>
      <w:r w:rsidRPr="00991008">
        <w:rPr>
          <w:sz w:val="24"/>
          <w:szCs w:val="24"/>
          <w:lang w:val="da"/>
        </w:rPr>
        <w:t>Dette veterinærlægemiddel kræver ingen særlige forholdsregler vedrørende opbevaringen.</w:t>
      </w:r>
    </w:p>
    <w:p w:rsidR="00FB7EB1" w:rsidRDefault="00FB7EB1" w:rsidP="00FB7EB1">
      <w:pPr>
        <w:ind w:left="851"/>
        <w:rPr>
          <w:sz w:val="24"/>
          <w:szCs w:val="24"/>
        </w:rPr>
      </w:pPr>
    </w:p>
    <w:p w:rsidR="00FB7EB1" w:rsidRPr="00C61FFD" w:rsidRDefault="00FB7EB1" w:rsidP="00FB7EB1">
      <w:pPr>
        <w:ind w:left="851"/>
        <w:rPr>
          <w:sz w:val="24"/>
          <w:szCs w:val="24"/>
          <w:u w:val="single"/>
        </w:rPr>
      </w:pPr>
      <w:r w:rsidRPr="00C61FFD">
        <w:rPr>
          <w:sz w:val="24"/>
          <w:szCs w:val="24"/>
          <w:u w:val="single"/>
        </w:rPr>
        <w:t>250 mg/ml</w:t>
      </w:r>
    </w:p>
    <w:p w:rsidR="00FB7EB1" w:rsidRPr="00406EE7" w:rsidRDefault="00FB7EB1" w:rsidP="00FB7EB1">
      <w:pPr>
        <w:ind w:left="851"/>
        <w:rPr>
          <w:sz w:val="24"/>
          <w:szCs w:val="24"/>
        </w:rPr>
      </w:pPr>
      <w:r w:rsidRPr="00991008">
        <w:rPr>
          <w:sz w:val="24"/>
          <w:szCs w:val="24"/>
          <w:lang w:val="da"/>
        </w:rPr>
        <w:t>Må ikke nedfryses.</w:t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6.5</w:t>
      </w:r>
      <w:r w:rsidRPr="00406EE7">
        <w:rPr>
          <w:b/>
          <w:sz w:val="24"/>
          <w:szCs w:val="24"/>
        </w:rPr>
        <w:tab/>
        <w:t>Emballage</w:t>
      </w:r>
    </w:p>
    <w:p w:rsidR="00FB7EB1" w:rsidRDefault="00FB7EB1" w:rsidP="00FB7EB1">
      <w:pPr>
        <w:ind w:left="851"/>
        <w:rPr>
          <w:sz w:val="24"/>
          <w:szCs w:val="24"/>
          <w:lang w:val="da"/>
        </w:rPr>
      </w:pPr>
      <w:r w:rsidRPr="00235971">
        <w:rPr>
          <w:sz w:val="24"/>
          <w:szCs w:val="24"/>
          <w:lang w:val="da"/>
        </w:rPr>
        <w:t xml:space="preserve">Hvid, uigennemsigtig flaske af </w:t>
      </w:r>
      <w:proofErr w:type="spellStart"/>
      <w:r w:rsidRPr="00235971">
        <w:rPr>
          <w:sz w:val="24"/>
          <w:szCs w:val="24"/>
          <w:lang w:val="da"/>
        </w:rPr>
        <w:t>polyethylen</w:t>
      </w:r>
      <w:proofErr w:type="spellEnd"/>
      <w:r w:rsidRPr="00235971">
        <w:rPr>
          <w:sz w:val="24"/>
          <w:szCs w:val="24"/>
          <w:lang w:val="da"/>
        </w:rPr>
        <w:t xml:space="preserve"> med høj densitet på 1 liter med transparent gradueret skala, lukket med et hvidt, uigennemsigtigt skruelåg a</w:t>
      </w:r>
      <w:r>
        <w:rPr>
          <w:sz w:val="24"/>
          <w:szCs w:val="24"/>
          <w:lang w:val="da"/>
        </w:rPr>
        <w:t xml:space="preserve">f </w:t>
      </w:r>
      <w:proofErr w:type="spellStart"/>
      <w:r>
        <w:rPr>
          <w:sz w:val="24"/>
          <w:szCs w:val="24"/>
          <w:lang w:val="da"/>
        </w:rPr>
        <w:t>polyethylen</w:t>
      </w:r>
      <w:proofErr w:type="spellEnd"/>
      <w:r>
        <w:rPr>
          <w:sz w:val="24"/>
          <w:szCs w:val="24"/>
          <w:lang w:val="da"/>
        </w:rPr>
        <w:t xml:space="preserve"> med </w:t>
      </w:r>
      <w:r w:rsidR="00C022CB">
        <w:rPr>
          <w:sz w:val="24"/>
          <w:szCs w:val="24"/>
          <w:lang w:val="da"/>
        </w:rPr>
        <w:t>høj</w:t>
      </w:r>
      <w:r>
        <w:rPr>
          <w:sz w:val="24"/>
          <w:szCs w:val="24"/>
          <w:lang w:val="da"/>
        </w:rPr>
        <w:t xml:space="preserve"> densitet.</w:t>
      </w:r>
    </w:p>
    <w:p w:rsidR="00FB7EB1" w:rsidRPr="00235971" w:rsidRDefault="00FB7EB1" w:rsidP="00FB7EB1">
      <w:pPr>
        <w:ind w:left="851"/>
        <w:rPr>
          <w:bCs/>
          <w:sz w:val="24"/>
          <w:szCs w:val="24"/>
        </w:rPr>
      </w:pPr>
    </w:p>
    <w:p w:rsidR="00FB7EB1" w:rsidRPr="00235971" w:rsidRDefault="00FB7EB1" w:rsidP="00FB7EB1">
      <w:pPr>
        <w:ind w:left="851"/>
        <w:rPr>
          <w:bCs/>
          <w:sz w:val="24"/>
          <w:szCs w:val="24"/>
        </w:rPr>
      </w:pPr>
      <w:r w:rsidRPr="00235971">
        <w:rPr>
          <w:sz w:val="24"/>
          <w:szCs w:val="24"/>
          <w:lang w:val="da"/>
        </w:rPr>
        <w:t xml:space="preserve">Hvid, uigennemsigtig dunk af </w:t>
      </w:r>
      <w:proofErr w:type="spellStart"/>
      <w:r w:rsidRPr="00235971">
        <w:rPr>
          <w:sz w:val="24"/>
          <w:szCs w:val="24"/>
          <w:lang w:val="da"/>
        </w:rPr>
        <w:t>polyethylen</w:t>
      </w:r>
      <w:proofErr w:type="spellEnd"/>
      <w:r w:rsidRPr="00235971">
        <w:rPr>
          <w:sz w:val="24"/>
          <w:szCs w:val="24"/>
          <w:lang w:val="da"/>
        </w:rPr>
        <w:t xml:space="preserve"> med høj densitet på 5 liter med et hvidt, uigennemsigtigt skruelåg af </w:t>
      </w:r>
      <w:proofErr w:type="spellStart"/>
      <w:r w:rsidRPr="00235971">
        <w:rPr>
          <w:sz w:val="24"/>
          <w:szCs w:val="24"/>
          <w:lang w:val="da"/>
        </w:rPr>
        <w:t>polyethylen</w:t>
      </w:r>
      <w:proofErr w:type="spellEnd"/>
      <w:r w:rsidRPr="00235971">
        <w:rPr>
          <w:sz w:val="24"/>
          <w:szCs w:val="24"/>
          <w:lang w:val="da"/>
        </w:rPr>
        <w:t xml:space="preserve"> med høj densitet.</w:t>
      </w:r>
    </w:p>
    <w:p w:rsidR="00FB7EB1" w:rsidRPr="00235971" w:rsidRDefault="00FB7EB1" w:rsidP="00FB7EB1">
      <w:pPr>
        <w:ind w:left="851"/>
        <w:rPr>
          <w:sz w:val="24"/>
          <w:szCs w:val="24"/>
        </w:rPr>
      </w:pPr>
    </w:p>
    <w:p w:rsidR="00FB7EB1" w:rsidRPr="003C2003" w:rsidRDefault="00FB7EB1" w:rsidP="00FB7EB1">
      <w:pPr>
        <w:ind w:left="851"/>
        <w:rPr>
          <w:sz w:val="24"/>
          <w:szCs w:val="24"/>
          <w:lang w:val="da"/>
        </w:rPr>
      </w:pPr>
      <w:r w:rsidRPr="00235971">
        <w:rPr>
          <w:sz w:val="24"/>
          <w:szCs w:val="24"/>
          <w:lang w:val="da"/>
        </w:rPr>
        <w:t>Ikke alle pakningsstørrelser er nødvendigvis markedsført.</w:t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6.6</w:t>
      </w:r>
      <w:r w:rsidRPr="00406EE7">
        <w:rPr>
          <w:b/>
          <w:sz w:val="24"/>
          <w:szCs w:val="24"/>
        </w:rPr>
        <w:tab/>
        <w:t>Særlige forholdsregler ved bortskaffelse af rester af lægemidlet eller affald</w:t>
      </w:r>
    </w:p>
    <w:p w:rsidR="00FB7EB1" w:rsidRPr="003C2003" w:rsidRDefault="00FB7EB1" w:rsidP="00FB7EB1">
      <w:pPr>
        <w:ind w:left="851"/>
        <w:rPr>
          <w:sz w:val="24"/>
          <w:szCs w:val="24"/>
          <w:lang w:val="da"/>
        </w:rPr>
      </w:pPr>
      <w:r w:rsidRPr="003C2003">
        <w:rPr>
          <w:sz w:val="24"/>
          <w:szCs w:val="24"/>
          <w:lang w:val="da"/>
        </w:rPr>
        <w:t>Ik</w:t>
      </w:r>
      <w:r>
        <w:rPr>
          <w:sz w:val="24"/>
          <w:szCs w:val="24"/>
          <w:lang w:val="da"/>
        </w:rPr>
        <w:t>ke anvendte veterinærlægemidler</w:t>
      </w:r>
      <w:r w:rsidRPr="003C2003">
        <w:rPr>
          <w:sz w:val="24"/>
          <w:szCs w:val="24"/>
          <w:lang w:val="da"/>
        </w:rPr>
        <w:t xml:space="preserve"> samt affald heraf bør destrueres i henhold til lokale retningslinjer.</w:t>
      </w:r>
    </w:p>
    <w:p w:rsidR="00FB7EB1" w:rsidRDefault="00FB7EB1" w:rsidP="00FB7EB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B7EB1" w:rsidRPr="00070728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7.</w:t>
      </w:r>
      <w:r w:rsidRPr="00406EE7">
        <w:rPr>
          <w:b/>
          <w:sz w:val="24"/>
          <w:szCs w:val="24"/>
        </w:rPr>
        <w:tab/>
        <w:t>INDEHAVER AF MARKEDSFØRINGSTILLADELSEN</w:t>
      </w:r>
    </w:p>
    <w:p w:rsidR="00FB7EB1" w:rsidRPr="00DF440A" w:rsidRDefault="00FB7EB1" w:rsidP="00FB7EB1">
      <w:pPr>
        <w:ind w:left="851"/>
        <w:jc w:val="both"/>
        <w:rPr>
          <w:sz w:val="24"/>
          <w:szCs w:val="24"/>
        </w:rPr>
      </w:pPr>
      <w:proofErr w:type="spellStart"/>
      <w:r w:rsidRPr="00DF440A">
        <w:rPr>
          <w:sz w:val="24"/>
          <w:szCs w:val="24"/>
        </w:rPr>
        <w:t>Dechra</w:t>
      </w:r>
      <w:proofErr w:type="spellEnd"/>
      <w:r w:rsidRPr="00DF440A">
        <w:rPr>
          <w:sz w:val="24"/>
          <w:szCs w:val="24"/>
        </w:rPr>
        <w:t xml:space="preserve"> Regulatory B.V.</w:t>
      </w:r>
    </w:p>
    <w:p w:rsidR="00FB7EB1" w:rsidRPr="00DF440A" w:rsidRDefault="00FB7EB1" w:rsidP="00FB7EB1">
      <w:pPr>
        <w:ind w:left="851"/>
        <w:jc w:val="both"/>
        <w:rPr>
          <w:sz w:val="24"/>
          <w:szCs w:val="24"/>
        </w:rPr>
      </w:pPr>
      <w:proofErr w:type="spellStart"/>
      <w:r w:rsidRPr="00DF440A">
        <w:rPr>
          <w:sz w:val="24"/>
          <w:szCs w:val="24"/>
        </w:rPr>
        <w:t>Handelsweg</w:t>
      </w:r>
      <w:proofErr w:type="spellEnd"/>
      <w:r w:rsidRPr="00DF440A">
        <w:rPr>
          <w:sz w:val="24"/>
          <w:szCs w:val="24"/>
        </w:rPr>
        <w:t xml:space="preserve"> 25</w:t>
      </w:r>
    </w:p>
    <w:p w:rsidR="00FB7EB1" w:rsidRPr="00F6660D" w:rsidRDefault="00FB7EB1" w:rsidP="00FB7EB1">
      <w:pPr>
        <w:ind w:left="851"/>
        <w:jc w:val="both"/>
        <w:rPr>
          <w:sz w:val="24"/>
          <w:szCs w:val="24"/>
        </w:rPr>
      </w:pPr>
      <w:r w:rsidRPr="00F6660D">
        <w:rPr>
          <w:sz w:val="24"/>
          <w:szCs w:val="24"/>
        </w:rPr>
        <w:t xml:space="preserve">5531 AE </w:t>
      </w:r>
      <w:proofErr w:type="spellStart"/>
      <w:r w:rsidRPr="00F6660D">
        <w:rPr>
          <w:sz w:val="24"/>
          <w:szCs w:val="24"/>
        </w:rPr>
        <w:t>Bladel</w:t>
      </w:r>
      <w:proofErr w:type="spellEnd"/>
    </w:p>
    <w:p w:rsidR="00FB7EB1" w:rsidRPr="00E81552" w:rsidRDefault="00FB7EB1" w:rsidP="00FB7EB1">
      <w:pPr>
        <w:ind w:left="851"/>
        <w:rPr>
          <w:sz w:val="24"/>
          <w:szCs w:val="24"/>
          <w:lang w:val="en-US"/>
        </w:rPr>
      </w:pPr>
      <w:r w:rsidRPr="00E81552">
        <w:rPr>
          <w:sz w:val="24"/>
          <w:szCs w:val="24"/>
          <w:lang w:val="en-US"/>
        </w:rPr>
        <w:t>Holland</w:t>
      </w:r>
    </w:p>
    <w:p w:rsidR="00FB7EB1" w:rsidRPr="00E81552" w:rsidRDefault="00FB7EB1" w:rsidP="00FB7EB1">
      <w:pPr>
        <w:ind w:left="851"/>
        <w:rPr>
          <w:b/>
          <w:sz w:val="24"/>
          <w:szCs w:val="24"/>
          <w:lang w:val="en-US"/>
        </w:rPr>
      </w:pPr>
    </w:p>
    <w:p w:rsidR="00FB7EB1" w:rsidRPr="0083322F" w:rsidRDefault="00FB7EB1" w:rsidP="00FB7EB1">
      <w:pPr>
        <w:ind w:left="851"/>
        <w:rPr>
          <w:b/>
          <w:sz w:val="24"/>
          <w:szCs w:val="24"/>
          <w:lang w:val="en-US"/>
        </w:rPr>
      </w:pPr>
      <w:proofErr w:type="spellStart"/>
      <w:r w:rsidRPr="0083322F">
        <w:rPr>
          <w:b/>
          <w:sz w:val="24"/>
          <w:szCs w:val="24"/>
          <w:lang w:val="en-US"/>
        </w:rPr>
        <w:t>Repræsentant</w:t>
      </w:r>
      <w:proofErr w:type="spellEnd"/>
    </w:p>
    <w:p w:rsidR="00FB7EB1" w:rsidRPr="0083322F" w:rsidRDefault="00FB7EB1" w:rsidP="00FB7EB1">
      <w:pPr>
        <w:ind w:left="851"/>
        <w:rPr>
          <w:sz w:val="24"/>
          <w:szCs w:val="24"/>
          <w:lang w:val="en-US"/>
        </w:rPr>
      </w:pPr>
      <w:proofErr w:type="spellStart"/>
      <w:r w:rsidRPr="0083322F">
        <w:rPr>
          <w:sz w:val="24"/>
          <w:szCs w:val="24"/>
          <w:lang w:val="en-US"/>
        </w:rPr>
        <w:t>Dechra</w:t>
      </w:r>
      <w:proofErr w:type="spellEnd"/>
      <w:r w:rsidRPr="0083322F">
        <w:rPr>
          <w:sz w:val="24"/>
          <w:szCs w:val="24"/>
          <w:lang w:val="en-US"/>
        </w:rPr>
        <w:t xml:space="preserve"> Veterinary Products A/S</w:t>
      </w:r>
    </w:p>
    <w:p w:rsidR="00FB7EB1" w:rsidRPr="0083322F" w:rsidRDefault="00FB7EB1" w:rsidP="00FB7EB1">
      <w:pPr>
        <w:ind w:left="851"/>
        <w:rPr>
          <w:sz w:val="24"/>
          <w:szCs w:val="24"/>
        </w:rPr>
      </w:pPr>
      <w:proofErr w:type="spellStart"/>
      <w:r w:rsidRPr="0083322F">
        <w:rPr>
          <w:sz w:val="24"/>
          <w:szCs w:val="24"/>
        </w:rPr>
        <w:t>Mekuvej</w:t>
      </w:r>
      <w:proofErr w:type="spellEnd"/>
      <w:r w:rsidRPr="0083322F">
        <w:rPr>
          <w:sz w:val="24"/>
          <w:szCs w:val="24"/>
        </w:rPr>
        <w:t xml:space="preserve"> 9</w:t>
      </w:r>
    </w:p>
    <w:p w:rsidR="00FB7EB1" w:rsidRPr="00406EE7" w:rsidRDefault="00FB7EB1" w:rsidP="00FB7EB1">
      <w:pPr>
        <w:ind w:left="851"/>
        <w:rPr>
          <w:sz w:val="24"/>
          <w:szCs w:val="24"/>
        </w:rPr>
      </w:pPr>
      <w:r w:rsidRPr="0083322F">
        <w:rPr>
          <w:sz w:val="24"/>
          <w:szCs w:val="24"/>
        </w:rPr>
        <w:t>7171 Uldu</w:t>
      </w:r>
      <w:r>
        <w:rPr>
          <w:sz w:val="24"/>
          <w:szCs w:val="24"/>
        </w:rPr>
        <w:t>m</w:t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8.</w:t>
      </w:r>
      <w:r w:rsidRPr="00406EE7">
        <w:rPr>
          <w:b/>
          <w:sz w:val="24"/>
          <w:szCs w:val="24"/>
        </w:rPr>
        <w:tab/>
        <w:t>MARKEDSFØRINGSTILLADELSESNUMMER (NUMRE)</w:t>
      </w:r>
    </w:p>
    <w:p w:rsidR="00FB7EB1" w:rsidRDefault="00FB7EB1" w:rsidP="00FB7EB1">
      <w:pPr>
        <w:tabs>
          <w:tab w:val="left" w:pos="851"/>
          <w:tab w:val="left" w:pos="2127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125 mg/ml:</w:t>
      </w:r>
      <w:r>
        <w:rPr>
          <w:sz w:val="24"/>
          <w:szCs w:val="24"/>
        </w:rPr>
        <w:tab/>
        <w:t>59411</w:t>
      </w:r>
    </w:p>
    <w:p w:rsidR="00FB7EB1" w:rsidRPr="00406EE7" w:rsidRDefault="00FB7EB1" w:rsidP="00FB7EB1">
      <w:pPr>
        <w:tabs>
          <w:tab w:val="left" w:pos="851"/>
          <w:tab w:val="left" w:pos="2127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250 mg/ml:</w:t>
      </w:r>
      <w:r>
        <w:rPr>
          <w:sz w:val="24"/>
          <w:szCs w:val="24"/>
        </w:rPr>
        <w:tab/>
        <w:t>59412</w:t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9.</w:t>
      </w:r>
      <w:r w:rsidRPr="00406EE7">
        <w:rPr>
          <w:b/>
          <w:sz w:val="24"/>
          <w:szCs w:val="24"/>
        </w:rPr>
        <w:tab/>
        <w:t>DATO FOR FØRSTE MARKEDSFØRINGSTILLADELSE</w:t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16. maj 2018</w:t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10.</w:t>
      </w:r>
      <w:r w:rsidRPr="00406EE7">
        <w:rPr>
          <w:b/>
          <w:sz w:val="24"/>
          <w:szCs w:val="24"/>
        </w:rPr>
        <w:tab/>
        <w:t>DATO FOR ÆNDRING AF TEKSTEN</w:t>
      </w:r>
    </w:p>
    <w:p w:rsidR="00FB7EB1" w:rsidRPr="00406EE7" w:rsidRDefault="00C44CFB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23</w:t>
      </w:r>
      <w:r w:rsidR="00FB7EB1">
        <w:rPr>
          <w:sz w:val="24"/>
          <w:szCs w:val="24"/>
        </w:rPr>
        <w:t xml:space="preserve">. </w:t>
      </w:r>
      <w:r>
        <w:rPr>
          <w:sz w:val="24"/>
          <w:szCs w:val="24"/>
        </w:rPr>
        <w:t>marts</w:t>
      </w:r>
      <w:bookmarkStart w:id="0" w:name="_GoBack"/>
      <w:bookmarkEnd w:id="0"/>
      <w:r w:rsidR="00FB7EB1">
        <w:rPr>
          <w:sz w:val="24"/>
          <w:szCs w:val="24"/>
        </w:rPr>
        <w:t xml:space="preserve"> 20</w:t>
      </w:r>
      <w:r w:rsidR="00C022CB">
        <w:rPr>
          <w:sz w:val="24"/>
          <w:szCs w:val="24"/>
        </w:rPr>
        <w:t>22</w:t>
      </w:r>
    </w:p>
    <w:p w:rsidR="00FB7EB1" w:rsidRPr="00406EE7" w:rsidRDefault="00FB7EB1" w:rsidP="00FB7EB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B7EB1" w:rsidRPr="00406EE7" w:rsidRDefault="00FB7EB1" w:rsidP="00FB7EB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11.</w:t>
      </w:r>
      <w:r w:rsidRPr="00406EE7">
        <w:rPr>
          <w:b/>
          <w:sz w:val="24"/>
          <w:szCs w:val="24"/>
        </w:rPr>
        <w:tab/>
        <w:t>UDLEVERINGSBESTEMMELSE</w:t>
      </w:r>
    </w:p>
    <w:p w:rsidR="00FB7EB1" w:rsidRPr="0010566B" w:rsidRDefault="00FB7EB1" w:rsidP="00FB7EB1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>
        <w:rPr>
          <w:szCs w:val="24"/>
        </w:rPr>
        <w:t>BP</w:t>
      </w:r>
    </w:p>
    <w:p w:rsidR="00FB7EB1" w:rsidRPr="00F04CCF" w:rsidRDefault="00FB7EB1" w:rsidP="00FB7EB1"/>
    <w:p w:rsidR="0003527F" w:rsidRPr="00FB7EB1" w:rsidRDefault="0003527F" w:rsidP="00FB7EB1"/>
    <w:sectPr w:rsidR="0003527F" w:rsidRPr="00FB7EB1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EB1" w:rsidRDefault="00FB7EB1">
      <w:r>
        <w:separator/>
      </w:r>
    </w:p>
  </w:endnote>
  <w:endnote w:type="continuationSeparator" w:id="0">
    <w:p w:rsidR="00FB7EB1" w:rsidRDefault="00FB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C022CB">
      <w:rPr>
        <w:i/>
        <w:noProof/>
        <w:snapToGrid w:val="0"/>
        <w:sz w:val="18"/>
      </w:rPr>
      <w:t>Tiasol, opløsning til anvendelse i drikkevand 125 mg-ml og 250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C022CB">
      <w:rPr>
        <w:i/>
        <w:noProof/>
        <w:snapToGrid w:val="0"/>
        <w:sz w:val="18"/>
      </w:rPr>
      <w:t>Tiasol, opløsning til anvendelse i drikkevand 125 mg-ml og 250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EB1" w:rsidRDefault="00FB7EB1">
      <w:r>
        <w:separator/>
      </w:r>
    </w:p>
  </w:footnote>
  <w:footnote w:type="continuationSeparator" w:id="0">
    <w:p w:rsidR="00FB7EB1" w:rsidRDefault="00FB7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19EE"/>
    <w:multiLevelType w:val="hybridMultilevel"/>
    <w:tmpl w:val="F218088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B1"/>
    <w:rsid w:val="0003527F"/>
    <w:rsid w:val="00065C7D"/>
    <w:rsid w:val="000C6CD4"/>
    <w:rsid w:val="001577E4"/>
    <w:rsid w:val="001858CA"/>
    <w:rsid w:val="001C4AEF"/>
    <w:rsid w:val="001D3CC5"/>
    <w:rsid w:val="00322BDE"/>
    <w:rsid w:val="00406EE7"/>
    <w:rsid w:val="00407013"/>
    <w:rsid w:val="004A62CC"/>
    <w:rsid w:val="00565A74"/>
    <w:rsid w:val="005B0036"/>
    <w:rsid w:val="005F5831"/>
    <w:rsid w:val="00662012"/>
    <w:rsid w:val="00666B01"/>
    <w:rsid w:val="006B1539"/>
    <w:rsid w:val="006D4B41"/>
    <w:rsid w:val="006F5621"/>
    <w:rsid w:val="007E2A00"/>
    <w:rsid w:val="008010F2"/>
    <w:rsid w:val="008C0F76"/>
    <w:rsid w:val="009202AE"/>
    <w:rsid w:val="00932676"/>
    <w:rsid w:val="009D66C6"/>
    <w:rsid w:val="00A96525"/>
    <w:rsid w:val="00AE29E5"/>
    <w:rsid w:val="00AE5757"/>
    <w:rsid w:val="00B25EB8"/>
    <w:rsid w:val="00BC634B"/>
    <w:rsid w:val="00BF2AE0"/>
    <w:rsid w:val="00C022CB"/>
    <w:rsid w:val="00C44CFB"/>
    <w:rsid w:val="00C479BF"/>
    <w:rsid w:val="00D567AA"/>
    <w:rsid w:val="00DD6D71"/>
    <w:rsid w:val="00DF32BE"/>
    <w:rsid w:val="00DF440A"/>
    <w:rsid w:val="00E14F0A"/>
    <w:rsid w:val="00E81552"/>
    <w:rsid w:val="00EB5778"/>
    <w:rsid w:val="00EE5253"/>
    <w:rsid w:val="00FA66E4"/>
    <w:rsid w:val="00FB7EB1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A9EB2"/>
  <w15:chartTrackingRefBased/>
  <w15:docId w15:val="{3DB4A81F-D192-4A35-8B52-111759B2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0</TotalTime>
  <Pages>10</Pages>
  <Words>2656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NSJE@dkma.dk</dc:creator>
  <cp:keywords/>
  <dc:description>2021120108 spc. pkt. 6,5 fra lav til høj densitets</dc:description>
  <cp:lastModifiedBy>Naja Støckel Jessen</cp:lastModifiedBy>
  <cp:revision>2</cp:revision>
  <dcterms:created xsi:type="dcterms:W3CDTF">2022-03-23T14:32:00Z</dcterms:created>
  <dcterms:modified xsi:type="dcterms:W3CDTF">2022-03-23T14:32:00Z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