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5194" w:rsidRPr="008F49E1" w:rsidRDefault="00145194" w:rsidP="00145194">
      <w:pPr>
        <w:rPr>
          <w:sz w:val="24"/>
          <w:szCs w:val="24"/>
        </w:rPr>
      </w:pPr>
      <w:bookmarkStart w:id="0" w:name="_GoBack"/>
      <w:bookmarkEnd w:id="0"/>
      <w:r w:rsidRPr="005B0036">
        <w:rPr>
          <w:noProof/>
          <w:sz w:val="24"/>
          <w:szCs w:val="24"/>
          <w:lang w:eastAsia="da-DK"/>
        </w:rPr>
        <w:drawing>
          <wp:inline distT="0" distB="0" distL="0" distR="0" wp14:anchorId="4E243C71" wp14:editId="5F2FAA2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145194" w:rsidRPr="00406EE7" w:rsidRDefault="0069563C" w:rsidP="0069563C">
      <w:pPr>
        <w:tabs>
          <w:tab w:val="right" w:pos="9356"/>
        </w:tabs>
        <w:jc w:val="right"/>
        <w:rPr>
          <w:b/>
          <w:sz w:val="24"/>
          <w:szCs w:val="24"/>
        </w:rPr>
      </w:pPr>
      <w:r>
        <w:rPr>
          <w:b/>
          <w:sz w:val="24"/>
          <w:szCs w:val="24"/>
        </w:rPr>
        <w:t>4. august 2021</w:t>
      </w:r>
    </w:p>
    <w:p w:rsidR="00145194" w:rsidRPr="00406EE7" w:rsidRDefault="00145194" w:rsidP="00145194">
      <w:pPr>
        <w:rPr>
          <w:sz w:val="24"/>
          <w:szCs w:val="24"/>
        </w:rPr>
      </w:pPr>
    </w:p>
    <w:p w:rsidR="00145194" w:rsidRPr="00406EE7" w:rsidRDefault="00145194" w:rsidP="00145194">
      <w:pPr>
        <w:rPr>
          <w:sz w:val="24"/>
          <w:szCs w:val="24"/>
        </w:rPr>
      </w:pPr>
    </w:p>
    <w:p w:rsidR="00145194" w:rsidRPr="00406EE7" w:rsidRDefault="00145194" w:rsidP="00145194">
      <w:pPr>
        <w:tabs>
          <w:tab w:val="left" w:pos="8222"/>
        </w:tabs>
        <w:jc w:val="center"/>
        <w:rPr>
          <w:b/>
          <w:sz w:val="24"/>
          <w:szCs w:val="24"/>
        </w:rPr>
      </w:pPr>
      <w:r w:rsidRPr="00406EE7">
        <w:rPr>
          <w:b/>
          <w:sz w:val="24"/>
          <w:szCs w:val="24"/>
        </w:rPr>
        <w:t>PRODUKTRESUMÉ</w:t>
      </w:r>
    </w:p>
    <w:p w:rsidR="00145194" w:rsidRPr="00406EE7" w:rsidRDefault="00145194" w:rsidP="00145194">
      <w:pPr>
        <w:tabs>
          <w:tab w:val="left" w:pos="8222"/>
        </w:tabs>
        <w:jc w:val="center"/>
        <w:rPr>
          <w:b/>
          <w:sz w:val="24"/>
          <w:szCs w:val="24"/>
        </w:rPr>
      </w:pPr>
    </w:p>
    <w:p w:rsidR="00145194" w:rsidRPr="00406EE7" w:rsidRDefault="00145194" w:rsidP="00145194">
      <w:pPr>
        <w:tabs>
          <w:tab w:val="left" w:pos="8222"/>
        </w:tabs>
        <w:jc w:val="center"/>
        <w:rPr>
          <w:b/>
          <w:sz w:val="24"/>
          <w:szCs w:val="24"/>
        </w:rPr>
      </w:pPr>
      <w:r w:rsidRPr="00406EE7">
        <w:rPr>
          <w:b/>
          <w:sz w:val="24"/>
          <w:szCs w:val="24"/>
        </w:rPr>
        <w:t>for</w:t>
      </w:r>
    </w:p>
    <w:p w:rsidR="00145194" w:rsidRPr="00406EE7" w:rsidRDefault="00145194" w:rsidP="00145194">
      <w:pPr>
        <w:tabs>
          <w:tab w:val="left" w:pos="8222"/>
        </w:tabs>
        <w:jc w:val="center"/>
        <w:rPr>
          <w:b/>
          <w:sz w:val="24"/>
          <w:szCs w:val="24"/>
        </w:rPr>
      </w:pPr>
    </w:p>
    <w:p w:rsidR="00145194" w:rsidRPr="00565A74" w:rsidRDefault="00145194" w:rsidP="00145194">
      <w:pPr>
        <w:tabs>
          <w:tab w:val="left" w:pos="8222"/>
        </w:tabs>
        <w:jc w:val="center"/>
        <w:rPr>
          <w:b/>
          <w:sz w:val="24"/>
          <w:szCs w:val="24"/>
        </w:rPr>
      </w:pPr>
      <w:proofErr w:type="spellStart"/>
      <w:r>
        <w:rPr>
          <w:b/>
          <w:sz w:val="24"/>
          <w:szCs w:val="24"/>
        </w:rPr>
        <w:t>Torbudine</w:t>
      </w:r>
      <w:proofErr w:type="spellEnd"/>
      <w:r>
        <w:rPr>
          <w:b/>
          <w:sz w:val="24"/>
          <w:szCs w:val="24"/>
        </w:rPr>
        <w:t xml:space="preserve"> </w:t>
      </w:r>
      <w:proofErr w:type="spellStart"/>
      <w:r>
        <w:rPr>
          <w:b/>
          <w:sz w:val="24"/>
          <w:szCs w:val="24"/>
        </w:rPr>
        <w:t>Vet</w:t>
      </w:r>
      <w:proofErr w:type="spellEnd"/>
      <w:r>
        <w:rPr>
          <w:b/>
          <w:sz w:val="24"/>
          <w:szCs w:val="24"/>
        </w:rPr>
        <w:t>., injektionsvæske, opløsning</w:t>
      </w:r>
    </w:p>
    <w:p w:rsidR="00145194" w:rsidRPr="00406EE7" w:rsidRDefault="00145194" w:rsidP="00145194">
      <w:pPr>
        <w:tabs>
          <w:tab w:val="left" w:pos="8222"/>
        </w:tabs>
        <w:jc w:val="both"/>
        <w:rPr>
          <w:sz w:val="24"/>
          <w:szCs w:val="24"/>
        </w:rPr>
      </w:pPr>
    </w:p>
    <w:p w:rsidR="00145194" w:rsidRPr="008A3CEB" w:rsidRDefault="00145194" w:rsidP="00145194">
      <w:pPr>
        <w:ind w:left="851" w:hanging="851"/>
        <w:jc w:val="both"/>
        <w:rPr>
          <w:sz w:val="24"/>
          <w:szCs w:val="24"/>
        </w:rPr>
      </w:pPr>
    </w:p>
    <w:p w:rsidR="00145194" w:rsidRPr="008A3CEB" w:rsidRDefault="00145194" w:rsidP="00145194">
      <w:pPr>
        <w:ind w:left="851" w:hanging="851"/>
        <w:rPr>
          <w:b/>
          <w:sz w:val="24"/>
          <w:szCs w:val="24"/>
        </w:rPr>
      </w:pPr>
      <w:r w:rsidRPr="008A3CEB">
        <w:rPr>
          <w:b/>
          <w:sz w:val="24"/>
          <w:szCs w:val="24"/>
        </w:rPr>
        <w:t>0.</w:t>
      </w:r>
      <w:r w:rsidRPr="008A3CEB">
        <w:rPr>
          <w:b/>
          <w:sz w:val="24"/>
          <w:szCs w:val="24"/>
        </w:rPr>
        <w:tab/>
        <w:t>D.SP.NR.</w:t>
      </w:r>
    </w:p>
    <w:p w:rsidR="00145194" w:rsidRPr="008A3CEB" w:rsidRDefault="00145194" w:rsidP="00145194">
      <w:pPr>
        <w:ind w:left="851" w:hanging="851"/>
        <w:rPr>
          <w:sz w:val="24"/>
          <w:szCs w:val="24"/>
        </w:rPr>
      </w:pPr>
      <w:r>
        <w:rPr>
          <w:sz w:val="24"/>
          <w:szCs w:val="24"/>
        </w:rPr>
        <w:tab/>
      </w:r>
      <w:r w:rsidRPr="008A3CEB">
        <w:rPr>
          <w:sz w:val="24"/>
          <w:szCs w:val="24"/>
        </w:rPr>
        <w:t>29948</w:t>
      </w: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A3CEB">
        <w:rPr>
          <w:b/>
          <w:sz w:val="24"/>
          <w:szCs w:val="24"/>
        </w:rPr>
        <w:t>1.</w:t>
      </w:r>
      <w:r w:rsidRPr="008A3CEB">
        <w:rPr>
          <w:b/>
          <w:sz w:val="24"/>
          <w:szCs w:val="24"/>
        </w:rPr>
        <w:tab/>
        <w:t>VETERINÆRLÆGEMIDLETS NAVN</w:t>
      </w:r>
    </w:p>
    <w:p w:rsidR="00145194" w:rsidRPr="008A3CEB" w:rsidRDefault="00145194" w:rsidP="00145194">
      <w:pPr>
        <w:ind w:left="851" w:hanging="851"/>
        <w:rPr>
          <w:sz w:val="24"/>
          <w:szCs w:val="24"/>
        </w:rPr>
      </w:pPr>
      <w:r>
        <w:rPr>
          <w:sz w:val="24"/>
          <w:szCs w:val="24"/>
        </w:rPr>
        <w:tab/>
      </w:r>
      <w:proofErr w:type="spellStart"/>
      <w:r w:rsidRPr="008A3CEB">
        <w:rPr>
          <w:sz w:val="24"/>
          <w:szCs w:val="24"/>
        </w:rPr>
        <w:t>Torbudine</w:t>
      </w:r>
      <w:proofErr w:type="spellEnd"/>
      <w:r w:rsidRPr="008A3CEB">
        <w:rPr>
          <w:sz w:val="24"/>
          <w:szCs w:val="24"/>
        </w:rPr>
        <w:t xml:space="preserve"> </w:t>
      </w:r>
      <w:proofErr w:type="spellStart"/>
      <w:r w:rsidRPr="008A3CEB">
        <w:rPr>
          <w:sz w:val="24"/>
          <w:szCs w:val="24"/>
        </w:rPr>
        <w:t>Vet</w:t>
      </w:r>
      <w:proofErr w:type="spellEnd"/>
      <w:r w:rsidRPr="008A3CEB">
        <w:rPr>
          <w:sz w:val="24"/>
          <w:szCs w:val="24"/>
        </w:rPr>
        <w:t>.</w:t>
      </w: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A3CEB">
        <w:rPr>
          <w:b/>
          <w:sz w:val="24"/>
          <w:szCs w:val="24"/>
        </w:rPr>
        <w:t>2.</w:t>
      </w:r>
      <w:r w:rsidRPr="008A3CEB">
        <w:rPr>
          <w:b/>
          <w:sz w:val="24"/>
          <w:szCs w:val="24"/>
        </w:rPr>
        <w:tab/>
        <w:t>KVALITATIV OG KVANTITATIV SAMMENSÆTNING</w:t>
      </w:r>
    </w:p>
    <w:p w:rsidR="00145194" w:rsidRPr="008A3CEB" w:rsidRDefault="00145194" w:rsidP="00145194">
      <w:pPr>
        <w:ind w:left="851"/>
        <w:rPr>
          <w:sz w:val="24"/>
          <w:szCs w:val="24"/>
        </w:rPr>
      </w:pPr>
      <w:r w:rsidRPr="008A3CEB">
        <w:rPr>
          <w:sz w:val="24"/>
          <w:szCs w:val="24"/>
          <w:lang w:val=""/>
        </w:rPr>
        <w:t>1 ml indeholder:</w:t>
      </w:r>
    </w:p>
    <w:p w:rsidR="00145194" w:rsidRPr="008A3CEB" w:rsidRDefault="00145194" w:rsidP="00145194">
      <w:pPr>
        <w:ind w:left="851" w:hanging="851"/>
        <w:rPr>
          <w:sz w:val="24"/>
          <w:szCs w:val="24"/>
        </w:rPr>
      </w:pPr>
    </w:p>
    <w:p w:rsidR="00145194" w:rsidRPr="008A3CEB" w:rsidRDefault="00145194" w:rsidP="00145194">
      <w:pPr>
        <w:ind w:left="851"/>
        <w:rPr>
          <w:sz w:val="24"/>
          <w:szCs w:val="24"/>
        </w:rPr>
      </w:pPr>
      <w:r w:rsidRPr="008A3CEB">
        <w:rPr>
          <w:b/>
          <w:bCs/>
          <w:sz w:val="24"/>
          <w:szCs w:val="24"/>
          <w:lang w:val=""/>
        </w:rPr>
        <w:t>Aktivt stof:</w:t>
      </w:r>
    </w:p>
    <w:p w:rsidR="00145194" w:rsidRPr="008A3CEB" w:rsidRDefault="00145194" w:rsidP="00145194">
      <w:pPr>
        <w:ind w:left="851" w:hanging="851"/>
        <w:rPr>
          <w:sz w:val="24"/>
          <w:szCs w:val="24"/>
        </w:rPr>
      </w:pPr>
      <w:r>
        <w:rPr>
          <w:sz w:val="24"/>
          <w:szCs w:val="24"/>
          <w:lang w:val=""/>
        </w:rPr>
        <w:tab/>
      </w:r>
      <w:r w:rsidRPr="008A3CEB">
        <w:rPr>
          <w:sz w:val="24"/>
          <w:szCs w:val="24"/>
          <w:lang w:val=""/>
        </w:rPr>
        <w:t>Butorphanol</w:t>
      </w:r>
      <w:r w:rsidRPr="008A3CEB">
        <w:rPr>
          <w:sz w:val="24"/>
          <w:szCs w:val="24"/>
          <w:lang w:val=""/>
        </w:rPr>
        <w:tab/>
      </w:r>
      <w:r w:rsidRPr="008A3CEB">
        <w:rPr>
          <w:sz w:val="24"/>
          <w:szCs w:val="24"/>
          <w:lang w:val=""/>
        </w:rPr>
        <w:tab/>
        <w:t>10,0 mg</w:t>
      </w:r>
    </w:p>
    <w:p w:rsidR="00145194" w:rsidRPr="008A3CEB" w:rsidRDefault="00145194" w:rsidP="00145194">
      <w:pPr>
        <w:ind w:left="851" w:hanging="851"/>
        <w:rPr>
          <w:sz w:val="24"/>
          <w:szCs w:val="24"/>
        </w:rPr>
      </w:pPr>
      <w:r>
        <w:rPr>
          <w:sz w:val="24"/>
          <w:szCs w:val="24"/>
          <w:lang w:val=""/>
        </w:rPr>
        <w:tab/>
      </w:r>
      <w:r w:rsidRPr="008A3CEB">
        <w:rPr>
          <w:sz w:val="24"/>
          <w:szCs w:val="24"/>
          <w:lang w:val=""/>
        </w:rPr>
        <w:t>Svarer til 14,58 mg butorphanoltartrat</w:t>
      </w:r>
    </w:p>
    <w:p w:rsidR="00145194" w:rsidRPr="008A3CEB" w:rsidRDefault="00145194" w:rsidP="00145194">
      <w:pPr>
        <w:ind w:left="851" w:hanging="851"/>
        <w:rPr>
          <w:sz w:val="24"/>
          <w:szCs w:val="24"/>
        </w:rPr>
      </w:pPr>
    </w:p>
    <w:p w:rsidR="00145194" w:rsidRPr="008A3CEB" w:rsidRDefault="00145194" w:rsidP="00145194">
      <w:pPr>
        <w:ind w:left="851" w:hanging="851"/>
        <w:rPr>
          <w:sz w:val="24"/>
          <w:szCs w:val="24"/>
        </w:rPr>
      </w:pPr>
      <w:r>
        <w:rPr>
          <w:b/>
          <w:bCs/>
          <w:sz w:val="24"/>
          <w:szCs w:val="24"/>
          <w:lang w:val=""/>
        </w:rPr>
        <w:tab/>
      </w:r>
      <w:r w:rsidRPr="008A3CEB">
        <w:rPr>
          <w:b/>
          <w:bCs/>
          <w:sz w:val="24"/>
          <w:szCs w:val="24"/>
          <w:lang w:val=""/>
        </w:rPr>
        <w:t>Hjælpestoffer</w:t>
      </w:r>
      <w:r w:rsidRPr="008A3CEB">
        <w:rPr>
          <w:sz w:val="24"/>
          <w:szCs w:val="24"/>
          <w:lang w:val=""/>
        </w:rPr>
        <w:t>:</w:t>
      </w:r>
    </w:p>
    <w:p w:rsidR="00145194" w:rsidRPr="008A3CEB" w:rsidRDefault="00145194" w:rsidP="00145194">
      <w:pPr>
        <w:ind w:left="851" w:hanging="851"/>
        <w:rPr>
          <w:sz w:val="24"/>
          <w:szCs w:val="24"/>
        </w:rPr>
      </w:pPr>
      <w:r>
        <w:rPr>
          <w:sz w:val="24"/>
          <w:szCs w:val="24"/>
          <w:lang w:val=""/>
        </w:rPr>
        <w:tab/>
      </w:r>
      <w:r w:rsidRPr="008A3CEB">
        <w:rPr>
          <w:sz w:val="24"/>
          <w:szCs w:val="24"/>
          <w:lang w:val=""/>
        </w:rPr>
        <w:t>Benzethoniumchlorid</w:t>
      </w:r>
      <w:r w:rsidRPr="008A3CEB">
        <w:rPr>
          <w:sz w:val="24"/>
          <w:szCs w:val="24"/>
          <w:lang w:val=""/>
        </w:rPr>
        <w:tab/>
        <w:t>0,1 mg</w:t>
      </w:r>
    </w:p>
    <w:p w:rsidR="00145194" w:rsidRPr="008A3CEB" w:rsidRDefault="00145194" w:rsidP="00145194">
      <w:pPr>
        <w:ind w:left="851" w:hanging="851"/>
        <w:rPr>
          <w:sz w:val="24"/>
          <w:szCs w:val="24"/>
        </w:rPr>
      </w:pPr>
    </w:p>
    <w:p w:rsidR="00145194" w:rsidRPr="008A3CEB" w:rsidRDefault="00145194" w:rsidP="00145194">
      <w:pPr>
        <w:ind w:left="851"/>
        <w:rPr>
          <w:sz w:val="24"/>
          <w:szCs w:val="24"/>
        </w:rPr>
      </w:pPr>
      <w:r w:rsidRPr="008A3CEB">
        <w:rPr>
          <w:sz w:val="24"/>
          <w:szCs w:val="24"/>
          <w:lang w:val=""/>
        </w:rPr>
        <w:t>Alle hjælpestoffer er anført under pkt. 6.1.</w:t>
      </w: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A3CEB">
        <w:rPr>
          <w:b/>
          <w:sz w:val="24"/>
          <w:szCs w:val="24"/>
        </w:rPr>
        <w:t>3.</w:t>
      </w:r>
      <w:r w:rsidRPr="008A3CEB">
        <w:rPr>
          <w:b/>
          <w:sz w:val="24"/>
          <w:szCs w:val="24"/>
        </w:rPr>
        <w:tab/>
        <w:t>LÆGEMIDDELFORM</w:t>
      </w:r>
    </w:p>
    <w:p w:rsidR="00145194" w:rsidRPr="008A3CEB" w:rsidRDefault="00145194" w:rsidP="00145194">
      <w:pPr>
        <w:ind w:left="851"/>
        <w:rPr>
          <w:sz w:val="24"/>
          <w:szCs w:val="24"/>
        </w:rPr>
      </w:pPr>
      <w:r w:rsidRPr="008A3CEB">
        <w:rPr>
          <w:sz w:val="24"/>
          <w:szCs w:val="24"/>
          <w:lang w:val=""/>
        </w:rPr>
        <w:t>Injektionsvæske, opløsning</w:t>
      </w:r>
    </w:p>
    <w:p w:rsidR="00145194" w:rsidRPr="008A3CEB" w:rsidRDefault="00145194" w:rsidP="00145194">
      <w:pPr>
        <w:ind w:left="851"/>
        <w:rPr>
          <w:sz w:val="24"/>
          <w:szCs w:val="24"/>
        </w:rPr>
      </w:pPr>
      <w:r w:rsidRPr="008A3CEB">
        <w:rPr>
          <w:sz w:val="24"/>
          <w:szCs w:val="24"/>
          <w:lang w:val=""/>
        </w:rPr>
        <w:t>Klar, farveløs opløsning</w:t>
      </w:r>
    </w:p>
    <w:p w:rsidR="00145194" w:rsidRPr="008A3CEB" w:rsidRDefault="00145194" w:rsidP="00145194">
      <w:pPr>
        <w:ind w:left="851" w:hanging="851"/>
        <w:rPr>
          <w:sz w:val="24"/>
          <w:szCs w:val="24"/>
        </w:rPr>
      </w:pP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A3CEB">
        <w:rPr>
          <w:b/>
          <w:sz w:val="24"/>
          <w:szCs w:val="24"/>
        </w:rPr>
        <w:t>4.</w:t>
      </w:r>
      <w:r w:rsidRPr="008A3CEB">
        <w:rPr>
          <w:b/>
          <w:sz w:val="24"/>
          <w:szCs w:val="24"/>
        </w:rPr>
        <w:tab/>
        <w:t>KLINISKE OPLYSNINGER</w:t>
      </w: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u w:val="single"/>
        </w:rPr>
      </w:pPr>
      <w:r w:rsidRPr="008A3CEB">
        <w:rPr>
          <w:b/>
          <w:sz w:val="24"/>
          <w:szCs w:val="24"/>
        </w:rPr>
        <w:t>4.1</w:t>
      </w:r>
      <w:r w:rsidRPr="008A3CEB">
        <w:rPr>
          <w:b/>
          <w:sz w:val="24"/>
          <w:szCs w:val="24"/>
        </w:rPr>
        <w:tab/>
        <w:t>Dyrearter</w:t>
      </w:r>
    </w:p>
    <w:p w:rsidR="00145194" w:rsidRPr="008A3CEB" w:rsidRDefault="00145194" w:rsidP="00145194">
      <w:pPr>
        <w:ind w:left="851"/>
        <w:rPr>
          <w:sz w:val="24"/>
          <w:szCs w:val="24"/>
        </w:rPr>
      </w:pPr>
      <w:r w:rsidRPr="008A3CEB">
        <w:rPr>
          <w:sz w:val="24"/>
          <w:szCs w:val="24"/>
          <w:lang w:val=""/>
        </w:rPr>
        <w:t>Hunde, katte og heste.</w:t>
      </w:r>
    </w:p>
    <w:p w:rsidR="00145194" w:rsidRPr="008A3CEB" w:rsidRDefault="00145194" w:rsidP="00145194">
      <w:pPr>
        <w:ind w:left="851" w:hanging="851"/>
        <w:rPr>
          <w:sz w:val="24"/>
          <w:szCs w:val="24"/>
        </w:rPr>
      </w:pPr>
    </w:p>
    <w:p w:rsidR="00145194" w:rsidRPr="008A3CEB" w:rsidRDefault="00145194" w:rsidP="00145194">
      <w:pPr>
        <w:pStyle w:val="Sidehoved"/>
        <w:tabs>
          <w:tab w:val="clear" w:pos="4819"/>
          <w:tab w:val="clear" w:pos="9638"/>
        </w:tabs>
        <w:ind w:left="851" w:hanging="851"/>
        <w:rPr>
          <w:b/>
          <w:szCs w:val="24"/>
        </w:rPr>
      </w:pPr>
      <w:r w:rsidRPr="008A3CEB">
        <w:rPr>
          <w:b/>
          <w:szCs w:val="24"/>
        </w:rPr>
        <w:t>4.2</w:t>
      </w:r>
      <w:r w:rsidRPr="008A3CEB">
        <w:rPr>
          <w:b/>
          <w:szCs w:val="24"/>
        </w:rPr>
        <w:tab/>
        <w:t>Terapeutiske indikationer</w:t>
      </w:r>
    </w:p>
    <w:p w:rsidR="00145194" w:rsidRDefault="00145194" w:rsidP="00145194">
      <w:pPr>
        <w:ind w:left="851"/>
        <w:rPr>
          <w:rStyle w:val="apple-style-span"/>
          <w:b/>
          <w:bCs/>
          <w:sz w:val="24"/>
          <w:szCs w:val="24"/>
          <w:lang w:val=""/>
        </w:rPr>
      </w:pPr>
    </w:p>
    <w:p w:rsidR="000A304D" w:rsidRDefault="000A304D" w:rsidP="000A304D">
      <w:pPr>
        <w:ind w:left="851"/>
        <w:rPr>
          <w:sz w:val="24"/>
          <w:szCs w:val="24"/>
          <w:u w:val="single"/>
          <w:lang w:val="en-US"/>
        </w:rPr>
      </w:pPr>
      <w:r>
        <w:rPr>
          <w:sz w:val="24"/>
          <w:szCs w:val="24"/>
          <w:u w:val="single"/>
          <w:lang w:val=""/>
        </w:rPr>
        <w:t>Hund</w:t>
      </w:r>
    </w:p>
    <w:p w:rsidR="000A304D" w:rsidRDefault="000A304D" w:rsidP="000A304D">
      <w:pPr>
        <w:pStyle w:val="Brdtekstindrykning"/>
        <w:ind w:left="851" w:firstLine="0"/>
        <w:rPr>
          <w:b w:val="0"/>
          <w:i/>
          <w:iCs/>
          <w:sz w:val="24"/>
          <w:szCs w:val="24"/>
        </w:rPr>
      </w:pPr>
      <w:bookmarkStart w:id="1" w:name="_Hlk78375037"/>
      <w:r>
        <w:rPr>
          <w:b w:val="0"/>
          <w:i/>
          <w:iCs/>
          <w:sz w:val="24"/>
          <w:szCs w:val="24"/>
          <w:lang w:val=""/>
        </w:rPr>
        <w:t>Som</w:t>
      </w:r>
      <w:bookmarkEnd w:id="1"/>
      <w:r>
        <w:rPr>
          <w:b w:val="0"/>
          <w:i/>
          <w:iCs/>
          <w:sz w:val="24"/>
          <w:szCs w:val="24"/>
          <w:lang w:val=""/>
        </w:rPr>
        <w:t xml:space="preserve"> analgetikum:</w:t>
      </w:r>
    </w:p>
    <w:p w:rsidR="000A304D" w:rsidRDefault="000A304D" w:rsidP="000A304D">
      <w:pPr>
        <w:pStyle w:val="Brdtekstindrykning"/>
        <w:numPr>
          <w:ilvl w:val="0"/>
          <w:numId w:val="8"/>
        </w:numPr>
        <w:ind w:left="1276" w:hanging="425"/>
        <w:rPr>
          <w:b w:val="0"/>
          <w:sz w:val="24"/>
          <w:szCs w:val="24"/>
          <w:lang w:val="da-DK"/>
        </w:rPr>
      </w:pPr>
      <w:r>
        <w:rPr>
          <w:b w:val="0"/>
          <w:sz w:val="24"/>
          <w:szCs w:val="24"/>
          <w:lang w:val=""/>
        </w:rPr>
        <w:t xml:space="preserve">Til lindring af lette til moderate viscerale smerter. </w:t>
      </w:r>
    </w:p>
    <w:p w:rsidR="000A304D" w:rsidRDefault="000A304D" w:rsidP="000A304D">
      <w:pPr>
        <w:pStyle w:val="Brdtekstindrykning"/>
        <w:ind w:left="851" w:firstLine="0"/>
        <w:rPr>
          <w:b w:val="0"/>
          <w:sz w:val="24"/>
          <w:szCs w:val="24"/>
          <w:u w:val="single"/>
          <w:lang w:val=""/>
        </w:rPr>
      </w:pPr>
    </w:p>
    <w:p w:rsidR="000A304D" w:rsidRDefault="000A304D" w:rsidP="000A304D">
      <w:pPr>
        <w:pStyle w:val="Brdtekstindrykning"/>
        <w:ind w:left="851" w:firstLine="0"/>
        <w:rPr>
          <w:b w:val="0"/>
          <w:i/>
          <w:iCs/>
          <w:sz w:val="24"/>
          <w:szCs w:val="24"/>
        </w:rPr>
      </w:pPr>
      <w:r>
        <w:rPr>
          <w:b w:val="0"/>
          <w:i/>
          <w:iCs/>
          <w:sz w:val="24"/>
          <w:szCs w:val="24"/>
          <w:lang w:val=""/>
        </w:rPr>
        <w:t>Som sedation:</w:t>
      </w:r>
    </w:p>
    <w:p w:rsidR="000A304D" w:rsidRDefault="000A304D" w:rsidP="000A304D">
      <w:pPr>
        <w:pStyle w:val="Brdtekstindrykning"/>
        <w:numPr>
          <w:ilvl w:val="0"/>
          <w:numId w:val="8"/>
        </w:numPr>
        <w:ind w:left="1276" w:hanging="425"/>
        <w:rPr>
          <w:b w:val="0"/>
          <w:sz w:val="24"/>
          <w:szCs w:val="24"/>
          <w:lang w:val="da-DK"/>
        </w:rPr>
      </w:pPr>
      <w:r>
        <w:rPr>
          <w:b w:val="0"/>
          <w:sz w:val="24"/>
          <w:szCs w:val="24"/>
          <w:lang w:val=""/>
        </w:rPr>
        <w:t xml:space="preserve">Til sedation, når det anvendes i kombination med visse alfa2-adrenoceptoragonister (medetomidin). </w:t>
      </w:r>
    </w:p>
    <w:p w:rsidR="000A304D" w:rsidRDefault="000A304D" w:rsidP="000A304D">
      <w:pPr>
        <w:pStyle w:val="Brdtekstindrykning"/>
        <w:ind w:left="851" w:firstLine="0"/>
        <w:rPr>
          <w:b w:val="0"/>
          <w:sz w:val="24"/>
          <w:szCs w:val="24"/>
          <w:u w:val="single"/>
          <w:lang w:val=""/>
        </w:rPr>
      </w:pPr>
    </w:p>
    <w:p w:rsidR="000A304D" w:rsidRDefault="000A304D" w:rsidP="000A304D">
      <w:pPr>
        <w:pStyle w:val="Brdtekstindrykning"/>
        <w:ind w:left="851" w:firstLine="0"/>
        <w:rPr>
          <w:b w:val="0"/>
          <w:i/>
          <w:iCs/>
          <w:sz w:val="24"/>
          <w:szCs w:val="24"/>
          <w:lang w:val="da-DK"/>
        </w:rPr>
      </w:pPr>
      <w:r>
        <w:rPr>
          <w:b w:val="0"/>
          <w:i/>
          <w:iCs/>
          <w:sz w:val="24"/>
          <w:szCs w:val="24"/>
          <w:lang w:val=""/>
        </w:rPr>
        <w:t>Som præmedicinering før generel anæstesi:</w:t>
      </w:r>
    </w:p>
    <w:p w:rsidR="000A304D" w:rsidRDefault="000A304D" w:rsidP="000A304D">
      <w:pPr>
        <w:numPr>
          <w:ilvl w:val="0"/>
          <w:numId w:val="8"/>
        </w:numPr>
        <w:ind w:left="1276" w:hanging="425"/>
        <w:rPr>
          <w:sz w:val="24"/>
          <w:szCs w:val="24"/>
        </w:rPr>
      </w:pPr>
      <w:r>
        <w:rPr>
          <w:sz w:val="24"/>
          <w:szCs w:val="24"/>
          <w:lang w:val=""/>
        </w:rPr>
        <w:t xml:space="preserve">Til brug i kombination med acepromazin til analgesi og sedation før induktion af generel anæstesi. En dosisrelateret reduktion i dosen af induktionsanæstesimiddel (propofol eller thiopenton) er også indiceret. </w:t>
      </w:r>
    </w:p>
    <w:p w:rsidR="000A304D" w:rsidRDefault="000A304D" w:rsidP="000A304D">
      <w:pPr>
        <w:numPr>
          <w:ilvl w:val="0"/>
          <w:numId w:val="8"/>
        </w:numPr>
        <w:ind w:left="1276" w:hanging="425"/>
        <w:rPr>
          <w:sz w:val="24"/>
          <w:szCs w:val="24"/>
        </w:rPr>
      </w:pPr>
      <w:r>
        <w:rPr>
          <w:sz w:val="24"/>
          <w:szCs w:val="24"/>
          <w:lang w:val=""/>
        </w:rPr>
        <w:t>Til præmedicinering gives det som eneste præanæstesimiddel.</w:t>
      </w:r>
    </w:p>
    <w:p w:rsidR="000A304D" w:rsidRDefault="000A304D" w:rsidP="000A304D">
      <w:pPr>
        <w:pStyle w:val="Brdtekstindrykning"/>
        <w:ind w:left="851" w:firstLine="0"/>
        <w:rPr>
          <w:b w:val="0"/>
          <w:sz w:val="24"/>
          <w:szCs w:val="24"/>
          <w:u w:val="single"/>
          <w:lang w:val=""/>
        </w:rPr>
      </w:pPr>
    </w:p>
    <w:p w:rsidR="000A304D" w:rsidRDefault="000A304D" w:rsidP="000A304D">
      <w:pPr>
        <w:pStyle w:val="Brdtekstindrykning"/>
        <w:ind w:left="851" w:firstLine="0"/>
        <w:rPr>
          <w:b w:val="0"/>
          <w:i/>
          <w:iCs/>
          <w:sz w:val="24"/>
          <w:szCs w:val="24"/>
        </w:rPr>
      </w:pPr>
      <w:r>
        <w:rPr>
          <w:b w:val="0"/>
          <w:i/>
          <w:iCs/>
          <w:sz w:val="24"/>
          <w:szCs w:val="24"/>
          <w:lang w:val=""/>
        </w:rPr>
        <w:t>Som anæstesi:</w:t>
      </w:r>
    </w:p>
    <w:p w:rsidR="000A304D" w:rsidRDefault="000A304D" w:rsidP="000A304D">
      <w:pPr>
        <w:pStyle w:val="Brdtekstindrykning"/>
        <w:numPr>
          <w:ilvl w:val="0"/>
          <w:numId w:val="8"/>
        </w:numPr>
        <w:ind w:left="1276" w:hanging="425"/>
        <w:rPr>
          <w:b w:val="0"/>
          <w:sz w:val="24"/>
          <w:szCs w:val="24"/>
          <w:lang w:val="da-DK"/>
        </w:rPr>
      </w:pPr>
      <w:r>
        <w:rPr>
          <w:b w:val="0"/>
          <w:sz w:val="24"/>
          <w:szCs w:val="24"/>
          <w:lang w:val=""/>
        </w:rPr>
        <w:t>Til anæstesi, når det anvendes i kombination med medetomidin og ketamin</w:t>
      </w:r>
    </w:p>
    <w:p w:rsidR="000A304D" w:rsidRDefault="000A304D" w:rsidP="000A304D">
      <w:pPr>
        <w:pStyle w:val="Brdtekst"/>
        <w:ind w:left="851" w:hanging="851"/>
        <w:jc w:val="left"/>
        <w:rPr>
          <w:bCs/>
          <w:sz w:val="24"/>
          <w:szCs w:val="24"/>
          <w:lang w:val="da-DK"/>
        </w:rPr>
      </w:pPr>
    </w:p>
    <w:p w:rsidR="000A304D" w:rsidRDefault="000A304D" w:rsidP="000A304D">
      <w:pPr>
        <w:pStyle w:val="Brdtekst"/>
        <w:ind w:left="851" w:hanging="851"/>
        <w:jc w:val="left"/>
        <w:rPr>
          <w:sz w:val="24"/>
          <w:szCs w:val="24"/>
          <w:u w:val="single"/>
          <w:lang w:val="da-DK"/>
        </w:rPr>
      </w:pPr>
      <w:r>
        <w:rPr>
          <w:b/>
          <w:bCs/>
          <w:sz w:val="24"/>
          <w:szCs w:val="24"/>
          <w:lang w:val=""/>
        </w:rPr>
        <w:tab/>
      </w:r>
      <w:r>
        <w:rPr>
          <w:sz w:val="24"/>
          <w:szCs w:val="24"/>
          <w:u w:val="single"/>
          <w:lang w:val=""/>
        </w:rPr>
        <w:t>Kat</w:t>
      </w:r>
    </w:p>
    <w:p w:rsidR="000A304D" w:rsidRDefault="000A304D" w:rsidP="000A304D">
      <w:pPr>
        <w:pStyle w:val="Brdtekstindrykning"/>
        <w:ind w:left="851" w:firstLine="0"/>
        <w:rPr>
          <w:b w:val="0"/>
          <w:i/>
          <w:iCs/>
          <w:sz w:val="24"/>
          <w:szCs w:val="24"/>
          <w:lang w:val="da-DK"/>
        </w:rPr>
      </w:pPr>
      <w:r>
        <w:rPr>
          <w:b w:val="0"/>
          <w:i/>
          <w:iCs/>
          <w:sz w:val="24"/>
          <w:szCs w:val="24"/>
          <w:lang w:val=""/>
        </w:rPr>
        <w:t xml:space="preserve">Som analgetikum til lindring af moderate smerter: </w:t>
      </w:r>
    </w:p>
    <w:p w:rsidR="000A304D" w:rsidRDefault="000A304D" w:rsidP="000A304D">
      <w:pPr>
        <w:pStyle w:val="Brdtekstindrykning"/>
        <w:numPr>
          <w:ilvl w:val="0"/>
          <w:numId w:val="8"/>
        </w:numPr>
        <w:ind w:left="1276" w:hanging="425"/>
        <w:rPr>
          <w:b w:val="0"/>
          <w:sz w:val="24"/>
          <w:szCs w:val="24"/>
          <w:lang w:val="da-DK"/>
        </w:rPr>
      </w:pPr>
      <w:r>
        <w:rPr>
          <w:b w:val="0"/>
          <w:sz w:val="24"/>
          <w:szCs w:val="24"/>
          <w:lang w:val=""/>
        </w:rPr>
        <w:t xml:space="preserve">Til præoperativ brug som analgesi under operation. </w:t>
      </w:r>
    </w:p>
    <w:p w:rsidR="000A304D" w:rsidRDefault="000A304D" w:rsidP="000A304D">
      <w:pPr>
        <w:pStyle w:val="Brdtekstindrykning"/>
        <w:numPr>
          <w:ilvl w:val="0"/>
          <w:numId w:val="8"/>
        </w:numPr>
        <w:ind w:left="1276" w:hanging="425"/>
        <w:rPr>
          <w:b w:val="0"/>
          <w:sz w:val="24"/>
          <w:szCs w:val="24"/>
          <w:lang w:val="da-DK"/>
        </w:rPr>
      </w:pPr>
      <w:r>
        <w:rPr>
          <w:b w:val="0"/>
          <w:sz w:val="24"/>
          <w:szCs w:val="24"/>
          <w:lang w:val=""/>
        </w:rPr>
        <w:t xml:space="preserve">Til postoperativ analgesi efter små kirurgiske indgreb. </w:t>
      </w:r>
    </w:p>
    <w:p w:rsidR="000A304D" w:rsidRDefault="000A304D" w:rsidP="000A304D">
      <w:pPr>
        <w:pStyle w:val="Brdtekstindrykning"/>
        <w:ind w:left="851" w:firstLine="0"/>
        <w:rPr>
          <w:b w:val="0"/>
          <w:sz w:val="24"/>
          <w:szCs w:val="24"/>
          <w:u w:val="single"/>
          <w:lang w:val=""/>
        </w:rPr>
      </w:pPr>
    </w:p>
    <w:p w:rsidR="000A304D" w:rsidRDefault="000A304D" w:rsidP="000A304D">
      <w:pPr>
        <w:pStyle w:val="Brdtekstindrykning"/>
        <w:ind w:left="851" w:firstLine="0"/>
        <w:rPr>
          <w:b w:val="0"/>
          <w:i/>
          <w:iCs/>
          <w:sz w:val="24"/>
          <w:szCs w:val="24"/>
        </w:rPr>
      </w:pPr>
      <w:r>
        <w:rPr>
          <w:b w:val="0"/>
          <w:i/>
          <w:iCs/>
          <w:sz w:val="24"/>
          <w:szCs w:val="24"/>
          <w:lang w:val=""/>
        </w:rPr>
        <w:t>Som sedation:</w:t>
      </w:r>
    </w:p>
    <w:p w:rsidR="000A304D" w:rsidRDefault="000A304D" w:rsidP="000A304D">
      <w:pPr>
        <w:pStyle w:val="Brdtekstindrykning"/>
        <w:numPr>
          <w:ilvl w:val="0"/>
          <w:numId w:val="9"/>
        </w:numPr>
        <w:ind w:left="1276" w:hanging="425"/>
        <w:rPr>
          <w:b w:val="0"/>
          <w:sz w:val="24"/>
          <w:szCs w:val="24"/>
          <w:lang w:val="da-DK"/>
        </w:rPr>
      </w:pPr>
      <w:r>
        <w:rPr>
          <w:b w:val="0"/>
          <w:sz w:val="24"/>
          <w:szCs w:val="24"/>
          <w:lang w:val=""/>
        </w:rPr>
        <w:t xml:space="preserve">Til sedation, når det anvendes i kombination med visse alfa2-adrenoceptoragonister (medetomidin). </w:t>
      </w:r>
    </w:p>
    <w:p w:rsidR="000A304D" w:rsidRDefault="000A304D" w:rsidP="000A304D">
      <w:pPr>
        <w:pStyle w:val="Brdtekstindrykning"/>
        <w:ind w:left="851" w:firstLine="0"/>
        <w:rPr>
          <w:b w:val="0"/>
          <w:sz w:val="24"/>
          <w:szCs w:val="24"/>
          <w:u w:val="single"/>
          <w:lang w:val=""/>
        </w:rPr>
      </w:pPr>
    </w:p>
    <w:p w:rsidR="000A304D" w:rsidRDefault="000A304D" w:rsidP="000A304D">
      <w:pPr>
        <w:pStyle w:val="Brdtekstindrykning"/>
        <w:ind w:left="851" w:firstLine="0"/>
        <w:rPr>
          <w:b w:val="0"/>
          <w:i/>
          <w:iCs/>
          <w:sz w:val="24"/>
          <w:szCs w:val="24"/>
        </w:rPr>
      </w:pPr>
      <w:r>
        <w:rPr>
          <w:b w:val="0"/>
          <w:i/>
          <w:iCs/>
          <w:sz w:val="24"/>
          <w:szCs w:val="24"/>
          <w:lang w:val=""/>
        </w:rPr>
        <w:t>Som anæstesi:</w:t>
      </w:r>
    </w:p>
    <w:p w:rsidR="000A304D" w:rsidRDefault="000A304D" w:rsidP="000A304D">
      <w:pPr>
        <w:pStyle w:val="Brdtekstindrykning"/>
        <w:numPr>
          <w:ilvl w:val="0"/>
          <w:numId w:val="10"/>
        </w:numPr>
        <w:ind w:left="1276" w:hanging="425"/>
        <w:rPr>
          <w:b w:val="0"/>
          <w:sz w:val="24"/>
          <w:szCs w:val="24"/>
          <w:lang w:val="da-DK"/>
        </w:rPr>
      </w:pPr>
      <w:r>
        <w:rPr>
          <w:b w:val="0"/>
          <w:sz w:val="24"/>
          <w:szCs w:val="24"/>
          <w:lang w:val=""/>
        </w:rPr>
        <w:t>Til anæstesi, når det anvendes i kombination med medetomidin og ketamin, egnet til korte smertefulde anæstesiprocedurer.</w:t>
      </w:r>
    </w:p>
    <w:p w:rsidR="000A304D" w:rsidRDefault="000A304D" w:rsidP="000A304D">
      <w:pPr>
        <w:pStyle w:val="Brdtekstindrykning"/>
        <w:ind w:left="1276" w:firstLine="0"/>
        <w:rPr>
          <w:b w:val="0"/>
          <w:sz w:val="24"/>
          <w:szCs w:val="24"/>
          <w:lang w:val="da-DK"/>
        </w:rPr>
      </w:pPr>
    </w:p>
    <w:p w:rsidR="000A304D" w:rsidRDefault="000A304D" w:rsidP="000A304D">
      <w:pPr>
        <w:ind w:left="851"/>
        <w:rPr>
          <w:rStyle w:val="apple-style-span"/>
          <w:u w:val="single"/>
        </w:rPr>
      </w:pPr>
      <w:r>
        <w:rPr>
          <w:rStyle w:val="apple-style-span"/>
          <w:sz w:val="24"/>
          <w:szCs w:val="24"/>
          <w:u w:val="single"/>
          <w:lang w:val=""/>
        </w:rPr>
        <w:t>Hest</w:t>
      </w:r>
    </w:p>
    <w:p w:rsidR="000A304D" w:rsidRDefault="000A304D" w:rsidP="000A304D">
      <w:pPr>
        <w:pStyle w:val="Brdtekstindrykning"/>
        <w:ind w:left="851" w:firstLine="0"/>
        <w:rPr>
          <w:i/>
          <w:iCs/>
          <w:lang w:val="da-DK"/>
        </w:rPr>
      </w:pPr>
      <w:r>
        <w:rPr>
          <w:b w:val="0"/>
          <w:i/>
          <w:iCs/>
          <w:sz w:val="24"/>
          <w:szCs w:val="24"/>
          <w:lang w:val=""/>
        </w:rPr>
        <w:t>Som analgetikum:</w:t>
      </w:r>
    </w:p>
    <w:p w:rsidR="000A304D" w:rsidRDefault="000A304D" w:rsidP="000A304D">
      <w:pPr>
        <w:pStyle w:val="Brdtekstindrykning"/>
        <w:numPr>
          <w:ilvl w:val="0"/>
          <w:numId w:val="10"/>
        </w:numPr>
        <w:ind w:left="1276" w:hanging="425"/>
        <w:rPr>
          <w:b w:val="0"/>
          <w:sz w:val="24"/>
          <w:szCs w:val="24"/>
          <w:lang w:val="da-DK"/>
        </w:rPr>
      </w:pPr>
      <w:r>
        <w:rPr>
          <w:b w:val="0"/>
          <w:sz w:val="24"/>
          <w:szCs w:val="24"/>
          <w:lang w:val=""/>
        </w:rPr>
        <w:t xml:space="preserve">Til lindring af moderate til svære abdominalsmerter i forbindelse med kolik af gastrointestinal oprindelse. </w:t>
      </w:r>
    </w:p>
    <w:p w:rsidR="000A304D" w:rsidRDefault="000A304D" w:rsidP="000A304D">
      <w:pPr>
        <w:pStyle w:val="Brdtekstindrykning"/>
        <w:ind w:left="851" w:firstLine="0"/>
        <w:rPr>
          <w:b w:val="0"/>
          <w:sz w:val="24"/>
          <w:szCs w:val="24"/>
          <w:u w:val="single"/>
          <w:lang w:val=""/>
        </w:rPr>
      </w:pPr>
    </w:p>
    <w:p w:rsidR="000A304D" w:rsidRDefault="000A304D" w:rsidP="000A304D">
      <w:pPr>
        <w:pStyle w:val="Brdtekstindrykning"/>
        <w:ind w:left="851" w:firstLine="0"/>
        <w:rPr>
          <w:b w:val="0"/>
          <w:i/>
          <w:iCs/>
          <w:sz w:val="24"/>
          <w:szCs w:val="24"/>
        </w:rPr>
      </w:pPr>
      <w:r>
        <w:rPr>
          <w:b w:val="0"/>
          <w:i/>
          <w:iCs/>
          <w:sz w:val="24"/>
          <w:szCs w:val="24"/>
          <w:lang w:val=""/>
        </w:rPr>
        <w:t>Som sedation:</w:t>
      </w:r>
    </w:p>
    <w:p w:rsidR="00145194" w:rsidRPr="000A304D" w:rsidRDefault="000A304D" w:rsidP="000A304D">
      <w:pPr>
        <w:pStyle w:val="Brdtekstindrykning"/>
        <w:numPr>
          <w:ilvl w:val="0"/>
          <w:numId w:val="4"/>
        </w:numPr>
        <w:ind w:left="1276" w:hanging="425"/>
        <w:rPr>
          <w:b w:val="0"/>
          <w:sz w:val="24"/>
          <w:szCs w:val="24"/>
          <w:lang w:val="da-DK"/>
        </w:rPr>
      </w:pPr>
      <w:r w:rsidRPr="000A304D">
        <w:rPr>
          <w:b w:val="0"/>
          <w:sz w:val="24"/>
          <w:szCs w:val="24"/>
          <w:lang w:val=""/>
        </w:rPr>
        <w:t>Til sedation gives det efter administration af visse alfa2-adrenoceptoragonister (detomidin, romifidin).</w:t>
      </w:r>
    </w:p>
    <w:p w:rsidR="00145194" w:rsidRPr="000A304D" w:rsidRDefault="00145194" w:rsidP="00145194">
      <w:pPr>
        <w:pStyle w:val="Sidehoved"/>
        <w:tabs>
          <w:tab w:val="clear" w:pos="4819"/>
          <w:tab w:val="clear" w:pos="9638"/>
        </w:tabs>
        <w:ind w:left="851" w:hanging="851"/>
        <w:rPr>
          <w:szCs w:val="24"/>
        </w:rPr>
      </w:pPr>
    </w:p>
    <w:p w:rsidR="00145194" w:rsidRPr="008A3CEB" w:rsidRDefault="00145194" w:rsidP="00145194">
      <w:pPr>
        <w:pStyle w:val="Sidehoved"/>
        <w:tabs>
          <w:tab w:val="clear" w:pos="4819"/>
          <w:tab w:val="clear" w:pos="9638"/>
        </w:tabs>
        <w:ind w:left="851" w:hanging="851"/>
        <w:rPr>
          <w:b/>
          <w:szCs w:val="24"/>
        </w:rPr>
      </w:pPr>
      <w:r w:rsidRPr="008A3CEB">
        <w:rPr>
          <w:b/>
          <w:szCs w:val="24"/>
        </w:rPr>
        <w:t>4.3</w:t>
      </w:r>
      <w:r w:rsidRPr="008A3CEB">
        <w:rPr>
          <w:b/>
          <w:szCs w:val="24"/>
        </w:rPr>
        <w:tab/>
        <w:t>Kontraindikationer</w:t>
      </w:r>
    </w:p>
    <w:p w:rsidR="00145194" w:rsidRDefault="00145194" w:rsidP="00145194">
      <w:pPr>
        <w:pStyle w:val="BODY"/>
        <w:tabs>
          <w:tab w:val="clear" w:pos="567"/>
        </w:tabs>
        <w:spacing w:after="0"/>
        <w:ind w:left="851" w:hanging="851"/>
        <w:rPr>
          <w:b/>
          <w:bCs/>
          <w:sz w:val="24"/>
          <w:szCs w:val="24"/>
          <w:lang w:val=""/>
        </w:rPr>
      </w:pPr>
    </w:p>
    <w:p w:rsidR="00145194" w:rsidRPr="000A304D" w:rsidRDefault="00145194" w:rsidP="00145194">
      <w:pPr>
        <w:pStyle w:val="BODY"/>
        <w:tabs>
          <w:tab w:val="clear" w:pos="567"/>
        </w:tabs>
        <w:spacing w:after="0"/>
        <w:ind w:left="851" w:hanging="851"/>
        <w:rPr>
          <w:sz w:val="24"/>
          <w:szCs w:val="24"/>
          <w:u w:val="single"/>
          <w:lang w:val="da-DK"/>
        </w:rPr>
      </w:pPr>
      <w:r>
        <w:rPr>
          <w:b/>
          <w:bCs/>
          <w:sz w:val="24"/>
          <w:szCs w:val="24"/>
          <w:lang w:val=""/>
        </w:rPr>
        <w:tab/>
      </w:r>
      <w:r w:rsidRPr="000A304D">
        <w:rPr>
          <w:bCs/>
          <w:sz w:val="24"/>
          <w:szCs w:val="24"/>
          <w:u w:val="single"/>
          <w:lang w:val=""/>
        </w:rPr>
        <w:t>Alle arter, lægemidlet er beregnet til</w:t>
      </w:r>
    </w:p>
    <w:p w:rsidR="00145194" w:rsidRPr="008A3CEB" w:rsidRDefault="00145194" w:rsidP="00145194">
      <w:pPr>
        <w:pStyle w:val="BODY"/>
        <w:tabs>
          <w:tab w:val="clear" w:pos="567"/>
        </w:tabs>
        <w:spacing w:after="0"/>
        <w:ind w:left="851"/>
        <w:rPr>
          <w:sz w:val="24"/>
          <w:szCs w:val="24"/>
          <w:lang w:val="da-DK"/>
        </w:rPr>
      </w:pPr>
      <w:r w:rsidRPr="008A3CEB">
        <w:rPr>
          <w:sz w:val="24"/>
          <w:szCs w:val="24"/>
          <w:lang w:val=""/>
        </w:rPr>
        <w:t xml:space="preserve">Bør ikke anvendes i tilfælde af overfølsomhed over for det aktive stof eller over for et eller flere af hjælpestofferne. </w:t>
      </w:r>
    </w:p>
    <w:p w:rsidR="00145194" w:rsidRPr="008A3CEB" w:rsidRDefault="00145194" w:rsidP="00145194">
      <w:pPr>
        <w:pStyle w:val="Brdtekstindrykning"/>
        <w:ind w:left="851" w:firstLine="0"/>
        <w:rPr>
          <w:b w:val="0"/>
          <w:sz w:val="24"/>
          <w:szCs w:val="24"/>
          <w:lang w:val="da-DK"/>
        </w:rPr>
      </w:pPr>
      <w:r w:rsidRPr="008A3CEB">
        <w:rPr>
          <w:b w:val="0"/>
          <w:sz w:val="24"/>
          <w:szCs w:val="24"/>
          <w:lang w:val=""/>
        </w:rPr>
        <w:t xml:space="preserve">Bør ikke anvendes til dyr med svær lever- eller nyreinsufficiens. </w:t>
      </w:r>
    </w:p>
    <w:p w:rsidR="00145194" w:rsidRPr="008A3CEB" w:rsidRDefault="00145194" w:rsidP="00145194">
      <w:pPr>
        <w:pStyle w:val="Brdtekstindrykning"/>
        <w:ind w:left="851" w:firstLine="0"/>
        <w:rPr>
          <w:b w:val="0"/>
          <w:sz w:val="24"/>
          <w:szCs w:val="24"/>
          <w:lang w:val="da-DK"/>
        </w:rPr>
      </w:pPr>
      <w:r w:rsidRPr="008A3CEB">
        <w:rPr>
          <w:b w:val="0"/>
          <w:sz w:val="24"/>
          <w:szCs w:val="24"/>
          <w:lang w:val=""/>
        </w:rPr>
        <w:t>Bør ikke anvendes til dyr med hjerneskade eller organiske hjernelæsioner.</w:t>
      </w:r>
    </w:p>
    <w:p w:rsidR="00145194" w:rsidRPr="008A3CEB" w:rsidRDefault="00145194" w:rsidP="00145194">
      <w:pPr>
        <w:pStyle w:val="Brdtekstindrykning"/>
        <w:ind w:left="851" w:firstLine="0"/>
        <w:rPr>
          <w:b w:val="0"/>
          <w:sz w:val="24"/>
          <w:szCs w:val="24"/>
          <w:lang w:val="da-DK"/>
        </w:rPr>
      </w:pPr>
      <w:r w:rsidRPr="008A3CEB">
        <w:rPr>
          <w:b w:val="0"/>
          <w:sz w:val="24"/>
          <w:szCs w:val="24"/>
          <w:lang w:val=""/>
        </w:rPr>
        <w:t>Bør ikke anvendes til dyr med obstruktiv respirationssygdom, hjerteinsufficiens eller spastiske tilstande.</w:t>
      </w:r>
    </w:p>
    <w:p w:rsidR="00145194" w:rsidRPr="008A3CEB" w:rsidRDefault="00145194" w:rsidP="00145194">
      <w:pPr>
        <w:pStyle w:val="Brdtekstindrykning"/>
        <w:ind w:left="851" w:hanging="851"/>
        <w:rPr>
          <w:b w:val="0"/>
          <w:sz w:val="24"/>
          <w:szCs w:val="24"/>
          <w:lang w:val="da-DK"/>
        </w:rPr>
      </w:pPr>
    </w:p>
    <w:p w:rsidR="00145194" w:rsidRPr="000A304D" w:rsidRDefault="00145194" w:rsidP="00145194">
      <w:pPr>
        <w:pStyle w:val="Brdtekstindrykning"/>
        <w:ind w:left="851" w:firstLine="0"/>
        <w:rPr>
          <w:b w:val="0"/>
          <w:sz w:val="24"/>
          <w:szCs w:val="24"/>
          <w:lang w:val="da-DK"/>
        </w:rPr>
      </w:pPr>
      <w:r w:rsidRPr="000A304D">
        <w:rPr>
          <w:b w:val="0"/>
          <w:bCs/>
          <w:sz w:val="24"/>
          <w:szCs w:val="24"/>
          <w:u w:val="single"/>
          <w:lang w:val=""/>
        </w:rPr>
        <w:t>Hest</w:t>
      </w:r>
    </w:p>
    <w:p w:rsidR="00145194" w:rsidRPr="000A304D" w:rsidRDefault="00145194" w:rsidP="00145194">
      <w:pPr>
        <w:pStyle w:val="Brdtekstindrykning"/>
        <w:ind w:left="851" w:firstLine="0"/>
        <w:rPr>
          <w:b w:val="0"/>
          <w:i/>
          <w:sz w:val="24"/>
          <w:szCs w:val="24"/>
          <w:lang w:val="da-DK"/>
        </w:rPr>
      </w:pPr>
      <w:r w:rsidRPr="000A304D">
        <w:rPr>
          <w:b w:val="0"/>
          <w:i/>
          <w:sz w:val="24"/>
          <w:szCs w:val="24"/>
          <w:lang w:val=""/>
        </w:rPr>
        <w:t>Kombination af butorphanol/detomidinhydrochlorid:</w:t>
      </w:r>
    </w:p>
    <w:p w:rsidR="00145194" w:rsidRPr="008A3CEB" w:rsidRDefault="00145194" w:rsidP="00145194">
      <w:pPr>
        <w:pStyle w:val="Brdtekstindrykning"/>
        <w:ind w:left="851" w:firstLine="0"/>
        <w:rPr>
          <w:b w:val="0"/>
          <w:sz w:val="24"/>
          <w:szCs w:val="24"/>
          <w:lang w:val="da-DK"/>
        </w:rPr>
      </w:pPr>
      <w:r w:rsidRPr="008A3CEB">
        <w:rPr>
          <w:b w:val="0"/>
          <w:sz w:val="24"/>
          <w:szCs w:val="24"/>
          <w:lang w:val=""/>
        </w:rPr>
        <w:t>Må ikke anvendes til heste med eksisterende hjertearytmi eller bradykardi.</w:t>
      </w:r>
    </w:p>
    <w:p w:rsidR="00145194" w:rsidRPr="008A3CEB" w:rsidRDefault="00145194" w:rsidP="00145194">
      <w:pPr>
        <w:pStyle w:val="Brdtekstindrykning"/>
        <w:ind w:left="851" w:firstLine="0"/>
        <w:rPr>
          <w:b w:val="0"/>
          <w:sz w:val="24"/>
          <w:szCs w:val="24"/>
          <w:lang w:val="da-DK"/>
        </w:rPr>
      </w:pPr>
      <w:r w:rsidRPr="008A3CEB">
        <w:rPr>
          <w:b w:val="0"/>
          <w:sz w:val="24"/>
          <w:szCs w:val="24"/>
          <w:lang w:val=""/>
        </w:rPr>
        <w:t xml:space="preserve">Må ikke anvendes i tilfælde af kolik i forbindelse med forstoppelse, da kombinationen vil forårsage en reduktion i mave-tarm-kanalens motilitet. </w:t>
      </w:r>
    </w:p>
    <w:p w:rsidR="00145194" w:rsidRPr="008A3CEB" w:rsidRDefault="00145194" w:rsidP="00145194">
      <w:pPr>
        <w:pStyle w:val="Brdtekstindrykning"/>
        <w:ind w:left="851" w:firstLine="0"/>
        <w:rPr>
          <w:b w:val="0"/>
          <w:sz w:val="24"/>
          <w:szCs w:val="24"/>
          <w:lang w:val="da-DK"/>
        </w:rPr>
      </w:pPr>
      <w:r w:rsidRPr="008A3CEB">
        <w:rPr>
          <w:b w:val="0"/>
          <w:sz w:val="24"/>
          <w:szCs w:val="24"/>
          <w:lang w:val=""/>
        </w:rPr>
        <w:t>Må ikke anvendes til heste med emfysem, da der kan være en respirationsdeprimerende virkning.</w:t>
      </w:r>
    </w:p>
    <w:p w:rsidR="00145194" w:rsidRPr="008A3CEB" w:rsidRDefault="00145194" w:rsidP="00145194">
      <w:pPr>
        <w:pStyle w:val="Brdtekstindrykning"/>
        <w:ind w:left="851" w:firstLine="0"/>
        <w:rPr>
          <w:b w:val="0"/>
          <w:sz w:val="24"/>
          <w:szCs w:val="24"/>
          <w:lang w:val="da-DK"/>
        </w:rPr>
      </w:pPr>
      <w:r w:rsidRPr="008A3CEB">
        <w:rPr>
          <w:b w:val="0"/>
          <w:sz w:val="24"/>
          <w:szCs w:val="24"/>
          <w:lang w:val=""/>
        </w:rPr>
        <w:t xml:space="preserve">Må ikke anvendes til drægtige hopper. </w:t>
      </w:r>
    </w:p>
    <w:p w:rsidR="00145194" w:rsidRPr="008A3CEB" w:rsidRDefault="00145194" w:rsidP="00145194">
      <w:pPr>
        <w:pStyle w:val="Brdtekstindrykning"/>
        <w:ind w:left="851" w:hanging="851"/>
        <w:rPr>
          <w:b w:val="0"/>
          <w:sz w:val="24"/>
          <w:szCs w:val="24"/>
          <w:lang w:val="da-DK"/>
        </w:rPr>
      </w:pPr>
    </w:p>
    <w:p w:rsidR="00145194" w:rsidRPr="000A304D" w:rsidRDefault="00145194" w:rsidP="00145194">
      <w:pPr>
        <w:pStyle w:val="Brdtekstindrykning"/>
        <w:ind w:left="851" w:firstLine="0"/>
        <w:rPr>
          <w:b w:val="0"/>
          <w:i/>
          <w:sz w:val="24"/>
          <w:szCs w:val="24"/>
          <w:lang w:val="da-DK"/>
        </w:rPr>
      </w:pPr>
      <w:r w:rsidRPr="000A304D">
        <w:rPr>
          <w:b w:val="0"/>
          <w:i/>
          <w:sz w:val="24"/>
          <w:szCs w:val="24"/>
          <w:lang w:val=""/>
        </w:rPr>
        <w:t>Kombination af butorphanol/romifidin:</w:t>
      </w:r>
    </w:p>
    <w:p w:rsidR="00145194" w:rsidRPr="008A3CEB" w:rsidRDefault="00145194" w:rsidP="00145194">
      <w:pPr>
        <w:pStyle w:val="Brdtekstindrykning"/>
        <w:ind w:left="851" w:firstLine="0"/>
        <w:rPr>
          <w:b w:val="0"/>
          <w:sz w:val="24"/>
          <w:szCs w:val="24"/>
          <w:lang w:val="da-DK"/>
        </w:rPr>
      </w:pPr>
      <w:r w:rsidRPr="008A3CEB">
        <w:rPr>
          <w:b w:val="0"/>
          <w:sz w:val="24"/>
          <w:szCs w:val="24"/>
          <w:lang w:val=""/>
        </w:rPr>
        <w:t>Må ikke anvendes i den sidste måned af drægtighedsperioden.</w:t>
      </w:r>
    </w:p>
    <w:p w:rsidR="00145194" w:rsidRPr="008A3CEB" w:rsidRDefault="00145194" w:rsidP="00145194">
      <w:pPr>
        <w:pStyle w:val="Sidehoved"/>
        <w:tabs>
          <w:tab w:val="clear" w:pos="4819"/>
          <w:tab w:val="clear" w:pos="9638"/>
        </w:tabs>
        <w:ind w:left="851" w:hanging="851"/>
        <w:rPr>
          <w:szCs w:val="24"/>
        </w:rPr>
      </w:pPr>
    </w:p>
    <w:p w:rsidR="00145194" w:rsidRPr="008A3CEB" w:rsidRDefault="00145194" w:rsidP="00145194">
      <w:pPr>
        <w:ind w:left="851" w:hanging="851"/>
        <w:rPr>
          <w:b/>
          <w:sz w:val="24"/>
          <w:szCs w:val="24"/>
        </w:rPr>
      </w:pPr>
      <w:r w:rsidRPr="008A3CEB">
        <w:rPr>
          <w:b/>
          <w:sz w:val="24"/>
          <w:szCs w:val="24"/>
        </w:rPr>
        <w:t>4.4</w:t>
      </w:r>
      <w:r w:rsidRPr="008A3CEB">
        <w:rPr>
          <w:b/>
          <w:sz w:val="24"/>
          <w:szCs w:val="24"/>
        </w:rPr>
        <w:tab/>
        <w:t>Særlige advarsler</w:t>
      </w:r>
    </w:p>
    <w:p w:rsidR="00145194" w:rsidRPr="008A3CEB" w:rsidRDefault="00145194" w:rsidP="00145194">
      <w:pPr>
        <w:ind w:left="851"/>
        <w:rPr>
          <w:sz w:val="24"/>
          <w:szCs w:val="24"/>
        </w:rPr>
      </w:pPr>
      <w:r w:rsidRPr="008A3CEB">
        <w:rPr>
          <w:sz w:val="24"/>
          <w:szCs w:val="24"/>
          <w:lang w:val=""/>
        </w:rPr>
        <w:t>Butorphanol er beregnet til brug, når der er behov for kortvarig analgesi (hest, hund) eller kortvarig til mellemlang analgesi (kat) (se pkt. 5.1). I tilfælde, hvor der med sandsynlighed er behov for længerevarende analgesi, bør et andet lægemiddel anvendes.</w:t>
      </w:r>
    </w:p>
    <w:p w:rsidR="00145194" w:rsidRPr="008A3CEB" w:rsidRDefault="00145194" w:rsidP="00145194">
      <w:pPr>
        <w:ind w:left="851"/>
        <w:rPr>
          <w:sz w:val="24"/>
          <w:szCs w:val="24"/>
        </w:rPr>
      </w:pPr>
      <w:r w:rsidRPr="008A3CEB">
        <w:rPr>
          <w:sz w:val="24"/>
          <w:szCs w:val="24"/>
          <w:lang w:val=""/>
        </w:rPr>
        <w:t>Der forekommer ikke markant sedation, når butorphanol anvendes som det eneste middel hos katte.</w:t>
      </w:r>
    </w:p>
    <w:p w:rsidR="00145194" w:rsidRPr="008A3CEB" w:rsidRDefault="00145194" w:rsidP="00145194">
      <w:pPr>
        <w:ind w:left="851"/>
        <w:rPr>
          <w:sz w:val="24"/>
          <w:szCs w:val="24"/>
        </w:rPr>
      </w:pPr>
      <w:r w:rsidRPr="008A3CEB">
        <w:rPr>
          <w:sz w:val="24"/>
          <w:szCs w:val="24"/>
          <w:lang w:val=""/>
        </w:rPr>
        <w:t xml:space="preserve">Hos katte kan der være individuel respons på butorphanol. Såfremt der ikke er tilstrækkelig analgetisk respons, bør et andet analgetikum anvendes. </w:t>
      </w:r>
    </w:p>
    <w:p w:rsidR="00145194" w:rsidRPr="008A3CEB" w:rsidRDefault="00145194" w:rsidP="00145194">
      <w:pPr>
        <w:ind w:left="851"/>
        <w:rPr>
          <w:sz w:val="24"/>
          <w:szCs w:val="24"/>
        </w:rPr>
      </w:pPr>
      <w:r w:rsidRPr="008A3CEB">
        <w:rPr>
          <w:sz w:val="24"/>
          <w:szCs w:val="24"/>
          <w:lang w:val=""/>
        </w:rPr>
        <w:t>Hos katte vil en øgning af dosis ikke øge intensiteten eller varigheden af de ønskede virkninger.</w:t>
      </w:r>
    </w:p>
    <w:p w:rsidR="00145194" w:rsidRPr="008A3CEB" w:rsidRDefault="00145194" w:rsidP="00145194">
      <w:pPr>
        <w:pStyle w:val="Sidehoved"/>
        <w:tabs>
          <w:tab w:val="clear" w:pos="4819"/>
          <w:tab w:val="clear" w:pos="9638"/>
        </w:tabs>
        <w:ind w:left="851" w:hanging="851"/>
        <w:rPr>
          <w:szCs w:val="24"/>
        </w:rPr>
      </w:pPr>
    </w:p>
    <w:p w:rsidR="00145194" w:rsidRPr="008A3CEB" w:rsidRDefault="00145194" w:rsidP="00145194">
      <w:pPr>
        <w:ind w:left="851" w:hanging="851"/>
        <w:rPr>
          <w:b/>
          <w:sz w:val="24"/>
          <w:szCs w:val="24"/>
        </w:rPr>
      </w:pPr>
      <w:r w:rsidRPr="008A3CEB">
        <w:rPr>
          <w:b/>
          <w:sz w:val="24"/>
          <w:szCs w:val="24"/>
        </w:rPr>
        <w:t>4.5</w:t>
      </w:r>
      <w:r w:rsidRPr="008A3CEB">
        <w:rPr>
          <w:b/>
          <w:sz w:val="24"/>
          <w:szCs w:val="24"/>
        </w:rPr>
        <w:tab/>
        <w:t>Særlige forsigtighedsregler vedrørende brugen</w:t>
      </w:r>
    </w:p>
    <w:p w:rsidR="00145194" w:rsidRPr="008A3CEB" w:rsidRDefault="00145194" w:rsidP="00145194">
      <w:pPr>
        <w:ind w:left="851" w:hanging="851"/>
        <w:rPr>
          <w:sz w:val="24"/>
          <w:szCs w:val="24"/>
        </w:rPr>
      </w:pPr>
    </w:p>
    <w:p w:rsidR="00145194" w:rsidRPr="000A304D" w:rsidRDefault="00145194" w:rsidP="00145194">
      <w:pPr>
        <w:ind w:left="851"/>
        <w:rPr>
          <w:sz w:val="24"/>
          <w:szCs w:val="24"/>
          <w:u w:val="single"/>
        </w:rPr>
      </w:pPr>
      <w:r w:rsidRPr="000A304D">
        <w:rPr>
          <w:sz w:val="24"/>
          <w:szCs w:val="24"/>
          <w:u w:val="single"/>
        </w:rPr>
        <w:t>Særlige forsigtighedsregler for dyret</w:t>
      </w:r>
    </w:p>
    <w:p w:rsidR="00145194" w:rsidRPr="000A304D" w:rsidRDefault="00145194" w:rsidP="00145194">
      <w:pPr>
        <w:ind w:left="851"/>
        <w:rPr>
          <w:i/>
          <w:sz w:val="24"/>
          <w:szCs w:val="24"/>
        </w:rPr>
      </w:pPr>
      <w:r w:rsidRPr="000A304D">
        <w:rPr>
          <w:bCs/>
          <w:i/>
          <w:sz w:val="24"/>
          <w:szCs w:val="24"/>
          <w:lang w:val=""/>
        </w:rPr>
        <w:t>Alle arter, lægemidlet er beregnet til</w:t>
      </w:r>
    </w:p>
    <w:p w:rsidR="00145194" w:rsidRPr="008A3CEB" w:rsidRDefault="00145194" w:rsidP="00145194">
      <w:pPr>
        <w:ind w:left="851"/>
        <w:rPr>
          <w:sz w:val="24"/>
          <w:szCs w:val="24"/>
        </w:rPr>
      </w:pPr>
      <w:r w:rsidRPr="008A3CEB">
        <w:rPr>
          <w:sz w:val="24"/>
          <w:szCs w:val="24"/>
          <w:lang w:val=""/>
        </w:rPr>
        <w:t>Butorphanol kan på grund af sine antitussive egenskaber føre til akkumulering af slim i luftvejene. Derfor bør butorphanol kun anvendes til dyr med luftvejssygdomme med øget slimproduktion efter en risk/benefit-vurdering foretaget af den ansvarlige dyrlæge.</w:t>
      </w:r>
    </w:p>
    <w:p w:rsidR="00145194" w:rsidRPr="008A3CEB" w:rsidRDefault="00145194" w:rsidP="00145194">
      <w:pPr>
        <w:ind w:left="851"/>
        <w:rPr>
          <w:sz w:val="24"/>
          <w:szCs w:val="24"/>
        </w:rPr>
      </w:pPr>
      <w:r w:rsidRPr="008A3CEB">
        <w:rPr>
          <w:sz w:val="24"/>
          <w:szCs w:val="24"/>
          <w:lang w:val=""/>
        </w:rPr>
        <w:t xml:space="preserve">Før produktet anvendes i kombination med α2-adrenoreceptoragonister, bør der foretages rutinemæssig auskultation af hjertet, og samtidig anvendelse af antikolinergika, f.eks. atropin, bør overvejes. </w:t>
      </w:r>
    </w:p>
    <w:p w:rsidR="00145194" w:rsidRPr="008A3CEB" w:rsidRDefault="00145194" w:rsidP="00145194">
      <w:pPr>
        <w:ind w:left="851"/>
        <w:rPr>
          <w:sz w:val="24"/>
          <w:szCs w:val="24"/>
        </w:rPr>
      </w:pPr>
      <w:r w:rsidRPr="008A3CEB">
        <w:rPr>
          <w:sz w:val="24"/>
          <w:szCs w:val="24"/>
          <w:lang w:val=""/>
        </w:rPr>
        <w:t>Kombinationen af butorphanol og en α2-adrenoceptoragonist bør anvendes med forsigtighed til dyr med let til moderat lever- eller nyreinsufficiens.</w:t>
      </w:r>
    </w:p>
    <w:p w:rsidR="00145194" w:rsidRPr="008A3CEB" w:rsidRDefault="00145194" w:rsidP="00145194">
      <w:pPr>
        <w:ind w:left="851"/>
        <w:rPr>
          <w:sz w:val="24"/>
          <w:szCs w:val="24"/>
        </w:rPr>
      </w:pPr>
      <w:r w:rsidRPr="008A3CEB">
        <w:rPr>
          <w:sz w:val="24"/>
          <w:szCs w:val="24"/>
          <w:lang w:val=""/>
        </w:rPr>
        <w:t xml:space="preserve">Der bør udvises forsigtighed ved administration af butorphanol til dyr, som er i behandling med andre CNS-deprimerende midler (se pkt. 4.8). </w:t>
      </w:r>
    </w:p>
    <w:p w:rsidR="00145194" w:rsidRPr="008A3CEB" w:rsidRDefault="00145194" w:rsidP="00145194">
      <w:pPr>
        <w:ind w:left="851"/>
        <w:rPr>
          <w:sz w:val="24"/>
          <w:szCs w:val="24"/>
        </w:rPr>
      </w:pPr>
      <w:r w:rsidRPr="008A3CEB">
        <w:rPr>
          <w:sz w:val="24"/>
          <w:szCs w:val="24"/>
          <w:lang w:val=""/>
        </w:rPr>
        <w:t>Sikkerheden af produktet hos hundehvalpe, killinger og føl er ikke klarlagt, og det bør derfor kun anvendes til disse dyr efter en risk/benefit-vurdering foretaget af den ansvarlige dyrlæge.</w:t>
      </w:r>
    </w:p>
    <w:p w:rsidR="00145194" w:rsidRPr="008A3CEB" w:rsidRDefault="00145194" w:rsidP="00145194">
      <w:pPr>
        <w:ind w:left="851" w:hanging="851"/>
        <w:rPr>
          <w:sz w:val="24"/>
          <w:szCs w:val="24"/>
        </w:rPr>
      </w:pPr>
    </w:p>
    <w:p w:rsidR="00145194" w:rsidRPr="008A3CEB" w:rsidRDefault="00145194" w:rsidP="00145194">
      <w:pPr>
        <w:ind w:left="851"/>
        <w:rPr>
          <w:b/>
          <w:sz w:val="24"/>
          <w:szCs w:val="24"/>
        </w:rPr>
      </w:pPr>
      <w:r w:rsidRPr="000A304D">
        <w:rPr>
          <w:bCs/>
          <w:i/>
          <w:sz w:val="24"/>
          <w:szCs w:val="24"/>
          <w:lang w:val=""/>
        </w:rPr>
        <w:t>Hund</w:t>
      </w:r>
    </w:p>
    <w:p w:rsidR="00145194" w:rsidRPr="008A3CEB" w:rsidRDefault="00145194" w:rsidP="00145194">
      <w:pPr>
        <w:ind w:left="851"/>
        <w:rPr>
          <w:sz w:val="24"/>
          <w:szCs w:val="24"/>
        </w:rPr>
      </w:pPr>
      <w:r w:rsidRPr="008A3CEB">
        <w:rPr>
          <w:sz w:val="24"/>
          <w:szCs w:val="24"/>
          <w:lang w:val=""/>
        </w:rPr>
        <w:t>Når lægemidlet administreres som en intravenøs injektion, må det ikke injiceres hurtigt som en bolus.</w:t>
      </w:r>
    </w:p>
    <w:p w:rsidR="00145194" w:rsidRPr="008A3CEB" w:rsidRDefault="00145194" w:rsidP="00145194">
      <w:pPr>
        <w:ind w:left="851"/>
        <w:rPr>
          <w:sz w:val="24"/>
          <w:szCs w:val="24"/>
        </w:rPr>
      </w:pPr>
      <w:r w:rsidRPr="008A3CEB">
        <w:rPr>
          <w:sz w:val="24"/>
          <w:szCs w:val="24"/>
          <w:lang w:val=""/>
        </w:rPr>
        <w:t>Hos hunde med MDR1-mutation mindskes dosis med 25-50 %</w:t>
      </w:r>
    </w:p>
    <w:p w:rsidR="00145194" w:rsidRPr="008A3CEB" w:rsidRDefault="00145194" w:rsidP="00145194">
      <w:pPr>
        <w:ind w:left="851" w:hanging="851"/>
        <w:rPr>
          <w:sz w:val="24"/>
          <w:szCs w:val="24"/>
        </w:rPr>
      </w:pPr>
    </w:p>
    <w:p w:rsidR="00145194" w:rsidRPr="008A3CEB" w:rsidRDefault="00145194" w:rsidP="00145194">
      <w:pPr>
        <w:ind w:left="851"/>
        <w:rPr>
          <w:b/>
          <w:sz w:val="24"/>
          <w:szCs w:val="24"/>
        </w:rPr>
      </w:pPr>
      <w:r w:rsidRPr="000A304D">
        <w:rPr>
          <w:bCs/>
          <w:i/>
          <w:sz w:val="24"/>
          <w:szCs w:val="24"/>
          <w:lang w:val=""/>
        </w:rPr>
        <w:t>Kat</w:t>
      </w:r>
    </w:p>
    <w:p w:rsidR="00145194" w:rsidRDefault="00145194" w:rsidP="00145194">
      <w:pPr>
        <w:ind w:left="851"/>
        <w:rPr>
          <w:sz w:val="24"/>
          <w:szCs w:val="24"/>
          <w:lang w:val=""/>
        </w:rPr>
      </w:pPr>
      <w:r w:rsidRPr="008A3CEB">
        <w:rPr>
          <w:sz w:val="24"/>
          <w:szCs w:val="24"/>
          <w:lang w:val=""/>
        </w:rPr>
        <w:t>Insulinsprøjter eller sprøjter med inddelinger på 1 ml anbefales.</w:t>
      </w:r>
    </w:p>
    <w:p w:rsidR="000A304D" w:rsidRDefault="000A304D" w:rsidP="00145194">
      <w:pPr>
        <w:ind w:left="851"/>
        <w:rPr>
          <w:sz w:val="24"/>
          <w:szCs w:val="24"/>
        </w:rPr>
      </w:pPr>
    </w:p>
    <w:p w:rsidR="000A304D" w:rsidRDefault="000A304D" w:rsidP="000A304D">
      <w:pPr>
        <w:ind w:left="851"/>
        <w:rPr>
          <w:i/>
          <w:iCs/>
          <w:sz w:val="24"/>
          <w:szCs w:val="24"/>
        </w:rPr>
      </w:pPr>
      <w:r>
        <w:rPr>
          <w:i/>
          <w:iCs/>
          <w:sz w:val="24"/>
          <w:szCs w:val="24"/>
          <w:lang w:val=""/>
        </w:rPr>
        <w:t>Hest</w:t>
      </w:r>
    </w:p>
    <w:p w:rsidR="000A304D" w:rsidRPr="008A3CEB" w:rsidRDefault="000A304D" w:rsidP="000A304D">
      <w:pPr>
        <w:ind w:left="851"/>
        <w:rPr>
          <w:sz w:val="24"/>
          <w:szCs w:val="24"/>
        </w:rPr>
      </w:pPr>
      <w:r>
        <w:rPr>
          <w:sz w:val="24"/>
          <w:szCs w:val="24"/>
          <w:lang w:val=""/>
        </w:rPr>
        <w:t>Anvendelse af produktet ved den anbefalede dosis kan føre til forbigående ataksi og/eller ekscitation. Derfor bør behandlingsstedet udvælges nøje for at forebygge skader hos patient og mennesker under behandling af heste.</w:t>
      </w:r>
    </w:p>
    <w:p w:rsidR="00145194" w:rsidRPr="008A3CEB" w:rsidRDefault="00145194" w:rsidP="00145194">
      <w:pPr>
        <w:ind w:left="851" w:hanging="851"/>
        <w:rPr>
          <w:sz w:val="24"/>
          <w:szCs w:val="24"/>
        </w:rPr>
      </w:pPr>
    </w:p>
    <w:p w:rsidR="00145194" w:rsidRPr="000A304D" w:rsidRDefault="00145194" w:rsidP="00145194">
      <w:pPr>
        <w:ind w:left="851"/>
        <w:rPr>
          <w:sz w:val="24"/>
          <w:szCs w:val="24"/>
          <w:u w:val="single"/>
        </w:rPr>
      </w:pPr>
      <w:r w:rsidRPr="000A304D">
        <w:rPr>
          <w:sz w:val="24"/>
          <w:szCs w:val="24"/>
          <w:u w:val="single"/>
        </w:rPr>
        <w:t>Særlige forsigtighedsregler for personer, der administrerer lægemidlet</w:t>
      </w:r>
    </w:p>
    <w:p w:rsidR="00145194" w:rsidRPr="008A3CEB" w:rsidRDefault="00145194" w:rsidP="00145194">
      <w:pPr>
        <w:ind w:left="851"/>
        <w:rPr>
          <w:sz w:val="24"/>
          <w:szCs w:val="24"/>
        </w:rPr>
      </w:pPr>
      <w:r w:rsidRPr="008A3CEB">
        <w:rPr>
          <w:sz w:val="24"/>
          <w:szCs w:val="24"/>
          <w:lang w:val=""/>
        </w:rPr>
        <w:t xml:space="preserve">Butorphanol har opioidaktivitet. </w:t>
      </w:r>
    </w:p>
    <w:p w:rsidR="00145194" w:rsidRPr="008A3CEB" w:rsidRDefault="00145194" w:rsidP="00145194">
      <w:pPr>
        <w:ind w:left="851"/>
        <w:rPr>
          <w:sz w:val="24"/>
          <w:szCs w:val="24"/>
        </w:rPr>
      </w:pPr>
      <w:r w:rsidRPr="008A3CEB">
        <w:rPr>
          <w:sz w:val="24"/>
          <w:szCs w:val="24"/>
          <w:lang w:val=""/>
        </w:rPr>
        <w:t xml:space="preserve">De hyppigste bivirkninger ved butorphanol hos mennesker er døsighed, perspiration, kvalme, svimmelhed og vertigo, og de kan forekomme efter uforsætlig selvinjektion. Der bør udvises forsigtighed for at undgå uforsætlig injektion/selvinjektion. I tilfælde af </w:t>
      </w:r>
      <w:r w:rsidRPr="008A3CEB">
        <w:rPr>
          <w:sz w:val="24"/>
          <w:szCs w:val="24"/>
          <w:lang w:val=""/>
        </w:rPr>
        <w:lastRenderedPageBreak/>
        <w:t>uforsætlig selvinjektion skal der straks søges lægehjælp, og indlægssedlen eller etiketten vises til lægen. Kør ikke bil. En opioidantagonist (f.eks. naloxon) kan anvendes som antidot.</w:t>
      </w:r>
    </w:p>
    <w:p w:rsidR="00145194" w:rsidRPr="008A3CEB" w:rsidRDefault="00145194" w:rsidP="00145194">
      <w:pPr>
        <w:ind w:left="851" w:hanging="851"/>
        <w:rPr>
          <w:sz w:val="24"/>
          <w:szCs w:val="24"/>
        </w:rPr>
      </w:pPr>
    </w:p>
    <w:p w:rsidR="00145194" w:rsidRPr="008A3CEB" w:rsidRDefault="00145194" w:rsidP="00145194">
      <w:pPr>
        <w:ind w:left="851"/>
        <w:rPr>
          <w:sz w:val="24"/>
          <w:szCs w:val="24"/>
        </w:rPr>
      </w:pPr>
      <w:r w:rsidRPr="008A3CEB">
        <w:rPr>
          <w:sz w:val="24"/>
          <w:szCs w:val="24"/>
          <w:lang w:val=""/>
        </w:rPr>
        <w:t>Vask øjeblikkeligt stænk væk fra hud og øjne.</w:t>
      </w:r>
    </w:p>
    <w:p w:rsidR="00145194" w:rsidRPr="008A3CEB" w:rsidRDefault="00145194" w:rsidP="00145194">
      <w:pPr>
        <w:ind w:left="851" w:hanging="851"/>
        <w:rPr>
          <w:sz w:val="24"/>
          <w:szCs w:val="24"/>
        </w:rPr>
      </w:pPr>
    </w:p>
    <w:p w:rsidR="00145194" w:rsidRPr="000A304D" w:rsidRDefault="00145194" w:rsidP="00145194">
      <w:pPr>
        <w:ind w:left="851"/>
        <w:rPr>
          <w:sz w:val="24"/>
          <w:szCs w:val="24"/>
          <w:u w:val="single"/>
        </w:rPr>
      </w:pPr>
      <w:r w:rsidRPr="000A304D">
        <w:rPr>
          <w:sz w:val="24"/>
          <w:szCs w:val="24"/>
          <w:u w:val="single"/>
        </w:rPr>
        <w:t>Andre forsigtighedsregler</w:t>
      </w:r>
    </w:p>
    <w:p w:rsidR="00145194" w:rsidRPr="008A3CEB" w:rsidRDefault="00145194" w:rsidP="00145194">
      <w:pPr>
        <w:ind w:left="851"/>
        <w:rPr>
          <w:sz w:val="24"/>
          <w:szCs w:val="24"/>
        </w:rPr>
      </w:pPr>
      <w:r w:rsidRPr="008A3CEB">
        <w:rPr>
          <w:sz w:val="24"/>
          <w:szCs w:val="24"/>
        </w:rPr>
        <w:t>-</w:t>
      </w: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A3CEB">
        <w:rPr>
          <w:b/>
          <w:sz w:val="24"/>
          <w:szCs w:val="24"/>
        </w:rPr>
        <w:t>4.6</w:t>
      </w:r>
      <w:r w:rsidRPr="008A3CEB">
        <w:rPr>
          <w:b/>
          <w:sz w:val="24"/>
          <w:szCs w:val="24"/>
        </w:rPr>
        <w:tab/>
        <w:t>Bivirkninger</w:t>
      </w:r>
    </w:p>
    <w:p w:rsidR="00145194" w:rsidRDefault="00145194" w:rsidP="00145194">
      <w:pPr>
        <w:pStyle w:val="Brdtekstindrykning"/>
        <w:ind w:left="851" w:hanging="851"/>
        <w:jc w:val="both"/>
        <w:rPr>
          <w:bCs/>
          <w:sz w:val="24"/>
          <w:szCs w:val="24"/>
          <w:lang w:val=""/>
        </w:rPr>
      </w:pPr>
    </w:p>
    <w:p w:rsidR="00570C25" w:rsidRDefault="00570C25" w:rsidP="00570C25">
      <w:pPr>
        <w:pStyle w:val="Brdtekstindrykning"/>
        <w:ind w:left="851" w:firstLine="0"/>
        <w:rPr>
          <w:b w:val="0"/>
          <w:sz w:val="24"/>
          <w:szCs w:val="24"/>
          <w:u w:val="single"/>
          <w:lang w:val="da-DK"/>
        </w:rPr>
      </w:pPr>
      <w:r>
        <w:rPr>
          <w:b w:val="0"/>
          <w:sz w:val="24"/>
          <w:szCs w:val="24"/>
          <w:u w:val="single"/>
          <w:lang w:val=""/>
        </w:rPr>
        <w:t>Alle arter, lægemidlet er beregnet til</w:t>
      </w:r>
    </w:p>
    <w:p w:rsidR="00570C25" w:rsidRDefault="00570C25" w:rsidP="00570C25">
      <w:pPr>
        <w:pStyle w:val="Brdtekstindrykning"/>
        <w:ind w:left="851" w:firstLine="0"/>
        <w:rPr>
          <w:b w:val="0"/>
          <w:sz w:val="24"/>
          <w:szCs w:val="24"/>
          <w:lang w:val="da-DK"/>
        </w:rPr>
      </w:pPr>
      <w:r>
        <w:rPr>
          <w:b w:val="0"/>
          <w:sz w:val="24"/>
          <w:szCs w:val="24"/>
          <w:lang w:val=""/>
        </w:rPr>
        <w:t>Der kan forekomme nogen smerte ved intramuskulær injektion.</w:t>
      </w:r>
    </w:p>
    <w:p w:rsidR="00570C25" w:rsidRDefault="00570C25" w:rsidP="00570C25">
      <w:pPr>
        <w:pStyle w:val="Brdtekstindrykning"/>
        <w:ind w:left="851" w:firstLine="0"/>
        <w:rPr>
          <w:b w:val="0"/>
          <w:sz w:val="24"/>
          <w:szCs w:val="24"/>
          <w:lang w:val="da-DK"/>
        </w:rPr>
      </w:pPr>
      <w:r>
        <w:rPr>
          <w:b w:val="0"/>
          <w:sz w:val="24"/>
          <w:szCs w:val="24"/>
          <w:lang w:val=""/>
        </w:rPr>
        <w:t>Sedation kan observeres hos behandlede dyr.</w:t>
      </w:r>
    </w:p>
    <w:p w:rsidR="00570C25" w:rsidRDefault="00570C25" w:rsidP="00570C25">
      <w:pPr>
        <w:pStyle w:val="Brdtekstindrykning"/>
        <w:ind w:left="851" w:hanging="851"/>
        <w:jc w:val="both"/>
        <w:rPr>
          <w:b w:val="0"/>
          <w:sz w:val="24"/>
          <w:szCs w:val="24"/>
          <w:lang w:val=""/>
        </w:rPr>
      </w:pPr>
    </w:p>
    <w:p w:rsidR="00570C25" w:rsidRDefault="00570C25" w:rsidP="00570C25">
      <w:pPr>
        <w:pStyle w:val="Brdtekstindrykning"/>
        <w:ind w:left="851" w:firstLine="0"/>
        <w:rPr>
          <w:b w:val="0"/>
          <w:i/>
          <w:iCs/>
          <w:sz w:val="24"/>
          <w:szCs w:val="24"/>
          <w:lang w:val="da-DK"/>
        </w:rPr>
      </w:pPr>
      <w:r>
        <w:rPr>
          <w:b w:val="0"/>
          <w:i/>
          <w:iCs/>
          <w:sz w:val="24"/>
          <w:szCs w:val="24"/>
          <w:lang w:val=""/>
        </w:rPr>
        <w:t>Hund</w:t>
      </w:r>
    </w:p>
    <w:p w:rsidR="00570C25" w:rsidRDefault="00570C25" w:rsidP="00570C25">
      <w:pPr>
        <w:pStyle w:val="Brdtekstindrykning"/>
        <w:ind w:left="851" w:firstLine="0"/>
        <w:rPr>
          <w:b w:val="0"/>
          <w:sz w:val="24"/>
          <w:szCs w:val="24"/>
          <w:lang w:val="da-DK"/>
        </w:rPr>
      </w:pPr>
      <w:r>
        <w:rPr>
          <w:b w:val="0"/>
          <w:sz w:val="24"/>
          <w:szCs w:val="24"/>
          <w:lang w:val=""/>
        </w:rPr>
        <w:t xml:space="preserve">Der kan forekomme respirationsdepression og kardiel depression (fald i respirationsrate, bradykardi, fald i diastolisk blodtryk) (se pkt. 4.5). Graden af depression er dosisafhængig. Hvis der forekommer respirationsdepression, kan naloxon anvendes som antidot. Der kan forekomme moderat til markant kardiopulmonal depression, hvis butorphanol gives hurtigt ved intravenøs injektion. </w:t>
      </w:r>
    </w:p>
    <w:p w:rsidR="00570C25" w:rsidRDefault="00570C25" w:rsidP="00570C25">
      <w:pPr>
        <w:pStyle w:val="Brdtekstindrykning"/>
        <w:ind w:left="851" w:firstLine="0"/>
        <w:rPr>
          <w:b w:val="0"/>
          <w:sz w:val="24"/>
          <w:szCs w:val="24"/>
          <w:lang w:val="da-DK"/>
        </w:rPr>
      </w:pPr>
      <w:r>
        <w:rPr>
          <w:b w:val="0"/>
          <w:sz w:val="24"/>
          <w:szCs w:val="24"/>
          <w:lang w:val=""/>
        </w:rPr>
        <w:t>Når butorphanol anvendes som præanæstesimiddel, vil anvendelse af et antikolinergikum, som f.eks. atropin, beskytte hjertet mod potentiel narkotikuminduceret bradykardi.</w:t>
      </w:r>
    </w:p>
    <w:p w:rsidR="00570C25" w:rsidRDefault="00570C25" w:rsidP="00570C25">
      <w:pPr>
        <w:pStyle w:val="Brdtekstindrykning"/>
        <w:ind w:left="851" w:firstLine="0"/>
        <w:rPr>
          <w:b w:val="0"/>
          <w:sz w:val="24"/>
          <w:szCs w:val="24"/>
          <w:lang w:val="da-DK"/>
        </w:rPr>
      </w:pPr>
      <w:r>
        <w:rPr>
          <w:b w:val="0"/>
          <w:sz w:val="24"/>
          <w:szCs w:val="24"/>
          <w:lang w:val=""/>
        </w:rPr>
        <w:t>Der er i sjældne tilfælde rapporteret forbigående ataksi, anoreksi og diarré.</w:t>
      </w:r>
    </w:p>
    <w:p w:rsidR="00570C25" w:rsidRDefault="00570C25" w:rsidP="00570C25">
      <w:pPr>
        <w:pStyle w:val="Brdtekstindrykning"/>
        <w:ind w:left="851" w:firstLine="0"/>
        <w:rPr>
          <w:b w:val="0"/>
          <w:sz w:val="24"/>
          <w:szCs w:val="24"/>
          <w:lang w:val="da-DK"/>
        </w:rPr>
      </w:pPr>
      <w:r>
        <w:rPr>
          <w:b w:val="0"/>
          <w:sz w:val="24"/>
          <w:szCs w:val="24"/>
          <w:lang w:val=""/>
        </w:rPr>
        <w:t>Der kan forekomme nedsat motilitet i mave-tarm-kanalen.</w:t>
      </w:r>
    </w:p>
    <w:p w:rsidR="00570C25" w:rsidRDefault="00570C25" w:rsidP="00570C25">
      <w:pPr>
        <w:pStyle w:val="Brdtekstindrykning"/>
        <w:ind w:left="851" w:hanging="851"/>
        <w:rPr>
          <w:b w:val="0"/>
          <w:sz w:val="24"/>
          <w:szCs w:val="24"/>
          <w:lang w:val="da-DK"/>
        </w:rPr>
      </w:pPr>
    </w:p>
    <w:p w:rsidR="00570C25" w:rsidRDefault="00570C25" w:rsidP="00570C25">
      <w:pPr>
        <w:pStyle w:val="Brdtekstindrykning"/>
        <w:ind w:left="851" w:firstLine="0"/>
        <w:rPr>
          <w:b w:val="0"/>
          <w:i/>
          <w:iCs/>
          <w:sz w:val="24"/>
          <w:szCs w:val="24"/>
          <w:lang w:val="da-DK"/>
        </w:rPr>
      </w:pPr>
      <w:r>
        <w:rPr>
          <w:b w:val="0"/>
          <w:i/>
          <w:iCs/>
          <w:sz w:val="24"/>
          <w:szCs w:val="24"/>
          <w:lang w:val=""/>
        </w:rPr>
        <w:t>Kat</w:t>
      </w:r>
    </w:p>
    <w:p w:rsidR="00570C25" w:rsidRDefault="00570C25" w:rsidP="00570C25">
      <w:pPr>
        <w:pStyle w:val="Brdtekstindrykning"/>
        <w:ind w:left="851" w:firstLine="0"/>
        <w:rPr>
          <w:b w:val="0"/>
          <w:sz w:val="24"/>
          <w:szCs w:val="24"/>
          <w:lang w:val="da-DK"/>
        </w:rPr>
      </w:pPr>
      <w:r>
        <w:rPr>
          <w:b w:val="0"/>
          <w:sz w:val="24"/>
          <w:szCs w:val="24"/>
          <w:lang w:val=""/>
        </w:rPr>
        <w:t>Der kan forekomme respirationsdepression. Hvis der forekommer respirationsdepression, kan naloxon anvendes som antidot.</w:t>
      </w:r>
    </w:p>
    <w:p w:rsidR="00570C25" w:rsidRDefault="00570C25" w:rsidP="00570C25">
      <w:pPr>
        <w:pStyle w:val="Brdtekstindrykning"/>
        <w:ind w:left="851" w:firstLine="0"/>
        <w:rPr>
          <w:b w:val="0"/>
          <w:sz w:val="24"/>
          <w:szCs w:val="24"/>
          <w:lang w:val="da-DK"/>
        </w:rPr>
      </w:pPr>
      <w:r>
        <w:rPr>
          <w:b w:val="0"/>
          <w:sz w:val="24"/>
          <w:szCs w:val="24"/>
          <w:lang w:val=""/>
        </w:rPr>
        <w:t>Det er sandsynligt, at der vil være mydriasis.</w:t>
      </w:r>
    </w:p>
    <w:p w:rsidR="00570C25" w:rsidRDefault="00570C25" w:rsidP="00570C25">
      <w:pPr>
        <w:ind w:left="851"/>
        <w:rPr>
          <w:sz w:val="24"/>
          <w:szCs w:val="24"/>
          <w:lang w:val=""/>
        </w:rPr>
      </w:pPr>
      <w:r>
        <w:rPr>
          <w:sz w:val="24"/>
          <w:szCs w:val="24"/>
          <w:lang w:val=""/>
        </w:rPr>
        <w:t>Administration af butorphanol kan forårsage ekscitation, angst, desorientering og dysfori.</w:t>
      </w:r>
    </w:p>
    <w:p w:rsidR="00570C25" w:rsidRDefault="00570C25" w:rsidP="00570C25">
      <w:pPr>
        <w:ind w:left="851"/>
        <w:rPr>
          <w:sz w:val="24"/>
          <w:szCs w:val="24"/>
        </w:rPr>
      </w:pPr>
    </w:p>
    <w:p w:rsidR="00570C25" w:rsidRDefault="00570C25" w:rsidP="00570C25">
      <w:pPr>
        <w:pStyle w:val="Brdtekstindrykning"/>
        <w:ind w:left="851"/>
        <w:rPr>
          <w:b w:val="0"/>
          <w:i/>
          <w:iCs/>
          <w:sz w:val="24"/>
          <w:szCs w:val="24"/>
          <w:lang w:val=""/>
        </w:rPr>
      </w:pPr>
      <w:r>
        <w:rPr>
          <w:b w:val="0"/>
          <w:i/>
          <w:iCs/>
          <w:sz w:val="24"/>
          <w:szCs w:val="24"/>
          <w:lang w:val=""/>
        </w:rPr>
        <w:tab/>
      </w:r>
      <w:r>
        <w:rPr>
          <w:b w:val="0"/>
          <w:i/>
          <w:iCs/>
          <w:sz w:val="24"/>
          <w:szCs w:val="24"/>
          <w:lang w:val=""/>
        </w:rPr>
        <w:t>Hest</w:t>
      </w:r>
    </w:p>
    <w:p w:rsidR="00570C25" w:rsidRDefault="00570C25" w:rsidP="00570C25">
      <w:pPr>
        <w:pStyle w:val="Brdtekstindrykning"/>
        <w:ind w:left="851" w:firstLine="0"/>
        <w:rPr>
          <w:b w:val="0"/>
          <w:sz w:val="24"/>
          <w:szCs w:val="24"/>
          <w:lang w:val=""/>
        </w:rPr>
      </w:pPr>
      <w:r>
        <w:rPr>
          <w:b w:val="0"/>
          <w:sz w:val="24"/>
          <w:szCs w:val="24"/>
          <w:lang w:val=""/>
        </w:rPr>
        <w:t>Den mest almindelige bivirkning er let ataksi, som kan vare i 3 til 10 minutter.</w:t>
      </w:r>
    </w:p>
    <w:p w:rsidR="00570C25" w:rsidRDefault="00570C25" w:rsidP="00570C25">
      <w:pPr>
        <w:pStyle w:val="Brdtekstindrykning"/>
        <w:ind w:left="851" w:firstLine="0"/>
        <w:rPr>
          <w:b w:val="0"/>
          <w:sz w:val="24"/>
          <w:szCs w:val="24"/>
          <w:lang w:val=""/>
        </w:rPr>
      </w:pPr>
      <w:r>
        <w:rPr>
          <w:b w:val="0"/>
          <w:sz w:val="24"/>
          <w:szCs w:val="24"/>
          <w:lang w:val=""/>
        </w:rPr>
        <w:t>En stigning i motorisk aktivitet og ataksi som følge af butorphanol har i nogle tilfælde varet i 1-2 timer.</w:t>
      </w:r>
    </w:p>
    <w:p w:rsidR="00570C25" w:rsidRDefault="00570C25" w:rsidP="00570C25">
      <w:pPr>
        <w:pStyle w:val="Brdtekstindrykning"/>
        <w:ind w:left="851" w:firstLine="0"/>
        <w:rPr>
          <w:b w:val="0"/>
          <w:sz w:val="24"/>
          <w:szCs w:val="24"/>
          <w:lang w:val="da-DK"/>
        </w:rPr>
      </w:pPr>
      <w:r>
        <w:rPr>
          <w:b w:val="0"/>
          <w:sz w:val="24"/>
          <w:szCs w:val="24"/>
          <w:lang w:val=""/>
        </w:rPr>
        <w:t>Rastløshed, og kulderystelser og sedation efterfulgt af rastløshed er begge observeret hos nogle heste.</w:t>
      </w:r>
    </w:p>
    <w:p w:rsidR="00570C25" w:rsidRDefault="00570C25" w:rsidP="00570C25">
      <w:pPr>
        <w:pStyle w:val="Brdtekstindrykning"/>
        <w:ind w:left="851" w:firstLine="0"/>
        <w:rPr>
          <w:b w:val="0"/>
          <w:sz w:val="24"/>
          <w:szCs w:val="24"/>
          <w:lang w:val="da-DK"/>
        </w:rPr>
      </w:pPr>
      <w:r>
        <w:rPr>
          <w:b w:val="0"/>
          <w:sz w:val="24"/>
          <w:szCs w:val="24"/>
          <w:lang w:val=""/>
        </w:rPr>
        <w:t>En intravenøs bolusinjektion ved den maksimale dosis (0,1 mg/kg legemsvægt) kan resultere i ekscitatorisk lokomotorisk effekt (f.eks. at hesten vandrer rundt) hos klinisk normale heste.</w:t>
      </w:r>
    </w:p>
    <w:p w:rsidR="00570C25" w:rsidRDefault="00570C25" w:rsidP="00570C25">
      <w:pPr>
        <w:pStyle w:val="Brdtekstindrykning"/>
        <w:ind w:left="851" w:firstLine="0"/>
        <w:rPr>
          <w:b w:val="0"/>
          <w:sz w:val="24"/>
          <w:szCs w:val="24"/>
          <w:lang w:val="da-DK"/>
        </w:rPr>
      </w:pPr>
      <w:r>
        <w:rPr>
          <w:b w:val="0"/>
          <w:sz w:val="24"/>
          <w:szCs w:val="24"/>
          <w:lang w:val=""/>
        </w:rPr>
        <w:t>Der kan forekomme let til svær ataksi i kombination med detomidin, men det er usandsynligt, at heste kollapser. Der bør træffes normale foranstaltninger for at forhindre, at hesten forårsager skader på sig selv (se pkt. 4.5).</w:t>
      </w:r>
    </w:p>
    <w:p w:rsidR="00570C25" w:rsidRDefault="00570C25" w:rsidP="00570C25">
      <w:pPr>
        <w:pStyle w:val="Brdtekstindrykning"/>
        <w:ind w:left="851" w:firstLine="0"/>
        <w:rPr>
          <w:b w:val="0"/>
          <w:sz w:val="24"/>
          <w:szCs w:val="24"/>
          <w:lang w:val="da-DK"/>
        </w:rPr>
      </w:pPr>
      <w:r>
        <w:rPr>
          <w:b w:val="0"/>
          <w:sz w:val="24"/>
          <w:szCs w:val="24"/>
          <w:lang w:val=""/>
        </w:rPr>
        <w:t>Der kan forekomme let sedation hos ca. 15 % af hestene efter administration af butorphanol som eneste stof.</w:t>
      </w:r>
    </w:p>
    <w:p w:rsidR="00570C25" w:rsidRDefault="00570C25" w:rsidP="00570C25">
      <w:pPr>
        <w:pStyle w:val="Brdtekstindrykning"/>
        <w:ind w:left="851" w:firstLine="0"/>
        <w:rPr>
          <w:b w:val="0"/>
          <w:sz w:val="24"/>
          <w:szCs w:val="24"/>
          <w:lang w:val=""/>
        </w:rPr>
      </w:pPr>
      <w:r>
        <w:rPr>
          <w:b w:val="0"/>
          <w:sz w:val="24"/>
          <w:szCs w:val="24"/>
          <w:lang w:val=""/>
        </w:rPr>
        <w:t xml:space="preserve">Butorphanol kan også have bivirkninger på motiliteten i mave-tarm-kanalen hos normale heste, selvom der ikke er nogen reduktion af gennemløbstiden i mave-tarm-kanalen. Disse bivirkninger er dosisrelaterede og generelt lette og forbigående. </w:t>
      </w:r>
    </w:p>
    <w:p w:rsidR="00570C25" w:rsidRDefault="00570C25" w:rsidP="00570C25">
      <w:pPr>
        <w:pStyle w:val="Brdtekstindrykning"/>
        <w:ind w:left="851" w:firstLine="0"/>
        <w:rPr>
          <w:b w:val="0"/>
          <w:sz w:val="24"/>
          <w:szCs w:val="24"/>
          <w:lang w:val=""/>
        </w:rPr>
      </w:pPr>
      <w:r>
        <w:rPr>
          <w:b w:val="0"/>
          <w:sz w:val="24"/>
          <w:szCs w:val="24"/>
          <w:lang w:val=""/>
        </w:rPr>
        <w:t xml:space="preserve">Der kan forekomme kardiopulmonal depression. Når butorphanol anvendes i kombination med alpha2-adrenoceptoragonister, kan den kardiopulmonale depression i sjældne tilfælde være dødelig. </w:t>
      </w:r>
    </w:p>
    <w:p w:rsidR="00570C25" w:rsidRDefault="00570C25" w:rsidP="00570C25">
      <w:pPr>
        <w:pStyle w:val="Brdtekstindrykning"/>
        <w:ind w:left="851" w:firstLine="0"/>
        <w:rPr>
          <w:b w:val="0"/>
          <w:sz w:val="24"/>
          <w:szCs w:val="24"/>
          <w:lang w:val=""/>
        </w:rPr>
      </w:pPr>
    </w:p>
    <w:p w:rsidR="00570C25" w:rsidRDefault="00570C25" w:rsidP="00570C25">
      <w:pPr>
        <w:ind w:left="851"/>
        <w:rPr>
          <w:sz w:val="24"/>
          <w:szCs w:val="24"/>
        </w:rPr>
      </w:pPr>
      <w:r>
        <w:rPr>
          <w:sz w:val="24"/>
          <w:szCs w:val="24"/>
        </w:rPr>
        <w:t>Hyppigheden af bivirkninger er defineret som:</w:t>
      </w:r>
    </w:p>
    <w:p w:rsidR="00570C25" w:rsidRDefault="00570C25" w:rsidP="00570C25">
      <w:pPr>
        <w:ind w:left="851"/>
        <w:rPr>
          <w:sz w:val="24"/>
          <w:szCs w:val="24"/>
        </w:rPr>
      </w:pPr>
      <w:r>
        <w:rPr>
          <w:sz w:val="24"/>
          <w:szCs w:val="24"/>
        </w:rPr>
        <w:t>- Meget almindelig (flere end 1 ud af 10 behandlede dyr, der viser bivirkninger i løbet af en behandling)</w:t>
      </w:r>
    </w:p>
    <w:p w:rsidR="00570C25" w:rsidRDefault="00570C25" w:rsidP="00570C25">
      <w:pPr>
        <w:ind w:left="851"/>
        <w:rPr>
          <w:sz w:val="24"/>
          <w:szCs w:val="24"/>
        </w:rPr>
      </w:pPr>
      <w:r>
        <w:rPr>
          <w:sz w:val="24"/>
          <w:szCs w:val="24"/>
        </w:rPr>
        <w:t>- Almindelige (flere end 1, men færre end 10 dyr af 100 behandlede dyr)</w:t>
      </w:r>
    </w:p>
    <w:p w:rsidR="00570C25" w:rsidRDefault="00570C25" w:rsidP="00570C25">
      <w:pPr>
        <w:ind w:left="851"/>
        <w:rPr>
          <w:sz w:val="24"/>
          <w:szCs w:val="24"/>
        </w:rPr>
      </w:pPr>
      <w:r>
        <w:rPr>
          <w:sz w:val="24"/>
          <w:szCs w:val="24"/>
        </w:rPr>
        <w:t>- Ikke almindelige (flere end 1, men færre end 10 dyr af 1.000 behandlede dyr)</w:t>
      </w:r>
    </w:p>
    <w:p w:rsidR="00570C25" w:rsidRDefault="00570C25" w:rsidP="00570C25">
      <w:pPr>
        <w:ind w:left="851"/>
        <w:rPr>
          <w:sz w:val="24"/>
          <w:szCs w:val="24"/>
        </w:rPr>
      </w:pPr>
      <w:r>
        <w:rPr>
          <w:sz w:val="24"/>
          <w:szCs w:val="24"/>
        </w:rPr>
        <w:t>- Sjældne (flere end 1, men færre end 10 dyr ud af 10.000 behandlede dyr)</w:t>
      </w:r>
    </w:p>
    <w:p w:rsidR="00145194" w:rsidRPr="008A3CEB" w:rsidRDefault="00570C25" w:rsidP="00570C25">
      <w:pPr>
        <w:ind w:left="851"/>
        <w:rPr>
          <w:sz w:val="24"/>
          <w:szCs w:val="24"/>
        </w:rPr>
      </w:pPr>
      <w:r>
        <w:rPr>
          <w:sz w:val="24"/>
          <w:szCs w:val="24"/>
        </w:rPr>
        <w:t>- Meget sjælden (færre end 1 dyr ud af 10.000 behandlede dyr, herunder isolerede rapporter)</w:t>
      </w: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A3CEB">
        <w:rPr>
          <w:b/>
          <w:sz w:val="24"/>
          <w:szCs w:val="24"/>
        </w:rPr>
        <w:t>4.7</w:t>
      </w:r>
      <w:r w:rsidRPr="008A3CEB">
        <w:rPr>
          <w:b/>
          <w:sz w:val="24"/>
          <w:szCs w:val="24"/>
        </w:rPr>
        <w:tab/>
        <w:t>Drægtighed, diegivning eller æglægning</w:t>
      </w:r>
    </w:p>
    <w:p w:rsidR="00145194" w:rsidRPr="008A3CEB" w:rsidRDefault="00145194" w:rsidP="00145194">
      <w:pPr>
        <w:pStyle w:val="Brdtekstindrykning"/>
        <w:ind w:left="851" w:firstLine="0"/>
        <w:rPr>
          <w:b w:val="0"/>
          <w:sz w:val="24"/>
          <w:szCs w:val="24"/>
          <w:lang w:val="da-DK"/>
        </w:rPr>
      </w:pPr>
      <w:r w:rsidRPr="008A3CEB">
        <w:rPr>
          <w:b w:val="0"/>
          <w:sz w:val="24"/>
          <w:szCs w:val="24"/>
          <w:lang w:val=""/>
        </w:rPr>
        <w:t xml:space="preserve">Lægemidlets sikkerhed under drægtighed og </w:t>
      </w:r>
      <w:r>
        <w:rPr>
          <w:b w:val="0"/>
          <w:sz w:val="24"/>
          <w:szCs w:val="24"/>
          <w:lang w:val=""/>
        </w:rPr>
        <w:t>diegivning</w:t>
      </w:r>
      <w:r w:rsidRPr="008A3CEB">
        <w:rPr>
          <w:b w:val="0"/>
          <w:sz w:val="24"/>
          <w:szCs w:val="24"/>
          <w:lang w:val=""/>
        </w:rPr>
        <w:t xml:space="preserve"> for de arter, som midlet er beregnet til, er ikke fastlagt. Anvendelse af butorphanol anbefales ikke under drægtighed og </w:t>
      </w:r>
      <w:r>
        <w:rPr>
          <w:b w:val="0"/>
          <w:sz w:val="24"/>
          <w:szCs w:val="24"/>
          <w:lang w:val=""/>
        </w:rPr>
        <w:t>diegivning</w:t>
      </w:r>
      <w:r w:rsidRPr="008A3CEB">
        <w:rPr>
          <w:b w:val="0"/>
          <w:sz w:val="24"/>
          <w:szCs w:val="24"/>
          <w:lang w:val=""/>
        </w:rPr>
        <w:t>. Se også pkt. 4.3.</w:t>
      </w: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A3CEB">
        <w:rPr>
          <w:b/>
          <w:sz w:val="24"/>
          <w:szCs w:val="24"/>
        </w:rPr>
        <w:t>4.8</w:t>
      </w:r>
      <w:r w:rsidRPr="008A3CEB">
        <w:rPr>
          <w:b/>
          <w:sz w:val="24"/>
          <w:szCs w:val="24"/>
        </w:rPr>
        <w:tab/>
        <w:t>Interaktion med andre lægemidler og andre former for interaktion</w:t>
      </w:r>
    </w:p>
    <w:p w:rsidR="00145194" w:rsidRPr="008A3CEB" w:rsidRDefault="00145194" w:rsidP="00145194">
      <w:pPr>
        <w:pStyle w:val="Brdtekstindrykning"/>
        <w:ind w:left="851" w:firstLine="0"/>
        <w:rPr>
          <w:b w:val="0"/>
          <w:sz w:val="24"/>
          <w:szCs w:val="24"/>
          <w:lang w:val="da-DK"/>
        </w:rPr>
      </w:pPr>
      <w:r w:rsidRPr="008A3CEB">
        <w:rPr>
          <w:b w:val="0"/>
          <w:sz w:val="24"/>
          <w:szCs w:val="24"/>
          <w:lang w:val=""/>
        </w:rPr>
        <w:t>Når butorphanol anvendes i kombination med visse α2-adrenoceptoragonister (romifidin eller detomidin hos heste, medetomidin hos hunde og katte), forekommer der synergistiske virkninger, som kræver reduktion af butorphanoldosis (se pkt.</w:t>
      </w:r>
      <w:r w:rsidR="00570C25" w:rsidRPr="00570C25">
        <w:rPr>
          <w:b w:val="0"/>
          <w:sz w:val="24"/>
          <w:szCs w:val="24"/>
          <w:lang w:val=""/>
        </w:rPr>
        <w:t xml:space="preserve"> 4.5 eller 4.9</w:t>
      </w:r>
      <w:r w:rsidRPr="008A3CEB">
        <w:rPr>
          <w:b w:val="0"/>
          <w:sz w:val="24"/>
          <w:szCs w:val="24"/>
          <w:lang w:val=""/>
        </w:rPr>
        <w:t xml:space="preserve">). </w:t>
      </w:r>
    </w:p>
    <w:p w:rsidR="00145194" w:rsidRPr="008A3CEB" w:rsidRDefault="00145194" w:rsidP="00145194">
      <w:pPr>
        <w:pStyle w:val="Brdtekstindrykning"/>
        <w:ind w:left="851" w:firstLine="0"/>
        <w:rPr>
          <w:b w:val="0"/>
          <w:sz w:val="24"/>
          <w:szCs w:val="24"/>
          <w:lang w:val="da-DK"/>
        </w:rPr>
      </w:pPr>
      <w:r w:rsidRPr="008A3CEB">
        <w:rPr>
          <w:b w:val="0"/>
          <w:sz w:val="24"/>
          <w:szCs w:val="24"/>
          <w:lang w:val=""/>
        </w:rPr>
        <w:t xml:space="preserve">Butorphanol er antitussiv og bør ikke anvendes i kombination med et ekspektorantium, da det kan føre til akkumulering af slim i luftvejene. </w:t>
      </w:r>
    </w:p>
    <w:p w:rsidR="00145194" w:rsidRPr="008A3CEB" w:rsidRDefault="00145194" w:rsidP="00145194">
      <w:pPr>
        <w:pStyle w:val="Brdtekstindrykning"/>
        <w:ind w:left="851" w:firstLine="0"/>
        <w:rPr>
          <w:sz w:val="24"/>
          <w:szCs w:val="24"/>
          <w:lang w:val="da-DK"/>
        </w:rPr>
      </w:pPr>
      <w:r w:rsidRPr="008A3CEB">
        <w:rPr>
          <w:b w:val="0"/>
          <w:sz w:val="24"/>
          <w:szCs w:val="24"/>
          <w:lang w:val=""/>
        </w:rPr>
        <w:t xml:space="preserve">Butorphanol har antagonistiske egenskaber ved my-opioidreceptoren (μ), som kan ophæve den analgetiske virkning af rene my-opioidagonister (μ) (f.eks. morfin/oxymorfin) hos dyr, der allerede har fået disse stoffer. </w:t>
      </w:r>
    </w:p>
    <w:p w:rsidR="00145194" w:rsidRPr="008A3CEB" w:rsidRDefault="00145194" w:rsidP="00145194">
      <w:pPr>
        <w:pStyle w:val="Brdtekstindrykning"/>
        <w:ind w:left="851" w:firstLine="0"/>
        <w:rPr>
          <w:b w:val="0"/>
          <w:sz w:val="24"/>
          <w:szCs w:val="24"/>
          <w:lang w:val="da-DK"/>
        </w:rPr>
      </w:pPr>
      <w:r w:rsidRPr="008A3CEB">
        <w:rPr>
          <w:b w:val="0"/>
          <w:sz w:val="24"/>
          <w:szCs w:val="24"/>
          <w:lang w:val=""/>
        </w:rPr>
        <w:t>Samtidig brug af andre CNS-depressiva forventes at forstærke virkningen af butorphanol, og sådanne lægemidler bør anvendes med forsigtighed. Der bør anvendes en lavere dosis butorphanol ved samtidig administration af disse stoffer.</w:t>
      </w: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A3CEB">
        <w:rPr>
          <w:b/>
          <w:sz w:val="24"/>
          <w:szCs w:val="24"/>
        </w:rPr>
        <w:t>4.9</w:t>
      </w:r>
      <w:r w:rsidRPr="008A3CEB">
        <w:rPr>
          <w:b/>
          <w:sz w:val="24"/>
          <w:szCs w:val="24"/>
        </w:rPr>
        <w:tab/>
        <w:t>Dosering og indgivelsesmåde</w:t>
      </w:r>
    </w:p>
    <w:p w:rsidR="00570C25" w:rsidRDefault="00570C25" w:rsidP="00570C25">
      <w:pPr>
        <w:ind w:left="851"/>
        <w:rPr>
          <w:sz w:val="24"/>
          <w:szCs w:val="24"/>
        </w:rPr>
      </w:pPr>
      <w:r>
        <w:rPr>
          <w:sz w:val="24"/>
          <w:szCs w:val="24"/>
          <w:lang w:val=""/>
        </w:rPr>
        <w:t xml:space="preserve">Hund og kat: </w:t>
      </w:r>
      <w:r>
        <w:rPr>
          <w:sz w:val="24"/>
          <w:szCs w:val="24"/>
          <w:lang w:val=""/>
        </w:rPr>
        <w:tab/>
        <w:t>Intravenøs, intramuskulær og subkutan anvendelse.</w:t>
      </w:r>
    </w:p>
    <w:p w:rsidR="00570C25" w:rsidRDefault="00570C25" w:rsidP="00570C25">
      <w:pPr>
        <w:pStyle w:val="Default"/>
        <w:ind w:left="851"/>
        <w:rPr>
          <w:lang w:val="da-DK"/>
        </w:rPr>
      </w:pPr>
      <w:r>
        <w:rPr>
          <w:lang w:val=""/>
        </w:rPr>
        <w:t xml:space="preserve">Hest: </w:t>
      </w:r>
      <w:r>
        <w:rPr>
          <w:lang w:val=""/>
        </w:rPr>
        <w:tab/>
        <w:t xml:space="preserve">Intravenøs anvendelse. </w:t>
      </w:r>
    </w:p>
    <w:p w:rsidR="00145194" w:rsidRPr="008A3CEB" w:rsidRDefault="00570C25" w:rsidP="00570C25">
      <w:pPr>
        <w:ind w:left="851"/>
        <w:rPr>
          <w:sz w:val="24"/>
          <w:szCs w:val="24"/>
        </w:rPr>
      </w:pPr>
      <w:r>
        <w:rPr>
          <w:sz w:val="24"/>
          <w:szCs w:val="24"/>
          <w:lang w:val=""/>
        </w:rPr>
        <w:t>Dyrene skal vejes for at fastslå en præcis legemsvægt, før behandlingsdosen beregnes.</w:t>
      </w:r>
    </w:p>
    <w:p w:rsidR="00145194" w:rsidRPr="008A3CEB" w:rsidRDefault="00145194" w:rsidP="00145194">
      <w:pPr>
        <w:ind w:left="851" w:hanging="851"/>
        <w:rPr>
          <w:bCs/>
          <w:sz w:val="24"/>
          <w:szCs w:val="24"/>
        </w:rPr>
      </w:pPr>
    </w:p>
    <w:p w:rsidR="00570C25" w:rsidRDefault="00570C25" w:rsidP="00570C25">
      <w:pPr>
        <w:pStyle w:val="Brdtekstindrykning"/>
        <w:ind w:left="851" w:hanging="851"/>
        <w:jc w:val="both"/>
        <w:rPr>
          <w:b w:val="0"/>
          <w:sz w:val="24"/>
          <w:szCs w:val="24"/>
          <w:u w:val="single"/>
        </w:rPr>
      </w:pPr>
      <w:r>
        <w:rPr>
          <w:b w:val="0"/>
          <w:sz w:val="24"/>
          <w:szCs w:val="24"/>
          <w:u w:val="single"/>
          <w:lang w:val=""/>
        </w:rPr>
        <w:t>Hund</w:t>
      </w:r>
    </w:p>
    <w:p w:rsidR="00570C25" w:rsidRDefault="00570C25" w:rsidP="00570C25">
      <w:pPr>
        <w:pStyle w:val="Brdtekstindrykning"/>
        <w:ind w:left="851" w:hanging="851"/>
        <w:jc w:val="both"/>
        <w:rPr>
          <w:b w:val="0"/>
          <w:i/>
          <w:sz w:val="24"/>
          <w:szCs w:val="24"/>
        </w:rPr>
      </w:pPr>
      <w:r>
        <w:rPr>
          <w:b w:val="0"/>
          <w:i/>
          <w:iCs/>
          <w:sz w:val="24"/>
          <w:szCs w:val="24"/>
          <w:lang w:val=""/>
        </w:rPr>
        <w:t>Til analgesi: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3351"/>
        <w:gridCol w:w="4672"/>
      </w:tblGrid>
      <w:tr w:rsidR="00570C25" w:rsidTr="00570C25">
        <w:tc>
          <w:tcPr>
            <w:tcW w:w="834" w:type="pct"/>
            <w:tcBorders>
              <w:top w:val="single" w:sz="4" w:space="0" w:color="auto"/>
              <w:left w:val="single" w:sz="4" w:space="0" w:color="auto"/>
              <w:bottom w:val="nil"/>
              <w:right w:val="single" w:sz="4" w:space="0" w:color="auto"/>
            </w:tcBorders>
            <w:vAlign w:val="center"/>
            <w:hideMark/>
          </w:tcPr>
          <w:p w:rsidR="00570C25" w:rsidRDefault="00570C25">
            <w:r>
              <w:rPr>
                <w:lang w:val=""/>
              </w:rPr>
              <w:t>Indgivelsesvej</w:t>
            </w:r>
          </w:p>
        </w:tc>
        <w:tc>
          <w:tcPr>
            <w:tcW w:w="1740" w:type="pct"/>
            <w:tcBorders>
              <w:top w:val="single" w:sz="4" w:space="0" w:color="auto"/>
              <w:left w:val="single" w:sz="4" w:space="0" w:color="auto"/>
              <w:bottom w:val="nil"/>
              <w:right w:val="single" w:sz="4" w:space="0" w:color="auto"/>
            </w:tcBorders>
            <w:vAlign w:val="center"/>
            <w:hideMark/>
          </w:tcPr>
          <w:p w:rsidR="00570C25" w:rsidRDefault="00570C25">
            <w:pPr>
              <w:jc w:val="center"/>
            </w:pPr>
            <w:r>
              <w:rPr>
                <w:lang w:val=""/>
              </w:rPr>
              <w:t>Dosis</w:t>
            </w:r>
          </w:p>
          <w:p w:rsidR="00570C25" w:rsidRDefault="00570C25">
            <w:pPr>
              <w:jc w:val="center"/>
            </w:pPr>
            <w:r>
              <w:rPr>
                <w:lang w:val=""/>
              </w:rPr>
              <w:t>butorphanol</w:t>
            </w:r>
          </w:p>
        </w:tc>
        <w:tc>
          <w:tcPr>
            <w:tcW w:w="2425" w:type="pct"/>
            <w:tcBorders>
              <w:top w:val="single" w:sz="4" w:space="0" w:color="auto"/>
              <w:left w:val="single" w:sz="4" w:space="0" w:color="auto"/>
              <w:bottom w:val="nil"/>
              <w:right w:val="single" w:sz="4" w:space="0" w:color="auto"/>
            </w:tcBorders>
            <w:vAlign w:val="center"/>
            <w:hideMark/>
          </w:tcPr>
          <w:p w:rsidR="00570C25" w:rsidRDefault="00570C25">
            <w:pPr>
              <w:jc w:val="center"/>
              <w:rPr>
                <w:b/>
              </w:rPr>
            </w:pPr>
            <w:r>
              <w:rPr>
                <w:b/>
                <w:bCs/>
                <w:lang w:val=""/>
              </w:rPr>
              <w:t>Dosis produkt</w:t>
            </w:r>
          </w:p>
        </w:tc>
      </w:tr>
      <w:tr w:rsidR="00570C25" w:rsidTr="00570C25">
        <w:tc>
          <w:tcPr>
            <w:tcW w:w="834" w:type="pct"/>
            <w:tcBorders>
              <w:top w:val="nil"/>
              <w:left w:val="single" w:sz="2" w:space="0" w:color="auto"/>
              <w:bottom w:val="single" w:sz="4" w:space="0" w:color="auto"/>
              <w:right w:val="single" w:sz="2" w:space="0" w:color="auto"/>
            </w:tcBorders>
            <w:vAlign w:val="center"/>
          </w:tcPr>
          <w:p w:rsidR="00570C25" w:rsidRDefault="00570C25"/>
        </w:tc>
        <w:tc>
          <w:tcPr>
            <w:tcW w:w="1740" w:type="pct"/>
            <w:tcBorders>
              <w:top w:val="nil"/>
              <w:left w:val="single" w:sz="2" w:space="0" w:color="auto"/>
              <w:bottom w:val="single" w:sz="4" w:space="0" w:color="auto"/>
              <w:right w:val="single" w:sz="2" w:space="0" w:color="auto"/>
            </w:tcBorders>
            <w:vAlign w:val="center"/>
          </w:tcPr>
          <w:p w:rsidR="00570C25" w:rsidRDefault="00570C25">
            <w:pPr>
              <w:jc w:val="center"/>
            </w:pPr>
          </w:p>
        </w:tc>
        <w:tc>
          <w:tcPr>
            <w:tcW w:w="2425" w:type="pct"/>
            <w:tcBorders>
              <w:top w:val="nil"/>
              <w:left w:val="single" w:sz="2" w:space="0" w:color="auto"/>
              <w:bottom w:val="single" w:sz="4" w:space="0" w:color="auto"/>
              <w:right w:val="single" w:sz="2" w:space="0" w:color="auto"/>
            </w:tcBorders>
            <w:vAlign w:val="center"/>
          </w:tcPr>
          <w:p w:rsidR="00570C25" w:rsidRDefault="00570C25">
            <w:pPr>
              <w:jc w:val="center"/>
              <w:rPr>
                <w:b/>
              </w:rPr>
            </w:pPr>
          </w:p>
        </w:tc>
      </w:tr>
      <w:tr w:rsidR="00570C25" w:rsidTr="00570C25">
        <w:tc>
          <w:tcPr>
            <w:tcW w:w="834"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pPr>
            <w:r>
              <w:rPr>
                <w:lang w:val=""/>
              </w:rPr>
              <w:t>IV, IM eller SC</w:t>
            </w:r>
          </w:p>
        </w:tc>
        <w:tc>
          <w:tcPr>
            <w:tcW w:w="1740"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pPr>
            <w:r>
              <w:rPr>
                <w:lang w:val=""/>
              </w:rPr>
              <w:t>0,20-0,30 mg/kg legemsvægt</w:t>
            </w:r>
          </w:p>
        </w:tc>
        <w:tc>
          <w:tcPr>
            <w:tcW w:w="2425"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
              </w:rPr>
            </w:pPr>
            <w:r>
              <w:rPr>
                <w:b/>
                <w:bCs/>
                <w:lang w:val=""/>
              </w:rPr>
              <w:t>0,02-0,03 ml/kg legemsvægt</w:t>
            </w:r>
          </w:p>
        </w:tc>
      </w:tr>
      <w:tr w:rsidR="00570C25" w:rsidTr="00570C25">
        <w:tc>
          <w:tcPr>
            <w:tcW w:w="834" w:type="pct"/>
            <w:tcBorders>
              <w:top w:val="single" w:sz="4" w:space="0" w:color="auto"/>
              <w:left w:val="single" w:sz="4" w:space="0" w:color="auto"/>
              <w:bottom w:val="single" w:sz="4" w:space="0" w:color="auto"/>
              <w:right w:val="single" w:sz="4" w:space="0" w:color="auto"/>
            </w:tcBorders>
            <w:vAlign w:val="center"/>
            <w:hideMark/>
          </w:tcPr>
          <w:p w:rsidR="00570C25" w:rsidRDefault="00570C25">
            <w:r>
              <w:rPr>
                <w:lang w:val=""/>
              </w:rPr>
              <w:t>Kommentar</w:t>
            </w:r>
          </w:p>
        </w:tc>
        <w:tc>
          <w:tcPr>
            <w:tcW w:w="4166" w:type="pct"/>
            <w:gridSpan w:val="2"/>
            <w:tcBorders>
              <w:top w:val="single" w:sz="4" w:space="0" w:color="auto"/>
              <w:left w:val="single" w:sz="4" w:space="0" w:color="auto"/>
              <w:bottom w:val="single" w:sz="4" w:space="0" w:color="auto"/>
              <w:right w:val="single" w:sz="4" w:space="0" w:color="auto"/>
            </w:tcBorders>
            <w:vAlign w:val="center"/>
            <w:hideMark/>
          </w:tcPr>
          <w:p w:rsidR="00570C25" w:rsidRDefault="00570C25">
            <w:pPr>
              <w:rPr>
                <w:b/>
              </w:rPr>
            </w:pPr>
            <w:r>
              <w:rPr>
                <w:lang w:val=""/>
              </w:rPr>
              <w:t>IV-injektion skal ske langsomt.</w:t>
            </w:r>
            <w:r>
              <w:rPr>
                <w:b/>
                <w:bCs/>
                <w:lang w:val=""/>
              </w:rPr>
              <w:t xml:space="preserve"> </w:t>
            </w:r>
          </w:p>
          <w:p w:rsidR="00570C25" w:rsidRDefault="00570C25">
            <w:r>
              <w:rPr>
                <w:lang w:val=""/>
              </w:rPr>
              <w:t>Den analgetiske virkning indtræder inden for 15 minutter efter injektionen.</w:t>
            </w:r>
          </w:p>
          <w:p w:rsidR="00570C25" w:rsidRDefault="00570C25">
            <w:r>
              <w:rPr>
                <w:lang w:val=""/>
              </w:rPr>
              <w:t xml:space="preserve">Administrer 15 minutter før, anæstesien afsluttes, for at sikre smertedækning i opvågningsfasen. </w:t>
            </w:r>
          </w:p>
          <w:p w:rsidR="00570C25" w:rsidRDefault="00570C25">
            <w:pPr>
              <w:rPr>
                <w:b/>
              </w:rPr>
            </w:pPr>
            <w:r>
              <w:rPr>
                <w:lang w:val=""/>
              </w:rPr>
              <w:t>Til vedvarende analgesi kan dosen gentages efter behov.</w:t>
            </w:r>
          </w:p>
        </w:tc>
      </w:tr>
    </w:tbl>
    <w:p w:rsidR="00570C25" w:rsidRDefault="00570C25" w:rsidP="00570C25">
      <w:pPr>
        <w:pStyle w:val="Brdtekstindrykning"/>
        <w:ind w:left="851" w:hanging="851"/>
        <w:jc w:val="both"/>
        <w:rPr>
          <w:b w:val="0"/>
          <w:i/>
          <w:sz w:val="24"/>
          <w:szCs w:val="24"/>
          <w:lang w:val="da-DK"/>
        </w:rPr>
      </w:pPr>
    </w:p>
    <w:p w:rsidR="000B2EDA" w:rsidRDefault="000B2EDA">
      <w:pPr>
        <w:rPr>
          <w:i/>
          <w:iCs/>
          <w:sz w:val="24"/>
          <w:szCs w:val="24"/>
          <w:lang w:val=""/>
        </w:rPr>
      </w:pPr>
      <w:r>
        <w:rPr>
          <w:b/>
          <w:i/>
          <w:iCs/>
          <w:sz w:val="24"/>
          <w:szCs w:val="24"/>
          <w:lang w:val=""/>
        </w:rPr>
        <w:br w:type="page"/>
      </w:r>
    </w:p>
    <w:p w:rsidR="00570C25" w:rsidRDefault="00570C25" w:rsidP="00570C25">
      <w:pPr>
        <w:pStyle w:val="Brdtekstindrykning"/>
        <w:ind w:left="851" w:hanging="851"/>
        <w:jc w:val="both"/>
        <w:rPr>
          <w:b w:val="0"/>
          <w:i/>
          <w:sz w:val="24"/>
          <w:szCs w:val="24"/>
          <w:lang w:val="da-DK"/>
        </w:rPr>
      </w:pPr>
      <w:r>
        <w:rPr>
          <w:b w:val="0"/>
          <w:i/>
          <w:iCs/>
          <w:sz w:val="24"/>
          <w:szCs w:val="24"/>
          <w:lang w:val=""/>
        </w:rPr>
        <w:t>Til sedation i kombination med medetomidinhydrochlorid: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2032"/>
        <w:gridCol w:w="2184"/>
        <w:gridCol w:w="3867"/>
      </w:tblGrid>
      <w:tr w:rsidR="00570C25" w:rsidTr="00570C25">
        <w:tc>
          <w:tcPr>
            <w:tcW w:w="635" w:type="pct"/>
            <w:vMerge w:val="restart"/>
            <w:tcBorders>
              <w:top w:val="single" w:sz="4" w:space="0" w:color="auto"/>
              <w:left w:val="single" w:sz="4" w:space="0" w:color="auto"/>
              <w:bottom w:val="single" w:sz="4" w:space="0" w:color="auto"/>
              <w:right w:val="single" w:sz="4" w:space="0" w:color="auto"/>
            </w:tcBorders>
            <w:vAlign w:val="center"/>
            <w:hideMark/>
          </w:tcPr>
          <w:p w:rsidR="00570C25" w:rsidRDefault="00570C25">
            <w:r>
              <w:rPr>
                <w:lang w:val=""/>
              </w:rPr>
              <w:t>Indgivelsesvej</w:t>
            </w:r>
          </w:p>
        </w:tc>
        <w:tc>
          <w:tcPr>
            <w:tcW w:w="1111" w:type="pct"/>
            <w:tcBorders>
              <w:top w:val="single" w:sz="4" w:space="0" w:color="auto"/>
              <w:left w:val="single" w:sz="4" w:space="0" w:color="auto"/>
              <w:bottom w:val="nil"/>
              <w:right w:val="single" w:sz="4" w:space="0" w:color="auto"/>
            </w:tcBorders>
            <w:vAlign w:val="center"/>
            <w:hideMark/>
          </w:tcPr>
          <w:p w:rsidR="00570C25" w:rsidRDefault="00570C25">
            <w:pPr>
              <w:jc w:val="center"/>
            </w:pPr>
            <w:r>
              <w:rPr>
                <w:lang w:val=""/>
              </w:rPr>
              <w:t>Dosis butorphanol</w:t>
            </w:r>
          </w:p>
        </w:tc>
        <w:tc>
          <w:tcPr>
            <w:tcW w:w="1190" w:type="pct"/>
            <w:tcBorders>
              <w:top w:val="single" w:sz="4" w:space="0" w:color="auto"/>
              <w:left w:val="single" w:sz="4" w:space="0" w:color="auto"/>
              <w:bottom w:val="nil"/>
              <w:right w:val="single" w:sz="4" w:space="0" w:color="auto"/>
            </w:tcBorders>
            <w:vAlign w:val="center"/>
            <w:hideMark/>
          </w:tcPr>
          <w:p w:rsidR="00570C25" w:rsidRDefault="00570C25">
            <w:pPr>
              <w:jc w:val="center"/>
              <w:rPr>
                <w:b/>
              </w:rPr>
            </w:pPr>
            <w:r>
              <w:rPr>
                <w:b/>
                <w:bCs/>
                <w:lang w:val=""/>
              </w:rPr>
              <w:t>Dosis produkt</w:t>
            </w:r>
          </w:p>
        </w:tc>
        <w:tc>
          <w:tcPr>
            <w:tcW w:w="2063" w:type="pct"/>
            <w:tcBorders>
              <w:top w:val="single" w:sz="4" w:space="0" w:color="auto"/>
              <w:left w:val="single" w:sz="4" w:space="0" w:color="auto"/>
              <w:bottom w:val="nil"/>
              <w:right w:val="single" w:sz="4" w:space="0" w:color="auto"/>
            </w:tcBorders>
            <w:vAlign w:val="center"/>
            <w:hideMark/>
          </w:tcPr>
          <w:p w:rsidR="00570C25" w:rsidRDefault="00570C25">
            <w:pPr>
              <w:jc w:val="center"/>
            </w:pPr>
            <w:r>
              <w:rPr>
                <w:lang w:val=""/>
              </w:rPr>
              <w:t>Dosis</w:t>
            </w:r>
          </w:p>
          <w:p w:rsidR="00570C25" w:rsidRDefault="00570C25">
            <w:pPr>
              <w:jc w:val="center"/>
            </w:pPr>
            <w:r>
              <w:rPr>
                <w:lang w:val=""/>
              </w:rPr>
              <w:t>medetomidinhydrochlorid</w:t>
            </w:r>
          </w:p>
        </w:tc>
      </w:tr>
      <w:tr w:rsidR="00570C25" w:rsidTr="00570C25">
        <w:tc>
          <w:tcPr>
            <w:tcW w:w="0" w:type="auto"/>
            <w:vMerge/>
            <w:tcBorders>
              <w:top w:val="single" w:sz="4" w:space="0" w:color="auto"/>
              <w:left w:val="single" w:sz="4" w:space="0" w:color="auto"/>
              <w:bottom w:val="single" w:sz="4" w:space="0" w:color="auto"/>
              <w:right w:val="single" w:sz="4" w:space="0" w:color="auto"/>
            </w:tcBorders>
            <w:vAlign w:val="center"/>
            <w:hideMark/>
          </w:tcPr>
          <w:p w:rsidR="00570C25" w:rsidRDefault="00570C25"/>
        </w:tc>
        <w:tc>
          <w:tcPr>
            <w:tcW w:w="1111" w:type="pct"/>
            <w:tcBorders>
              <w:top w:val="nil"/>
              <w:left w:val="single" w:sz="4" w:space="0" w:color="auto"/>
              <w:bottom w:val="single" w:sz="4" w:space="0" w:color="auto"/>
              <w:right w:val="single" w:sz="4" w:space="0" w:color="auto"/>
            </w:tcBorders>
            <w:vAlign w:val="center"/>
          </w:tcPr>
          <w:p w:rsidR="00570C25" w:rsidRDefault="00570C25">
            <w:pPr>
              <w:jc w:val="center"/>
              <w:rPr>
                <w:bCs/>
              </w:rPr>
            </w:pPr>
          </w:p>
        </w:tc>
        <w:tc>
          <w:tcPr>
            <w:tcW w:w="1190" w:type="pct"/>
            <w:tcBorders>
              <w:top w:val="nil"/>
              <w:left w:val="single" w:sz="4" w:space="0" w:color="auto"/>
              <w:bottom w:val="single" w:sz="4" w:space="0" w:color="auto"/>
              <w:right w:val="single" w:sz="4" w:space="0" w:color="auto"/>
            </w:tcBorders>
            <w:vAlign w:val="center"/>
          </w:tcPr>
          <w:p w:rsidR="00570C25" w:rsidRDefault="00570C25">
            <w:pPr>
              <w:jc w:val="center"/>
              <w:rPr>
                <w:b/>
                <w:bCs/>
              </w:rPr>
            </w:pPr>
          </w:p>
        </w:tc>
        <w:tc>
          <w:tcPr>
            <w:tcW w:w="2063" w:type="pct"/>
            <w:tcBorders>
              <w:top w:val="nil"/>
              <w:left w:val="single" w:sz="4" w:space="0" w:color="auto"/>
              <w:bottom w:val="single" w:sz="4" w:space="0" w:color="auto"/>
              <w:right w:val="single" w:sz="4" w:space="0" w:color="auto"/>
            </w:tcBorders>
            <w:vAlign w:val="center"/>
          </w:tcPr>
          <w:p w:rsidR="00570C25" w:rsidRDefault="00570C25">
            <w:pPr>
              <w:jc w:val="center"/>
              <w:rPr>
                <w:bCs/>
              </w:rPr>
            </w:pPr>
          </w:p>
        </w:tc>
      </w:tr>
      <w:tr w:rsidR="00570C25" w:rsidTr="00570C25">
        <w:tc>
          <w:tcPr>
            <w:tcW w:w="635"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Cs/>
              </w:rPr>
            </w:pPr>
            <w:r>
              <w:rPr>
                <w:lang w:val=""/>
              </w:rPr>
              <w:t>IM eller</w:t>
            </w:r>
          </w:p>
          <w:p w:rsidR="00570C25" w:rsidRDefault="00570C25">
            <w:pPr>
              <w:jc w:val="center"/>
              <w:rPr>
                <w:bCs/>
              </w:rPr>
            </w:pPr>
            <w:r>
              <w:rPr>
                <w:lang w:val=""/>
              </w:rPr>
              <w:t>IV</w:t>
            </w:r>
          </w:p>
        </w:tc>
        <w:tc>
          <w:tcPr>
            <w:tcW w:w="1111"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Cs/>
              </w:rPr>
            </w:pPr>
            <w:r>
              <w:rPr>
                <w:lang w:val=""/>
              </w:rPr>
              <w:t>0,1 mg/kg legemsvægt</w:t>
            </w:r>
          </w:p>
        </w:tc>
        <w:tc>
          <w:tcPr>
            <w:tcW w:w="1190"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
                <w:bCs/>
              </w:rPr>
            </w:pPr>
            <w:r>
              <w:rPr>
                <w:b/>
                <w:bCs/>
                <w:lang w:val=""/>
              </w:rPr>
              <w:t>0,01 ml/kg legemsvægt</w:t>
            </w:r>
          </w:p>
        </w:tc>
        <w:tc>
          <w:tcPr>
            <w:tcW w:w="2063"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Cs/>
              </w:rPr>
            </w:pPr>
            <w:r>
              <w:rPr>
                <w:lang w:val=""/>
              </w:rPr>
              <w:t>0,01*-0,025**mg/kg legemsvægt</w:t>
            </w:r>
          </w:p>
        </w:tc>
      </w:tr>
      <w:tr w:rsidR="00570C25" w:rsidTr="00570C25">
        <w:tc>
          <w:tcPr>
            <w:tcW w:w="635" w:type="pct"/>
            <w:tcBorders>
              <w:top w:val="single" w:sz="4" w:space="0" w:color="auto"/>
              <w:left w:val="single" w:sz="4" w:space="0" w:color="auto"/>
              <w:bottom w:val="single" w:sz="4" w:space="0" w:color="auto"/>
              <w:right w:val="single" w:sz="4" w:space="0" w:color="auto"/>
            </w:tcBorders>
            <w:vAlign w:val="center"/>
            <w:hideMark/>
          </w:tcPr>
          <w:p w:rsidR="00570C25" w:rsidRDefault="00570C25">
            <w:r>
              <w:rPr>
                <w:lang w:val=""/>
              </w:rPr>
              <w:t>Kommentar</w:t>
            </w:r>
          </w:p>
        </w:tc>
        <w:tc>
          <w:tcPr>
            <w:tcW w:w="4365" w:type="pct"/>
            <w:gridSpan w:val="3"/>
            <w:tcBorders>
              <w:top w:val="single" w:sz="4" w:space="0" w:color="auto"/>
              <w:left w:val="single" w:sz="4" w:space="0" w:color="auto"/>
              <w:bottom w:val="single" w:sz="4" w:space="0" w:color="auto"/>
              <w:right w:val="single" w:sz="4" w:space="0" w:color="auto"/>
            </w:tcBorders>
            <w:vAlign w:val="center"/>
            <w:hideMark/>
          </w:tcPr>
          <w:p w:rsidR="00570C25" w:rsidRDefault="00570C25">
            <w:r>
              <w:rPr>
                <w:lang w:val=""/>
              </w:rPr>
              <w:t>Afsæt 20 minutter til udvikling af dyb sedation, før indgrebet indledes.</w:t>
            </w:r>
          </w:p>
          <w:p w:rsidR="00570C25" w:rsidRDefault="00570C25">
            <w:r>
              <w:rPr>
                <w:lang w:val=""/>
              </w:rPr>
              <w:t>Når forligelighed er accepteret, kan produkter med medetomidin og butorphanol kombineres og administreres i samme sprøjte (se pkt. 6.2).</w:t>
            </w:r>
          </w:p>
        </w:tc>
      </w:tr>
    </w:tbl>
    <w:p w:rsidR="00570C25" w:rsidRDefault="00570C25" w:rsidP="00570C25">
      <w:pPr>
        <w:pStyle w:val="Brdtekstindrykning"/>
        <w:ind w:left="851" w:hanging="851"/>
        <w:jc w:val="both"/>
        <w:rPr>
          <w:b w:val="0"/>
          <w:sz w:val="24"/>
          <w:szCs w:val="24"/>
          <w:lang w:val="da-DK"/>
        </w:rPr>
      </w:pPr>
    </w:p>
    <w:p w:rsidR="00570C25" w:rsidRDefault="00570C25" w:rsidP="00570C25">
      <w:pPr>
        <w:pStyle w:val="Brdtekstindrykning"/>
        <w:ind w:left="0" w:firstLine="0"/>
        <w:rPr>
          <w:b w:val="0"/>
          <w:sz w:val="24"/>
          <w:szCs w:val="24"/>
          <w:lang w:val="da-DK"/>
        </w:rPr>
      </w:pPr>
      <w:r>
        <w:rPr>
          <w:b w:val="0"/>
          <w:sz w:val="24"/>
          <w:szCs w:val="24"/>
          <w:lang w:val=""/>
        </w:rPr>
        <w:t>*Afhænger af den ønskede sedationsgrad</w:t>
      </w:r>
      <w:r>
        <w:rPr>
          <w:bCs/>
          <w:sz w:val="24"/>
          <w:szCs w:val="24"/>
          <w:lang w:val=""/>
        </w:rPr>
        <w:t xml:space="preserve">: </w:t>
      </w:r>
      <w:r>
        <w:rPr>
          <w:b w:val="0"/>
          <w:sz w:val="24"/>
          <w:szCs w:val="24"/>
          <w:lang w:val=""/>
        </w:rPr>
        <w:t>0,01 mg/kg: Til sedation og som præmedicinering til barbituratanæstesi</w:t>
      </w:r>
    </w:p>
    <w:p w:rsidR="00570C25" w:rsidRDefault="00570C25" w:rsidP="00570C25">
      <w:pPr>
        <w:pStyle w:val="Brdtekstindrykning"/>
        <w:ind w:left="0" w:firstLine="0"/>
        <w:rPr>
          <w:b w:val="0"/>
          <w:sz w:val="24"/>
          <w:szCs w:val="24"/>
          <w:lang w:val="da-DK"/>
        </w:rPr>
      </w:pPr>
      <w:r>
        <w:rPr>
          <w:b w:val="0"/>
          <w:sz w:val="24"/>
          <w:szCs w:val="24"/>
          <w:lang w:val=""/>
        </w:rPr>
        <w:t>**Afhænger af den ønskede sedationsgrad 0,025 mg/kg</w:t>
      </w:r>
      <w:r>
        <w:rPr>
          <w:bCs/>
          <w:sz w:val="24"/>
          <w:szCs w:val="24"/>
          <w:lang w:val=""/>
        </w:rPr>
        <w:t>:</w:t>
      </w:r>
      <w:r>
        <w:rPr>
          <w:b w:val="0"/>
          <w:sz w:val="24"/>
          <w:szCs w:val="24"/>
          <w:lang w:val=""/>
        </w:rPr>
        <w:t xml:space="preserve"> Til dyb sedation og som præmedicinering til ketaminanæstesi</w:t>
      </w:r>
    </w:p>
    <w:p w:rsidR="00570C25" w:rsidRDefault="00570C25" w:rsidP="00570C25">
      <w:pPr>
        <w:pStyle w:val="Brdtekstindrykning"/>
        <w:ind w:left="851" w:hanging="851"/>
        <w:rPr>
          <w:b w:val="0"/>
          <w:sz w:val="24"/>
          <w:szCs w:val="24"/>
          <w:lang w:val="da-DK"/>
        </w:rPr>
      </w:pPr>
    </w:p>
    <w:p w:rsidR="00570C25" w:rsidRDefault="00570C25" w:rsidP="00570C25">
      <w:pPr>
        <w:pStyle w:val="Brdtekstindrykning"/>
        <w:ind w:left="851" w:hanging="851"/>
        <w:jc w:val="both"/>
        <w:rPr>
          <w:b w:val="0"/>
          <w:i/>
          <w:sz w:val="24"/>
          <w:szCs w:val="24"/>
          <w:lang w:val="da-DK"/>
        </w:rPr>
      </w:pPr>
      <w:r>
        <w:rPr>
          <w:b w:val="0"/>
          <w:i/>
          <w:iCs/>
          <w:sz w:val="24"/>
          <w:szCs w:val="24"/>
          <w:lang w:val=""/>
        </w:rPr>
        <w:t>Til brug som præmedicinering/præanæstetikum:</w:t>
      </w:r>
    </w:p>
    <w:p w:rsidR="00570C25" w:rsidRDefault="00570C25" w:rsidP="00570C25">
      <w:pPr>
        <w:pStyle w:val="Brdtekstindrykning"/>
        <w:ind w:left="851" w:hanging="851"/>
        <w:jc w:val="both"/>
        <w:rPr>
          <w:b w:val="0"/>
          <w:i/>
          <w:sz w:val="24"/>
          <w:szCs w:val="24"/>
          <w:lang w:val="da-DK"/>
        </w:rPr>
      </w:pPr>
    </w:p>
    <w:p w:rsidR="00570C25" w:rsidRDefault="00570C25" w:rsidP="00570C25">
      <w:pPr>
        <w:ind w:left="851" w:hanging="851"/>
        <w:rPr>
          <w:color w:val="000000"/>
          <w:sz w:val="24"/>
          <w:szCs w:val="24"/>
        </w:rPr>
      </w:pPr>
      <w:r>
        <w:rPr>
          <w:color w:val="000000"/>
          <w:sz w:val="24"/>
          <w:szCs w:val="24"/>
          <w:lang w:val=""/>
        </w:rPr>
        <w:t xml:space="preserve">- </w:t>
      </w:r>
      <w:r>
        <w:rPr>
          <w:color w:val="000000"/>
          <w:sz w:val="24"/>
          <w:szCs w:val="24"/>
          <w:u w:val="single"/>
          <w:lang w:val=""/>
        </w:rPr>
        <w:t>Når produktet anvendes som det eneste stof</w:t>
      </w:r>
      <w:r>
        <w:rPr>
          <w:color w:val="000000"/>
          <w:sz w:val="24"/>
          <w:szCs w:val="24"/>
          <w:lang w:val=""/>
        </w:rPr>
        <w:t>:</w:t>
      </w:r>
    </w:p>
    <w:p w:rsidR="00570C25" w:rsidRDefault="00570C25" w:rsidP="00570C25">
      <w:pPr>
        <w:ind w:left="851" w:hanging="851"/>
        <w:rPr>
          <w:bCs/>
          <w:color w:val="000000"/>
          <w:sz w:val="24"/>
          <w:szCs w:val="24"/>
        </w:rPr>
      </w:pPr>
      <w:r>
        <w:rPr>
          <w:color w:val="000000"/>
          <w:sz w:val="24"/>
          <w:szCs w:val="24"/>
          <w:lang w:va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3324"/>
        <w:gridCol w:w="4698"/>
      </w:tblGrid>
      <w:tr w:rsidR="00570C25" w:rsidTr="00570C25">
        <w:tc>
          <w:tcPr>
            <w:tcW w:w="834" w:type="pct"/>
            <w:tcBorders>
              <w:top w:val="single" w:sz="4" w:space="0" w:color="auto"/>
              <w:left w:val="single" w:sz="4" w:space="0" w:color="auto"/>
              <w:bottom w:val="single" w:sz="4" w:space="0" w:color="auto"/>
              <w:right w:val="single" w:sz="4" w:space="0" w:color="auto"/>
            </w:tcBorders>
            <w:vAlign w:val="center"/>
            <w:hideMark/>
          </w:tcPr>
          <w:p w:rsidR="00570C25" w:rsidRDefault="00570C25">
            <w:pPr>
              <w:rPr>
                <w:bCs/>
              </w:rPr>
            </w:pPr>
            <w:r>
              <w:rPr>
                <w:lang w:val=""/>
              </w:rPr>
              <w:t>Indgivelsesvej</w:t>
            </w:r>
          </w:p>
        </w:tc>
        <w:tc>
          <w:tcPr>
            <w:tcW w:w="1726"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
                <w:bCs/>
              </w:rPr>
            </w:pPr>
            <w:r>
              <w:rPr>
                <w:lang w:val=""/>
              </w:rPr>
              <w:t>Dosis butorphanol</w:t>
            </w:r>
          </w:p>
        </w:tc>
        <w:tc>
          <w:tcPr>
            <w:tcW w:w="2440"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Cs/>
              </w:rPr>
            </w:pPr>
            <w:r>
              <w:rPr>
                <w:b/>
                <w:bCs/>
                <w:lang w:val=""/>
              </w:rPr>
              <w:t>Dosis produkt</w:t>
            </w:r>
          </w:p>
        </w:tc>
      </w:tr>
      <w:tr w:rsidR="00570C25" w:rsidTr="00570C25">
        <w:tc>
          <w:tcPr>
            <w:tcW w:w="834"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Cs/>
              </w:rPr>
            </w:pPr>
            <w:r>
              <w:rPr>
                <w:lang w:val=""/>
              </w:rPr>
              <w:t>IV, IM eller SC</w:t>
            </w:r>
          </w:p>
        </w:tc>
        <w:tc>
          <w:tcPr>
            <w:tcW w:w="1726"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
                <w:bCs/>
              </w:rPr>
            </w:pPr>
            <w:r>
              <w:rPr>
                <w:lang w:val=""/>
              </w:rPr>
              <w:t>0,1-0,20 mg/kg legemsvægt</w:t>
            </w:r>
          </w:p>
        </w:tc>
        <w:tc>
          <w:tcPr>
            <w:tcW w:w="2440" w:type="pct"/>
            <w:tcBorders>
              <w:top w:val="single" w:sz="4" w:space="0" w:color="auto"/>
              <w:left w:val="single" w:sz="4" w:space="0" w:color="auto"/>
              <w:bottom w:val="single" w:sz="4" w:space="0" w:color="auto"/>
              <w:right w:val="single" w:sz="4" w:space="0" w:color="auto"/>
            </w:tcBorders>
            <w:vAlign w:val="center"/>
          </w:tcPr>
          <w:p w:rsidR="00570C25" w:rsidRDefault="00570C25">
            <w:pPr>
              <w:jc w:val="center"/>
              <w:rPr>
                <w:b/>
              </w:rPr>
            </w:pPr>
          </w:p>
          <w:p w:rsidR="00570C25" w:rsidRDefault="00570C25">
            <w:pPr>
              <w:jc w:val="center"/>
              <w:rPr>
                <w:b/>
              </w:rPr>
            </w:pPr>
            <w:r>
              <w:rPr>
                <w:b/>
                <w:bCs/>
                <w:lang w:val=""/>
              </w:rPr>
              <w:t>0,01-0,02 ml/kg legemsvægt</w:t>
            </w:r>
          </w:p>
          <w:p w:rsidR="00570C25" w:rsidRDefault="00570C25">
            <w:pPr>
              <w:jc w:val="center"/>
              <w:rPr>
                <w:bCs/>
              </w:rPr>
            </w:pPr>
          </w:p>
        </w:tc>
      </w:tr>
      <w:tr w:rsidR="00570C25" w:rsidTr="00570C25">
        <w:tc>
          <w:tcPr>
            <w:tcW w:w="834" w:type="pct"/>
            <w:tcBorders>
              <w:top w:val="single" w:sz="4" w:space="0" w:color="auto"/>
              <w:left w:val="single" w:sz="4" w:space="0" w:color="auto"/>
              <w:bottom w:val="single" w:sz="4" w:space="0" w:color="auto"/>
              <w:right w:val="single" w:sz="4" w:space="0" w:color="auto"/>
            </w:tcBorders>
            <w:vAlign w:val="center"/>
            <w:hideMark/>
          </w:tcPr>
          <w:p w:rsidR="00570C25" w:rsidRDefault="00570C25">
            <w:r>
              <w:rPr>
                <w:lang w:val=""/>
              </w:rPr>
              <w:t>Kommentar</w:t>
            </w:r>
          </w:p>
        </w:tc>
        <w:tc>
          <w:tcPr>
            <w:tcW w:w="4166" w:type="pct"/>
            <w:gridSpan w:val="2"/>
            <w:tcBorders>
              <w:top w:val="single" w:sz="4" w:space="0" w:color="auto"/>
              <w:left w:val="single" w:sz="4" w:space="0" w:color="auto"/>
              <w:bottom w:val="single" w:sz="4" w:space="0" w:color="auto"/>
              <w:right w:val="single" w:sz="4" w:space="0" w:color="auto"/>
            </w:tcBorders>
            <w:vAlign w:val="center"/>
            <w:hideMark/>
          </w:tcPr>
          <w:p w:rsidR="00570C25" w:rsidRDefault="00570C25">
            <w:pPr>
              <w:rPr>
                <w:b/>
              </w:rPr>
            </w:pPr>
            <w:r>
              <w:rPr>
                <w:lang w:val=""/>
              </w:rPr>
              <w:t>15 minutter før induktion</w:t>
            </w:r>
          </w:p>
        </w:tc>
      </w:tr>
    </w:tbl>
    <w:p w:rsidR="00570C25" w:rsidRDefault="00570C25" w:rsidP="00570C25">
      <w:pPr>
        <w:ind w:left="851" w:hanging="851"/>
        <w:rPr>
          <w:bCs/>
          <w:color w:val="000000"/>
          <w:sz w:val="24"/>
          <w:szCs w:val="24"/>
          <w:lang w:val="en-US"/>
        </w:rPr>
      </w:pPr>
    </w:p>
    <w:p w:rsidR="00570C25" w:rsidRDefault="00570C25" w:rsidP="00570C25">
      <w:pPr>
        <w:ind w:left="851" w:hanging="851"/>
        <w:rPr>
          <w:color w:val="000000"/>
          <w:sz w:val="24"/>
          <w:szCs w:val="24"/>
        </w:rPr>
      </w:pPr>
      <w:r w:rsidRPr="000B2EDA">
        <w:rPr>
          <w:color w:val="000000"/>
          <w:sz w:val="24"/>
          <w:szCs w:val="24"/>
          <w:lang w:val=""/>
        </w:rPr>
        <w:t xml:space="preserve">- </w:t>
      </w:r>
      <w:r>
        <w:rPr>
          <w:color w:val="000000"/>
          <w:sz w:val="24"/>
          <w:szCs w:val="24"/>
          <w:u w:val="single"/>
          <w:lang w:val=""/>
        </w:rPr>
        <w:t>Når produktet anvendes sammen med 0,02 mg/kg acepromazin</w:t>
      </w:r>
      <w:r>
        <w:rPr>
          <w:color w:val="000000"/>
          <w:sz w:val="24"/>
          <w:szCs w:val="24"/>
          <w:lang w:val=""/>
        </w:rPr>
        <w:t>:</w:t>
      </w:r>
    </w:p>
    <w:p w:rsidR="00570C25" w:rsidRDefault="00570C25" w:rsidP="00570C25">
      <w:pPr>
        <w:ind w:left="851" w:hanging="851"/>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3349"/>
        <w:gridCol w:w="4673"/>
      </w:tblGrid>
      <w:tr w:rsidR="00570C25" w:rsidTr="00570C25">
        <w:tc>
          <w:tcPr>
            <w:tcW w:w="834" w:type="pct"/>
            <w:tcBorders>
              <w:top w:val="single" w:sz="4" w:space="0" w:color="auto"/>
              <w:left w:val="single" w:sz="4" w:space="0" w:color="auto"/>
              <w:bottom w:val="single" w:sz="4" w:space="0" w:color="auto"/>
              <w:right w:val="single" w:sz="4" w:space="0" w:color="auto"/>
            </w:tcBorders>
            <w:vAlign w:val="center"/>
            <w:hideMark/>
          </w:tcPr>
          <w:p w:rsidR="00570C25" w:rsidRDefault="00570C25">
            <w:pPr>
              <w:rPr>
                <w:bCs/>
              </w:rPr>
            </w:pPr>
            <w:r>
              <w:rPr>
                <w:lang w:val=""/>
              </w:rPr>
              <w:t>Indgivelsesvej</w:t>
            </w:r>
          </w:p>
        </w:tc>
        <w:tc>
          <w:tcPr>
            <w:tcW w:w="1739"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
                <w:bCs/>
              </w:rPr>
            </w:pPr>
            <w:r>
              <w:rPr>
                <w:lang w:val=""/>
              </w:rPr>
              <w:t>Dosis butorphanol</w:t>
            </w:r>
          </w:p>
        </w:tc>
        <w:tc>
          <w:tcPr>
            <w:tcW w:w="2427"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Cs/>
              </w:rPr>
            </w:pPr>
            <w:r>
              <w:rPr>
                <w:b/>
                <w:bCs/>
                <w:lang w:val=""/>
              </w:rPr>
              <w:t>Dosis produkt</w:t>
            </w:r>
          </w:p>
        </w:tc>
      </w:tr>
      <w:tr w:rsidR="00570C25" w:rsidTr="00570C25">
        <w:tc>
          <w:tcPr>
            <w:tcW w:w="834"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Cs/>
              </w:rPr>
            </w:pPr>
            <w:r>
              <w:rPr>
                <w:lang w:val=""/>
              </w:rPr>
              <w:t>IV eller IM</w:t>
            </w:r>
          </w:p>
        </w:tc>
        <w:tc>
          <w:tcPr>
            <w:tcW w:w="1739" w:type="pct"/>
            <w:tcBorders>
              <w:top w:val="single" w:sz="4" w:space="0" w:color="auto"/>
              <w:left w:val="single" w:sz="4" w:space="0" w:color="auto"/>
              <w:bottom w:val="single" w:sz="4" w:space="0" w:color="auto"/>
              <w:right w:val="single" w:sz="4" w:space="0" w:color="auto"/>
            </w:tcBorders>
            <w:vAlign w:val="center"/>
          </w:tcPr>
          <w:p w:rsidR="00570C25" w:rsidRDefault="00570C25">
            <w:pPr>
              <w:jc w:val="center"/>
            </w:pPr>
          </w:p>
          <w:p w:rsidR="00570C25" w:rsidRDefault="00570C25">
            <w:pPr>
              <w:jc w:val="center"/>
            </w:pPr>
            <w:r>
              <w:rPr>
                <w:lang w:val=""/>
              </w:rPr>
              <w:t>0,10 mg/kg legemsvægt*</w:t>
            </w:r>
          </w:p>
          <w:p w:rsidR="00570C25" w:rsidRDefault="00570C25">
            <w:pPr>
              <w:jc w:val="center"/>
              <w:rPr>
                <w:b/>
                <w:bCs/>
              </w:rPr>
            </w:pPr>
          </w:p>
        </w:tc>
        <w:tc>
          <w:tcPr>
            <w:tcW w:w="2427"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Cs/>
              </w:rPr>
            </w:pPr>
            <w:r>
              <w:rPr>
                <w:b/>
                <w:bCs/>
                <w:lang w:val=""/>
              </w:rPr>
              <w:t>0,01 ml/kg legemsvægt*</w:t>
            </w:r>
          </w:p>
        </w:tc>
      </w:tr>
      <w:tr w:rsidR="00570C25" w:rsidTr="00570C25">
        <w:tc>
          <w:tcPr>
            <w:tcW w:w="834" w:type="pct"/>
            <w:tcBorders>
              <w:top w:val="single" w:sz="4" w:space="0" w:color="auto"/>
              <w:left w:val="single" w:sz="4" w:space="0" w:color="auto"/>
              <w:bottom w:val="single" w:sz="4" w:space="0" w:color="auto"/>
              <w:right w:val="single" w:sz="4" w:space="0" w:color="auto"/>
            </w:tcBorders>
            <w:vAlign w:val="center"/>
            <w:hideMark/>
          </w:tcPr>
          <w:p w:rsidR="00570C25" w:rsidRDefault="00570C25">
            <w:r>
              <w:rPr>
                <w:lang w:val=""/>
              </w:rPr>
              <w:t>Kommentar</w:t>
            </w:r>
          </w:p>
        </w:tc>
        <w:tc>
          <w:tcPr>
            <w:tcW w:w="4166" w:type="pct"/>
            <w:gridSpan w:val="2"/>
            <w:tcBorders>
              <w:top w:val="single" w:sz="4" w:space="0" w:color="auto"/>
              <w:left w:val="single" w:sz="4" w:space="0" w:color="auto"/>
              <w:bottom w:val="single" w:sz="4" w:space="0" w:color="auto"/>
              <w:right w:val="single" w:sz="4" w:space="0" w:color="auto"/>
            </w:tcBorders>
            <w:vAlign w:val="center"/>
            <w:hideMark/>
          </w:tcPr>
          <w:p w:rsidR="00570C25" w:rsidRDefault="00570C25">
            <w:r>
              <w:rPr>
                <w:lang w:val=""/>
              </w:rPr>
              <w:t>Der går mindst 20 minutter, før virkningen indtræder, men tiden mellem præmedicinering og induktion er fleksibel fra 20 til 120 minutter.</w:t>
            </w:r>
          </w:p>
          <w:p w:rsidR="00570C25" w:rsidRDefault="00570C25">
            <w:pPr>
              <w:rPr>
                <w:b/>
              </w:rPr>
            </w:pPr>
            <w:r>
              <w:rPr>
                <w:lang w:val=""/>
              </w:rPr>
              <w:t>Når forligelighed er accepteret, kan produkter med butorphanol og acepromazin kombineres og administreres i samme sprøjte (se pkt. 6.2).</w:t>
            </w:r>
          </w:p>
        </w:tc>
      </w:tr>
    </w:tbl>
    <w:p w:rsidR="00570C25" w:rsidRDefault="00570C25" w:rsidP="00570C25">
      <w:pPr>
        <w:rPr>
          <w:bCs/>
          <w:color w:val="000000"/>
          <w:sz w:val="24"/>
          <w:szCs w:val="24"/>
        </w:rPr>
      </w:pPr>
      <w:r>
        <w:rPr>
          <w:color w:val="000000"/>
          <w:sz w:val="24"/>
          <w:szCs w:val="24"/>
          <w:lang w:val=""/>
        </w:rPr>
        <w:t>*Dosis kan øges til 0,2 mg/kg (svarende til 0,02 ml/kg), hvis dyret allerede har smerter før indgrebet, eller hvis der kræves et højere niveau af analgesi under indgrebet.</w:t>
      </w:r>
    </w:p>
    <w:p w:rsidR="00570C25" w:rsidRDefault="00570C25" w:rsidP="00570C25">
      <w:pPr>
        <w:widowControl w:val="0"/>
        <w:ind w:left="851" w:hanging="851"/>
        <w:rPr>
          <w:snapToGrid w:val="0"/>
          <w:sz w:val="24"/>
          <w:szCs w:val="24"/>
        </w:rPr>
      </w:pPr>
    </w:p>
    <w:p w:rsidR="00570C25" w:rsidRDefault="00570C25" w:rsidP="00570C25">
      <w:pPr>
        <w:pStyle w:val="Brdtekstindrykning"/>
        <w:ind w:left="851" w:hanging="851"/>
        <w:jc w:val="both"/>
        <w:rPr>
          <w:b w:val="0"/>
          <w:i/>
          <w:sz w:val="24"/>
          <w:szCs w:val="24"/>
          <w:lang w:val="da-DK"/>
        </w:rPr>
      </w:pPr>
      <w:r>
        <w:rPr>
          <w:b w:val="0"/>
          <w:i/>
          <w:iCs/>
          <w:sz w:val="24"/>
          <w:szCs w:val="24"/>
          <w:lang w:val=""/>
        </w:rPr>
        <w:t>Til anæstesi i kombination med medetomidin og ketamin: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2021"/>
        <w:gridCol w:w="1870"/>
        <w:gridCol w:w="1868"/>
        <w:gridCol w:w="2324"/>
      </w:tblGrid>
      <w:tr w:rsidR="00570C25" w:rsidTr="00570C25">
        <w:tc>
          <w:tcPr>
            <w:tcW w:w="624" w:type="pct"/>
            <w:vMerge w:val="restart"/>
            <w:tcBorders>
              <w:top w:val="single" w:sz="4" w:space="0" w:color="auto"/>
              <w:left w:val="single" w:sz="4" w:space="0" w:color="auto"/>
              <w:bottom w:val="single" w:sz="4" w:space="0" w:color="auto"/>
              <w:right w:val="single" w:sz="4" w:space="0" w:color="auto"/>
            </w:tcBorders>
            <w:vAlign w:val="center"/>
            <w:hideMark/>
          </w:tcPr>
          <w:p w:rsidR="00570C25" w:rsidRDefault="00570C25">
            <w:pPr>
              <w:rPr>
                <w:lang w:val="en-US"/>
              </w:rPr>
            </w:pPr>
            <w:r>
              <w:rPr>
                <w:lang w:val=""/>
              </w:rPr>
              <w:t>Indgivelsesvej</w:t>
            </w:r>
          </w:p>
        </w:tc>
        <w:tc>
          <w:tcPr>
            <w:tcW w:w="1094" w:type="pct"/>
            <w:tcBorders>
              <w:top w:val="single" w:sz="4" w:space="0" w:color="auto"/>
              <w:left w:val="single" w:sz="4" w:space="0" w:color="auto"/>
              <w:bottom w:val="nil"/>
              <w:right w:val="single" w:sz="4" w:space="0" w:color="auto"/>
            </w:tcBorders>
            <w:vAlign w:val="center"/>
            <w:hideMark/>
          </w:tcPr>
          <w:p w:rsidR="00570C25" w:rsidRDefault="00570C25">
            <w:pPr>
              <w:jc w:val="center"/>
            </w:pPr>
            <w:r>
              <w:rPr>
                <w:lang w:val=""/>
              </w:rPr>
              <w:t>Dosis butorphanol</w:t>
            </w:r>
          </w:p>
        </w:tc>
        <w:tc>
          <w:tcPr>
            <w:tcW w:w="1016" w:type="pct"/>
            <w:tcBorders>
              <w:top w:val="single" w:sz="4" w:space="0" w:color="auto"/>
              <w:left w:val="single" w:sz="4" w:space="0" w:color="auto"/>
              <w:bottom w:val="nil"/>
              <w:right w:val="single" w:sz="4" w:space="0" w:color="auto"/>
            </w:tcBorders>
            <w:vAlign w:val="center"/>
            <w:hideMark/>
          </w:tcPr>
          <w:p w:rsidR="00570C25" w:rsidRDefault="00570C25">
            <w:pPr>
              <w:jc w:val="center"/>
              <w:rPr>
                <w:b/>
              </w:rPr>
            </w:pPr>
            <w:r>
              <w:rPr>
                <w:b/>
                <w:bCs/>
                <w:lang w:val=""/>
              </w:rPr>
              <w:t>Dosis produkt</w:t>
            </w:r>
          </w:p>
        </w:tc>
        <w:tc>
          <w:tcPr>
            <w:tcW w:w="1015" w:type="pct"/>
            <w:tcBorders>
              <w:top w:val="single" w:sz="4" w:space="0" w:color="auto"/>
              <w:left w:val="single" w:sz="4" w:space="0" w:color="auto"/>
              <w:bottom w:val="nil"/>
              <w:right w:val="single" w:sz="4" w:space="0" w:color="auto"/>
            </w:tcBorders>
            <w:vAlign w:val="center"/>
            <w:hideMark/>
          </w:tcPr>
          <w:p w:rsidR="00570C25" w:rsidRDefault="00570C25">
            <w:pPr>
              <w:jc w:val="center"/>
            </w:pPr>
            <w:r>
              <w:rPr>
                <w:lang w:val=""/>
              </w:rPr>
              <w:t>Dosis medetomidin</w:t>
            </w:r>
          </w:p>
        </w:tc>
        <w:tc>
          <w:tcPr>
            <w:tcW w:w="1250" w:type="pct"/>
            <w:tcBorders>
              <w:top w:val="single" w:sz="4" w:space="0" w:color="auto"/>
              <w:left w:val="single" w:sz="4" w:space="0" w:color="auto"/>
              <w:bottom w:val="nil"/>
              <w:right w:val="single" w:sz="4" w:space="0" w:color="auto"/>
            </w:tcBorders>
            <w:vAlign w:val="center"/>
            <w:hideMark/>
          </w:tcPr>
          <w:p w:rsidR="00570C25" w:rsidRDefault="00570C25">
            <w:pPr>
              <w:jc w:val="center"/>
            </w:pPr>
            <w:r>
              <w:rPr>
                <w:lang w:val=""/>
              </w:rPr>
              <w:t>Dosis</w:t>
            </w:r>
          </w:p>
          <w:p w:rsidR="00570C25" w:rsidRDefault="00570C25">
            <w:pPr>
              <w:jc w:val="center"/>
            </w:pPr>
            <w:r>
              <w:rPr>
                <w:lang w:val=""/>
              </w:rPr>
              <w:t>ketamin</w:t>
            </w:r>
          </w:p>
        </w:tc>
      </w:tr>
      <w:tr w:rsidR="00570C25" w:rsidTr="00570C25">
        <w:tc>
          <w:tcPr>
            <w:tcW w:w="0" w:type="auto"/>
            <w:vMerge/>
            <w:tcBorders>
              <w:top w:val="single" w:sz="4" w:space="0" w:color="auto"/>
              <w:left w:val="single" w:sz="4" w:space="0" w:color="auto"/>
              <w:bottom w:val="single" w:sz="4" w:space="0" w:color="auto"/>
              <w:right w:val="single" w:sz="4" w:space="0" w:color="auto"/>
            </w:tcBorders>
            <w:vAlign w:val="center"/>
            <w:hideMark/>
          </w:tcPr>
          <w:p w:rsidR="00570C25" w:rsidRDefault="00570C25">
            <w:pPr>
              <w:rPr>
                <w:lang w:val="en-US"/>
              </w:rPr>
            </w:pPr>
          </w:p>
        </w:tc>
        <w:tc>
          <w:tcPr>
            <w:tcW w:w="1094" w:type="pct"/>
            <w:tcBorders>
              <w:top w:val="nil"/>
              <w:left w:val="single" w:sz="4" w:space="0" w:color="auto"/>
              <w:bottom w:val="single" w:sz="4" w:space="0" w:color="auto"/>
              <w:right w:val="single" w:sz="4" w:space="0" w:color="auto"/>
            </w:tcBorders>
            <w:vAlign w:val="center"/>
          </w:tcPr>
          <w:p w:rsidR="00570C25" w:rsidRDefault="00570C25">
            <w:pPr>
              <w:jc w:val="center"/>
              <w:rPr>
                <w:bCs/>
              </w:rPr>
            </w:pPr>
          </w:p>
        </w:tc>
        <w:tc>
          <w:tcPr>
            <w:tcW w:w="1016" w:type="pct"/>
            <w:tcBorders>
              <w:top w:val="nil"/>
              <w:left w:val="single" w:sz="4" w:space="0" w:color="auto"/>
              <w:bottom w:val="single" w:sz="4" w:space="0" w:color="auto"/>
              <w:right w:val="single" w:sz="4" w:space="0" w:color="auto"/>
            </w:tcBorders>
            <w:vAlign w:val="center"/>
          </w:tcPr>
          <w:p w:rsidR="00570C25" w:rsidRDefault="00570C25">
            <w:pPr>
              <w:jc w:val="center"/>
              <w:rPr>
                <w:b/>
                <w:bCs/>
              </w:rPr>
            </w:pPr>
          </w:p>
        </w:tc>
        <w:tc>
          <w:tcPr>
            <w:tcW w:w="1015" w:type="pct"/>
            <w:tcBorders>
              <w:top w:val="nil"/>
              <w:left w:val="single" w:sz="4" w:space="0" w:color="auto"/>
              <w:bottom w:val="single" w:sz="4" w:space="0" w:color="auto"/>
              <w:right w:val="single" w:sz="4" w:space="0" w:color="auto"/>
            </w:tcBorders>
            <w:vAlign w:val="center"/>
          </w:tcPr>
          <w:p w:rsidR="00570C25" w:rsidRDefault="00570C25">
            <w:pPr>
              <w:jc w:val="center"/>
              <w:rPr>
                <w:bCs/>
              </w:rPr>
            </w:pPr>
          </w:p>
        </w:tc>
        <w:tc>
          <w:tcPr>
            <w:tcW w:w="1250" w:type="pct"/>
            <w:tcBorders>
              <w:top w:val="nil"/>
              <w:left w:val="single" w:sz="4" w:space="0" w:color="auto"/>
              <w:bottom w:val="single" w:sz="4" w:space="0" w:color="auto"/>
              <w:right w:val="single" w:sz="4" w:space="0" w:color="auto"/>
            </w:tcBorders>
            <w:vAlign w:val="center"/>
          </w:tcPr>
          <w:p w:rsidR="00570C25" w:rsidRDefault="00570C25">
            <w:pPr>
              <w:jc w:val="center"/>
              <w:rPr>
                <w:bCs/>
              </w:rPr>
            </w:pPr>
          </w:p>
        </w:tc>
      </w:tr>
      <w:tr w:rsidR="00570C25" w:rsidTr="00570C25">
        <w:tc>
          <w:tcPr>
            <w:tcW w:w="624" w:type="pct"/>
            <w:tcBorders>
              <w:top w:val="single" w:sz="4" w:space="0" w:color="auto"/>
              <w:left w:val="single" w:sz="4" w:space="0" w:color="auto"/>
              <w:bottom w:val="single" w:sz="4" w:space="0" w:color="auto"/>
              <w:right w:val="single" w:sz="4" w:space="0" w:color="auto"/>
            </w:tcBorders>
            <w:vAlign w:val="center"/>
          </w:tcPr>
          <w:p w:rsidR="00570C25" w:rsidRDefault="00570C25"/>
          <w:p w:rsidR="00570C25" w:rsidRDefault="00570C25">
            <w:r>
              <w:rPr>
                <w:lang w:val=""/>
              </w:rPr>
              <w:t>IM</w:t>
            </w:r>
          </w:p>
          <w:p w:rsidR="00570C25" w:rsidRDefault="00570C25">
            <w:pPr>
              <w:rPr>
                <w:bCs/>
              </w:rPr>
            </w:pPr>
          </w:p>
        </w:tc>
        <w:tc>
          <w:tcPr>
            <w:tcW w:w="1094"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Cs/>
              </w:rPr>
            </w:pPr>
            <w:r>
              <w:rPr>
                <w:lang w:val=""/>
              </w:rPr>
              <w:t>0,10 mg/kg legemsvægt</w:t>
            </w:r>
          </w:p>
        </w:tc>
        <w:tc>
          <w:tcPr>
            <w:tcW w:w="1016"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
                <w:bCs/>
              </w:rPr>
            </w:pPr>
            <w:r>
              <w:rPr>
                <w:b/>
                <w:bCs/>
                <w:lang w:val=""/>
              </w:rPr>
              <w:t>0,01 ml/kg legemsvægt</w:t>
            </w:r>
          </w:p>
        </w:tc>
        <w:tc>
          <w:tcPr>
            <w:tcW w:w="1015"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Cs/>
              </w:rPr>
            </w:pPr>
            <w:r>
              <w:rPr>
                <w:lang w:val=""/>
              </w:rPr>
              <w:t>0,025 mg/kg legemsvægt</w:t>
            </w:r>
          </w:p>
        </w:tc>
        <w:tc>
          <w:tcPr>
            <w:tcW w:w="1250"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Cs/>
              </w:rPr>
            </w:pPr>
            <w:r>
              <w:rPr>
                <w:lang w:val=""/>
              </w:rPr>
              <w:t>5,0 mg/kg legemsvægt*</w:t>
            </w:r>
          </w:p>
        </w:tc>
      </w:tr>
      <w:tr w:rsidR="00570C25" w:rsidTr="00570C25">
        <w:tc>
          <w:tcPr>
            <w:tcW w:w="624" w:type="pct"/>
            <w:tcBorders>
              <w:top w:val="single" w:sz="4" w:space="0" w:color="auto"/>
              <w:left w:val="single" w:sz="4" w:space="0" w:color="auto"/>
              <w:bottom w:val="single" w:sz="4" w:space="0" w:color="auto"/>
              <w:right w:val="single" w:sz="4" w:space="0" w:color="auto"/>
            </w:tcBorders>
            <w:vAlign w:val="center"/>
            <w:hideMark/>
          </w:tcPr>
          <w:p w:rsidR="00570C25" w:rsidRDefault="00570C25">
            <w:r>
              <w:rPr>
                <w:lang w:val=""/>
              </w:rPr>
              <w:t>Kommentar</w:t>
            </w:r>
          </w:p>
        </w:tc>
        <w:tc>
          <w:tcPr>
            <w:tcW w:w="4376" w:type="pct"/>
            <w:gridSpan w:val="4"/>
            <w:tcBorders>
              <w:top w:val="single" w:sz="4" w:space="0" w:color="auto"/>
              <w:left w:val="single" w:sz="4" w:space="0" w:color="auto"/>
              <w:bottom w:val="single" w:sz="4" w:space="0" w:color="auto"/>
              <w:right w:val="single" w:sz="4" w:space="0" w:color="auto"/>
            </w:tcBorders>
            <w:vAlign w:val="center"/>
            <w:hideMark/>
          </w:tcPr>
          <w:p w:rsidR="00570C25" w:rsidRDefault="00570C25">
            <w:pPr>
              <w:rPr>
                <w:b/>
              </w:rPr>
            </w:pPr>
            <w:r>
              <w:rPr>
                <w:b/>
                <w:bCs/>
                <w:lang w:val=""/>
              </w:rPr>
              <w:t>Det er ikke tilrådeligt at ophæve virkningen med atipamezol</w:t>
            </w:r>
          </w:p>
          <w:p w:rsidR="00570C25" w:rsidRDefault="00570C25">
            <w:r>
              <w:rPr>
                <w:lang w:val=""/>
              </w:rPr>
              <w:t>Når forligelighed er accepteret, kan produkter med medetomidin og butorphanol kombineres og administreres i samme sprøjte (se pkt. 6.2).</w:t>
            </w:r>
          </w:p>
        </w:tc>
      </w:tr>
    </w:tbl>
    <w:p w:rsidR="00570C25" w:rsidRDefault="00570C25" w:rsidP="00570C25">
      <w:pPr>
        <w:pStyle w:val="Brdtekstindrykning"/>
        <w:ind w:left="0" w:firstLine="0"/>
        <w:rPr>
          <w:b w:val="0"/>
          <w:sz w:val="24"/>
          <w:szCs w:val="24"/>
          <w:lang w:val="da-DK"/>
        </w:rPr>
      </w:pPr>
      <w:r>
        <w:rPr>
          <w:b w:val="0"/>
          <w:sz w:val="24"/>
          <w:szCs w:val="24"/>
          <w:lang w:val=""/>
        </w:rPr>
        <w:t xml:space="preserve">*Ketamin bør administreres 15 minutter efter IM-administration af kombinationen butorphanol/medetomidin. </w:t>
      </w:r>
    </w:p>
    <w:p w:rsidR="00570C25" w:rsidRDefault="00570C25" w:rsidP="00570C25">
      <w:pPr>
        <w:pStyle w:val="Brdtekstindrykning"/>
        <w:ind w:left="851" w:hanging="851"/>
        <w:jc w:val="both"/>
        <w:rPr>
          <w:sz w:val="24"/>
          <w:szCs w:val="24"/>
          <w:lang w:val="da-DK"/>
        </w:rPr>
      </w:pPr>
    </w:p>
    <w:p w:rsidR="00570C25" w:rsidRDefault="00570C25" w:rsidP="00570C25">
      <w:pPr>
        <w:pStyle w:val="Brdtekstindrykning"/>
        <w:ind w:left="851" w:hanging="851"/>
        <w:jc w:val="both"/>
        <w:rPr>
          <w:b w:val="0"/>
          <w:sz w:val="24"/>
          <w:szCs w:val="24"/>
          <w:u w:val="single"/>
        </w:rPr>
      </w:pPr>
      <w:r>
        <w:rPr>
          <w:b w:val="0"/>
          <w:sz w:val="24"/>
          <w:szCs w:val="24"/>
          <w:u w:val="single"/>
          <w:lang w:val=""/>
        </w:rPr>
        <w:t>Kat</w:t>
      </w:r>
    </w:p>
    <w:p w:rsidR="00570C25" w:rsidRDefault="00570C25" w:rsidP="00570C25">
      <w:pPr>
        <w:pStyle w:val="Brdtekstindrykning"/>
        <w:ind w:left="851" w:hanging="851"/>
        <w:jc w:val="both"/>
        <w:rPr>
          <w:b w:val="0"/>
          <w:i/>
          <w:sz w:val="24"/>
          <w:szCs w:val="24"/>
        </w:rPr>
      </w:pPr>
      <w:r>
        <w:rPr>
          <w:b w:val="0"/>
          <w:i/>
          <w:iCs/>
          <w:sz w:val="24"/>
          <w:szCs w:val="24"/>
          <w:lang w:val=""/>
        </w:rPr>
        <w:t>Til præoperativ analgesi: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3297"/>
        <w:gridCol w:w="4750"/>
      </w:tblGrid>
      <w:tr w:rsidR="00570C25" w:rsidTr="00570C25">
        <w:tc>
          <w:tcPr>
            <w:tcW w:w="821" w:type="pct"/>
            <w:tcBorders>
              <w:top w:val="single" w:sz="4" w:space="0" w:color="auto"/>
              <w:left w:val="single" w:sz="4" w:space="0" w:color="auto"/>
              <w:bottom w:val="nil"/>
              <w:right w:val="single" w:sz="4" w:space="0" w:color="auto"/>
            </w:tcBorders>
            <w:vAlign w:val="center"/>
            <w:hideMark/>
          </w:tcPr>
          <w:p w:rsidR="00570C25" w:rsidRDefault="00570C25">
            <w:r>
              <w:rPr>
                <w:lang w:val=""/>
              </w:rPr>
              <w:t>Indgivelsesvej</w:t>
            </w:r>
          </w:p>
        </w:tc>
        <w:tc>
          <w:tcPr>
            <w:tcW w:w="1712" w:type="pct"/>
            <w:tcBorders>
              <w:top w:val="single" w:sz="4" w:space="0" w:color="auto"/>
              <w:left w:val="single" w:sz="4" w:space="0" w:color="auto"/>
              <w:bottom w:val="nil"/>
              <w:right w:val="single" w:sz="4" w:space="0" w:color="auto"/>
            </w:tcBorders>
            <w:vAlign w:val="center"/>
            <w:hideMark/>
          </w:tcPr>
          <w:p w:rsidR="00570C25" w:rsidRDefault="00570C25">
            <w:pPr>
              <w:jc w:val="center"/>
            </w:pPr>
            <w:r>
              <w:rPr>
                <w:lang w:val=""/>
              </w:rPr>
              <w:t>Dosis</w:t>
            </w:r>
          </w:p>
          <w:p w:rsidR="00570C25" w:rsidRDefault="00570C25">
            <w:pPr>
              <w:jc w:val="center"/>
            </w:pPr>
            <w:r>
              <w:rPr>
                <w:lang w:val=""/>
              </w:rPr>
              <w:t>butorphanol</w:t>
            </w:r>
          </w:p>
        </w:tc>
        <w:tc>
          <w:tcPr>
            <w:tcW w:w="2467" w:type="pct"/>
            <w:tcBorders>
              <w:top w:val="single" w:sz="4" w:space="0" w:color="auto"/>
              <w:left w:val="single" w:sz="4" w:space="0" w:color="auto"/>
              <w:bottom w:val="nil"/>
              <w:right w:val="single" w:sz="4" w:space="0" w:color="auto"/>
            </w:tcBorders>
            <w:vAlign w:val="center"/>
            <w:hideMark/>
          </w:tcPr>
          <w:p w:rsidR="00570C25" w:rsidRDefault="00570C25">
            <w:pPr>
              <w:jc w:val="center"/>
              <w:rPr>
                <w:b/>
              </w:rPr>
            </w:pPr>
            <w:r>
              <w:rPr>
                <w:b/>
                <w:bCs/>
                <w:lang w:val=""/>
              </w:rPr>
              <w:t>Dosis</w:t>
            </w:r>
          </w:p>
          <w:p w:rsidR="00570C25" w:rsidRDefault="00570C25">
            <w:pPr>
              <w:jc w:val="center"/>
              <w:rPr>
                <w:b/>
              </w:rPr>
            </w:pPr>
            <w:r>
              <w:rPr>
                <w:b/>
                <w:bCs/>
                <w:lang w:val=""/>
              </w:rPr>
              <w:t>produkt</w:t>
            </w:r>
          </w:p>
        </w:tc>
      </w:tr>
      <w:tr w:rsidR="00570C25" w:rsidTr="00570C25">
        <w:tc>
          <w:tcPr>
            <w:tcW w:w="821" w:type="pct"/>
            <w:tcBorders>
              <w:top w:val="nil"/>
              <w:left w:val="single" w:sz="2" w:space="0" w:color="auto"/>
              <w:bottom w:val="single" w:sz="2" w:space="0" w:color="auto"/>
              <w:right w:val="single" w:sz="2" w:space="0" w:color="auto"/>
            </w:tcBorders>
            <w:vAlign w:val="center"/>
          </w:tcPr>
          <w:p w:rsidR="00570C25" w:rsidRDefault="00570C25"/>
        </w:tc>
        <w:tc>
          <w:tcPr>
            <w:tcW w:w="1712" w:type="pct"/>
            <w:tcBorders>
              <w:top w:val="nil"/>
              <w:left w:val="single" w:sz="2" w:space="0" w:color="auto"/>
              <w:bottom w:val="single" w:sz="2" w:space="0" w:color="auto"/>
              <w:right w:val="single" w:sz="2" w:space="0" w:color="auto"/>
            </w:tcBorders>
            <w:vAlign w:val="center"/>
          </w:tcPr>
          <w:p w:rsidR="00570C25" w:rsidRDefault="00570C25">
            <w:pPr>
              <w:jc w:val="center"/>
            </w:pPr>
          </w:p>
        </w:tc>
        <w:tc>
          <w:tcPr>
            <w:tcW w:w="2467" w:type="pct"/>
            <w:tcBorders>
              <w:top w:val="nil"/>
              <w:left w:val="single" w:sz="2" w:space="0" w:color="auto"/>
              <w:bottom w:val="single" w:sz="2" w:space="0" w:color="auto"/>
              <w:right w:val="single" w:sz="2" w:space="0" w:color="auto"/>
            </w:tcBorders>
            <w:vAlign w:val="center"/>
          </w:tcPr>
          <w:p w:rsidR="00570C25" w:rsidRDefault="00570C25">
            <w:pPr>
              <w:jc w:val="center"/>
              <w:rPr>
                <w:b/>
              </w:rPr>
            </w:pPr>
          </w:p>
        </w:tc>
      </w:tr>
      <w:tr w:rsidR="00570C25" w:rsidTr="00570C25">
        <w:tc>
          <w:tcPr>
            <w:tcW w:w="821"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pPr>
            <w:r>
              <w:rPr>
                <w:lang w:val=""/>
              </w:rPr>
              <w:t>IM eller</w:t>
            </w:r>
          </w:p>
          <w:p w:rsidR="00570C25" w:rsidRDefault="00570C25">
            <w:pPr>
              <w:jc w:val="center"/>
            </w:pPr>
            <w:r>
              <w:rPr>
                <w:lang w:val=""/>
              </w:rPr>
              <w:t>SC</w:t>
            </w:r>
          </w:p>
        </w:tc>
        <w:tc>
          <w:tcPr>
            <w:tcW w:w="1712"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pPr>
            <w:r>
              <w:rPr>
                <w:lang w:val=""/>
              </w:rPr>
              <w:t>0,4 mg/kg legemsvægt</w:t>
            </w:r>
          </w:p>
        </w:tc>
        <w:tc>
          <w:tcPr>
            <w:tcW w:w="2467"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pPr>
            <w:r>
              <w:rPr>
                <w:b/>
                <w:bCs/>
                <w:lang w:val=""/>
              </w:rPr>
              <w:t>0,04 ml/kg legemsvægt</w:t>
            </w:r>
          </w:p>
        </w:tc>
      </w:tr>
      <w:tr w:rsidR="00570C25" w:rsidTr="00570C25">
        <w:tc>
          <w:tcPr>
            <w:tcW w:w="821" w:type="pct"/>
            <w:tcBorders>
              <w:top w:val="single" w:sz="4" w:space="0" w:color="auto"/>
              <w:left w:val="single" w:sz="4" w:space="0" w:color="auto"/>
              <w:bottom w:val="single" w:sz="4" w:space="0" w:color="auto"/>
              <w:right w:val="single" w:sz="4" w:space="0" w:color="auto"/>
            </w:tcBorders>
            <w:hideMark/>
          </w:tcPr>
          <w:p w:rsidR="00570C25" w:rsidRDefault="00570C25">
            <w:r>
              <w:rPr>
                <w:lang w:val=""/>
              </w:rPr>
              <w:t>Kommentar</w:t>
            </w:r>
          </w:p>
        </w:tc>
        <w:tc>
          <w:tcPr>
            <w:tcW w:w="4179" w:type="pct"/>
            <w:gridSpan w:val="2"/>
            <w:tcBorders>
              <w:top w:val="single" w:sz="4" w:space="0" w:color="auto"/>
              <w:left w:val="single" w:sz="4" w:space="0" w:color="auto"/>
              <w:bottom w:val="single" w:sz="4" w:space="0" w:color="auto"/>
              <w:right w:val="single" w:sz="4" w:space="0" w:color="auto"/>
            </w:tcBorders>
            <w:hideMark/>
          </w:tcPr>
          <w:p w:rsidR="00570C25" w:rsidRDefault="00570C25">
            <w:r>
              <w:rPr>
                <w:lang w:val=""/>
              </w:rPr>
              <w:t>Administreres 15-30 minutter før administration af IV-induktionsanæstesimidler</w:t>
            </w:r>
          </w:p>
          <w:p w:rsidR="00570C25" w:rsidRDefault="00570C25">
            <w:pPr>
              <w:rPr>
                <w:b/>
              </w:rPr>
            </w:pPr>
            <w:r>
              <w:rPr>
                <w:lang w:val=""/>
              </w:rPr>
              <w:t>Administreres 5 minutter før induktion med IM-induktionsanæstesimidler som kombinationer af IM acepromazin/ketamin eller xylazin/ketamin</w:t>
            </w:r>
          </w:p>
        </w:tc>
      </w:tr>
    </w:tbl>
    <w:p w:rsidR="00570C25" w:rsidRDefault="00570C25" w:rsidP="00570C25">
      <w:pPr>
        <w:pStyle w:val="Brdtekstindrykning"/>
        <w:ind w:left="851" w:hanging="851"/>
        <w:jc w:val="both"/>
        <w:rPr>
          <w:sz w:val="24"/>
          <w:szCs w:val="24"/>
          <w:lang w:val="da-DK"/>
        </w:rPr>
      </w:pPr>
    </w:p>
    <w:p w:rsidR="00570C25" w:rsidRDefault="00570C25" w:rsidP="00570C25">
      <w:pPr>
        <w:pStyle w:val="Brdtekstindrykning"/>
        <w:ind w:left="851" w:hanging="851"/>
        <w:jc w:val="both"/>
        <w:rPr>
          <w:b w:val="0"/>
          <w:i/>
          <w:sz w:val="24"/>
          <w:szCs w:val="24"/>
        </w:rPr>
      </w:pPr>
      <w:r>
        <w:rPr>
          <w:b w:val="0"/>
          <w:i/>
          <w:iCs/>
          <w:sz w:val="24"/>
          <w:szCs w:val="24"/>
          <w:lang w:val=""/>
        </w:rPr>
        <w:t>Til postoperativ analgesi: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0"/>
        <w:gridCol w:w="3299"/>
        <w:gridCol w:w="4749"/>
      </w:tblGrid>
      <w:tr w:rsidR="00570C25" w:rsidTr="00570C25">
        <w:tc>
          <w:tcPr>
            <w:tcW w:w="821" w:type="pct"/>
            <w:tcBorders>
              <w:top w:val="single" w:sz="4" w:space="0" w:color="auto"/>
              <w:left w:val="single" w:sz="4" w:space="0" w:color="auto"/>
              <w:bottom w:val="nil"/>
              <w:right w:val="single" w:sz="4" w:space="0" w:color="auto"/>
            </w:tcBorders>
            <w:vAlign w:val="center"/>
            <w:hideMark/>
          </w:tcPr>
          <w:p w:rsidR="00570C25" w:rsidRDefault="00570C25">
            <w:r>
              <w:rPr>
                <w:lang w:val=""/>
              </w:rPr>
              <w:t>Indgivelsesvej</w:t>
            </w:r>
          </w:p>
        </w:tc>
        <w:tc>
          <w:tcPr>
            <w:tcW w:w="1713" w:type="pct"/>
            <w:tcBorders>
              <w:top w:val="single" w:sz="4" w:space="0" w:color="auto"/>
              <w:left w:val="single" w:sz="4" w:space="0" w:color="auto"/>
              <w:bottom w:val="nil"/>
              <w:right w:val="single" w:sz="4" w:space="0" w:color="auto"/>
            </w:tcBorders>
            <w:vAlign w:val="center"/>
            <w:hideMark/>
          </w:tcPr>
          <w:p w:rsidR="00570C25" w:rsidRDefault="00570C25">
            <w:pPr>
              <w:jc w:val="center"/>
            </w:pPr>
            <w:r>
              <w:rPr>
                <w:lang w:val=""/>
              </w:rPr>
              <w:t>Dosis</w:t>
            </w:r>
          </w:p>
          <w:p w:rsidR="00570C25" w:rsidRDefault="00570C25">
            <w:pPr>
              <w:jc w:val="center"/>
            </w:pPr>
            <w:r>
              <w:rPr>
                <w:lang w:val=""/>
              </w:rPr>
              <w:t>butorphanol</w:t>
            </w:r>
          </w:p>
        </w:tc>
        <w:tc>
          <w:tcPr>
            <w:tcW w:w="2466" w:type="pct"/>
            <w:tcBorders>
              <w:top w:val="single" w:sz="4" w:space="0" w:color="auto"/>
              <w:left w:val="single" w:sz="4" w:space="0" w:color="auto"/>
              <w:bottom w:val="nil"/>
              <w:right w:val="single" w:sz="4" w:space="0" w:color="auto"/>
            </w:tcBorders>
            <w:vAlign w:val="center"/>
            <w:hideMark/>
          </w:tcPr>
          <w:p w:rsidR="00570C25" w:rsidRDefault="00570C25">
            <w:pPr>
              <w:jc w:val="center"/>
              <w:rPr>
                <w:b/>
              </w:rPr>
            </w:pPr>
            <w:r>
              <w:rPr>
                <w:b/>
                <w:bCs/>
                <w:lang w:val=""/>
              </w:rPr>
              <w:t>Dosis</w:t>
            </w:r>
          </w:p>
          <w:p w:rsidR="00570C25" w:rsidRDefault="00570C25">
            <w:pPr>
              <w:jc w:val="center"/>
              <w:rPr>
                <w:b/>
              </w:rPr>
            </w:pPr>
            <w:r>
              <w:rPr>
                <w:b/>
                <w:bCs/>
                <w:lang w:val=""/>
              </w:rPr>
              <w:t>produkt</w:t>
            </w:r>
          </w:p>
        </w:tc>
      </w:tr>
      <w:tr w:rsidR="00570C25" w:rsidTr="00570C25">
        <w:tc>
          <w:tcPr>
            <w:tcW w:w="821" w:type="pct"/>
            <w:tcBorders>
              <w:top w:val="nil"/>
              <w:left w:val="single" w:sz="2" w:space="0" w:color="auto"/>
              <w:bottom w:val="single" w:sz="2" w:space="0" w:color="auto"/>
              <w:right w:val="single" w:sz="2" w:space="0" w:color="auto"/>
            </w:tcBorders>
            <w:vAlign w:val="center"/>
          </w:tcPr>
          <w:p w:rsidR="00570C25" w:rsidRDefault="00570C25"/>
        </w:tc>
        <w:tc>
          <w:tcPr>
            <w:tcW w:w="1713" w:type="pct"/>
            <w:tcBorders>
              <w:top w:val="nil"/>
              <w:left w:val="single" w:sz="2" w:space="0" w:color="auto"/>
              <w:bottom w:val="single" w:sz="2" w:space="0" w:color="auto"/>
              <w:right w:val="single" w:sz="2" w:space="0" w:color="auto"/>
            </w:tcBorders>
            <w:vAlign w:val="center"/>
          </w:tcPr>
          <w:p w:rsidR="00570C25" w:rsidRDefault="00570C25">
            <w:pPr>
              <w:jc w:val="center"/>
            </w:pPr>
          </w:p>
        </w:tc>
        <w:tc>
          <w:tcPr>
            <w:tcW w:w="2466" w:type="pct"/>
            <w:tcBorders>
              <w:top w:val="nil"/>
              <w:left w:val="single" w:sz="2" w:space="0" w:color="auto"/>
              <w:bottom w:val="single" w:sz="2" w:space="0" w:color="auto"/>
              <w:right w:val="single" w:sz="2" w:space="0" w:color="auto"/>
            </w:tcBorders>
            <w:vAlign w:val="center"/>
          </w:tcPr>
          <w:p w:rsidR="00570C25" w:rsidRDefault="00570C25">
            <w:pPr>
              <w:jc w:val="center"/>
              <w:rPr>
                <w:b/>
              </w:rPr>
            </w:pPr>
          </w:p>
        </w:tc>
      </w:tr>
      <w:tr w:rsidR="00570C25" w:rsidTr="00570C25">
        <w:tc>
          <w:tcPr>
            <w:tcW w:w="821" w:type="pct"/>
            <w:tcBorders>
              <w:top w:val="single" w:sz="4" w:space="0" w:color="auto"/>
              <w:left w:val="single" w:sz="4" w:space="0" w:color="auto"/>
              <w:bottom w:val="single" w:sz="4" w:space="0" w:color="auto"/>
              <w:right w:val="single" w:sz="4" w:space="0" w:color="auto"/>
            </w:tcBorders>
            <w:vAlign w:val="center"/>
          </w:tcPr>
          <w:p w:rsidR="00570C25" w:rsidRDefault="00570C25">
            <w:pPr>
              <w:jc w:val="center"/>
            </w:pPr>
          </w:p>
          <w:p w:rsidR="00570C25" w:rsidRDefault="00570C25">
            <w:pPr>
              <w:jc w:val="center"/>
            </w:pPr>
            <w:r>
              <w:rPr>
                <w:lang w:val=""/>
              </w:rPr>
              <w:t>SC eller IM</w:t>
            </w:r>
          </w:p>
          <w:p w:rsidR="00570C25" w:rsidRDefault="00570C25">
            <w:pPr>
              <w:jc w:val="center"/>
            </w:pPr>
          </w:p>
        </w:tc>
        <w:tc>
          <w:tcPr>
            <w:tcW w:w="1713"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pPr>
            <w:r>
              <w:rPr>
                <w:lang w:val=""/>
              </w:rPr>
              <w:t>0,4 mg/kg legemsvægt</w:t>
            </w:r>
          </w:p>
        </w:tc>
        <w:tc>
          <w:tcPr>
            <w:tcW w:w="2466" w:type="pct"/>
            <w:tcBorders>
              <w:top w:val="single" w:sz="4" w:space="0" w:color="auto"/>
              <w:left w:val="single" w:sz="4" w:space="0" w:color="auto"/>
              <w:bottom w:val="single" w:sz="4" w:space="0" w:color="auto"/>
              <w:right w:val="single" w:sz="4" w:space="0" w:color="auto"/>
            </w:tcBorders>
            <w:vAlign w:val="center"/>
          </w:tcPr>
          <w:p w:rsidR="00570C25" w:rsidRDefault="00570C25">
            <w:pPr>
              <w:jc w:val="center"/>
              <w:rPr>
                <w:b/>
              </w:rPr>
            </w:pPr>
          </w:p>
          <w:p w:rsidR="00570C25" w:rsidRDefault="00570C25">
            <w:pPr>
              <w:jc w:val="center"/>
            </w:pPr>
            <w:r>
              <w:rPr>
                <w:b/>
                <w:bCs/>
                <w:lang w:val=""/>
              </w:rPr>
              <w:t>0,04 ml/kg legemsvægt</w:t>
            </w:r>
          </w:p>
        </w:tc>
      </w:tr>
      <w:tr w:rsidR="00570C25" w:rsidTr="00570C25">
        <w:tc>
          <w:tcPr>
            <w:tcW w:w="821" w:type="pct"/>
            <w:tcBorders>
              <w:top w:val="single" w:sz="4" w:space="0" w:color="auto"/>
              <w:left w:val="single" w:sz="4" w:space="0" w:color="auto"/>
              <w:bottom w:val="single" w:sz="4" w:space="0" w:color="auto"/>
              <w:right w:val="single" w:sz="4" w:space="0" w:color="auto"/>
            </w:tcBorders>
            <w:vAlign w:val="center"/>
          </w:tcPr>
          <w:p w:rsidR="00570C25" w:rsidRDefault="00570C25">
            <w:pPr>
              <w:jc w:val="center"/>
            </w:pPr>
          </w:p>
          <w:p w:rsidR="00570C25" w:rsidRDefault="00570C25">
            <w:pPr>
              <w:jc w:val="center"/>
            </w:pPr>
            <w:r>
              <w:rPr>
                <w:lang w:val=""/>
              </w:rPr>
              <w:t>IV</w:t>
            </w:r>
          </w:p>
          <w:p w:rsidR="00570C25" w:rsidRDefault="00570C25">
            <w:pPr>
              <w:jc w:val="center"/>
            </w:pPr>
          </w:p>
        </w:tc>
        <w:tc>
          <w:tcPr>
            <w:tcW w:w="1713"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pPr>
            <w:r>
              <w:rPr>
                <w:lang w:val=""/>
              </w:rPr>
              <w:t>0,1 mg/kg legemsvægt</w:t>
            </w:r>
          </w:p>
        </w:tc>
        <w:tc>
          <w:tcPr>
            <w:tcW w:w="2466" w:type="pct"/>
            <w:tcBorders>
              <w:top w:val="single" w:sz="4" w:space="0" w:color="auto"/>
              <w:left w:val="single" w:sz="4" w:space="0" w:color="auto"/>
              <w:bottom w:val="single" w:sz="4" w:space="0" w:color="auto"/>
              <w:right w:val="single" w:sz="4" w:space="0" w:color="auto"/>
            </w:tcBorders>
            <w:vAlign w:val="center"/>
          </w:tcPr>
          <w:p w:rsidR="00570C25" w:rsidRDefault="00570C25">
            <w:pPr>
              <w:jc w:val="center"/>
              <w:rPr>
                <w:b/>
              </w:rPr>
            </w:pPr>
          </w:p>
          <w:p w:rsidR="00570C25" w:rsidRDefault="00570C25">
            <w:pPr>
              <w:jc w:val="center"/>
            </w:pPr>
            <w:r>
              <w:rPr>
                <w:b/>
                <w:bCs/>
                <w:lang w:val=""/>
              </w:rPr>
              <w:t>0,01 ml/kg legemsvægt</w:t>
            </w:r>
          </w:p>
        </w:tc>
      </w:tr>
      <w:tr w:rsidR="00570C25" w:rsidTr="00570C25">
        <w:tc>
          <w:tcPr>
            <w:tcW w:w="821" w:type="pct"/>
            <w:tcBorders>
              <w:top w:val="single" w:sz="4" w:space="0" w:color="auto"/>
              <w:left w:val="single" w:sz="4" w:space="0" w:color="auto"/>
              <w:bottom w:val="single" w:sz="4" w:space="0" w:color="auto"/>
              <w:right w:val="single" w:sz="4" w:space="0" w:color="auto"/>
            </w:tcBorders>
            <w:hideMark/>
          </w:tcPr>
          <w:p w:rsidR="00570C25" w:rsidRDefault="00570C25">
            <w:r>
              <w:rPr>
                <w:lang w:val=""/>
              </w:rPr>
              <w:t>Kommentar</w:t>
            </w:r>
          </w:p>
        </w:tc>
        <w:tc>
          <w:tcPr>
            <w:tcW w:w="4179" w:type="pct"/>
            <w:gridSpan w:val="2"/>
            <w:tcBorders>
              <w:top w:val="single" w:sz="4" w:space="0" w:color="auto"/>
              <w:left w:val="single" w:sz="4" w:space="0" w:color="auto"/>
              <w:bottom w:val="single" w:sz="4" w:space="0" w:color="auto"/>
              <w:right w:val="single" w:sz="4" w:space="0" w:color="auto"/>
            </w:tcBorders>
            <w:hideMark/>
          </w:tcPr>
          <w:p w:rsidR="00570C25" w:rsidRDefault="00570C25">
            <w:pPr>
              <w:rPr>
                <w:b/>
              </w:rPr>
            </w:pPr>
            <w:r>
              <w:rPr>
                <w:lang w:val=""/>
              </w:rPr>
              <w:t>Administreres 15 minutter før opvågningsfasen</w:t>
            </w:r>
          </w:p>
        </w:tc>
      </w:tr>
    </w:tbl>
    <w:p w:rsidR="00570C25" w:rsidRDefault="00570C25" w:rsidP="00570C25">
      <w:pPr>
        <w:pStyle w:val="Brdtekstindrykning"/>
        <w:ind w:left="851" w:hanging="851"/>
        <w:rPr>
          <w:b w:val="0"/>
          <w:i/>
          <w:sz w:val="24"/>
          <w:szCs w:val="24"/>
        </w:rPr>
      </w:pPr>
    </w:p>
    <w:p w:rsidR="00570C25" w:rsidRDefault="00570C25" w:rsidP="00570C25">
      <w:pPr>
        <w:pStyle w:val="Brdtekstindrykning"/>
        <w:ind w:left="851" w:hanging="851"/>
        <w:jc w:val="both"/>
        <w:rPr>
          <w:b w:val="0"/>
          <w:i/>
          <w:sz w:val="24"/>
          <w:szCs w:val="24"/>
          <w:lang w:val="da-DK"/>
        </w:rPr>
      </w:pPr>
      <w:r>
        <w:rPr>
          <w:b w:val="0"/>
          <w:i/>
          <w:iCs/>
          <w:sz w:val="24"/>
          <w:szCs w:val="24"/>
          <w:lang w:val=""/>
        </w:rPr>
        <w:t>Til sedation i kombination med medetomidinhydrochlorid: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2293"/>
        <w:gridCol w:w="2896"/>
        <w:gridCol w:w="2894"/>
      </w:tblGrid>
      <w:tr w:rsidR="00570C25" w:rsidTr="00570C25">
        <w:tc>
          <w:tcPr>
            <w:tcW w:w="625" w:type="pct"/>
            <w:vMerge w:val="restart"/>
            <w:tcBorders>
              <w:top w:val="single" w:sz="4" w:space="0" w:color="auto"/>
              <w:left w:val="single" w:sz="4" w:space="0" w:color="auto"/>
              <w:bottom w:val="single" w:sz="4" w:space="0" w:color="auto"/>
              <w:right w:val="single" w:sz="4" w:space="0" w:color="auto"/>
            </w:tcBorders>
            <w:vAlign w:val="center"/>
            <w:hideMark/>
          </w:tcPr>
          <w:p w:rsidR="00570C25" w:rsidRDefault="00570C25">
            <w:r>
              <w:rPr>
                <w:lang w:val=""/>
              </w:rPr>
              <w:t>Indgivelsesvej</w:t>
            </w:r>
          </w:p>
        </w:tc>
        <w:tc>
          <w:tcPr>
            <w:tcW w:w="1250" w:type="pct"/>
            <w:tcBorders>
              <w:top w:val="single" w:sz="4" w:space="0" w:color="auto"/>
              <w:left w:val="single" w:sz="4" w:space="0" w:color="auto"/>
              <w:bottom w:val="nil"/>
              <w:right w:val="single" w:sz="4" w:space="0" w:color="auto"/>
            </w:tcBorders>
            <w:vAlign w:val="center"/>
          </w:tcPr>
          <w:p w:rsidR="00570C25" w:rsidRDefault="00570C25">
            <w:pPr>
              <w:jc w:val="center"/>
            </w:pPr>
            <w:r>
              <w:rPr>
                <w:lang w:val=""/>
              </w:rPr>
              <w:t>Dosis</w:t>
            </w:r>
          </w:p>
          <w:p w:rsidR="00570C25" w:rsidRDefault="00570C25">
            <w:pPr>
              <w:jc w:val="center"/>
            </w:pPr>
            <w:r>
              <w:rPr>
                <w:lang w:val=""/>
              </w:rPr>
              <w:t>butorphanol</w:t>
            </w:r>
          </w:p>
          <w:p w:rsidR="00570C25" w:rsidRDefault="00570C25">
            <w:pPr>
              <w:jc w:val="center"/>
            </w:pPr>
          </w:p>
        </w:tc>
        <w:tc>
          <w:tcPr>
            <w:tcW w:w="1563" w:type="pct"/>
            <w:tcBorders>
              <w:top w:val="single" w:sz="4" w:space="0" w:color="auto"/>
              <w:left w:val="single" w:sz="4" w:space="0" w:color="auto"/>
              <w:bottom w:val="nil"/>
              <w:right w:val="single" w:sz="4" w:space="0" w:color="auto"/>
            </w:tcBorders>
            <w:vAlign w:val="center"/>
            <w:hideMark/>
          </w:tcPr>
          <w:p w:rsidR="00570C25" w:rsidRDefault="00570C25">
            <w:pPr>
              <w:jc w:val="center"/>
              <w:rPr>
                <w:b/>
              </w:rPr>
            </w:pPr>
            <w:r>
              <w:rPr>
                <w:b/>
                <w:bCs/>
                <w:lang w:val=""/>
              </w:rPr>
              <w:t>Dosis</w:t>
            </w:r>
          </w:p>
          <w:p w:rsidR="00570C25" w:rsidRDefault="00570C25">
            <w:pPr>
              <w:jc w:val="center"/>
              <w:rPr>
                <w:b/>
              </w:rPr>
            </w:pPr>
            <w:r>
              <w:rPr>
                <w:b/>
                <w:bCs/>
                <w:lang w:val=""/>
              </w:rPr>
              <w:t>produkt</w:t>
            </w:r>
          </w:p>
        </w:tc>
        <w:tc>
          <w:tcPr>
            <w:tcW w:w="1563" w:type="pct"/>
            <w:tcBorders>
              <w:top w:val="single" w:sz="4" w:space="0" w:color="auto"/>
              <w:left w:val="single" w:sz="4" w:space="0" w:color="auto"/>
              <w:bottom w:val="nil"/>
              <w:right w:val="single" w:sz="4" w:space="0" w:color="auto"/>
            </w:tcBorders>
            <w:vAlign w:val="center"/>
            <w:hideMark/>
          </w:tcPr>
          <w:p w:rsidR="00570C25" w:rsidRDefault="00570C25">
            <w:pPr>
              <w:jc w:val="center"/>
            </w:pPr>
            <w:r>
              <w:rPr>
                <w:lang w:val=""/>
              </w:rPr>
              <w:t>Dosis</w:t>
            </w:r>
          </w:p>
          <w:p w:rsidR="00570C25" w:rsidRDefault="00570C25">
            <w:pPr>
              <w:jc w:val="center"/>
            </w:pPr>
            <w:r>
              <w:rPr>
                <w:lang w:val=""/>
              </w:rPr>
              <w:t>medetomidinhydrochlorid</w:t>
            </w:r>
          </w:p>
        </w:tc>
      </w:tr>
      <w:tr w:rsidR="00570C25" w:rsidTr="00570C25">
        <w:tc>
          <w:tcPr>
            <w:tcW w:w="0" w:type="auto"/>
            <w:vMerge/>
            <w:tcBorders>
              <w:top w:val="single" w:sz="4" w:space="0" w:color="auto"/>
              <w:left w:val="single" w:sz="4" w:space="0" w:color="auto"/>
              <w:bottom w:val="single" w:sz="4" w:space="0" w:color="auto"/>
              <w:right w:val="single" w:sz="4" w:space="0" w:color="auto"/>
            </w:tcBorders>
            <w:vAlign w:val="center"/>
            <w:hideMark/>
          </w:tcPr>
          <w:p w:rsidR="00570C25" w:rsidRDefault="00570C25"/>
        </w:tc>
        <w:tc>
          <w:tcPr>
            <w:tcW w:w="1250" w:type="pct"/>
            <w:tcBorders>
              <w:top w:val="nil"/>
              <w:left w:val="single" w:sz="4" w:space="0" w:color="auto"/>
              <w:bottom w:val="single" w:sz="4" w:space="0" w:color="auto"/>
              <w:right w:val="single" w:sz="4" w:space="0" w:color="auto"/>
            </w:tcBorders>
            <w:vAlign w:val="center"/>
          </w:tcPr>
          <w:p w:rsidR="00570C25" w:rsidRDefault="00570C25">
            <w:pPr>
              <w:jc w:val="center"/>
              <w:rPr>
                <w:bCs/>
              </w:rPr>
            </w:pPr>
          </w:p>
        </w:tc>
        <w:tc>
          <w:tcPr>
            <w:tcW w:w="1563" w:type="pct"/>
            <w:tcBorders>
              <w:top w:val="nil"/>
              <w:left w:val="single" w:sz="4" w:space="0" w:color="auto"/>
              <w:bottom w:val="single" w:sz="4" w:space="0" w:color="auto"/>
              <w:right w:val="single" w:sz="4" w:space="0" w:color="auto"/>
            </w:tcBorders>
            <w:vAlign w:val="center"/>
          </w:tcPr>
          <w:p w:rsidR="00570C25" w:rsidRDefault="00570C25">
            <w:pPr>
              <w:jc w:val="center"/>
              <w:rPr>
                <w:b/>
                <w:bCs/>
              </w:rPr>
            </w:pPr>
          </w:p>
        </w:tc>
        <w:tc>
          <w:tcPr>
            <w:tcW w:w="1563" w:type="pct"/>
            <w:tcBorders>
              <w:top w:val="nil"/>
              <w:left w:val="single" w:sz="4" w:space="0" w:color="auto"/>
              <w:bottom w:val="single" w:sz="4" w:space="0" w:color="auto"/>
              <w:right w:val="single" w:sz="4" w:space="0" w:color="auto"/>
            </w:tcBorders>
            <w:vAlign w:val="center"/>
          </w:tcPr>
          <w:p w:rsidR="00570C25" w:rsidRDefault="00570C25">
            <w:pPr>
              <w:jc w:val="center"/>
              <w:rPr>
                <w:bCs/>
              </w:rPr>
            </w:pPr>
          </w:p>
        </w:tc>
      </w:tr>
      <w:tr w:rsidR="00570C25" w:rsidTr="00570C25">
        <w:tc>
          <w:tcPr>
            <w:tcW w:w="625" w:type="pct"/>
            <w:tcBorders>
              <w:top w:val="single" w:sz="4" w:space="0" w:color="auto"/>
              <w:left w:val="single" w:sz="4" w:space="0" w:color="auto"/>
              <w:bottom w:val="single" w:sz="4" w:space="0" w:color="auto"/>
              <w:right w:val="single" w:sz="4" w:space="0" w:color="auto"/>
            </w:tcBorders>
            <w:vAlign w:val="center"/>
          </w:tcPr>
          <w:p w:rsidR="00570C25" w:rsidRDefault="00570C25"/>
          <w:p w:rsidR="00570C25" w:rsidRDefault="00570C25">
            <w:pPr>
              <w:jc w:val="center"/>
            </w:pPr>
            <w:r>
              <w:rPr>
                <w:lang w:val=""/>
              </w:rPr>
              <w:t>IM eller SC</w:t>
            </w:r>
          </w:p>
          <w:p w:rsidR="00570C25" w:rsidRDefault="00570C25">
            <w:pPr>
              <w:rPr>
                <w:bCs/>
              </w:rPr>
            </w:pPr>
          </w:p>
        </w:tc>
        <w:tc>
          <w:tcPr>
            <w:tcW w:w="1250"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Cs/>
              </w:rPr>
            </w:pPr>
            <w:r>
              <w:rPr>
                <w:lang w:val=""/>
              </w:rPr>
              <w:t>0,4 mg/kg legemsvægt</w:t>
            </w:r>
          </w:p>
        </w:tc>
        <w:tc>
          <w:tcPr>
            <w:tcW w:w="1563"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Cs/>
              </w:rPr>
            </w:pPr>
            <w:r>
              <w:rPr>
                <w:b/>
                <w:bCs/>
                <w:lang w:val=""/>
              </w:rPr>
              <w:t>0,04 ml/kg legemsvægt</w:t>
            </w:r>
          </w:p>
        </w:tc>
        <w:tc>
          <w:tcPr>
            <w:tcW w:w="1563"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Cs/>
              </w:rPr>
            </w:pPr>
            <w:r>
              <w:rPr>
                <w:lang w:val=""/>
              </w:rPr>
              <w:t>0,05 mg/kg legemsvægt</w:t>
            </w:r>
          </w:p>
        </w:tc>
      </w:tr>
      <w:tr w:rsidR="00570C25" w:rsidTr="00570C25">
        <w:tc>
          <w:tcPr>
            <w:tcW w:w="625" w:type="pct"/>
            <w:tcBorders>
              <w:top w:val="single" w:sz="4" w:space="0" w:color="auto"/>
              <w:left w:val="single" w:sz="4" w:space="0" w:color="auto"/>
              <w:bottom w:val="single" w:sz="4" w:space="0" w:color="auto"/>
              <w:right w:val="single" w:sz="4" w:space="0" w:color="auto"/>
            </w:tcBorders>
            <w:hideMark/>
          </w:tcPr>
          <w:p w:rsidR="00570C25" w:rsidRDefault="00570C25">
            <w:r>
              <w:rPr>
                <w:lang w:val=""/>
              </w:rPr>
              <w:t>Kommentar</w:t>
            </w:r>
          </w:p>
        </w:tc>
        <w:tc>
          <w:tcPr>
            <w:tcW w:w="4375" w:type="pct"/>
            <w:gridSpan w:val="3"/>
            <w:tcBorders>
              <w:top w:val="single" w:sz="4" w:space="0" w:color="auto"/>
              <w:left w:val="single" w:sz="4" w:space="0" w:color="auto"/>
              <w:bottom w:val="single" w:sz="4" w:space="0" w:color="auto"/>
              <w:right w:val="single" w:sz="4" w:space="0" w:color="auto"/>
            </w:tcBorders>
            <w:hideMark/>
          </w:tcPr>
          <w:p w:rsidR="00570C25" w:rsidRDefault="00570C25">
            <w:r>
              <w:rPr>
                <w:lang w:val=""/>
              </w:rPr>
              <w:t>Lokalanæstestisk infiltration bør anvendes til suturering af sår.</w:t>
            </w:r>
          </w:p>
          <w:p w:rsidR="00570C25" w:rsidRDefault="00570C25">
            <w:r>
              <w:rPr>
                <w:lang w:val=""/>
              </w:rPr>
              <w:t>Når forligelighed er accepteret, kan produkter med medetomidin og butorphanol kombineres og administreres i samme sprøjte (se pkt. 6.2).</w:t>
            </w:r>
          </w:p>
        </w:tc>
      </w:tr>
    </w:tbl>
    <w:p w:rsidR="00570C25" w:rsidRDefault="00570C25" w:rsidP="00570C25">
      <w:pPr>
        <w:pStyle w:val="Brdtekstindrykning"/>
        <w:ind w:left="851" w:hanging="851"/>
        <w:rPr>
          <w:b w:val="0"/>
          <w:sz w:val="24"/>
          <w:szCs w:val="24"/>
          <w:lang w:val="da-DK"/>
        </w:rPr>
      </w:pPr>
    </w:p>
    <w:p w:rsidR="00570C25" w:rsidRDefault="00570C25" w:rsidP="00570C25">
      <w:pPr>
        <w:pStyle w:val="Brdtekstindrykning"/>
        <w:ind w:left="851" w:hanging="851"/>
        <w:jc w:val="both"/>
        <w:rPr>
          <w:b w:val="0"/>
          <w:i/>
          <w:sz w:val="24"/>
          <w:szCs w:val="24"/>
          <w:lang w:val="da-DK"/>
        </w:rPr>
      </w:pPr>
      <w:r>
        <w:rPr>
          <w:b w:val="0"/>
          <w:i/>
          <w:iCs/>
          <w:sz w:val="24"/>
          <w:szCs w:val="24"/>
          <w:lang w:val=""/>
        </w:rPr>
        <w:t>Til anæstesi i kombination med medetomidin og ketamin: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2021"/>
        <w:gridCol w:w="1870"/>
        <w:gridCol w:w="1868"/>
        <w:gridCol w:w="2324"/>
      </w:tblGrid>
      <w:tr w:rsidR="00570C25" w:rsidTr="00570C25">
        <w:tc>
          <w:tcPr>
            <w:tcW w:w="624" w:type="pct"/>
            <w:vMerge w:val="restart"/>
            <w:tcBorders>
              <w:top w:val="single" w:sz="4" w:space="0" w:color="auto"/>
              <w:left w:val="single" w:sz="4" w:space="0" w:color="auto"/>
              <w:bottom w:val="single" w:sz="4" w:space="0" w:color="auto"/>
              <w:right w:val="single" w:sz="4" w:space="0" w:color="auto"/>
            </w:tcBorders>
            <w:vAlign w:val="center"/>
            <w:hideMark/>
          </w:tcPr>
          <w:p w:rsidR="00570C25" w:rsidRDefault="00570C25">
            <w:pPr>
              <w:rPr>
                <w:lang w:val="en-US"/>
              </w:rPr>
            </w:pPr>
            <w:r>
              <w:rPr>
                <w:lang w:val=""/>
              </w:rPr>
              <w:t>Indgivelsesvej</w:t>
            </w:r>
          </w:p>
        </w:tc>
        <w:tc>
          <w:tcPr>
            <w:tcW w:w="1094" w:type="pct"/>
            <w:tcBorders>
              <w:top w:val="single" w:sz="4" w:space="0" w:color="auto"/>
              <w:left w:val="single" w:sz="4" w:space="0" w:color="auto"/>
              <w:bottom w:val="nil"/>
              <w:right w:val="single" w:sz="4" w:space="0" w:color="auto"/>
            </w:tcBorders>
            <w:vAlign w:val="center"/>
            <w:hideMark/>
          </w:tcPr>
          <w:p w:rsidR="00570C25" w:rsidRDefault="00570C25">
            <w:pPr>
              <w:jc w:val="center"/>
            </w:pPr>
            <w:r>
              <w:rPr>
                <w:lang w:val=""/>
              </w:rPr>
              <w:t>Dosis</w:t>
            </w:r>
          </w:p>
          <w:p w:rsidR="00570C25" w:rsidRDefault="00570C25">
            <w:pPr>
              <w:jc w:val="center"/>
            </w:pPr>
            <w:r>
              <w:rPr>
                <w:lang w:val=""/>
              </w:rPr>
              <w:t>butorphanol</w:t>
            </w:r>
          </w:p>
        </w:tc>
        <w:tc>
          <w:tcPr>
            <w:tcW w:w="1016" w:type="pct"/>
            <w:tcBorders>
              <w:top w:val="single" w:sz="4" w:space="0" w:color="auto"/>
              <w:left w:val="single" w:sz="4" w:space="0" w:color="auto"/>
              <w:bottom w:val="nil"/>
              <w:right w:val="single" w:sz="4" w:space="0" w:color="auto"/>
            </w:tcBorders>
            <w:vAlign w:val="center"/>
            <w:hideMark/>
          </w:tcPr>
          <w:p w:rsidR="00570C25" w:rsidRDefault="00570C25">
            <w:pPr>
              <w:jc w:val="center"/>
              <w:rPr>
                <w:b/>
              </w:rPr>
            </w:pPr>
            <w:r>
              <w:rPr>
                <w:b/>
                <w:bCs/>
                <w:lang w:val=""/>
              </w:rPr>
              <w:t>Dosis</w:t>
            </w:r>
          </w:p>
          <w:p w:rsidR="00570C25" w:rsidRDefault="00570C25">
            <w:pPr>
              <w:jc w:val="center"/>
              <w:rPr>
                <w:b/>
              </w:rPr>
            </w:pPr>
            <w:r>
              <w:rPr>
                <w:b/>
                <w:bCs/>
                <w:lang w:val=""/>
              </w:rPr>
              <w:t>produkt</w:t>
            </w:r>
          </w:p>
        </w:tc>
        <w:tc>
          <w:tcPr>
            <w:tcW w:w="1015" w:type="pct"/>
            <w:tcBorders>
              <w:top w:val="single" w:sz="4" w:space="0" w:color="auto"/>
              <w:left w:val="single" w:sz="4" w:space="0" w:color="auto"/>
              <w:bottom w:val="nil"/>
              <w:right w:val="single" w:sz="4" w:space="0" w:color="auto"/>
            </w:tcBorders>
            <w:vAlign w:val="center"/>
            <w:hideMark/>
          </w:tcPr>
          <w:p w:rsidR="00570C25" w:rsidRDefault="00570C25">
            <w:pPr>
              <w:jc w:val="center"/>
            </w:pPr>
            <w:r>
              <w:rPr>
                <w:lang w:val=""/>
              </w:rPr>
              <w:t>Dosis</w:t>
            </w:r>
          </w:p>
          <w:p w:rsidR="00570C25" w:rsidRDefault="00570C25">
            <w:pPr>
              <w:jc w:val="center"/>
            </w:pPr>
            <w:r>
              <w:rPr>
                <w:lang w:val=""/>
              </w:rPr>
              <w:t>medetomidin</w:t>
            </w:r>
          </w:p>
        </w:tc>
        <w:tc>
          <w:tcPr>
            <w:tcW w:w="1250" w:type="pct"/>
            <w:tcBorders>
              <w:top w:val="single" w:sz="4" w:space="0" w:color="auto"/>
              <w:left w:val="single" w:sz="4" w:space="0" w:color="auto"/>
              <w:bottom w:val="nil"/>
              <w:right w:val="single" w:sz="4" w:space="0" w:color="auto"/>
            </w:tcBorders>
            <w:vAlign w:val="center"/>
            <w:hideMark/>
          </w:tcPr>
          <w:p w:rsidR="00570C25" w:rsidRDefault="00570C25">
            <w:pPr>
              <w:jc w:val="center"/>
            </w:pPr>
            <w:r>
              <w:rPr>
                <w:lang w:val=""/>
              </w:rPr>
              <w:t>Dosis</w:t>
            </w:r>
          </w:p>
          <w:p w:rsidR="00570C25" w:rsidRDefault="00570C25">
            <w:pPr>
              <w:jc w:val="center"/>
            </w:pPr>
            <w:r>
              <w:rPr>
                <w:lang w:val=""/>
              </w:rPr>
              <w:t>ketamin</w:t>
            </w:r>
          </w:p>
        </w:tc>
      </w:tr>
      <w:tr w:rsidR="00570C25" w:rsidTr="00570C25">
        <w:tc>
          <w:tcPr>
            <w:tcW w:w="0" w:type="auto"/>
            <w:vMerge/>
            <w:tcBorders>
              <w:top w:val="single" w:sz="4" w:space="0" w:color="auto"/>
              <w:left w:val="single" w:sz="4" w:space="0" w:color="auto"/>
              <w:bottom w:val="single" w:sz="4" w:space="0" w:color="auto"/>
              <w:right w:val="single" w:sz="4" w:space="0" w:color="auto"/>
            </w:tcBorders>
            <w:vAlign w:val="center"/>
            <w:hideMark/>
          </w:tcPr>
          <w:p w:rsidR="00570C25" w:rsidRDefault="00570C25">
            <w:pPr>
              <w:rPr>
                <w:lang w:val="en-US"/>
              </w:rPr>
            </w:pPr>
          </w:p>
        </w:tc>
        <w:tc>
          <w:tcPr>
            <w:tcW w:w="1094" w:type="pct"/>
            <w:tcBorders>
              <w:top w:val="nil"/>
              <w:left w:val="single" w:sz="4" w:space="0" w:color="auto"/>
              <w:bottom w:val="single" w:sz="4" w:space="0" w:color="auto"/>
              <w:right w:val="single" w:sz="4" w:space="0" w:color="auto"/>
            </w:tcBorders>
            <w:vAlign w:val="center"/>
          </w:tcPr>
          <w:p w:rsidR="00570C25" w:rsidRDefault="00570C25">
            <w:pPr>
              <w:jc w:val="center"/>
              <w:rPr>
                <w:bCs/>
              </w:rPr>
            </w:pPr>
          </w:p>
        </w:tc>
        <w:tc>
          <w:tcPr>
            <w:tcW w:w="1016" w:type="pct"/>
            <w:tcBorders>
              <w:top w:val="nil"/>
              <w:left w:val="single" w:sz="4" w:space="0" w:color="auto"/>
              <w:bottom w:val="single" w:sz="4" w:space="0" w:color="auto"/>
              <w:right w:val="single" w:sz="4" w:space="0" w:color="auto"/>
            </w:tcBorders>
            <w:vAlign w:val="center"/>
          </w:tcPr>
          <w:p w:rsidR="00570C25" w:rsidRDefault="00570C25">
            <w:pPr>
              <w:jc w:val="center"/>
              <w:rPr>
                <w:b/>
                <w:bCs/>
              </w:rPr>
            </w:pPr>
          </w:p>
        </w:tc>
        <w:tc>
          <w:tcPr>
            <w:tcW w:w="1015" w:type="pct"/>
            <w:tcBorders>
              <w:top w:val="nil"/>
              <w:left w:val="single" w:sz="4" w:space="0" w:color="auto"/>
              <w:bottom w:val="single" w:sz="4" w:space="0" w:color="auto"/>
              <w:right w:val="single" w:sz="4" w:space="0" w:color="auto"/>
            </w:tcBorders>
            <w:vAlign w:val="center"/>
          </w:tcPr>
          <w:p w:rsidR="00570C25" w:rsidRDefault="00570C25">
            <w:pPr>
              <w:jc w:val="center"/>
              <w:rPr>
                <w:bCs/>
              </w:rPr>
            </w:pPr>
          </w:p>
        </w:tc>
        <w:tc>
          <w:tcPr>
            <w:tcW w:w="1250" w:type="pct"/>
            <w:tcBorders>
              <w:top w:val="nil"/>
              <w:left w:val="single" w:sz="4" w:space="0" w:color="auto"/>
              <w:bottom w:val="single" w:sz="4" w:space="0" w:color="auto"/>
              <w:right w:val="single" w:sz="4" w:space="0" w:color="auto"/>
            </w:tcBorders>
            <w:vAlign w:val="center"/>
          </w:tcPr>
          <w:p w:rsidR="00570C25" w:rsidRDefault="00570C25">
            <w:pPr>
              <w:jc w:val="center"/>
              <w:rPr>
                <w:bCs/>
              </w:rPr>
            </w:pPr>
          </w:p>
        </w:tc>
      </w:tr>
      <w:tr w:rsidR="00570C25" w:rsidTr="00570C25">
        <w:tc>
          <w:tcPr>
            <w:tcW w:w="624" w:type="pct"/>
            <w:tcBorders>
              <w:top w:val="single" w:sz="4" w:space="0" w:color="auto"/>
              <w:left w:val="single" w:sz="4" w:space="0" w:color="auto"/>
              <w:bottom w:val="single" w:sz="4" w:space="0" w:color="auto"/>
              <w:right w:val="single" w:sz="4" w:space="0" w:color="auto"/>
            </w:tcBorders>
            <w:vAlign w:val="center"/>
          </w:tcPr>
          <w:p w:rsidR="00570C25" w:rsidRDefault="00570C25">
            <w:pPr>
              <w:jc w:val="center"/>
            </w:pPr>
          </w:p>
          <w:p w:rsidR="00570C25" w:rsidRDefault="00570C25">
            <w:pPr>
              <w:jc w:val="center"/>
            </w:pPr>
            <w:r>
              <w:rPr>
                <w:lang w:val=""/>
              </w:rPr>
              <w:t>IM</w:t>
            </w:r>
          </w:p>
          <w:p w:rsidR="00570C25" w:rsidRDefault="00570C25">
            <w:pPr>
              <w:jc w:val="center"/>
              <w:rPr>
                <w:bCs/>
              </w:rPr>
            </w:pPr>
          </w:p>
        </w:tc>
        <w:tc>
          <w:tcPr>
            <w:tcW w:w="1094"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Cs/>
              </w:rPr>
            </w:pPr>
            <w:r>
              <w:rPr>
                <w:lang w:val=""/>
              </w:rPr>
              <w:t>0,40 mg/kg legemsvægt</w:t>
            </w:r>
          </w:p>
        </w:tc>
        <w:tc>
          <w:tcPr>
            <w:tcW w:w="1016"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Cs/>
              </w:rPr>
            </w:pPr>
            <w:r>
              <w:rPr>
                <w:b/>
                <w:bCs/>
                <w:lang w:val=""/>
              </w:rPr>
              <w:t>0,04 ml/kg legemsvægt</w:t>
            </w:r>
          </w:p>
        </w:tc>
        <w:tc>
          <w:tcPr>
            <w:tcW w:w="1015"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Cs/>
              </w:rPr>
            </w:pPr>
            <w:r>
              <w:rPr>
                <w:lang w:val=""/>
              </w:rPr>
              <w:t>0,08 mg/kg legemsvægt</w:t>
            </w:r>
          </w:p>
        </w:tc>
        <w:tc>
          <w:tcPr>
            <w:tcW w:w="1250"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Cs/>
              </w:rPr>
            </w:pPr>
            <w:r>
              <w:rPr>
                <w:lang w:val=""/>
              </w:rPr>
              <w:t>5,0 mg/kg legemsvægt*</w:t>
            </w:r>
          </w:p>
        </w:tc>
      </w:tr>
      <w:tr w:rsidR="00570C25" w:rsidTr="00570C25">
        <w:tc>
          <w:tcPr>
            <w:tcW w:w="624"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Cs/>
              </w:rPr>
            </w:pPr>
            <w:r>
              <w:rPr>
                <w:lang w:val=""/>
              </w:rPr>
              <w:t>IV</w:t>
            </w:r>
          </w:p>
        </w:tc>
        <w:tc>
          <w:tcPr>
            <w:tcW w:w="1094" w:type="pct"/>
            <w:tcBorders>
              <w:top w:val="single" w:sz="4" w:space="0" w:color="auto"/>
              <w:left w:val="single" w:sz="4" w:space="0" w:color="auto"/>
              <w:bottom w:val="single" w:sz="4" w:space="0" w:color="auto"/>
              <w:right w:val="single" w:sz="4" w:space="0" w:color="auto"/>
            </w:tcBorders>
            <w:vAlign w:val="center"/>
          </w:tcPr>
          <w:p w:rsidR="00570C25" w:rsidRDefault="00570C25">
            <w:pPr>
              <w:jc w:val="center"/>
            </w:pPr>
          </w:p>
          <w:p w:rsidR="00570C25" w:rsidRDefault="00570C25">
            <w:pPr>
              <w:jc w:val="center"/>
              <w:rPr>
                <w:bCs/>
              </w:rPr>
            </w:pPr>
            <w:r>
              <w:rPr>
                <w:lang w:val=""/>
              </w:rPr>
              <w:t>0,10 mg/kg legemsvægt</w:t>
            </w:r>
          </w:p>
        </w:tc>
        <w:tc>
          <w:tcPr>
            <w:tcW w:w="1016"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
                <w:bCs/>
              </w:rPr>
            </w:pPr>
            <w:r>
              <w:rPr>
                <w:b/>
                <w:bCs/>
                <w:lang w:val=""/>
              </w:rPr>
              <w:t>0,01 ml/kg legemsvægt</w:t>
            </w:r>
          </w:p>
        </w:tc>
        <w:tc>
          <w:tcPr>
            <w:tcW w:w="1015"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Cs/>
              </w:rPr>
            </w:pPr>
            <w:r>
              <w:rPr>
                <w:lang w:val=""/>
              </w:rPr>
              <w:t>0,04 mg/kg legemsvægt</w:t>
            </w:r>
          </w:p>
        </w:tc>
        <w:tc>
          <w:tcPr>
            <w:tcW w:w="1250" w:type="pct"/>
            <w:tcBorders>
              <w:top w:val="single" w:sz="4" w:space="0" w:color="auto"/>
              <w:left w:val="single" w:sz="4" w:space="0" w:color="auto"/>
              <w:bottom w:val="single" w:sz="4" w:space="0" w:color="auto"/>
              <w:right w:val="single" w:sz="4" w:space="0" w:color="auto"/>
            </w:tcBorders>
            <w:vAlign w:val="center"/>
            <w:hideMark/>
          </w:tcPr>
          <w:p w:rsidR="00570C25" w:rsidRDefault="00570C25">
            <w:pPr>
              <w:jc w:val="center"/>
              <w:rPr>
                <w:bCs/>
              </w:rPr>
            </w:pPr>
            <w:r>
              <w:rPr>
                <w:lang w:val=""/>
              </w:rPr>
              <w:t>1,25-2,50 mg/kg legemsvægt (afhængigt af den ønskede anæstesidybde)</w:t>
            </w:r>
          </w:p>
        </w:tc>
      </w:tr>
      <w:tr w:rsidR="00570C25" w:rsidTr="00570C25">
        <w:tc>
          <w:tcPr>
            <w:tcW w:w="624" w:type="pct"/>
            <w:tcBorders>
              <w:top w:val="single" w:sz="4" w:space="0" w:color="auto"/>
              <w:left w:val="single" w:sz="4" w:space="0" w:color="auto"/>
              <w:bottom w:val="single" w:sz="4" w:space="0" w:color="auto"/>
              <w:right w:val="single" w:sz="4" w:space="0" w:color="auto"/>
            </w:tcBorders>
            <w:hideMark/>
          </w:tcPr>
          <w:p w:rsidR="00570C25" w:rsidRDefault="00570C25">
            <w:pPr>
              <w:rPr>
                <w:lang w:val="en-US"/>
              </w:rPr>
            </w:pPr>
            <w:r>
              <w:rPr>
                <w:lang w:val=""/>
              </w:rPr>
              <w:t>Kommentar</w:t>
            </w:r>
          </w:p>
        </w:tc>
        <w:tc>
          <w:tcPr>
            <w:tcW w:w="4376" w:type="pct"/>
            <w:gridSpan w:val="4"/>
            <w:tcBorders>
              <w:top w:val="single" w:sz="4" w:space="0" w:color="auto"/>
              <w:left w:val="single" w:sz="4" w:space="0" w:color="auto"/>
              <w:bottom w:val="single" w:sz="4" w:space="0" w:color="auto"/>
              <w:right w:val="single" w:sz="4" w:space="0" w:color="auto"/>
            </w:tcBorders>
            <w:hideMark/>
          </w:tcPr>
          <w:p w:rsidR="00570C25" w:rsidRDefault="00570C25">
            <w:r>
              <w:rPr>
                <w:lang w:val=""/>
              </w:rPr>
              <w:t>Når forligelighed er accepteret, kan produkter med medetomidin, butorphanol og ketamin kombineres og administreres i samme sprøjte (se pkt. 6.2).</w:t>
            </w:r>
          </w:p>
        </w:tc>
      </w:tr>
    </w:tbl>
    <w:p w:rsidR="00570C25" w:rsidRDefault="00570C25" w:rsidP="00570C25">
      <w:pPr>
        <w:pStyle w:val="Brdtekstindrykning"/>
        <w:ind w:left="851" w:hanging="851"/>
        <w:jc w:val="both"/>
        <w:rPr>
          <w:b w:val="0"/>
          <w:i/>
          <w:sz w:val="24"/>
          <w:szCs w:val="24"/>
          <w:lang w:val="da-DK"/>
        </w:rPr>
      </w:pPr>
    </w:p>
    <w:p w:rsidR="00570C25" w:rsidRDefault="00570C25" w:rsidP="00570C25">
      <w:pPr>
        <w:pStyle w:val="Brdtekstindrykning"/>
        <w:ind w:left="851" w:firstLine="0"/>
        <w:rPr>
          <w:b w:val="0"/>
          <w:sz w:val="24"/>
          <w:szCs w:val="24"/>
          <w:lang w:val="da-DK"/>
        </w:rPr>
      </w:pPr>
      <w:r>
        <w:rPr>
          <w:b w:val="0"/>
          <w:sz w:val="24"/>
          <w:szCs w:val="24"/>
          <w:lang w:val=""/>
        </w:rPr>
        <w:t>Før dette produkt kombineres og administreres i samme sprøjte som et andet veterinærlægemiddel, skal afsnittet 'Uforligeligheder' (pkt. 6.2) altid læses.</w:t>
      </w:r>
    </w:p>
    <w:p w:rsidR="000B2EDA" w:rsidRDefault="00570C25" w:rsidP="00570C25">
      <w:pPr>
        <w:pStyle w:val="Brdtekstindrykning"/>
        <w:ind w:left="851" w:firstLine="0"/>
        <w:rPr>
          <w:b w:val="0"/>
          <w:sz w:val="24"/>
          <w:szCs w:val="24"/>
          <w:lang w:val=""/>
        </w:rPr>
      </w:pPr>
      <w:r w:rsidRPr="000B2EDA">
        <w:rPr>
          <w:b w:val="0"/>
          <w:sz w:val="24"/>
          <w:szCs w:val="24"/>
          <w:lang w:val=""/>
        </w:rPr>
        <w:t>Det maksimale antal hætteglaspunkturer med en kanylestørrelse på 21G og 23G bør ikke overstige 100, og når en kanylestørrelse på 18G anvendes, bør det ikke overstige 40.</w:t>
      </w:r>
    </w:p>
    <w:p w:rsidR="000B2EDA" w:rsidRPr="000B2EDA" w:rsidRDefault="000B2EDA" w:rsidP="00570C25">
      <w:pPr>
        <w:pStyle w:val="Brdtekstindrykning"/>
        <w:ind w:left="851" w:firstLine="0"/>
        <w:rPr>
          <w:b w:val="0"/>
          <w:sz w:val="24"/>
          <w:szCs w:val="24"/>
          <w:lang w:val=""/>
        </w:rPr>
      </w:pPr>
    </w:p>
    <w:p w:rsidR="000B2EDA" w:rsidRDefault="000B2EDA" w:rsidP="000B2EDA">
      <w:pPr>
        <w:rPr>
          <w:sz w:val="24"/>
          <w:szCs w:val="24"/>
          <w:u w:val="single"/>
          <w:lang w:val="en-US"/>
        </w:rPr>
      </w:pPr>
      <w:r>
        <w:rPr>
          <w:sz w:val="24"/>
          <w:szCs w:val="24"/>
          <w:u w:val="single"/>
          <w:lang w:val=""/>
        </w:rPr>
        <w:t>Hest</w:t>
      </w:r>
    </w:p>
    <w:p w:rsidR="000B2EDA" w:rsidRDefault="000B2EDA" w:rsidP="000B2EDA">
      <w:pPr>
        <w:pStyle w:val="Brdtekstindrykning"/>
        <w:ind w:left="0" w:firstLine="0"/>
        <w:jc w:val="both"/>
        <w:rPr>
          <w:b w:val="0"/>
          <w:sz w:val="24"/>
          <w:szCs w:val="24"/>
        </w:rPr>
      </w:pPr>
      <w:r>
        <w:rPr>
          <w:b w:val="0"/>
          <w:i/>
          <w:iCs/>
          <w:sz w:val="24"/>
          <w:szCs w:val="24"/>
          <w:lang w:val=""/>
        </w:rPr>
        <w:t>Til analgesi:</w:t>
      </w:r>
    </w:p>
    <w:p w:rsidR="000B2EDA" w:rsidRDefault="000B2EDA" w:rsidP="000B2EDA">
      <w:pPr>
        <w:ind w:left="851" w:hanging="851"/>
        <w:rPr>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5"/>
        <w:gridCol w:w="3351"/>
        <w:gridCol w:w="4672"/>
      </w:tblGrid>
      <w:tr w:rsidR="000B2EDA" w:rsidTr="005C3F62">
        <w:trPr>
          <w:trHeight w:val="501"/>
          <w:jc w:val="center"/>
        </w:trPr>
        <w:tc>
          <w:tcPr>
            <w:tcW w:w="834" w:type="pct"/>
            <w:tcBorders>
              <w:top w:val="single" w:sz="4" w:space="0" w:color="auto"/>
              <w:left w:val="single" w:sz="4" w:space="0" w:color="auto"/>
              <w:bottom w:val="nil"/>
              <w:right w:val="single" w:sz="4" w:space="0" w:color="auto"/>
            </w:tcBorders>
            <w:vAlign w:val="center"/>
            <w:hideMark/>
          </w:tcPr>
          <w:p w:rsidR="000B2EDA" w:rsidRDefault="000B2EDA" w:rsidP="005C3F62">
            <w:r>
              <w:rPr>
                <w:lang w:val=""/>
              </w:rPr>
              <w:t>Indgivelsesvej</w:t>
            </w:r>
          </w:p>
        </w:tc>
        <w:tc>
          <w:tcPr>
            <w:tcW w:w="1740" w:type="pct"/>
            <w:tcBorders>
              <w:top w:val="single" w:sz="4" w:space="0" w:color="auto"/>
              <w:left w:val="single" w:sz="4" w:space="0" w:color="auto"/>
              <w:bottom w:val="nil"/>
              <w:right w:val="single" w:sz="4" w:space="0" w:color="auto"/>
            </w:tcBorders>
            <w:vAlign w:val="center"/>
            <w:hideMark/>
          </w:tcPr>
          <w:p w:rsidR="000B2EDA" w:rsidRDefault="000B2EDA" w:rsidP="005C3F62">
            <w:pPr>
              <w:jc w:val="center"/>
            </w:pPr>
            <w:r>
              <w:rPr>
                <w:lang w:val=""/>
              </w:rPr>
              <w:t>Dosis butorphanol</w:t>
            </w:r>
          </w:p>
        </w:tc>
        <w:tc>
          <w:tcPr>
            <w:tcW w:w="2426" w:type="pct"/>
            <w:tcBorders>
              <w:top w:val="single" w:sz="4" w:space="0" w:color="auto"/>
              <w:left w:val="single" w:sz="4" w:space="0" w:color="auto"/>
              <w:bottom w:val="nil"/>
              <w:right w:val="single" w:sz="4" w:space="0" w:color="auto"/>
            </w:tcBorders>
            <w:vAlign w:val="center"/>
            <w:hideMark/>
          </w:tcPr>
          <w:p w:rsidR="000B2EDA" w:rsidRDefault="000B2EDA" w:rsidP="005C3F62">
            <w:pPr>
              <w:jc w:val="center"/>
              <w:rPr>
                <w:b/>
              </w:rPr>
            </w:pPr>
            <w:r>
              <w:rPr>
                <w:b/>
                <w:bCs/>
                <w:lang w:val=""/>
              </w:rPr>
              <w:t>Dosis produkt</w:t>
            </w:r>
          </w:p>
        </w:tc>
      </w:tr>
      <w:tr w:rsidR="000B2EDA" w:rsidTr="005C3F62">
        <w:trPr>
          <w:jc w:val="center"/>
        </w:trPr>
        <w:tc>
          <w:tcPr>
            <w:tcW w:w="834" w:type="pct"/>
            <w:tcBorders>
              <w:top w:val="nil"/>
              <w:left w:val="single" w:sz="2" w:space="0" w:color="auto"/>
              <w:bottom w:val="single" w:sz="2" w:space="0" w:color="auto"/>
              <w:right w:val="single" w:sz="2" w:space="0" w:color="auto"/>
            </w:tcBorders>
            <w:vAlign w:val="center"/>
          </w:tcPr>
          <w:p w:rsidR="000B2EDA" w:rsidRDefault="000B2EDA" w:rsidP="005C3F62"/>
        </w:tc>
        <w:tc>
          <w:tcPr>
            <w:tcW w:w="1740" w:type="pct"/>
            <w:tcBorders>
              <w:top w:val="nil"/>
              <w:left w:val="single" w:sz="2" w:space="0" w:color="auto"/>
              <w:bottom w:val="single" w:sz="2" w:space="0" w:color="auto"/>
              <w:right w:val="single" w:sz="2" w:space="0" w:color="auto"/>
            </w:tcBorders>
            <w:vAlign w:val="center"/>
          </w:tcPr>
          <w:p w:rsidR="000B2EDA" w:rsidRDefault="000B2EDA" w:rsidP="005C3F62">
            <w:pPr>
              <w:jc w:val="center"/>
            </w:pPr>
          </w:p>
        </w:tc>
        <w:tc>
          <w:tcPr>
            <w:tcW w:w="2426" w:type="pct"/>
            <w:tcBorders>
              <w:top w:val="nil"/>
              <w:left w:val="single" w:sz="2" w:space="0" w:color="auto"/>
              <w:bottom w:val="single" w:sz="2" w:space="0" w:color="auto"/>
              <w:right w:val="single" w:sz="2" w:space="0" w:color="auto"/>
            </w:tcBorders>
            <w:vAlign w:val="center"/>
          </w:tcPr>
          <w:p w:rsidR="000B2EDA" w:rsidRDefault="000B2EDA" w:rsidP="005C3F62">
            <w:pPr>
              <w:jc w:val="center"/>
              <w:rPr>
                <w:b/>
              </w:rPr>
            </w:pPr>
          </w:p>
        </w:tc>
      </w:tr>
      <w:tr w:rsidR="000B2EDA" w:rsidTr="005C3F62">
        <w:trPr>
          <w:jc w:val="center"/>
        </w:trPr>
        <w:tc>
          <w:tcPr>
            <w:tcW w:w="834" w:type="pct"/>
            <w:tcBorders>
              <w:top w:val="single" w:sz="2" w:space="0" w:color="auto"/>
              <w:left w:val="single" w:sz="4" w:space="0" w:color="auto"/>
              <w:bottom w:val="single" w:sz="2" w:space="0" w:color="auto"/>
              <w:right w:val="single" w:sz="4" w:space="0" w:color="auto"/>
            </w:tcBorders>
            <w:vAlign w:val="center"/>
          </w:tcPr>
          <w:p w:rsidR="000B2EDA" w:rsidRDefault="000B2EDA" w:rsidP="005C3F62">
            <w:pPr>
              <w:jc w:val="center"/>
            </w:pPr>
          </w:p>
          <w:p w:rsidR="000B2EDA" w:rsidRDefault="000B2EDA" w:rsidP="005C3F62">
            <w:pPr>
              <w:jc w:val="center"/>
            </w:pPr>
            <w:r>
              <w:rPr>
                <w:lang w:val=""/>
              </w:rPr>
              <w:t>IV</w:t>
            </w:r>
          </w:p>
          <w:p w:rsidR="000B2EDA" w:rsidRDefault="000B2EDA" w:rsidP="005C3F62"/>
        </w:tc>
        <w:tc>
          <w:tcPr>
            <w:tcW w:w="1740" w:type="pct"/>
            <w:tcBorders>
              <w:top w:val="single" w:sz="2" w:space="0" w:color="auto"/>
              <w:left w:val="single" w:sz="4" w:space="0" w:color="auto"/>
              <w:bottom w:val="single" w:sz="2" w:space="0" w:color="auto"/>
              <w:right w:val="single" w:sz="4" w:space="0" w:color="auto"/>
            </w:tcBorders>
            <w:vAlign w:val="center"/>
          </w:tcPr>
          <w:p w:rsidR="000B2EDA" w:rsidRDefault="000B2EDA" w:rsidP="005C3F62">
            <w:pPr>
              <w:jc w:val="center"/>
            </w:pPr>
          </w:p>
          <w:p w:rsidR="000B2EDA" w:rsidRDefault="000B2EDA" w:rsidP="005C3F62">
            <w:pPr>
              <w:jc w:val="center"/>
            </w:pPr>
            <w:r>
              <w:rPr>
                <w:lang w:val=""/>
              </w:rPr>
              <w:t>0,10 mg/kg legemsvægt</w:t>
            </w:r>
          </w:p>
          <w:p w:rsidR="000B2EDA" w:rsidRDefault="000B2EDA" w:rsidP="005C3F62">
            <w:pPr>
              <w:jc w:val="center"/>
            </w:pPr>
          </w:p>
        </w:tc>
        <w:tc>
          <w:tcPr>
            <w:tcW w:w="2426" w:type="pct"/>
            <w:tcBorders>
              <w:top w:val="single" w:sz="2" w:space="0" w:color="auto"/>
              <w:left w:val="single" w:sz="4" w:space="0" w:color="auto"/>
              <w:bottom w:val="single" w:sz="2" w:space="0" w:color="auto"/>
              <w:right w:val="single" w:sz="4" w:space="0" w:color="auto"/>
            </w:tcBorders>
            <w:vAlign w:val="center"/>
          </w:tcPr>
          <w:p w:rsidR="000B2EDA" w:rsidRDefault="000B2EDA" w:rsidP="005C3F62">
            <w:pPr>
              <w:jc w:val="center"/>
              <w:rPr>
                <w:b/>
              </w:rPr>
            </w:pPr>
          </w:p>
          <w:p w:rsidR="000B2EDA" w:rsidRDefault="000B2EDA" w:rsidP="005C3F62">
            <w:pPr>
              <w:jc w:val="center"/>
              <w:rPr>
                <w:b/>
              </w:rPr>
            </w:pPr>
            <w:r>
              <w:rPr>
                <w:b/>
                <w:bCs/>
                <w:lang w:val=""/>
              </w:rPr>
              <w:t>1 ml/100 kg legemsvægt</w:t>
            </w:r>
          </w:p>
          <w:p w:rsidR="000B2EDA" w:rsidRDefault="000B2EDA" w:rsidP="005C3F62">
            <w:pPr>
              <w:jc w:val="center"/>
              <w:rPr>
                <w:b/>
              </w:rPr>
            </w:pPr>
          </w:p>
          <w:p w:rsidR="000B2EDA" w:rsidRDefault="000B2EDA" w:rsidP="005C3F62">
            <w:pPr>
              <w:jc w:val="center"/>
            </w:pPr>
          </w:p>
        </w:tc>
      </w:tr>
      <w:tr w:rsidR="000B2EDA" w:rsidTr="005C3F62">
        <w:trPr>
          <w:jc w:val="center"/>
        </w:trPr>
        <w:tc>
          <w:tcPr>
            <w:tcW w:w="834" w:type="pct"/>
            <w:tcBorders>
              <w:top w:val="single" w:sz="2" w:space="0" w:color="auto"/>
              <w:left w:val="single" w:sz="4" w:space="0" w:color="auto"/>
              <w:bottom w:val="single" w:sz="4" w:space="0" w:color="auto"/>
              <w:right w:val="single" w:sz="4" w:space="0" w:color="auto"/>
            </w:tcBorders>
            <w:hideMark/>
          </w:tcPr>
          <w:p w:rsidR="000B2EDA" w:rsidRDefault="000B2EDA" w:rsidP="005C3F62">
            <w:r>
              <w:rPr>
                <w:lang w:val=""/>
              </w:rPr>
              <w:t>Kommentar</w:t>
            </w:r>
          </w:p>
        </w:tc>
        <w:tc>
          <w:tcPr>
            <w:tcW w:w="4166" w:type="pct"/>
            <w:gridSpan w:val="2"/>
            <w:tcBorders>
              <w:top w:val="single" w:sz="2" w:space="0" w:color="auto"/>
              <w:left w:val="single" w:sz="4" w:space="0" w:color="auto"/>
              <w:bottom w:val="single" w:sz="4" w:space="0" w:color="auto"/>
              <w:right w:val="single" w:sz="4" w:space="0" w:color="auto"/>
            </w:tcBorders>
            <w:hideMark/>
          </w:tcPr>
          <w:p w:rsidR="000B2EDA" w:rsidRDefault="000B2EDA" w:rsidP="005C3F62">
            <w:r>
              <w:rPr>
                <w:lang w:val=""/>
              </w:rPr>
              <w:t>Den analgetiske virkning indtræder inden for 15 minutter efter injektionen.</w:t>
            </w:r>
          </w:p>
          <w:p w:rsidR="000B2EDA" w:rsidRDefault="000B2EDA" w:rsidP="005C3F62">
            <w:pPr>
              <w:rPr>
                <w:b/>
              </w:rPr>
            </w:pPr>
            <w:r>
              <w:rPr>
                <w:lang w:val=""/>
              </w:rPr>
              <w:t>Dosen kan gentages efter behov.</w:t>
            </w:r>
          </w:p>
        </w:tc>
      </w:tr>
    </w:tbl>
    <w:p w:rsidR="000B2EDA" w:rsidRDefault="000B2EDA" w:rsidP="000B2EDA">
      <w:pPr>
        <w:pStyle w:val="Brdtekstindrykning"/>
        <w:ind w:left="851" w:hanging="851"/>
        <w:jc w:val="both"/>
        <w:rPr>
          <w:b w:val="0"/>
          <w:i/>
          <w:sz w:val="24"/>
          <w:szCs w:val="24"/>
          <w:lang w:val="da-DK"/>
        </w:rPr>
      </w:pPr>
    </w:p>
    <w:p w:rsidR="000B2EDA" w:rsidRDefault="000B2EDA" w:rsidP="000B2EDA">
      <w:pPr>
        <w:pStyle w:val="Brdtekstindrykning"/>
        <w:ind w:left="851" w:hanging="851"/>
        <w:jc w:val="both"/>
        <w:rPr>
          <w:b w:val="0"/>
          <w:i/>
          <w:sz w:val="24"/>
          <w:szCs w:val="24"/>
          <w:lang w:val="da-DK"/>
        </w:rPr>
      </w:pPr>
      <w:r>
        <w:rPr>
          <w:b w:val="0"/>
          <w:i/>
          <w:iCs/>
          <w:sz w:val="24"/>
          <w:szCs w:val="24"/>
          <w:lang w:val=""/>
        </w:rPr>
        <w:t>Til sedation i kombination med detomidinhydrochlorid: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2430"/>
        <w:gridCol w:w="1937"/>
        <w:gridCol w:w="3655"/>
      </w:tblGrid>
      <w:tr w:rsidR="000B2EDA" w:rsidTr="005C3F62">
        <w:trPr>
          <w:trHeight w:val="505"/>
        </w:trPr>
        <w:tc>
          <w:tcPr>
            <w:tcW w:w="834" w:type="pct"/>
            <w:tcBorders>
              <w:top w:val="single" w:sz="4" w:space="0" w:color="auto"/>
              <w:left w:val="single" w:sz="4" w:space="0" w:color="auto"/>
              <w:bottom w:val="nil"/>
              <w:right w:val="single" w:sz="4" w:space="0" w:color="auto"/>
            </w:tcBorders>
            <w:vAlign w:val="center"/>
            <w:hideMark/>
          </w:tcPr>
          <w:p w:rsidR="000B2EDA" w:rsidRDefault="000B2EDA" w:rsidP="005C3F62">
            <w:r>
              <w:rPr>
                <w:lang w:val=""/>
              </w:rPr>
              <w:t>Indgivelsesvej</w:t>
            </w:r>
          </w:p>
        </w:tc>
        <w:tc>
          <w:tcPr>
            <w:tcW w:w="1262" w:type="pct"/>
            <w:tcBorders>
              <w:top w:val="single" w:sz="4" w:space="0" w:color="auto"/>
              <w:left w:val="single" w:sz="4" w:space="0" w:color="auto"/>
              <w:bottom w:val="nil"/>
              <w:right w:val="single" w:sz="4" w:space="0" w:color="auto"/>
            </w:tcBorders>
            <w:vAlign w:val="center"/>
          </w:tcPr>
          <w:p w:rsidR="000B2EDA" w:rsidRDefault="000B2EDA" w:rsidP="005C3F62">
            <w:pPr>
              <w:jc w:val="center"/>
            </w:pPr>
            <w:r>
              <w:rPr>
                <w:lang w:val=""/>
              </w:rPr>
              <w:t>Dosis af detomidinhydrochlorid</w:t>
            </w:r>
          </w:p>
          <w:p w:rsidR="000B2EDA" w:rsidRDefault="000B2EDA" w:rsidP="005C3F62">
            <w:pPr>
              <w:jc w:val="center"/>
            </w:pPr>
          </w:p>
        </w:tc>
        <w:tc>
          <w:tcPr>
            <w:tcW w:w="1006" w:type="pct"/>
            <w:tcBorders>
              <w:top w:val="single" w:sz="4" w:space="0" w:color="auto"/>
              <w:left w:val="single" w:sz="4" w:space="0" w:color="auto"/>
              <w:bottom w:val="nil"/>
              <w:right w:val="single" w:sz="4" w:space="0" w:color="auto"/>
            </w:tcBorders>
            <w:vAlign w:val="center"/>
            <w:hideMark/>
          </w:tcPr>
          <w:p w:rsidR="000B2EDA" w:rsidRDefault="000B2EDA" w:rsidP="005C3F62">
            <w:pPr>
              <w:jc w:val="center"/>
            </w:pPr>
            <w:r>
              <w:rPr>
                <w:lang w:val=""/>
              </w:rPr>
              <w:t>Dosis butorphanol*</w:t>
            </w:r>
          </w:p>
        </w:tc>
        <w:tc>
          <w:tcPr>
            <w:tcW w:w="1898" w:type="pct"/>
            <w:tcBorders>
              <w:top w:val="single" w:sz="4" w:space="0" w:color="auto"/>
              <w:left w:val="single" w:sz="4" w:space="0" w:color="auto"/>
              <w:bottom w:val="nil"/>
              <w:right w:val="single" w:sz="4" w:space="0" w:color="auto"/>
            </w:tcBorders>
            <w:vAlign w:val="center"/>
            <w:hideMark/>
          </w:tcPr>
          <w:p w:rsidR="000B2EDA" w:rsidRDefault="000B2EDA" w:rsidP="005C3F62">
            <w:pPr>
              <w:jc w:val="center"/>
              <w:rPr>
                <w:b/>
              </w:rPr>
            </w:pPr>
            <w:r>
              <w:rPr>
                <w:b/>
                <w:bCs/>
                <w:lang w:val=""/>
              </w:rPr>
              <w:t>Dosis produkt</w:t>
            </w:r>
          </w:p>
        </w:tc>
      </w:tr>
      <w:tr w:rsidR="000B2EDA" w:rsidTr="005C3F62">
        <w:trPr>
          <w:trHeight w:val="490"/>
        </w:trPr>
        <w:tc>
          <w:tcPr>
            <w:tcW w:w="834" w:type="pct"/>
            <w:tcBorders>
              <w:top w:val="single" w:sz="2" w:space="0" w:color="auto"/>
              <w:left w:val="single" w:sz="4" w:space="0" w:color="auto"/>
              <w:bottom w:val="single" w:sz="2" w:space="0" w:color="auto"/>
              <w:right w:val="single" w:sz="4" w:space="0" w:color="auto"/>
            </w:tcBorders>
            <w:vAlign w:val="center"/>
          </w:tcPr>
          <w:p w:rsidR="000B2EDA" w:rsidRDefault="000B2EDA" w:rsidP="005C3F62"/>
          <w:p w:rsidR="000B2EDA" w:rsidRDefault="000B2EDA" w:rsidP="005C3F62">
            <w:pPr>
              <w:jc w:val="center"/>
            </w:pPr>
            <w:r>
              <w:rPr>
                <w:lang w:val=""/>
              </w:rPr>
              <w:t>IV</w:t>
            </w:r>
          </w:p>
          <w:p w:rsidR="000B2EDA" w:rsidRDefault="000B2EDA" w:rsidP="005C3F62"/>
        </w:tc>
        <w:tc>
          <w:tcPr>
            <w:tcW w:w="1262" w:type="pct"/>
            <w:tcBorders>
              <w:top w:val="single" w:sz="2" w:space="0" w:color="auto"/>
              <w:left w:val="single" w:sz="4" w:space="0" w:color="auto"/>
              <w:bottom w:val="single" w:sz="2" w:space="0" w:color="auto"/>
              <w:right w:val="single" w:sz="4" w:space="0" w:color="auto"/>
            </w:tcBorders>
            <w:vAlign w:val="center"/>
            <w:hideMark/>
          </w:tcPr>
          <w:p w:rsidR="000B2EDA" w:rsidRDefault="000B2EDA" w:rsidP="005C3F62">
            <w:pPr>
              <w:jc w:val="center"/>
            </w:pPr>
            <w:r>
              <w:rPr>
                <w:lang w:val=""/>
              </w:rPr>
              <w:t>0,012 mg/kg legemsvægt</w:t>
            </w:r>
          </w:p>
        </w:tc>
        <w:tc>
          <w:tcPr>
            <w:tcW w:w="1006" w:type="pct"/>
            <w:tcBorders>
              <w:top w:val="single" w:sz="2" w:space="0" w:color="auto"/>
              <w:left w:val="single" w:sz="4" w:space="0" w:color="auto"/>
              <w:bottom w:val="single" w:sz="2" w:space="0" w:color="auto"/>
              <w:right w:val="single" w:sz="4" w:space="0" w:color="auto"/>
            </w:tcBorders>
            <w:vAlign w:val="center"/>
            <w:hideMark/>
          </w:tcPr>
          <w:p w:rsidR="000B2EDA" w:rsidRDefault="000B2EDA" w:rsidP="005C3F62">
            <w:pPr>
              <w:jc w:val="center"/>
            </w:pPr>
            <w:r>
              <w:rPr>
                <w:lang w:val=""/>
              </w:rPr>
              <w:t>0,025 mg/kg legemsvægt</w:t>
            </w:r>
          </w:p>
        </w:tc>
        <w:tc>
          <w:tcPr>
            <w:tcW w:w="1898" w:type="pct"/>
            <w:tcBorders>
              <w:top w:val="single" w:sz="2" w:space="0" w:color="auto"/>
              <w:left w:val="single" w:sz="4" w:space="0" w:color="auto"/>
              <w:bottom w:val="single" w:sz="2" w:space="0" w:color="auto"/>
              <w:right w:val="single" w:sz="4" w:space="0" w:color="auto"/>
            </w:tcBorders>
            <w:vAlign w:val="center"/>
            <w:hideMark/>
          </w:tcPr>
          <w:p w:rsidR="000B2EDA" w:rsidRDefault="000B2EDA" w:rsidP="005C3F62">
            <w:pPr>
              <w:jc w:val="center"/>
              <w:rPr>
                <w:b/>
              </w:rPr>
            </w:pPr>
            <w:r>
              <w:rPr>
                <w:b/>
                <w:bCs/>
                <w:lang w:val=""/>
              </w:rPr>
              <w:t>0,25 ml/100 kg legemsvægt</w:t>
            </w:r>
          </w:p>
        </w:tc>
      </w:tr>
      <w:tr w:rsidR="000B2EDA" w:rsidTr="005C3F62">
        <w:trPr>
          <w:trHeight w:val="490"/>
        </w:trPr>
        <w:tc>
          <w:tcPr>
            <w:tcW w:w="834" w:type="pct"/>
            <w:tcBorders>
              <w:top w:val="single" w:sz="2" w:space="0" w:color="auto"/>
              <w:left w:val="single" w:sz="4" w:space="0" w:color="auto"/>
              <w:bottom w:val="single" w:sz="2" w:space="0" w:color="auto"/>
              <w:right w:val="single" w:sz="4" w:space="0" w:color="auto"/>
            </w:tcBorders>
            <w:vAlign w:val="center"/>
            <w:hideMark/>
          </w:tcPr>
          <w:p w:rsidR="000B2EDA" w:rsidRDefault="000B2EDA" w:rsidP="005C3F62">
            <w:r>
              <w:rPr>
                <w:lang w:val=""/>
              </w:rPr>
              <w:t>Kommentar</w:t>
            </w:r>
          </w:p>
        </w:tc>
        <w:tc>
          <w:tcPr>
            <w:tcW w:w="4166" w:type="pct"/>
            <w:gridSpan w:val="3"/>
            <w:tcBorders>
              <w:top w:val="single" w:sz="2" w:space="0" w:color="auto"/>
              <w:left w:val="single" w:sz="4" w:space="0" w:color="auto"/>
              <w:bottom w:val="single" w:sz="2" w:space="0" w:color="auto"/>
              <w:right w:val="single" w:sz="4" w:space="0" w:color="auto"/>
            </w:tcBorders>
            <w:vAlign w:val="center"/>
            <w:hideMark/>
          </w:tcPr>
          <w:p w:rsidR="000B2EDA" w:rsidRDefault="000B2EDA" w:rsidP="005C3F62">
            <w:r>
              <w:rPr>
                <w:lang w:val=""/>
              </w:rPr>
              <w:t>Detomidin bør administreres op til 5 minutter før butorphanoldosen.</w:t>
            </w:r>
          </w:p>
        </w:tc>
      </w:tr>
    </w:tbl>
    <w:p w:rsidR="000B2EDA" w:rsidRDefault="000B2EDA" w:rsidP="000B2EDA">
      <w:pPr>
        <w:pStyle w:val="Brdtekstindrykning"/>
        <w:ind w:left="851" w:hanging="851"/>
        <w:rPr>
          <w:b w:val="0"/>
          <w:sz w:val="24"/>
          <w:szCs w:val="24"/>
          <w:lang w:val="da-DK"/>
        </w:rPr>
      </w:pPr>
      <w:r>
        <w:rPr>
          <w:b w:val="0"/>
          <w:sz w:val="24"/>
          <w:szCs w:val="24"/>
          <w:lang w:val=""/>
        </w:rPr>
        <w:t>*Kliniske erfaringer har vist, at en total dosisrate på 5 mg detomidinhydrochlorid og</w:t>
      </w:r>
    </w:p>
    <w:p w:rsidR="000B2EDA" w:rsidRDefault="000B2EDA" w:rsidP="000B2EDA">
      <w:pPr>
        <w:pStyle w:val="Brdtekstindrykning"/>
        <w:ind w:left="851" w:hanging="851"/>
        <w:jc w:val="both"/>
        <w:rPr>
          <w:b w:val="0"/>
          <w:sz w:val="24"/>
          <w:szCs w:val="24"/>
          <w:lang w:val=""/>
        </w:rPr>
      </w:pPr>
      <w:r>
        <w:rPr>
          <w:b w:val="0"/>
          <w:sz w:val="24"/>
          <w:szCs w:val="24"/>
          <w:lang w:val=""/>
        </w:rPr>
        <w:t>10 mg butorphanol giver en effektiv, sikker sedation hos heste med en legemsvægt på over 200 kg.</w:t>
      </w:r>
    </w:p>
    <w:p w:rsidR="000B2EDA" w:rsidRDefault="000B2EDA" w:rsidP="000B2EDA">
      <w:pPr>
        <w:pStyle w:val="Brdtekstindrykning"/>
        <w:ind w:left="851" w:hanging="851"/>
        <w:jc w:val="both"/>
        <w:rPr>
          <w:b w:val="0"/>
          <w:sz w:val="24"/>
          <w:szCs w:val="24"/>
          <w:lang w:val="da-DK"/>
        </w:rPr>
      </w:pPr>
    </w:p>
    <w:p w:rsidR="000B2EDA" w:rsidRDefault="000B2EDA" w:rsidP="000B2EDA">
      <w:pPr>
        <w:pStyle w:val="Brdtekstindrykning"/>
        <w:ind w:left="851" w:hanging="851"/>
        <w:jc w:val="both"/>
        <w:rPr>
          <w:b w:val="0"/>
          <w:i/>
          <w:sz w:val="24"/>
          <w:szCs w:val="24"/>
          <w:lang w:val="da-DK"/>
        </w:rPr>
      </w:pPr>
      <w:r>
        <w:rPr>
          <w:b w:val="0"/>
          <w:i/>
          <w:iCs/>
          <w:sz w:val="24"/>
          <w:szCs w:val="24"/>
          <w:lang w:val=""/>
        </w:rPr>
        <w:t>Til sedation i kombination med romifidin: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2082"/>
        <w:gridCol w:w="2110"/>
        <w:gridCol w:w="3830"/>
      </w:tblGrid>
      <w:tr w:rsidR="000B2EDA" w:rsidTr="005C3F62">
        <w:trPr>
          <w:trHeight w:val="505"/>
        </w:trPr>
        <w:tc>
          <w:tcPr>
            <w:tcW w:w="834" w:type="pct"/>
            <w:tcBorders>
              <w:top w:val="single" w:sz="4" w:space="0" w:color="auto"/>
              <w:left w:val="single" w:sz="4" w:space="0" w:color="auto"/>
              <w:bottom w:val="nil"/>
              <w:right w:val="single" w:sz="4" w:space="0" w:color="auto"/>
            </w:tcBorders>
            <w:vAlign w:val="center"/>
            <w:hideMark/>
          </w:tcPr>
          <w:p w:rsidR="000B2EDA" w:rsidRDefault="000B2EDA" w:rsidP="005C3F62">
            <w:pPr>
              <w:rPr>
                <w:lang w:val="en-US"/>
              </w:rPr>
            </w:pPr>
            <w:r>
              <w:rPr>
                <w:lang w:val=""/>
              </w:rPr>
              <w:t>Indgivelsesvej</w:t>
            </w:r>
          </w:p>
        </w:tc>
        <w:tc>
          <w:tcPr>
            <w:tcW w:w="1081" w:type="pct"/>
            <w:tcBorders>
              <w:top w:val="single" w:sz="4" w:space="0" w:color="auto"/>
              <w:left w:val="single" w:sz="4" w:space="0" w:color="auto"/>
              <w:bottom w:val="nil"/>
              <w:right w:val="single" w:sz="4" w:space="0" w:color="auto"/>
            </w:tcBorders>
            <w:vAlign w:val="center"/>
            <w:hideMark/>
          </w:tcPr>
          <w:p w:rsidR="000B2EDA" w:rsidRDefault="000B2EDA" w:rsidP="005C3F62">
            <w:pPr>
              <w:jc w:val="center"/>
            </w:pPr>
            <w:r>
              <w:rPr>
                <w:lang w:val=""/>
              </w:rPr>
              <w:t>Dosis af romifidin</w:t>
            </w:r>
          </w:p>
        </w:tc>
        <w:tc>
          <w:tcPr>
            <w:tcW w:w="1096" w:type="pct"/>
            <w:tcBorders>
              <w:top w:val="single" w:sz="4" w:space="0" w:color="auto"/>
              <w:left w:val="single" w:sz="4" w:space="0" w:color="auto"/>
              <w:bottom w:val="nil"/>
              <w:right w:val="single" w:sz="4" w:space="0" w:color="auto"/>
            </w:tcBorders>
            <w:vAlign w:val="center"/>
            <w:hideMark/>
          </w:tcPr>
          <w:p w:rsidR="000B2EDA" w:rsidRDefault="000B2EDA" w:rsidP="005C3F62">
            <w:pPr>
              <w:jc w:val="center"/>
            </w:pPr>
            <w:r>
              <w:rPr>
                <w:lang w:val=""/>
              </w:rPr>
              <w:t>Dosis butorphanol</w:t>
            </w:r>
          </w:p>
        </w:tc>
        <w:tc>
          <w:tcPr>
            <w:tcW w:w="1989" w:type="pct"/>
            <w:tcBorders>
              <w:top w:val="single" w:sz="4" w:space="0" w:color="auto"/>
              <w:left w:val="single" w:sz="4" w:space="0" w:color="auto"/>
              <w:bottom w:val="nil"/>
              <w:right w:val="single" w:sz="4" w:space="0" w:color="auto"/>
            </w:tcBorders>
            <w:vAlign w:val="center"/>
            <w:hideMark/>
          </w:tcPr>
          <w:p w:rsidR="000B2EDA" w:rsidRDefault="000B2EDA" w:rsidP="005C3F62">
            <w:pPr>
              <w:jc w:val="center"/>
              <w:rPr>
                <w:b/>
              </w:rPr>
            </w:pPr>
            <w:r>
              <w:rPr>
                <w:b/>
                <w:bCs/>
                <w:lang w:val=""/>
              </w:rPr>
              <w:t>Dosis produkt</w:t>
            </w:r>
          </w:p>
        </w:tc>
      </w:tr>
      <w:tr w:rsidR="000B2EDA" w:rsidTr="005C3F62">
        <w:trPr>
          <w:trHeight w:val="490"/>
        </w:trPr>
        <w:tc>
          <w:tcPr>
            <w:tcW w:w="834" w:type="pct"/>
            <w:tcBorders>
              <w:top w:val="single" w:sz="2" w:space="0" w:color="auto"/>
              <w:left w:val="single" w:sz="4" w:space="0" w:color="auto"/>
              <w:bottom w:val="single" w:sz="2" w:space="0" w:color="auto"/>
              <w:right w:val="single" w:sz="4" w:space="0" w:color="auto"/>
            </w:tcBorders>
            <w:vAlign w:val="center"/>
            <w:hideMark/>
          </w:tcPr>
          <w:p w:rsidR="000B2EDA" w:rsidRDefault="000B2EDA" w:rsidP="005C3F62">
            <w:pPr>
              <w:jc w:val="center"/>
            </w:pPr>
            <w:r>
              <w:rPr>
                <w:lang w:val=""/>
              </w:rPr>
              <w:t>IV</w:t>
            </w:r>
          </w:p>
        </w:tc>
        <w:tc>
          <w:tcPr>
            <w:tcW w:w="1081" w:type="pct"/>
            <w:tcBorders>
              <w:top w:val="single" w:sz="2" w:space="0" w:color="auto"/>
              <w:left w:val="single" w:sz="4" w:space="0" w:color="auto"/>
              <w:bottom w:val="single" w:sz="2" w:space="0" w:color="auto"/>
              <w:right w:val="single" w:sz="4" w:space="0" w:color="auto"/>
            </w:tcBorders>
            <w:vAlign w:val="center"/>
            <w:hideMark/>
          </w:tcPr>
          <w:p w:rsidR="000B2EDA" w:rsidRDefault="000B2EDA" w:rsidP="005C3F62">
            <w:pPr>
              <w:jc w:val="center"/>
            </w:pPr>
            <w:r>
              <w:rPr>
                <w:lang w:val=""/>
              </w:rPr>
              <w:t>0,04-0,12 mg/kg legemsvægt</w:t>
            </w:r>
          </w:p>
        </w:tc>
        <w:tc>
          <w:tcPr>
            <w:tcW w:w="1096" w:type="pct"/>
            <w:tcBorders>
              <w:top w:val="single" w:sz="2" w:space="0" w:color="auto"/>
              <w:left w:val="single" w:sz="4" w:space="0" w:color="auto"/>
              <w:bottom w:val="single" w:sz="2" w:space="0" w:color="auto"/>
              <w:right w:val="single" w:sz="4" w:space="0" w:color="auto"/>
            </w:tcBorders>
            <w:vAlign w:val="center"/>
            <w:hideMark/>
          </w:tcPr>
          <w:p w:rsidR="000B2EDA" w:rsidRDefault="000B2EDA" w:rsidP="005C3F62">
            <w:pPr>
              <w:jc w:val="center"/>
            </w:pPr>
            <w:r>
              <w:rPr>
                <w:lang w:val=""/>
              </w:rPr>
              <w:t>0,02 mg/kg legemsvægt</w:t>
            </w:r>
          </w:p>
        </w:tc>
        <w:tc>
          <w:tcPr>
            <w:tcW w:w="1989" w:type="pct"/>
            <w:tcBorders>
              <w:top w:val="single" w:sz="2" w:space="0" w:color="auto"/>
              <w:left w:val="single" w:sz="4" w:space="0" w:color="auto"/>
              <w:bottom w:val="single" w:sz="2" w:space="0" w:color="auto"/>
              <w:right w:val="single" w:sz="4" w:space="0" w:color="auto"/>
            </w:tcBorders>
            <w:vAlign w:val="center"/>
            <w:hideMark/>
          </w:tcPr>
          <w:p w:rsidR="000B2EDA" w:rsidRDefault="000B2EDA" w:rsidP="005C3F62">
            <w:pPr>
              <w:jc w:val="center"/>
              <w:rPr>
                <w:b/>
              </w:rPr>
            </w:pPr>
            <w:r>
              <w:rPr>
                <w:b/>
                <w:bCs/>
                <w:lang w:val=""/>
              </w:rPr>
              <w:t>0,2 ml/100 kg legemsvægt</w:t>
            </w:r>
          </w:p>
        </w:tc>
      </w:tr>
      <w:tr w:rsidR="000B2EDA" w:rsidTr="005C3F62">
        <w:trPr>
          <w:trHeight w:val="490"/>
        </w:trPr>
        <w:tc>
          <w:tcPr>
            <w:tcW w:w="834" w:type="pct"/>
            <w:tcBorders>
              <w:top w:val="single" w:sz="2" w:space="0" w:color="auto"/>
              <w:left w:val="single" w:sz="4" w:space="0" w:color="auto"/>
              <w:bottom w:val="single" w:sz="2" w:space="0" w:color="auto"/>
              <w:right w:val="single" w:sz="4" w:space="0" w:color="auto"/>
            </w:tcBorders>
            <w:vAlign w:val="center"/>
            <w:hideMark/>
          </w:tcPr>
          <w:p w:rsidR="000B2EDA" w:rsidRDefault="000B2EDA" w:rsidP="005C3F62">
            <w:r>
              <w:rPr>
                <w:lang w:val=""/>
              </w:rPr>
              <w:t>Kommentar</w:t>
            </w:r>
          </w:p>
        </w:tc>
        <w:tc>
          <w:tcPr>
            <w:tcW w:w="4166" w:type="pct"/>
            <w:gridSpan w:val="3"/>
            <w:tcBorders>
              <w:top w:val="single" w:sz="2" w:space="0" w:color="auto"/>
              <w:left w:val="single" w:sz="4" w:space="0" w:color="auto"/>
              <w:bottom w:val="single" w:sz="2" w:space="0" w:color="auto"/>
              <w:right w:val="single" w:sz="4" w:space="0" w:color="auto"/>
            </w:tcBorders>
            <w:vAlign w:val="center"/>
            <w:hideMark/>
          </w:tcPr>
          <w:p w:rsidR="000B2EDA" w:rsidRDefault="000B2EDA" w:rsidP="005C3F62">
            <w:r>
              <w:rPr>
                <w:lang w:val=""/>
              </w:rPr>
              <w:t>Romifidin bør administreres op til 5 minutter før butorphanoldosen.</w:t>
            </w:r>
          </w:p>
        </w:tc>
      </w:tr>
    </w:tbl>
    <w:p w:rsidR="000B2EDA" w:rsidRDefault="000B2EDA" w:rsidP="000B2EDA">
      <w:pPr>
        <w:pStyle w:val="Brdtekstindrykning"/>
        <w:ind w:left="851" w:hanging="851"/>
        <w:rPr>
          <w:b w:val="0"/>
          <w:sz w:val="24"/>
          <w:szCs w:val="24"/>
          <w:lang w:val="da-DK"/>
        </w:rPr>
      </w:pP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A3CEB">
        <w:rPr>
          <w:b/>
          <w:sz w:val="24"/>
          <w:szCs w:val="24"/>
        </w:rPr>
        <w:t>4.10</w:t>
      </w:r>
      <w:r w:rsidRPr="008A3CEB">
        <w:rPr>
          <w:b/>
          <w:sz w:val="24"/>
          <w:szCs w:val="24"/>
        </w:rPr>
        <w:tab/>
        <w:t>Overdosering</w:t>
      </w:r>
    </w:p>
    <w:p w:rsidR="00145194" w:rsidRPr="008A3CEB" w:rsidRDefault="00145194" w:rsidP="00145194">
      <w:pPr>
        <w:ind w:left="851"/>
        <w:rPr>
          <w:sz w:val="24"/>
          <w:szCs w:val="24"/>
        </w:rPr>
      </w:pPr>
      <w:r w:rsidRPr="008A3CEB">
        <w:rPr>
          <w:sz w:val="24"/>
          <w:szCs w:val="24"/>
          <w:lang w:val=""/>
        </w:rPr>
        <w:t xml:space="preserve">Det vigtigste symptom på overdosering er respirationsdepression, som kan modvirkes med naloxon. </w:t>
      </w:r>
    </w:p>
    <w:p w:rsidR="00145194" w:rsidRPr="008A3CEB" w:rsidRDefault="00145194" w:rsidP="00145194">
      <w:pPr>
        <w:ind w:left="851" w:hanging="851"/>
        <w:rPr>
          <w:sz w:val="24"/>
          <w:szCs w:val="24"/>
        </w:rPr>
      </w:pPr>
    </w:p>
    <w:p w:rsidR="00145194" w:rsidRPr="008A3CEB" w:rsidRDefault="00145194" w:rsidP="00145194">
      <w:pPr>
        <w:ind w:left="851"/>
        <w:rPr>
          <w:sz w:val="24"/>
          <w:szCs w:val="24"/>
        </w:rPr>
      </w:pPr>
      <w:r w:rsidRPr="008A3CEB">
        <w:rPr>
          <w:sz w:val="24"/>
          <w:szCs w:val="24"/>
          <w:lang w:val=""/>
        </w:rPr>
        <w:t>Den sedative virkning af kombinationer med butorphanol/alfa-2-adrenoceptoragonister kan modvirkes med atipamezol. Det kan være nødvendigt med højere doser atipamezol til at modvirke de kardiopulmonale virkninger af disse kombinationer. Atipamezol bør ikke anvendes til hunde, som behandles med en kombination af butorphanol, medetomidin og ketamin intramuskulært for at frembringe anæstesi.</w:t>
      </w:r>
    </w:p>
    <w:p w:rsidR="00145194" w:rsidRPr="008A3CEB" w:rsidRDefault="00145194" w:rsidP="00145194">
      <w:pPr>
        <w:ind w:left="851"/>
        <w:rPr>
          <w:sz w:val="24"/>
          <w:szCs w:val="24"/>
        </w:rPr>
      </w:pPr>
      <w:r w:rsidRPr="008A3CEB">
        <w:rPr>
          <w:sz w:val="24"/>
          <w:szCs w:val="24"/>
          <w:lang w:val=""/>
        </w:rPr>
        <w:t>Andre tegn på overdosering hos heste kan være rastløshed/ekscitation, muskeltremor, ataksi, hypersalivation, nedsat motilitet i mave-tarm-kanalen og kramper. Hos katte er de hyppigste tegn på overdosering manglende koordinationsevne, salivation og milde konvulsioner.</w:t>
      </w:r>
    </w:p>
    <w:p w:rsidR="00145194" w:rsidRPr="008A3CEB" w:rsidRDefault="00145194" w:rsidP="00145194">
      <w:pPr>
        <w:ind w:left="851" w:hanging="851"/>
        <w:rPr>
          <w:sz w:val="24"/>
          <w:szCs w:val="24"/>
        </w:rPr>
      </w:pPr>
    </w:p>
    <w:p w:rsidR="000B2EDA" w:rsidRDefault="000B2EDA">
      <w:pPr>
        <w:rPr>
          <w:b/>
          <w:sz w:val="24"/>
          <w:szCs w:val="24"/>
        </w:rPr>
      </w:pPr>
      <w:r>
        <w:rPr>
          <w:b/>
          <w:sz w:val="24"/>
          <w:szCs w:val="24"/>
        </w:rPr>
        <w:br w:type="page"/>
      </w:r>
    </w:p>
    <w:p w:rsidR="00145194" w:rsidRPr="008A3CEB" w:rsidRDefault="00145194" w:rsidP="00145194">
      <w:pPr>
        <w:ind w:left="851" w:hanging="851"/>
        <w:rPr>
          <w:b/>
          <w:sz w:val="24"/>
          <w:szCs w:val="24"/>
        </w:rPr>
      </w:pPr>
      <w:r w:rsidRPr="008A3CEB">
        <w:rPr>
          <w:b/>
          <w:sz w:val="24"/>
          <w:szCs w:val="24"/>
        </w:rPr>
        <w:t>4.11</w:t>
      </w:r>
      <w:r w:rsidRPr="008A3CEB">
        <w:rPr>
          <w:b/>
          <w:sz w:val="24"/>
          <w:szCs w:val="24"/>
        </w:rPr>
        <w:tab/>
        <w:t>Tilbageholdelsestid</w:t>
      </w:r>
    </w:p>
    <w:p w:rsidR="00145194" w:rsidRPr="008A3CEB" w:rsidRDefault="00145194" w:rsidP="00145194">
      <w:pPr>
        <w:ind w:left="851"/>
        <w:rPr>
          <w:bCs/>
          <w:sz w:val="24"/>
          <w:szCs w:val="24"/>
        </w:rPr>
      </w:pPr>
      <w:r>
        <w:rPr>
          <w:sz w:val="24"/>
          <w:szCs w:val="24"/>
          <w:lang w:val=""/>
        </w:rPr>
        <w:t>Slagtning</w:t>
      </w:r>
      <w:r w:rsidRPr="008A3CEB">
        <w:rPr>
          <w:sz w:val="24"/>
          <w:szCs w:val="24"/>
          <w:lang w:val=""/>
        </w:rPr>
        <w:t xml:space="preserve">: </w:t>
      </w:r>
      <w:r>
        <w:rPr>
          <w:sz w:val="24"/>
          <w:szCs w:val="24"/>
          <w:lang w:val=""/>
        </w:rPr>
        <w:t>0</w:t>
      </w:r>
      <w:r w:rsidRPr="008A3CEB">
        <w:rPr>
          <w:sz w:val="24"/>
          <w:szCs w:val="24"/>
          <w:lang w:val=""/>
        </w:rPr>
        <w:t xml:space="preserve"> dage</w:t>
      </w:r>
    </w:p>
    <w:p w:rsidR="00145194" w:rsidRPr="008A3CEB" w:rsidRDefault="00145194" w:rsidP="00145194">
      <w:pPr>
        <w:ind w:left="851"/>
        <w:rPr>
          <w:bCs/>
          <w:sz w:val="24"/>
          <w:szCs w:val="24"/>
        </w:rPr>
      </w:pPr>
      <w:r>
        <w:rPr>
          <w:sz w:val="24"/>
          <w:szCs w:val="24"/>
          <w:lang w:val=""/>
        </w:rPr>
        <w:t>Må ikke anvendes til dyr, hvis mælk er bestemt til</w:t>
      </w:r>
      <w:r w:rsidRPr="008A3CEB">
        <w:rPr>
          <w:sz w:val="24"/>
          <w:szCs w:val="24"/>
          <w:lang w:val=""/>
        </w:rPr>
        <w:t xml:space="preserve"> menneskeføde.</w:t>
      </w:r>
    </w:p>
    <w:p w:rsidR="00145194" w:rsidRPr="008A3CEB" w:rsidRDefault="00145194" w:rsidP="00145194">
      <w:pPr>
        <w:pStyle w:val="Sidehoved"/>
        <w:tabs>
          <w:tab w:val="clear" w:pos="4819"/>
          <w:tab w:val="clear" w:pos="9638"/>
        </w:tabs>
        <w:ind w:left="851" w:hanging="851"/>
        <w:rPr>
          <w:szCs w:val="24"/>
        </w:rPr>
      </w:pP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B0D6D">
        <w:rPr>
          <w:b/>
          <w:sz w:val="24"/>
          <w:szCs w:val="24"/>
        </w:rPr>
        <w:t>5.</w:t>
      </w:r>
      <w:r w:rsidRPr="008B0D6D">
        <w:rPr>
          <w:b/>
          <w:sz w:val="24"/>
          <w:szCs w:val="24"/>
        </w:rPr>
        <w:tab/>
        <w:t>FARMAKOLOGISKE EGENSKABER</w:t>
      </w:r>
    </w:p>
    <w:p w:rsidR="00145194" w:rsidRPr="008A3CEB" w:rsidRDefault="00145194" w:rsidP="00145194">
      <w:pPr>
        <w:ind w:left="851" w:hanging="851"/>
        <w:rPr>
          <w:sz w:val="24"/>
          <w:szCs w:val="24"/>
        </w:rPr>
      </w:pPr>
    </w:p>
    <w:p w:rsidR="00145194" w:rsidRPr="008A3CEB" w:rsidRDefault="00145194" w:rsidP="00145194">
      <w:pPr>
        <w:autoSpaceDE w:val="0"/>
        <w:autoSpaceDN w:val="0"/>
        <w:adjustRightInd w:val="0"/>
        <w:ind w:left="851"/>
        <w:rPr>
          <w:sz w:val="24"/>
          <w:szCs w:val="24"/>
        </w:rPr>
      </w:pPr>
      <w:r w:rsidRPr="008A3CEB">
        <w:rPr>
          <w:b/>
          <w:bCs/>
          <w:i/>
          <w:iCs/>
          <w:sz w:val="24"/>
          <w:szCs w:val="24"/>
          <w:lang w:val=""/>
        </w:rPr>
        <w:t>Farmakoterapeutisk gruppe:</w:t>
      </w:r>
      <w:r w:rsidRPr="008A3CEB">
        <w:rPr>
          <w:sz w:val="24"/>
          <w:szCs w:val="24"/>
          <w:lang w:val=""/>
        </w:rPr>
        <w:t xml:space="preserve"> Analgetika, opioider, morphinanderivater</w:t>
      </w:r>
    </w:p>
    <w:p w:rsidR="00145194" w:rsidRPr="008A3CEB" w:rsidRDefault="00145194" w:rsidP="00145194">
      <w:pPr>
        <w:pStyle w:val="Slutnotetekst"/>
        <w:tabs>
          <w:tab w:val="clear" w:pos="567"/>
        </w:tabs>
        <w:spacing w:line="260" w:lineRule="exact"/>
        <w:ind w:left="851"/>
        <w:rPr>
          <w:sz w:val="24"/>
          <w:szCs w:val="24"/>
          <w:lang w:val="da-DK"/>
        </w:rPr>
      </w:pPr>
      <w:r w:rsidRPr="008A3CEB">
        <w:rPr>
          <w:b/>
          <w:bCs/>
          <w:i/>
          <w:iCs/>
          <w:sz w:val="24"/>
          <w:szCs w:val="24"/>
          <w:lang w:val=""/>
        </w:rPr>
        <w:t>ATCvet-kode:</w:t>
      </w:r>
      <w:r w:rsidRPr="008A3CEB">
        <w:rPr>
          <w:sz w:val="24"/>
          <w:szCs w:val="24"/>
          <w:lang w:val=""/>
        </w:rPr>
        <w:t xml:space="preserve"> QN</w:t>
      </w:r>
      <w:r>
        <w:rPr>
          <w:sz w:val="24"/>
          <w:szCs w:val="24"/>
          <w:lang w:val=""/>
        </w:rPr>
        <w:t xml:space="preserve"> </w:t>
      </w:r>
      <w:r w:rsidRPr="008A3CEB">
        <w:rPr>
          <w:sz w:val="24"/>
          <w:szCs w:val="24"/>
          <w:lang w:val=""/>
        </w:rPr>
        <w:t>02</w:t>
      </w:r>
      <w:r>
        <w:rPr>
          <w:sz w:val="24"/>
          <w:szCs w:val="24"/>
          <w:lang w:val=""/>
        </w:rPr>
        <w:t xml:space="preserve"> </w:t>
      </w:r>
      <w:r w:rsidRPr="008A3CEB">
        <w:rPr>
          <w:sz w:val="24"/>
          <w:szCs w:val="24"/>
          <w:lang w:val=""/>
        </w:rPr>
        <w:t>AF</w:t>
      </w:r>
      <w:r>
        <w:rPr>
          <w:sz w:val="24"/>
          <w:szCs w:val="24"/>
          <w:lang w:val=""/>
        </w:rPr>
        <w:t xml:space="preserve"> </w:t>
      </w:r>
      <w:r w:rsidRPr="008A3CEB">
        <w:rPr>
          <w:sz w:val="24"/>
          <w:szCs w:val="24"/>
          <w:lang w:val=""/>
        </w:rPr>
        <w:t>01</w:t>
      </w: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B0D6D">
        <w:rPr>
          <w:b/>
          <w:sz w:val="24"/>
          <w:szCs w:val="24"/>
        </w:rPr>
        <w:t>5.1</w:t>
      </w:r>
      <w:r w:rsidRPr="008B0D6D">
        <w:rPr>
          <w:b/>
          <w:sz w:val="24"/>
          <w:szCs w:val="24"/>
        </w:rPr>
        <w:tab/>
      </w:r>
      <w:proofErr w:type="spellStart"/>
      <w:r w:rsidRPr="008B0D6D">
        <w:rPr>
          <w:b/>
          <w:sz w:val="24"/>
          <w:szCs w:val="24"/>
        </w:rPr>
        <w:t>Farmakodynamiske</w:t>
      </w:r>
      <w:proofErr w:type="spellEnd"/>
      <w:r w:rsidRPr="008B0D6D">
        <w:rPr>
          <w:b/>
          <w:sz w:val="24"/>
          <w:szCs w:val="24"/>
        </w:rPr>
        <w:t xml:space="preserve"> egenskaber</w:t>
      </w:r>
    </w:p>
    <w:p w:rsidR="00145194" w:rsidRPr="008A3CEB" w:rsidRDefault="00145194" w:rsidP="00145194">
      <w:pPr>
        <w:autoSpaceDE w:val="0"/>
        <w:autoSpaceDN w:val="0"/>
        <w:adjustRightInd w:val="0"/>
        <w:ind w:left="851"/>
        <w:rPr>
          <w:sz w:val="24"/>
          <w:szCs w:val="24"/>
        </w:rPr>
      </w:pPr>
      <w:r w:rsidRPr="008A3CEB">
        <w:rPr>
          <w:sz w:val="24"/>
          <w:szCs w:val="24"/>
          <w:lang w:val=""/>
        </w:rPr>
        <w:t>Butorphanol er et centralt virkende opioidanalgetikum med agonist-antagonist-aktivitet ved opioidreceptorer i centralnervesystemet. Aktivering af opioidreceptorer er forbundet med ændringer i ionledningsevnen og G-proteininteraktioner, hvilket fører til, at smerte</w:t>
      </w:r>
      <w:r>
        <w:rPr>
          <w:sz w:val="24"/>
          <w:szCs w:val="24"/>
          <w:lang w:val=""/>
        </w:rPr>
        <w:softHyphen/>
      </w:r>
      <w:r w:rsidRPr="008A3CEB">
        <w:rPr>
          <w:sz w:val="24"/>
          <w:szCs w:val="24"/>
          <w:lang w:val=""/>
        </w:rPr>
        <w:t xml:space="preserve">transmissionen hæmmes. Butorphanol har agonistaktivitet i kappa-opioidreceptorsubtypen (κ) og antagonistaktivitet ved my-opiodreceptorsubtypen (µ). Agonistkomponenten i butorphanols aktivitet er 10 gange stærkere end antagonistkomponenten. </w:t>
      </w:r>
    </w:p>
    <w:p w:rsidR="00145194" w:rsidRPr="008A3CEB" w:rsidRDefault="00145194" w:rsidP="00145194">
      <w:pPr>
        <w:autoSpaceDE w:val="0"/>
        <w:autoSpaceDN w:val="0"/>
        <w:adjustRightInd w:val="0"/>
        <w:ind w:left="851"/>
        <w:rPr>
          <w:sz w:val="24"/>
          <w:szCs w:val="24"/>
          <w:lang w:val=""/>
        </w:rPr>
      </w:pPr>
      <w:r w:rsidRPr="008A3CEB">
        <w:rPr>
          <w:sz w:val="24"/>
          <w:szCs w:val="24"/>
          <w:lang w:val=""/>
        </w:rPr>
        <w:t>Butorphanol som eneste stof giver dosisafhængig analgesi og kan også forårsage sedation (heste og hunde). Butorphanol i kombination med visse alfa-2-adrenoceptoragonister resulterer i dyb sedation, og i kombination med visse alfa-2-adrenoceptoragonister og ketamin resulterer det i anæstesi.</w:t>
      </w:r>
    </w:p>
    <w:p w:rsidR="00145194" w:rsidRPr="008A3CEB" w:rsidRDefault="00145194" w:rsidP="00145194">
      <w:pPr>
        <w:autoSpaceDE w:val="0"/>
        <w:autoSpaceDN w:val="0"/>
        <w:adjustRightInd w:val="0"/>
        <w:ind w:left="851"/>
        <w:rPr>
          <w:sz w:val="24"/>
          <w:szCs w:val="24"/>
        </w:rPr>
      </w:pPr>
      <w:r w:rsidRPr="008A3CEB">
        <w:rPr>
          <w:sz w:val="24"/>
          <w:szCs w:val="24"/>
          <w:lang w:val=""/>
        </w:rPr>
        <w:t>Indtræden og varighed af analgesi:</w:t>
      </w:r>
    </w:p>
    <w:p w:rsidR="00145194" w:rsidRPr="008A3CEB" w:rsidRDefault="00145194" w:rsidP="00145194">
      <w:pPr>
        <w:autoSpaceDE w:val="0"/>
        <w:autoSpaceDN w:val="0"/>
        <w:adjustRightInd w:val="0"/>
        <w:spacing w:line="240" w:lineRule="atLeast"/>
        <w:ind w:left="851"/>
        <w:rPr>
          <w:sz w:val="24"/>
          <w:szCs w:val="24"/>
          <w:lang w:val=""/>
        </w:rPr>
      </w:pPr>
      <w:r w:rsidRPr="008A3CEB">
        <w:rPr>
          <w:sz w:val="24"/>
          <w:szCs w:val="24"/>
          <w:lang w:val=""/>
        </w:rPr>
        <w:t xml:space="preserve">Analgesi indtræder generelt inden for 15 minutter efter intravenøs administration. Efter en enkelt intravenøs dosis hos heste varer analgesien sædvanligvis 15-60 minutter. </w:t>
      </w: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B0D6D">
        <w:rPr>
          <w:b/>
          <w:sz w:val="24"/>
          <w:szCs w:val="24"/>
        </w:rPr>
        <w:t>5.2</w:t>
      </w:r>
      <w:r w:rsidRPr="008B0D6D">
        <w:rPr>
          <w:b/>
          <w:sz w:val="24"/>
          <w:szCs w:val="24"/>
        </w:rPr>
        <w:tab/>
      </w:r>
      <w:proofErr w:type="spellStart"/>
      <w:r w:rsidRPr="008B0D6D">
        <w:rPr>
          <w:b/>
          <w:sz w:val="24"/>
          <w:szCs w:val="24"/>
        </w:rPr>
        <w:t>Farmakokinetiske</w:t>
      </w:r>
      <w:proofErr w:type="spellEnd"/>
      <w:r w:rsidRPr="008B0D6D">
        <w:rPr>
          <w:b/>
          <w:sz w:val="24"/>
          <w:szCs w:val="24"/>
        </w:rPr>
        <w:t xml:space="preserve"> egenskaber</w:t>
      </w:r>
    </w:p>
    <w:p w:rsidR="00145194" w:rsidRPr="008A3CEB" w:rsidRDefault="00145194" w:rsidP="00145194">
      <w:pPr>
        <w:autoSpaceDE w:val="0"/>
        <w:autoSpaceDN w:val="0"/>
        <w:adjustRightInd w:val="0"/>
        <w:ind w:left="851"/>
        <w:rPr>
          <w:sz w:val="24"/>
          <w:szCs w:val="24"/>
        </w:rPr>
      </w:pPr>
      <w:r w:rsidRPr="008A3CEB">
        <w:rPr>
          <w:sz w:val="24"/>
          <w:szCs w:val="24"/>
          <w:lang w:val=""/>
        </w:rPr>
        <w:t>Fordelingsvolumen efter intravenøs injektion er stort, hvilket tyder på bred fordeling i vævene. Fordelingsvolumen er 7,4 l/kg hos katte og 4,4 l/kg hos hunde. Butorphanol metaboliseres omfattende i leveren og udskilles hovedsageligt i urinen.</w:t>
      </w:r>
    </w:p>
    <w:p w:rsidR="00145194" w:rsidRPr="008A3CEB" w:rsidRDefault="00145194" w:rsidP="00145194">
      <w:pPr>
        <w:autoSpaceDE w:val="0"/>
        <w:autoSpaceDN w:val="0"/>
        <w:adjustRightInd w:val="0"/>
        <w:ind w:left="851" w:hanging="851"/>
        <w:rPr>
          <w:sz w:val="24"/>
          <w:szCs w:val="24"/>
        </w:rPr>
      </w:pPr>
    </w:p>
    <w:p w:rsidR="00145194" w:rsidRPr="008A3CEB" w:rsidRDefault="00145194" w:rsidP="00145194">
      <w:pPr>
        <w:autoSpaceDE w:val="0"/>
        <w:autoSpaceDN w:val="0"/>
        <w:adjustRightInd w:val="0"/>
        <w:ind w:left="851"/>
        <w:rPr>
          <w:sz w:val="24"/>
          <w:szCs w:val="24"/>
        </w:rPr>
      </w:pPr>
      <w:r w:rsidRPr="008A3CEB">
        <w:rPr>
          <w:sz w:val="24"/>
          <w:szCs w:val="24"/>
          <w:lang w:val=""/>
        </w:rPr>
        <w:t xml:space="preserve">Hos hunde har butorphanol efter intramuskulær administration en høj clearance (omkring 3,5 l/kg/time) og en kort halveringstid (gennemsnitligt &lt; 2 timer). Det indikerer, at gennemsnitligt 97 % af en intramuskulær dosis elimineres på mindre end 10 timer. </w:t>
      </w:r>
    </w:p>
    <w:p w:rsidR="00145194" w:rsidRPr="008A3CEB" w:rsidRDefault="00145194" w:rsidP="00145194">
      <w:pPr>
        <w:autoSpaceDE w:val="0"/>
        <w:autoSpaceDN w:val="0"/>
        <w:adjustRightInd w:val="0"/>
        <w:ind w:left="851" w:hanging="851"/>
        <w:rPr>
          <w:sz w:val="24"/>
          <w:szCs w:val="24"/>
        </w:rPr>
      </w:pPr>
    </w:p>
    <w:p w:rsidR="00145194" w:rsidRDefault="00145194" w:rsidP="00145194">
      <w:pPr>
        <w:autoSpaceDE w:val="0"/>
        <w:autoSpaceDN w:val="0"/>
        <w:adjustRightInd w:val="0"/>
        <w:ind w:left="851"/>
        <w:rPr>
          <w:sz w:val="24"/>
          <w:szCs w:val="24"/>
          <w:lang w:val=""/>
        </w:rPr>
      </w:pPr>
      <w:r w:rsidRPr="008A3CEB">
        <w:rPr>
          <w:sz w:val="24"/>
          <w:szCs w:val="24"/>
          <w:lang w:val=""/>
        </w:rPr>
        <w:t>Hos katte har butorphanol efter subkutan administration en relativt lang halveringstid (omkring 6 timer). Det indikerer, at gennemsnitligt 97 % af en subkutan dosis elimineres på omkring 30 timer.</w:t>
      </w:r>
    </w:p>
    <w:p w:rsidR="000B2EDA" w:rsidRDefault="000B2EDA" w:rsidP="00145194">
      <w:pPr>
        <w:autoSpaceDE w:val="0"/>
        <w:autoSpaceDN w:val="0"/>
        <w:adjustRightInd w:val="0"/>
        <w:ind w:left="851"/>
        <w:rPr>
          <w:sz w:val="24"/>
          <w:szCs w:val="24"/>
        </w:rPr>
      </w:pPr>
    </w:p>
    <w:p w:rsidR="000B2EDA" w:rsidRPr="008A3CEB" w:rsidRDefault="000B2EDA" w:rsidP="00145194">
      <w:pPr>
        <w:autoSpaceDE w:val="0"/>
        <w:autoSpaceDN w:val="0"/>
        <w:adjustRightInd w:val="0"/>
        <w:ind w:left="851"/>
        <w:rPr>
          <w:sz w:val="24"/>
          <w:szCs w:val="24"/>
        </w:rPr>
      </w:pPr>
      <w:r>
        <w:rPr>
          <w:sz w:val="24"/>
          <w:szCs w:val="24"/>
          <w:lang w:val=""/>
        </w:rPr>
        <w:t>Hos heste har butorphanol efter intravenøs administration en høj clearance (gennemsnitligt 1,3 l/kg/time) og en kort halveringstid (gennemsnitligt &lt; 1 time). Det indikerer, at gennemsnitligt 97 % af en intravenøs dosis elimineres på mindre end 5 timer.</w:t>
      </w: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A3CEB">
        <w:rPr>
          <w:b/>
          <w:sz w:val="24"/>
          <w:szCs w:val="24"/>
        </w:rPr>
        <w:t>5.3</w:t>
      </w:r>
      <w:r w:rsidRPr="008A3CEB">
        <w:rPr>
          <w:b/>
          <w:sz w:val="24"/>
          <w:szCs w:val="24"/>
        </w:rPr>
        <w:tab/>
        <w:t>Miljømæssige forhold</w:t>
      </w:r>
    </w:p>
    <w:p w:rsidR="00145194" w:rsidRPr="008A3CEB" w:rsidRDefault="00145194" w:rsidP="00145194">
      <w:pPr>
        <w:ind w:left="851"/>
        <w:rPr>
          <w:sz w:val="24"/>
          <w:szCs w:val="24"/>
        </w:rPr>
      </w:pPr>
      <w:r w:rsidRPr="008A3CEB">
        <w:rPr>
          <w:sz w:val="24"/>
          <w:szCs w:val="24"/>
        </w:rPr>
        <w:t>-</w:t>
      </w:r>
    </w:p>
    <w:p w:rsidR="00145194" w:rsidRPr="008A3CEB" w:rsidRDefault="00145194" w:rsidP="00145194">
      <w:pPr>
        <w:ind w:left="851" w:hanging="851"/>
        <w:rPr>
          <w:sz w:val="24"/>
          <w:szCs w:val="24"/>
        </w:rPr>
      </w:pPr>
    </w:p>
    <w:p w:rsidR="000B2EDA" w:rsidRDefault="000B2EDA">
      <w:pPr>
        <w:rPr>
          <w:sz w:val="24"/>
          <w:szCs w:val="24"/>
        </w:rPr>
      </w:pPr>
      <w:r>
        <w:rPr>
          <w:sz w:val="24"/>
          <w:szCs w:val="24"/>
        </w:rPr>
        <w:br w:type="page"/>
      </w: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A3CEB">
        <w:rPr>
          <w:b/>
          <w:sz w:val="24"/>
          <w:szCs w:val="24"/>
        </w:rPr>
        <w:t>6.</w:t>
      </w:r>
      <w:r w:rsidRPr="008A3CEB">
        <w:rPr>
          <w:b/>
          <w:sz w:val="24"/>
          <w:szCs w:val="24"/>
        </w:rPr>
        <w:tab/>
        <w:t>FARMACEUTISKE OPLYSNINGER</w:t>
      </w: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A3CEB">
        <w:rPr>
          <w:b/>
          <w:sz w:val="24"/>
          <w:szCs w:val="24"/>
        </w:rPr>
        <w:t>6.1</w:t>
      </w:r>
      <w:r w:rsidRPr="008A3CEB">
        <w:rPr>
          <w:b/>
          <w:sz w:val="24"/>
          <w:szCs w:val="24"/>
        </w:rPr>
        <w:tab/>
        <w:t>Hjælpestoffer</w:t>
      </w:r>
    </w:p>
    <w:p w:rsidR="00145194" w:rsidRPr="008A3CEB" w:rsidRDefault="00145194" w:rsidP="00145194">
      <w:pPr>
        <w:ind w:left="851"/>
        <w:rPr>
          <w:b/>
          <w:sz w:val="24"/>
          <w:szCs w:val="24"/>
        </w:rPr>
      </w:pPr>
      <w:r w:rsidRPr="008A3CEB">
        <w:rPr>
          <w:sz w:val="24"/>
          <w:szCs w:val="24"/>
          <w:lang w:val=""/>
        </w:rPr>
        <w:t>Benzethoniumchlorid</w:t>
      </w:r>
    </w:p>
    <w:p w:rsidR="00145194" w:rsidRPr="008A3CEB" w:rsidRDefault="00145194" w:rsidP="00145194">
      <w:pPr>
        <w:ind w:left="851"/>
        <w:rPr>
          <w:b/>
          <w:sz w:val="24"/>
          <w:szCs w:val="24"/>
        </w:rPr>
      </w:pPr>
      <w:r w:rsidRPr="008A3CEB">
        <w:rPr>
          <w:sz w:val="24"/>
          <w:szCs w:val="24"/>
          <w:lang w:val=""/>
        </w:rPr>
        <w:t>Citronsyre</w:t>
      </w:r>
    </w:p>
    <w:p w:rsidR="00145194" w:rsidRPr="008A3CEB" w:rsidRDefault="00145194" w:rsidP="00145194">
      <w:pPr>
        <w:ind w:left="851"/>
        <w:rPr>
          <w:b/>
          <w:sz w:val="24"/>
          <w:szCs w:val="24"/>
        </w:rPr>
      </w:pPr>
      <w:r w:rsidRPr="008A3CEB">
        <w:rPr>
          <w:sz w:val="24"/>
          <w:szCs w:val="24"/>
          <w:lang w:val=""/>
        </w:rPr>
        <w:t>Natriumcitrat</w:t>
      </w:r>
    </w:p>
    <w:p w:rsidR="00145194" w:rsidRPr="008A3CEB" w:rsidRDefault="00145194" w:rsidP="00145194">
      <w:pPr>
        <w:ind w:left="851"/>
        <w:rPr>
          <w:b/>
          <w:sz w:val="24"/>
          <w:szCs w:val="24"/>
        </w:rPr>
      </w:pPr>
      <w:r w:rsidRPr="008A3CEB">
        <w:rPr>
          <w:sz w:val="24"/>
          <w:szCs w:val="24"/>
          <w:lang w:val=""/>
        </w:rPr>
        <w:t>Natriumchlorid</w:t>
      </w:r>
    </w:p>
    <w:p w:rsidR="00145194" w:rsidRPr="008A3CEB" w:rsidRDefault="00145194" w:rsidP="00145194">
      <w:pPr>
        <w:ind w:left="851"/>
        <w:rPr>
          <w:sz w:val="24"/>
          <w:szCs w:val="24"/>
        </w:rPr>
      </w:pPr>
      <w:r w:rsidRPr="008A3CEB">
        <w:rPr>
          <w:sz w:val="24"/>
          <w:szCs w:val="24"/>
          <w:lang w:val=""/>
        </w:rPr>
        <w:t>Vand til injektionsvæsker</w:t>
      </w: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A3CEB">
        <w:rPr>
          <w:b/>
          <w:sz w:val="24"/>
          <w:szCs w:val="24"/>
        </w:rPr>
        <w:lastRenderedPageBreak/>
        <w:t>6.2</w:t>
      </w:r>
      <w:r w:rsidRPr="008A3CEB">
        <w:rPr>
          <w:b/>
          <w:sz w:val="24"/>
          <w:szCs w:val="24"/>
        </w:rPr>
        <w:tab/>
        <w:t>Uforligeligheder</w:t>
      </w:r>
    </w:p>
    <w:p w:rsidR="00145194" w:rsidRPr="008A3CEB" w:rsidRDefault="00145194" w:rsidP="00145194">
      <w:pPr>
        <w:ind w:left="851"/>
        <w:rPr>
          <w:sz w:val="24"/>
          <w:szCs w:val="24"/>
        </w:rPr>
      </w:pPr>
      <w:r w:rsidRPr="008A3CEB">
        <w:rPr>
          <w:sz w:val="24"/>
          <w:szCs w:val="24"/>
          <w:lang w:val=""/>
        </w:rPr>
        <w:t>Butorphanol må med undtagelse af følgende kombinationer ikke blandes med andre veterinærlægemidler i samme sprøjte:</w:t>
      </w:r>
    </w:p>
    <w:p w:rsidR="00145194" w:rsidRPr="008A3CEB" w:rsidRDefault="00145194" w:rsidP="00145194">
      <w:pPr>
        <w:numPr>
          <w:ilvl w:val="0"/>
          <w:numId w:val="7"/>
        </w:numPr>
        <w:ind w:left="1276" w:hanging="425"/>
        <w:jc w:val="both"/>
        <w:rPr>
          <w:sz w:val="24"/>
          <w:szCs w:val="24"/>
          <w:lang w:val="en-US"/>
        </w:rPr>
      </w:pPr>
      <w:r w:rsidRPr="008A3CEB">
        <w:rPr>
          <w:sz w:val="24"/>
          <w:szCs w:val="24"/>
          <w:lang w:val=""/>
        </w:rPr>
        <w:t>butorphanol/medetomidin</w:t>
      </w:r>
    </w:p>
    <w:p w:rsidR="00145194" w:rsidRPr="008A3CEB" w:rsidRDefault="00145194" w:rsidP="00145194">
      <w:pPr>
        <w:numPr>
          <w:ilvl w:val="0"/>
          <w:numId w:val="7"/>
        </w:numPr>
        <w:ind w:left="1276" w:hanging="425"/>
        <w:rPr>
          <w:sz w:val="24"/>
          <w:szCs w:val="24"/>
        </w:rPr>
      </w:pPr>
      <w:r w:rsidRPr="008A3CEB">
        <w:rPr>
          <w:sz w:val="24"/>
          <w:szCs w:val="24"/>
          <w:lang w:val=""/>
        </w:rPr>
        <w:t>butorphanol/medetomidin/ketamin</w:t>
      </w:r>
    </w:p>
    <w:p w:rsidR="00145194" w:rsidRPr="008A3CEB" w:rsidRDefault="00145194" w:rsidP="00145194">
      <w:pPr>
        <w:numPr>
          <w:ilvl w:val="0"/>
          <w:numId w:val="7"/>
        </w:numPr>
        <w:ind w:left="1276" w:hanging="425"/>
        <w:rPr>
          <w:sz w:val="24"/>
          <w:szCs w:val="24"/>
        </w:rPr>
      </w:pPr>
      <w:r w:rsidRPr="008A3CEB">
        <w:rPr>
          <w:sz w:val="24"/>
          <w:szCs w:val="24"/>
          <w:lang w:val=""/>
        </w:rPr>
        <w:t>butorphanol/acepromazin</w:t>
      </w: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A3CEB">
        <w:rPr>
          <w:b/>
          <w:sz w:val="24"/>
          <w:szCs w:val="24"/>
        </w:rPr>
        <w:t>6.3</w:t>
      </w:r>
      <w:r w:rsidRPr="008A3CEB">
        <w:rPr>
          <w:b/>
          <w:sz w:val="24"/>
          <w:szCs w:val="24"/>
        </w:rPr>
        <w:tab/>
        <w:t>Opbevaringstid</w:t>
      </w:r>
    </w:p>
    <w:p w:rsidR="00145194" w:rsidRPr="008A3CEB" w:rsidRDefault="00145194" w:rsidP="00145194">
      <w:pPr>
        <w:ind w:left="851" w:right="-318"/>
        <w:rPr>
          <w:sz w:val="24"/>
          <w:szCs w:val="24"/>
        </w:rPr>
      </w:pPr>
      <w:r>
        <w:rPr>
          <w:sz w:val="24"/>
          <w:szCs w:val="24"/>
          <w:lang w:val=""/>
        </w:rPr>
        <w:t>I</w:t>
      </w:r>
      <w:r w:rsidRPr="008A3CEB">
        <w:rPr>
          <w:sz w:val="24"/>
          <w:szCs w:val="24"/>
          <w:lang w:val=""/>
        </w:rPr>
        <w:t xml:space="preserve"> salgspakning: 3 år.</w:t>
      </w:r>
    </w:p>
    <w:p w:rsidR="00145194" w:rsidRPr="008A3CEB" w:rsidRDefault="00145194" w:rsidP="00145194">
      <w:pPr>
        <w:ind w:left="851" w:right="-318"/>
        <w:rPr>
          <w:sz w:val="24"/>
          <w:szCs w:val="24"/>
        </w:rPr>
      </w:pPr>
      <w:r>
        <w:rPr>
          <w:sz w:val="24"/>
          <w:szCs w:val="24"/>
          <w:lang w:val=""/>
        </w:rPr>
        <w:t>E</w:t>
      </w:r>
      <w:r w:rsidRPr="008A3CEB">
        <w:rPr>
          <w:sz w:val="24"/>
          <w:szCs w:val="24"/>
          <w:lang w:val=""/>
        </w:rPr>
        <w:t>fter første åbning af den indre emballage: 28 dage.</w:t>
      </w: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A3CEB">
        <w:rPr>
          <w:b/>
          <w:sz w:val="24"/>
          <w:szCs w:val="24"/>
        </w:rPr>
        <w:t>6.4</w:t>
      </w:r>
      <w:r w:rsidRPr="008A3CEB">
        <w:rPr>
          <w:b/>
          <w:sz w:val="24"/>
          <w:szCs w:val="24"/>
        </w:rPr>
        <w:tab/>
        <w:t>Særlige opbevaringsforhold</w:t>
      </w:r>
    </w:p>
    <w:p w:rsidR="00145194" w:rsidRPr="008A3CEB" w:rsidRDefault="00145194" w:rsidP="00145194">
      <w:pPr>
        <w:ind w:left="851"/>
        <w:rPr>
          <w:sz w:val="24"/>
          <w:szCs w:val="24"/>
        </w:rPr>
      </w:pPr>
      <w:r w:rsidRPr="008A3CEB">
        <w:rPr>
          <w:sz w:val="24"/>
          <w:szCs w:val="24"/>
          <w:lang w:val=""/>
        </w:rPr>
        <w:t>Dette veterinærlægemiddel kræver ingen særlige forholdsregler vedrørende opbevaringen.</w:t>
      </w: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A3CEB">
        <w:rPr>
          <w:b/>
          <w:sz w:val="24"/>
          <w:szCs w:val="24"/>
        </w:rPr>
        <w:t>6.5</w:t>
      </w:r>
      <w:r w:rsidRPr="008A3CEB">
        <w:rPr>
          <w:b/>
          <w:sz w:val="24"/>
          <w:szCs w:val="24"/>
        </w:rPr>
        <w:tab/>
        <w:t>Emballage</w:t>
      </w:r>
    </w:p>
    <w:p w:rsidR="00145194" w:rsidRPr="008A3CEB" w:rsidRDefault="00145194" w:rsidP="00145194">
      <w:pPr>
        <w:ind w:left="851"/>
        <w:rPr>
          <w:sz w:val="24"/>
          <w:szCs w:val="24"/>
        </w:rPr>
      </w:pPr>
      <w:r w:rsidRPr="008A3CEB">
        <w:rPr>
          <w:sz w:val="24"/>
          <w:szCs w:val="24"/>
          <w:lang w:val=""/>
        </w:rPr>
        <w:t xml:space="preserve">Klare type I-hætteglas i glas med en coated bromobutylgummiprop og aluminiumshætte i papæske. </w:t>
      </w:r>
    </w:p>
    <w:p w:rsidR="00145194" w:rsidRPr="008A3CEB" w:rsidRDefault="00145194" w:rsidP="00145194">
      <w:pPr>
        <w:ind w:left="851"/>
        <w:rPr>
          <w:sz w:val="24"/>
          <w:szCs w:val="24"/>
        </w:rPr>
      </w:pPr>
      <w:r w:rsidRPr="008A3CEB">
        <w:rPr>
          <w:sz w:val="24"/>
          <w:szCs w:val="24"/>
          <w:lang w:val=""/>
        </w:rPr>
        <w:t>Pakningsstørrelser: 10 ml og 20 ml.</w:t>
      </w:r>
    </w:p>
    <w:p w:rsidR="00145194" w:rsidRPr="008A3CEB" w:rsidRDefault="00145194" w:rsidP="00145194">
      <w:pPr>
        <w:ind w:left="851" w:hanging="851"/>
        <w:rPr>
          <w:sz w:val="24"/>
          <w:szCs w:val="24"/>
        </w:rPr>
      </w:pPr>
    </w:p>
    <w:p w:rsidR="00145194" w:rsidRPr="008A3CEB" w:rsidRDefault="00145194" w:rsidP="00145194">
      <w:pPr>
        <w:ind w:left="851"/>
        <w:rPr>
          <w:sz w:val="24"/>
          <w:szCs w:val="24"/>
        </w:rPr>
      </w:pPr>
      <w:r w:rsidRPr="008A3CEB">
        <w:rPr>
          <w:sz w:val="24"/>
          <w:szCs w:val="24"/>
          <w:lang w:val=""/>
        </w:rPr>
        <w:t>Ikke alle pakningsstørrelser er nødvendigvis markedsført.</w:t>
      </w: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A3CEB">
        <w:rPr>
          <w:b/>
          <w:sz w:val="24"/>
          <w:szCs w:val="24"/>
        </w:rPr>
        <w:t>6.6</w:t>
      </w:r>
      <w:r w:rsidRPr="008A3CEB">
        <w:rPr>
          <w:b/>
          <w:sz w:val="24"/>
          <w:szCs w:val="24"/>
        </w:rPr>
        <w:tab/>
        <w:t>Særlige forholdsregler ved bortskaffelse af rester af lægemidlet eller affald</w:t>
      </w:r>
    </w:p>
    <w:p w:rsidR="00145194" w:rsidRPr="008A3CEB" w:rsidRDefault="00145194" w:rsidP="00145194">
      <w:pPr>
        <w:ind w:left="851" w:right="-318"/>
        <w:rPr>
          <w:i/>
          <w:sz w:val="24"/>
          <w:szCs w:val="24"/>
        </w:rPr>
      </w:pPr>
      <w:r w:rsidRPr="008A3CEB">
        <w:rPr>
          <w:sz w:val="24"/>
          <w:szCs w:val="24"/>
          <w:lang w:val=""/>
        </w:rPr>
        <w:t>Ikke anvendte veterinærlægemidler, samt affald heraf bør destrueres i henhold til lokale retningslinjer.</w:t>
      </w: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A3CEB">
        <w:rPr>
          <w:b/>
          <w:sz w:val="24"/>
          <w:szCs w:val="24"/>
        </w:rPr>
        <w:t>7.</w:t>
      </w:r>
      <w:r w:rsidRPr="008A3CEB">
        <w:rPr>
          <w:b/>
          <w:sz w:val="24"/>
          <w:szCs w:val="24"/>
        </w:rPr>
        <w:tab/>
        <w:t>INDEHAVER AF MARKEDSFØRINGSTILLADELSEN</w:t>
      </w:r>
    </w:p>
    <w:p w:rsidR="00145194" w:rsidRPr="008A3CEB" w:rsidRDefault="00145194" w:rsidP="00145194">
      <w:pPr>
        <w:ind w:left="851"/>
        <w:rPr>
          <w:sz w:val="24"/>
          <w:szCs w:val="24"/>
        </w:rPr>
      </w:pPr>
      <w:r w:rsidRPr="008A3CEB">
        <w:rPr>
          <w:sz w:val="24"/>
          <w:szCs w:val="24"/>
          <w:lang w:val=""/>
        </w:rPr>
        <w:t>Le Vet</w:t>
      </w:r>
      <w:r w:rsidR="000B2EDA">
        <w:rPr>
          <w:sz w:val="24"/>
          <w:szCs w:val="24"/>
          <w:lang w:val=""/>
        </w:rPr>
        <w:t>.</w:t>
      </w:r>
      <w:r w:rsidRPr="008A3CEB">
        <w:rPr>
          <w:sz w:val="24"/>
          <w:szCs w:val="24"/>
          <w:lang w:val=""/>
        </w:rPr>
        <w:t xml:space="preserve"> Beheer B.V.</w:t>
      </w:r>
    </w:p>
    <w:p w:rsidR="00145194" w:rsidRPr="00601B57" w:rsidRDefault="00145194" w:rsidP="00145194">
      <w:pPr>
        <w:ind w:left="851"/>
        <w:rPr>
          <w:sz w:val="24"/>
          <w:szCs w:val="24"/>
          <w:lang w:val="en-US"/>
        </w:rPr>
      </w:pPr>
      <w:r w:rsidRPr="008A3CEB">
        <w:rPr>
          <w:sz w:val="24"/>
          <w:szCs w:val="24"/>
          <w:lang w:val=""/>
        </w:rPr>
        <w:t>Wilgenweg 7</w:t>
      </w:r>
    </w:p>
    <w:p w:rsidR="00145194" w:rsidRPr="00601B57" w:rsidRDefault="00145194" w:rsidP="00145194">
      <w:pPr>
        <w:ind w:left="851"/>
        <w:rPr>
          <w:sz w:val="24"/>
          <w:szCs w:val="24"/>
          <w:lang w:val="en-US"/>
        </w:rPr>
      </w:pPr>
      <w:r w:rsidRPr="008A3CEB">
        <w:rPr>
          <w:sz w:val="24"/>
          <w:szCs w:val="24"/>
          <w:lang w:val=""/>
        </w:rPr>
        <w:t>3421 TV Oudewater</w:t>
      </w:r>
    </w:p>
    <w:p w:rsidR="00145194" w:rsidRDefault="00145194" w:rsidP="00145194">
      <w:pPr>
        <w:ind w:left="851"/>
        <w:rPr>
          <w:sz w:val="24"/>
          <w:szCs w:val="24"/>
          <w:lang w:val=""/>
        </w:rPr>
      </w:pPr>
      <w:r w:rsidRPr="008A3CEB">
        <w:rPr>
          <w:sz w:val="24"/>
          <w:szCs w:val="24"/>
          <w:lang w:val=""/>
        </w:rPr>
        <w:t>Holland</w:t>
      </w:r>
    </w:p>
    <w:p w:rsidR="00145194" w:rsidRDefault="00145194" w:rsidP="00145194">
      <w:pPr>
        <w:ind w:left="851"/>
        <w:rPr>
          <w:sz w:val="24"/>
          <w:szCs w:val="24"/>
          <w:lang w:val=""/>
        </w:rPr>
      </w:pPr>
    </w:p>
    <w:p w:rsidR="00145194" w:rsidRPr="00F272FC" w:rsidRDefault="00145194" w:rsidP="00145194">
      <w:pPr>
        <w:tabs>
          <w:tab w:val="left" w:pos="851"/>
        </w:tabs>
        <w:ind w:left="851"/>
        <w:rPr>
          <w:b/>
          <w:sz w:val="24"/>
          <w:szCs w:val="24"/>
          <w:lang w:val="en-US" w:eastAsia="da-DK"/>
        </w:rPr>
      </w:pPr>
      <w:proofErr w:type="spellStart"/>
      <w:r w:rsidRPr="00F272FC">
        <w:rPr>
          <w:b/>
          <w:sz w:val="24"/>
          <w:szCs w:val="24"/>
          <w:lang w:val="en-US" w:eastAsia="da-DK"/>
        </w:rPr>
        <w:t>Repræsentant</w:t>
      </w:r>
      <w:proofErr w:type="spellEnd"/>
    </w:p>
    <w:p w:rsidR="00145194" w:rsidRDefault="00145194" w:rsidP="00145194">
      <w:pPr>
        <w:tabs>
          <w:tab w:val="left" w:pos="851"/>
        </w:tabs>
        <w:ind w:left="851"/>
        <w:rPr>
          <w:sz w:val="24"/>
          <w:szCs w:val="24"/>
          <w:lang w:val="en-US" w:eastAsia="da-DK"/>
        </w:rPr>
      </w:pPr>
      <w:proofErr w:type="spellStart"/>
      <w:r w:rsidRPr="00552B01">
        <w:rPr>
          <w:sz w:val="24"/>
          <w:szCs w:val="24"/>
          <w:lang w:val="en-US" w:eastAsia="da-DK"/>
        </w:rPr>
        <w:t>Dechra</w:t>
      </w:r>
      <w:proofErr w:type="spellEnd"/>
      <w:r w:rsidRPr="00552B01">
        <w:rPr>
          <w:sz w:val="24"/>
          <w:szCs w:val="24"/>
          <w:lang w:val="en-US" w:eastAsia="da-DK"/>
        </w:rPr>
        <w:t xml:space="preserve"> Veterinary Products A/S</w:t>
      </w:r>
    </w:p>
    <w:p w:rsidR="00145194" w:rsidRPr="00EB4F92" w:rsidRDefault="00145194" w:rsidP="00145194">
      <w:pPr>
        <w:tabs>
          <w:tab w:val="left" w:pos="851"/>
        </w:tabs>
        <w:ind w:left="851"/>
        <w:rPr>
          <w:sz w:val="24"/>
          <w:szCs w:val="24"/>
          <w:lang w:eastAsia="da-DK"/>
        </w:rPr>
      </w:pPr>
      <w:proofErr w:type="spellStart"/>
      <w:r w:rsidRPr="00EB4F92">
        <w:rPr>
          <w:sz w:val="24"/>
          <w:szCs w:val="24"/>
          <w:lang w:eastAsia="da-DK"/>
        </w:rPr>
        <w:t>Mekuvej</w:t>
      </w:r>
      <w:proofErr w:type="spellEnd"/>
      <w:r w:rsidRPr="00EB4F92">
        <w:rPr>
          <w:sz w:val="24"/>
          <w:szCs w:val="24"/>
          <w:lang w:eastAsia="da-DK"/>
        </w:rPr>
        <w:t xml:space="preserve"> 9</w:t>
      </w:r>
    </w:p>
    <w:p w:rsidR="00145194" w:rsidRPr="008A3CEB" w:rsidRDefault="00145194" w:rsidP="00145194">
      <w:pPr>
        <w:tabs>
          <w:tab w:val="left" w:pos="851"/>
        </w:tabs>
        <w:ind w:left="851"/>
        <w:rPr>
          <w:sz w:val="24"/>
          <w:szCs w:val="24"/>
          <w:lang w:eastAsia="da-DK"/>
        </w:rPr>
      </w:pPr>
      <w:r>
        <w:rPr>
          <w:sz w:val="24"/>
          <w:szCs w:val="24"/>
          <w:lang w:eastAsia="da-DK"/>
        </w:rPr>
        <w:t>7171 Uldum</w:t>
      </w: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A3CEB">
        <w:rPr>
          <w:b/>
          <w:sz w:val="24"/>
          <w:szCs w:val="24"/>
        </w:rPr>
        <w:t>8.</w:t>
      </w:r>
      <w:r w:rsidRPr="008A3CEB">
        <w:rPr>
          <w:b/>
          <w:sz w:val="24"/>
          <w:szCs w:val="24"/>
        </w:rPr>
        <w:tab/>
        <w:t>MARKEDSFØRINGSTILLADELSESNUMMER (NUMRE)</w:t>
      </w:r>
    </w:p>
    <w:p w:rsidR="00145194" w:rsidRPr="008A3CEB" w:rsidRDefault="00145194" w:rsidP="00145194">
      <w:pPr>
        <w:ind w:left="851"/>
        <w:rPr>
          <w:sz w:val="24"/>
          <w:szCs w:val="24"/>
        </w:rPr>
      </w:pPr>
      <w:r w:rsidRPr="008A3CEB">
        <w:rPr>
          <w:sz w:val="24"/>
          <w:szCs w:val="24"/>
        </w:rPr>
        <w:t>56565</w:t>
      </w: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A3CEB">
        <w:rPr>
          <w:b/>
          <w:sz w:val="24"/>
          <w:szCs w:val="24"/>
        </w:rPr>
        <w:t>9.</w:t>
      </w:r>
      <w:r w:rsidRPr="008A3CEB">
        <w:rPr>
          <w:b/>
          <w:sz w:val="24"/>
          <w:szCs w:val="24"/>
        </w:rPr>
        <w:tab/>
        <w:t>DATO FOR FØRSTE MARKEDSFØRINGSTILLADELSE</w:t>
      </w:r>
    </w:p>
    <w:p w:rsidR="00145194" w:rsidRPr="008A3CEB" w:rsidRDefault="00145194" w:rsidP="00145194">
      <w:pPr>
        <w:ind w:left="851"/>
        <w:rPr>
          <w:sz w:val="24"/>
          <w:szCs w:val="24"/>
        </w:rPr>
      </w:pPr>
      <w:r w:rsidRPr="008A3CEB">
        <w:rPr>
          <w:sz w:val="24"/>
          <w:szCs w:val="24"/>
        </w:rPr>
        <w:t>2</w:t>
      </w:r>
      <w:r>
        <w:rPr>
          <w:sz w:val="24"/>
          <w:szCs w:val="24"/>
        </w:rPr>
        <w:t>7</w:t>
      </w:r>
      <w:r w:rsidRPr="008A3CEB">
        <w:rPr>
          <w:sz w:val="24"/>
          <w:szCs w:val="24"/>
        </w:rPr>
        <w:t>. september 2016</w:t>
      </w: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A3CEB">
        <w:rPr>
          <w:b/>
          <w:sz w:val="24"/>
          <w:szCs w:val="24"/>
        </w:rPr>
        <w:t>10.</w:t>
      </w:r>
      <w:r w:rsidRPr="008A3CEB">
        <w:rPr>
          <w:b/>
          <w:sz w:val="24"/>
          <w:szCs w:val="24"/>
        </w:rPr>
        <w:tab/>
        <w:t>DATO FOR ÆNDRING AF TEKSTEN</w:t>
      </w:r>
    </w:p>
    <w:p w:rsidR="00145194" w:rsidRPr="008A3CEB" w:rsidRDefault="000B2EDA" w:rsidP="00145194">
      <w:pPr>
        <w:ind w:left="851"/>
        <w:rPr>
          <w:sz w:val="24"/>
          <w:szCs w:val="24"/>
        </w:rPr>
      </w:pPr>
      <w:r>
        <w:rPr>
          <w:sz w:val="24"/>
          <w:szCs w:val="24"/>
        </w:rPr>
        <w:t>4. august 2021</w:t>
      </w:r>
    </w:p>
    <w:p w:rsidR="00145194" w:rsidRPr="008A3CEB" w:rsidRDefault="00145194" w:rsidP="00145194">
      <w:pPr>
        <w:ind w:left="851" w:hanging="851"/>
        <w:rPr>
          <w:sz w:val="24"/>
          <w:szCs w:val="24"/>
        </w:rPr>
      </w:pPr>
    </w:p>
    <w:p w:rsidR="00145194" w:rsidRPr="008A3CEB" w:rsidRDefault="00145194" w:rsidP="00145194">
      <w:pPr>
        <w:ind w:left="851" w:hanging="851"/>
        <w:rPr>
          <w:b/>
          <w:sz w:val="24"/>
          <w:szCs w:val="24"/>
        </w:rPr>
      </w:pPr>
      <w:r w:rsidRPr="008A3CEB">
        <w:rPr>
          <w:b/>
          <w:sz w:val="24"/>
          <w:szCs w:val="24"/>
        </w:rPr>
        <w:t>11.</w:t>
      </w:r>
      <w:r w:rsidRPr="008A3CEB">
        <w:rPr>
          <w:b/>
          <w:sz w:val="24"/>
          <w:szCs w:val="24"/>
        </w:rPr>
        <w:tab/>
        <w:t>UDLEVERINGSBESTEMMELSE</w:t>
      </w:r>
    </w:p>
    <w:p w:rsidR="00145194" w:rsidRPr="008A3CEB" w:rsidRDefault="00145194" w:rsidP="00145194">
      <w:pPr>
        <w:pStyle w:val="Sidehoved"/>
        <w:tabs>
          <w:tab w:val="clear" w:pos="4819"/>
          <w:tab w:val="clear" w:pos="9638"/>
        </w:tabs>
        <w:ind w:left="851"/>
        <w:rPr>
          <w:szCs w:val="24"/>
        </w:rPr>
      </w:pPr>
      <w:r w:rsidRPr="008A3CEB">
        <w:rPr>
          <w:szCs w:val="24"/>
        </w:rPr>
        <w:t>BPK</w:t>
      </w:r>
    </w:p>
    <w:p w:rsidR="00145194" w:rsidRPr="005C69A3" w:rsidRDefault="00145194" w:rsidP="00145194"/>
    <w:p w:rsidR="0003527F" w:rsidRPr="00145194" w:rsidRDefault="0003527F" w:rsidP="00145194"/>
    <w:sectPr w:rsidR="0003527F" w:rsidRPr="0014519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194" w:rsidRDefault="00145194">
      <w:r>
        <w:separator/>
      </w:r>
    </w:p>
  </w:endnote>
  <w:endnote w:type="continuationSeparator" w:id="0">
    <w:p w:rsidR="00145194" w:rsidRDefault="0014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A304D">
      <w:rPr>
        <w:i/>
        <w:noProof/>
        <w:snapToGrid w:val="0"/>
        <w:sz w:val="18"/>
      </w:rPr>
      <w:t>Torbudine Vet., injektionsvæske, opløsning 10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A304D">
      <w:rPr>
        <w:i/>
        <w:noProof/>
        <w:snapToGrid w:val="0"/>
        <w:sz w:val="18"/>
      </w:rPr>
      <w:t>Torbudine Vet., injektionsvæske, opløsning 10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194" w:rsidRDefault="00145194">
      <w:r>
        <w:separator/>
      </w:r>
    </w:p>
  </w:footnote>
  <w:footnote w:type="continuationSeparator" w:id="0">
    <w:p w:rsidR="00145194" w:rsidRDefault="00145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851AB"/>
    <w:multiLevelType w:val="hybridMultilevel"/>
    <w:tmpl w:val="395E21F8"/>
    <w:lvl w:ilvl="0" w:tplc="FFFFFFFF">
      <w:start w:val="6"/>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93B32B3"/>
    <w:multiLevelType w:val="hybridMultilevel"/>
    <w:tmpl w:val="EB64DA84"/>
    <w:lvl w:ilvl="0" w:tplc="FFFFFFFF">
      <w:start w:val="1"/>
      <w:numFmt w:val="bullet"/>
      <w:lvlText w:val="-"/>
      <w:lvlJc w:val="left"/>
      <w:pPr>
        <w:ind w:left="720" w:hanging="360"/>
      </w:pPr>
      <w:rPr>
        <w:rFonts w:ascii="Times New Roman" w:eastAsia="SimSu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24E434D"/>
    <w:multiLevelType w:val="hybridMultilevel"/>
    <w:tmpl w:val="96A6F1D4"/>
    <w:lvl w:ilvl="0" w:tplc="FFFFFFFF">
      <w:start w:val="6"/>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91903A8"/>
    <w:multiLevelType w:val="hybridMultilevel"/>
    <w:tmpl w:val="E018A536"/>
    <w:lvl w:ilvl="0" w:tplc="FFFFFFFF">
      <w:start w:val="6"/>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num>
  <w:num w:numId="2">
    <w:abstractNumId w:val="3"/>
  </w:num>
  <w:num w:numId="3">
    <w:abstractNumId w:val="5"/>
  </w:num>
  <w:num w:numId="4">
    <w:abstractNumId w:val="1"/>
  </w:num>
  <w:num w:numId="5">
    <w:abstractNumId w:val="0"/>
  </w:num>
  <w:num w:numId="6">
    <w:abstractNumId w:val="4"/>
  </w:num>
  <w:num w:numId="7">
    <w:abstractNumId w:val="2"/>
  </w:num>
  <w:num w:numId="8">
    <w:abstractNumId w:val="0"/>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194"/>
    <w:rsid w:val="0003527F"/>
    <w:rsid w:val="00065C7D"/>
    <w:rsid w:val="000A304D"/>
    <w:rsid w:val="000B2EDA"/>
    <w:rsid w:val="000C6CD4"/>
    <w:rsid w:val="00145194"/>
    <w:rsid w:val="001577E4"/>
    <w:rsid w:val="001858CA"/>
    <w:rsid w:val="001C4AEF"/>
    <w:rsid w:val="001D3CC5"/>
    <w:rsid w:val="00322BDE"/>
    <w:rsid w:val="00406EE7"/>
    <w:rsid w:val="00407013"/>
    <w:rsid w:val="004A62CC"/>
    <w:rsid w:val="00565A74"/>
    <w:rsid w:val="00570C25"/>
    <w:rsid w:val="005B0036"/>
    <w:rsid w:val="005F5831"/>
    <w:rsid w:val="00662012"/>
    <w:rsid w:val="00666B01"/>
    <w:rsid w:val="0069563C"/>
    <w:rsid w:val="006B1539"/>
    <w:rsid w:val="006D4B41"/>
    <w:rsid w:val="006F5621"/>
    <w:rsid w:val="007E2A00"/>
    <w:rsid w:val="008010F2"/>
    <w:rsid w:val="009202AE"/>
    <w:rsid w:val="00932676"/>
    <w:rsid w:val="009A3D9A"/>
    <w:rsid w:val="009D66C6"/>
    <w:rsid w:val="00A96525"/>
    <w:rsid w:val="00AE29E5"/>
    <w:rsid w:val="00AE5757"/>
    <w:rsid w:val="00B25EB8"/>
    <w:rsid w:val="00BC634B"/>
    <w:rsid w:val="00BF2AE0"/>
    <w:rsid w:val="00C479BF"/>
    <w:rsid w:val="00D567AA"/>
    <w:rsid w:val="00DD6D71"/>
    <w:rsid w:val="00DF32BE"/>
    <w:rsid w:val="00E14F0A"/>
    <w:rsid w:val="00E6686C"/>
    <w:rsid w:val="00EB4F92"/>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5A6C51"/>
  <w15:chartTrackingRefBased/>
  <w15:docId w15:val="{0E435436-6D89-4E02-8CD8-E884756E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
    <w:name w:val="Body Text"/>
    <w:basedOn w:val="Normal"/>
    <w:link w:val="BrdtekstTegn"/>
    <w:semiHidden/>
    <w:unhideWhenUsed/>
    <w:rsid w:val="00145194"/>
    <w:pPr>
      <w:jc w:val="both"/>
    </w:pPr>
    <w:rPr>
      <w:sz w:val="22"/>
      <w:lang w:val="en-GB"/>
    </w:rPr>
  </w:style>
  <w:style w:type="character" w:customStyle="1" w:styleId="BrdtekstTegn">
    <w:name w:val="Brødtekst Tegn"/>
    <w:basedOn w:val="Standardskrifttypeiafsnit"/>
    <w:link w:val="Brdtekst"/>
    <w:semiHidden/>
    <w:rsid w:val="00145194"/>
    <w:rPr>
      <w:sz w:val="22"/>
      <w:lang w:val="en-GB" w:eastAsia="en-US"/>
    </w:rPr>
  </w:style>
  <w:style w:type="paragraph" w:styleId="Brdtekstindrykning">
    <w:name w:val="Body Text Indent"/>
    <w:basedOn w:val="Normal"/>
    <w:link w:val="BrdtekstindrykningTegn"/>
    <w:semiHidden/>
    <w:unhideWhenUsed/>
    <w:rsid w:val="00145194"/>
    <w:pPr>
      <w:ind w:left="567" w:hanging="567"/>
    </w:pPr>
    <w:rPr>
      <w:b/>
      <w:sz w:val="22"/>
      <w:lang w:val="en-GB"/>
    </w:rPr>
  </w:style>
  <w:style w:type="character" w:customStyle="1" w:styleId="BrdtekstindrykningTegn">
    <w:name w:val="Brødtekstindrykning Tegn"/>
    <w:basedOn w:val="Standardskrifttypeiafsnit"/>
    <w:link w:val="Brdtekstindrykning"/>
    <w:semiHidden/>
    <w:rsid w:val="00145194"/>
    <w:rPr>
      <w:b/>
      <w:sz w:val="22"/>
      <w:lang w:val="en-GB" w:eastAsia="en-US"/>
    </w:rPr>
  </w:style>
  <w:style w:type="character" w:customStyle="1" w:styleId="apple-style-span">
    <w:name w:val="apple-style-span"/>
    <w:basedOn w:val="Standardskrifttypeiafsnit"/>
    <w:rsid w:val="00145194"/>
  </w:style>
  <w:style w:type="paragraph" w:customStyle="1" w:styleId="BODY">
    <w:name w:val="BODY"/>
    <w:basedOn w:val="Normal"/>
    <w:qFormat/>
    <w:rsid w:val="00145194"/>
    <w:pPr>
      <w:tabs>
        <w:tab w:val="left" w:pos="567"/>
      </w:tabs>
      <w:spacing w:after="220"/>
      <w:contextualSpacing/>
    </w:pPr>
    <w:rPr>
      <w:sz w:val="22"/>
      <w:lang w:val="en-GB"/>
    </w:rPr>
  </w:style>
  <w:style w:type="paragraph" w:customStyle="1" w:styleId="Default">
    <w:name w:val="Default"/>
    <w:rsid w:val="00145194"/>
    <w:pPr>
      <w:autoSpaceDE w:val="0"/>
      <w:autoSpaceDN w:val="0"/>
      <w:adjustRightInd w:val="0"/>
    </w:pPr>
    <w:rPr>
      <w:color w:val="000000"/>
      <w:sz w:val="24"/>
      <w:szCs w:val="24"/>
      <w:lang w:val="nl-NL" w:eastAsia="nl-NL"/>
    </w:rPr>
  </w:style>
  <w:style w:type="paragraph" w:styleId="Slutnotetekst">
    <w:name w:val="endnote text"/>
    <w:basedOn w:val="Normal"/>
    <w:link w:val="SlutnotetekstTegn"/>
    <w:semiHidden/>
    <w:unhideWhenUsed/>
    <w:rsid w:val="00145194"/>
    <w:pPr>
      <w:tabs>
        <w:tab w:val="left" w:pos="567"/>
      </w:tabs>
    </w:pPr>
    <w:rPr>
      <w:sz w:val="22"/>
      <w:lang w:val="en-GB"/>
    </w:rPr>
  </w:style>
  <w:style w:type="character" w:customStyle="1" w:styleId="SlutnotetekstTegn">
    <w:name w:val="Slutnotetekst Tegn"/>
    <w:basedOn w:val="Standardskrifttypeiafsnit"/>
    <w:link w:val="Slutnotetekst"/>
    <w:semiHidden/>
    <w:rsid w:val="00145194"/>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1915">
      <w:bodyDiv w:val="1"/>
      <w:marLeft w:val="0"/>
      <w:marRight w:val="0"/>
      <w:marTop w:val="0"/>
      <w:marBottom w:val="0"/>
      <w:divBdr>
        <w:top w:val="none" w:sz="0" w:space="0" w:color="auto"/>
        <w:left w:val="none" w:sz="0" w:space="0" w:color="auto"/>
        <w:bottom w:val="none" w:sz="0" w:space="0" w:color="auto"/>
        <w:right w:val="none" w:sz="0" w:space="0" w:color="auto"/>
      </w:divBdr>
    </w:div>
    <w:div w:id="13507399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98070858">
      <w:bodyDiv w:val="1"/>
      <w:marLeft w:val="0"/>
      <w:marRight w:val="0"/>
      <w:marTop w:val="0"/>
      <w:marBottom w:val="0"/>
      <w:divBdr>
        <w:top w:val="none" w:sz="0" w:space="0" w:color="auto"/>
        <w:left w:val="none" w:sz="0" w:space="0" w:color="auto"/>
        <w:bottom w:val="none" w:sz="0" w:space="0" w:color="auto"/>
        <w:right w:val="none" w:sz="0" w:space="0" w:color="auto"/>
      </w:divBdr>
    </w:div>
    <w:div w:id="502824264">
      <w:bodyDiv w:val="1"/>
      <w:marLeft w:val="0"/>
      <w:marRight w:val="0"/>
      <w:marTop w:val="0"/>
      <w:marBottom w:val="0"/>
      <w:divBdr>
        <w:top w:val="none" w:sz="0" w:space="0" w:color="auto"/>
        <w:left w:val="none" w:sz="0" w:space="0" w:color="auto"/>
        <w:bottom w:val="none" w:sz="0" w:space="0" w:color="auto"/>
        <w:right w:val="none" w:sz="0" w:space="0" w:color="auto"/>
      </w:divBdr>
    </w:div>
    <w:div w:id="1173564382">
      <w:bodyDiv w:val="1"/>
      <w:marLeft w:val="0"/>
      <w:marRight w:val="0"/>
      <w:marTop w:val="0"/>
      <w:marBottom w:val="0"/>
      <w:divBdr>
        <w:top w:val="none" w:sz="0" w:space="0" w:color="auto"/>
        <w:left w:val="none" w:sz="0" w:space="0" w:color="auto"/>
        <w:bottom w:val="none" w:sz="0" w:space="0" w:color="auto"/>
        <w:right w:val="none" w:sz="0" w:space="0" w:color="auto"/>
      </w:divBdr>
    </w:div>
    <w:div w:id="169045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13</TotalTime>
  <Pages>11</Pages>
  <Words>2574</Words>
  <Characters>16971</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2021014396_x000d_
MT-forlængelse</dc:description>
  <cp:lastModifiedBy>Helle Venn</cp:lastModifiedBy>
  <cp:revision>5</cp:revision>
  <dcterms:created xsi:type="dcterms:W3CDTF">2021-08-04T12:43:00Z</dcterms:created>
  <dcterms:modified xsi:type="dcterms:W3CDTF">2021-08-04T13:02:00Z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