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62" w:rsidRPr="008F49E1" w:rsidRDefault="00A14062" w:rsidP="00A14062">
      <w:pPr>
        <w:rPr>
          <w:sz w:val="24"/>
          <w:szCs w:val="24"/>
        </w:rPr>
      </w:pPr>
      <w:bookmarkStart w:id="0" w:name="_GoBack"/>
      <w:bookmarkEnd w:id="0"/>
      <w:r w:rsidRPr="005B0036">
        <w:rPr>
          <w:noProof/>
          <w:sz w:val="24"/>
          <w:szCs w:val="24"/>
          <w:lang w:eastAsia="da-DK"/>
        </w:rPr>
        <w:drawing>
          <wp:inline distT="0" distB="0" distL="0" distR="0" wp14:anchorId="6CE0F05C" wp14:editId="0C71E7B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14062" w:rsidRPr="00C20AF7" w:rsidRDefault="00A14062" w:rsidP="00A14062">
      <w:pPr>
        <w:rPr>
          <w:sz w:val="24"/>
          <w:szCs w:val="24"/>
        </w:rPr>
      </w:pPr>
    </w:p>
    <w:p w:rsidR="00A14062" w:rsidRPr="00406EE7" w:rsidRDefault="00A14062" w:rsidP="00A14062">
      <w:pPr>
        <w:tabs>
          <w:tab w:val="right" w:pos="9356"/>
        </w:tabs>
        <w:rPr>
          <w:b/>
          <w:sz w:val="24"/>
          <w:szCs w:val="24"/>
        </w:rPr>
      </w:pPr>
      <w:r>
        <w:rPr>
          <w:b/>
          <w:sz w:val="24"/>
          <w:szCs w:val="24"/>
        </w:rPr>
        <w:tab/>
      </w:r>
      <w:r w:rsidR="00C07CB6">
        <w:rPr>
          <w:b/>
          <w:sz w:val="24"/>
          <w:szCs w:val="24"/>
        </w:rPr>
        <w:t xml:space="preserve">11. februar </w:t>
      </w:r>
      <w:r>
        <w:rPr>
          <w:b/>
          <w:sz w:val="24"/>
          <w:szCs w:val="24"/>
        </w:rPr>
        <w:t>20</w:t>
      </w:r>
      <w:r w:rsidR="00EF3350">
        <w:rPr>
          <w:b/>
          <w:sz w:val="24"/>
          <w:szCs w:val="24"/>
        </w:rPr>
        <w:t>2</w:t>
      </w:r>
      <w:r w:rsidR="00C07CB6">
        <w:rPr>
          <w:b/>
          <w:sz w:val="24"/>
          <w:szCs w:val="24"/>
        </w:rPr>
        <w:t>5</w:t>
      </w:r>
    </w:p>
    <w:p w:rsidR="00A14062" w:rsidRDefault="00A14062" w:rsidP="00A14062">
      <w:pPr>
        <w:rPr>
          <w:sz w:val="24"/>
          <w:szCs w:val="24"/>
        </w:rPr>
      </w:pPr>
    </w:p>
    <w:p w:rsidR="00A14062" w:rsidRPr="00406EE7" w:rsidRDefault="00A14062" w:rsidP="00A14062">
      <w:pPr>
        <w:rPr>
          <w:sz w:val="24"/>
          <w:szCs w:val="24"/>
        </w:rPr>
      </w:pPr>
    </w:p>
    <w:p w:rsidR="00A14062" w:rsidRPr="00406EE7" w:rsidRDefault="00A14062" w:rsidP="00A14062">
      <w:pPr>
        <w:rPr>
          <w:sz w:val="24"/>
          <w:szCs w:val="24"/>
        </w:rPr>
      </w:pPr>
    </w:p>
    <w:p w:rsidR="00A14062" w:rsidRPr="00406EE7" w:rsidRDefault="00A14062" w:rsidP="00A14062">
      <w:pPr>
        <w:tabs>
          <w:tab w:val="left" w:pos="8222"/>
        </w:tabs>
        <w:jc w:val="center"/>
        <w:rPr>
          <w:b/>
          <w:sz w:val="24"/>
          <w:szCs w:val="24"/>
        </w:rPr>
      </w:pPr>
      <w:r w:rsidRPr="00406EE7">
        <w:rPr>
          <w:b/>
          <w:sz w:val="24"/>
          <w:szCs w:val="24"/>
        </w:rPr>
        <w:t>PRODUKTRESUMÉ</w:t>
      </w:r>
    </w:p>
    <w:p w:rsidR="00A14062" w:rsidRPr="00406EE7" w:rsidRDefault="00A14062" w:rsidP="00A14062">
      <w:pPr>
        <w:tabs>
          <w:tab w:val="left" w:pos="8222"/>
        </w:tabs>
        <w:jc w:val="center"/>
        <w:rPr>
          <w:b/>
          <w:sz w:val="24"/>
          <w:szCs w:val="24"/>
        </w:rPr>
      </w:pPr>
    </w:p>
    <w:p w:rsidR="00A14062" w:rsidRPr="00406EE7" w:rsidRDefault="00A14062" w:rsidP="00A14062">
      <w:pPr>
        <w:tabs>
          <w:tab w:val="left" w:pos="8222"/>
        </w:tabs>
        <w:jc w:val="center"/>
        <w:rPr>
          <w:b/>
          <w:sz w:val="24"/>
          <w:szCs w:val="24"/>
        </w:rPr>
      </w:pPr>
      <w:r w:rsidRPr="00406EE7">
        <w:rPr>
          <w:b/>
          <w:sz w:val="24"/>
          <w:szCs w:val="24"/>
        </w:rPr>
        <w:t>for</w:t>
      </w:r>
    </w:p>
    <w:p w:rsidR="00A14062" w:rsidRPr="00406EE7" w:rsidRDefault="00A14062" w:rsidP="00A14062">
      <w:pPr>
        <w:tabs>
          <w:tab w:val="left" w:pos="8222"/>
        </w:tabs>
        <w:jc w:val="center"/>
        <w:rPr>
          <w:b/>
          <w:sz w:val="24"/>
          <w:szCs w:val="24"/>
        </w:rPr>
      </w:pPr>
    </w:p>
    <w:p w:rsidR="00A14062" w:rsidRPr="00565A74" w:rsidRDefault="00A14062" w:rsidP="00A14062">
      <w:pPr>
        <w:tabs>
          <w:tab w:val="left" w:pos="8222"/>
        </w:tabs>
        <w:jc w:val="center"/>
        <w:rPr>
          <w:b/>
          <w:sz w:val="24"/>
          <w:szCs w:val="24"/>
        </w:rPr>
      </w:pPr>
      <w:proofErr w:type="spellStart"/>
      <w:r>
        <w:rPr>
          <w:b/>
          <w:sz w:val="24"/>
          <w:szCs w:val="24"/>
        </w:rPr>
        <w:t>Tralieve</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A14062" w:rsidRPr="00406EE7" w:rsidRDefault="00A14062" w:rsidP="00A14062">
      <w:pPr>
        <w:tabs>
          <w:tab w:val="left" w:pos="8222"/>
        </w:tabs>
        <w:jc w:val="both"/>
        <w:rPr>
          <w:sz w:val="24"/>
          <w:szCs w:val="24"/>
        </w:rPr>
      </w:pPr>
    </w:p>
    <w:p w:rsidR="00A14062" w:rsidRPr="00CD63C4" w:rsidRDefault="00A14062" w:rsidP="00A14062">
      <w:pPr>
        <w:tabs>
          <w:tab w:val="left" w:pos="8222"/>
        </w:tabs>
        <w:ind w:left="851" w:hanging="851"/>
        <w:jc w:val="both"/>
        <w:rPr>
          <w:sz w:val="24"/>
          <w:szCs w:val="24"/>
        </w:rPr>
      </w:pPr>
    </w:p>
    <w:p w:rsidR="00A14062" w:rsidRPr="00CD63C4" w:rsidRDefault="00A14062" w:rsidP="00C07CB6">
      <w:pPr>
        <w:tabs>
          <w:tab w:val="left" w:pos="567"/>
          <w:tab w:val="left" w:pos="8222"/>
        </w:tabs>
        <w:ind w:left="851" w:hanging="851"/>
        <w:rPr>
          <w:b/>
          <w:sz w:val="24"/>
          <w:szCs w:val="24"/>
        </w:rPr>
      </w:pPr>
      <w:r w:rsidRPr="00CD63C4">
        <w:rPr>
          <w:b/>
          <w:sz w:val="24"/>
          <w:szCs w:val="24"/>
        </w:rPr>
        <w:t>0.</w:t>
      </w:r>
      <w:r w:rsidRPr="00CD63C4">
        <w:rPr>
          <w:b/>
          <w:sz w:val="24"/>
          <w:szCs w:val="24"/>
        </w:rPr>
        <w:tab/>
        <w:t>D.SP.NR.</w:t>
      </w:r>
    </w:p>
    <w:p w:rsidR="00A14062" w:rsidRPr="00CD63C4" w:rsidRDefault="00A14062" w:rsidP="00C07CB6">
      <w:pPr>
        <w:tabs>
          <w:tab w:val="left" w:pos="8222"/>
        </w:tabs>
        <w:ind w:left="567" w:hanging="567"/>
        <w:rPr>
          <w:sz w:val="24"/>
          <w:szCs w:val="24"/>
        </w:rPr>
      </w:pPr>
      <w:r>
        <w:rPr>
          <w:sz w:val="24"/>
          <w:szCs w:val="24"/>
        </w:rPr>
        <w:tab/>
      </w:r>
      <w:r w:rsidRPr="00CD63C4">
        <w:rPr>
          <w:sz w:val="24"/>
          <w:szCs w:val="24"/>
        </w:rPr>
        <w:t>30610</w:t>
      </w:r>
    </w:p>
    <w:p w:rsidR="00A14062" w:rsidRPr="00CD63C4" w:rsidRDefault="00A14062" w:rsidP="00A14062">
      <w:pPr>
        <w:tabs>
          <w:tab w:val="left" w:pos="8222"/>
        </w:tabs>
        <w:ind w:left="851" w:hanging="851"/>
        <w:rPr>
          <w:sz w:val="24"/>
          <w:szCs w:val="24"/>
        </w:rPr>
      </w:pPr>
    </w:p>
    <w:p w:rsidR="00A14062" w:rsidRPr="00CD63C4" w:rsidRDefault="00A14062" w:rsidP="00C07CB6">
      <w:pPr>
        <w:tabs>
          <w:tab w:val="left" w:pos="567"/>
          <w:tab w:val="left" w:pos="8222"/>
        </w:tabs>
        <w:ind w:left="851" w:hanging="851"/>
        <w:rPr>
          <w:b/>
          <w:sz w:val="24"/>
          <w:szCs w:val="24"/>
        </w:rPr>
      </w:pPr>
      <w:r w:rsidRPr="00CD63C4">
        <w:rPr>
          <w:b/>
          <w:sz w:val="24"/>
          <w:szCs w:val="24"/>
        </w:rPr>
        <w:t>1.</w:t>
      </w:r>
      <w:r w:rsidRPr="00CD63C4">
        <w:rPr>
          <w:b/>
          <w:sz w:val="24"/>
          <w:szCs w:val="24"/>
        </w:rPr>
        <w:tab/>
        <w:t>VETERINÆRLÆGEMIDLETS NAVN</w:t>
      </w:r>
    </w:p>
    <w:p w:rsidR="00C07CB6" w:rsidRPr="00F620B4" w:rsidRDefault="00A14062" w:rsidP="00C07CB6">
      <w:pPr>
        <w:tabs>
          <w:tab w:val="left" w:pos="8222"/>
        </w:tabs>
        <w:ind w:left="567" w:hanging="425"/>
        <w:rPr>
          <w:szCs w:val="22"/>
        </w:rPr>
      </w:pPr>
      <w:r>
        <w:rPr>
          <w:sz w:val="24"/>
          <w:szCs w:val="24"/>
        </w:rPr>
        <w:tab/>
      </w:r>
      <w:proofErr w:type="spellStart"/>
      <w:r w:rsidR="00C07CB6" w:rsidRPr="00F620B4">
        <w:rPr>
          <w:szCs w:val="22"/>
        </w:rPr>
        <w:t>Tralieve</w:t>
      </w:r>
      <w:proofErr w:type="spellEnd"/>
      <w:r w:rsidR="00C07CB6" w:rsidRPr="00F620B4">
        <w:rPr>
          <w:szCs w:val="22"/>
        </w:rPr>
        <w:t xml:space="preserve"> </w:t>
      </w:r>
      <w:proofErr w:type="spellStart"/>
      <w:r w:rsidR="00C07CB6" w:rsidRPr="00F620B4">
        <w:rPr>
          <w:szCs w:val="22"/>
        </w:rPr>
        <w:t>Vet</w:t>
      </w:r>
      <w:proofErr w:type="spellEnd"/>
      <w:r w:rsidR="00C07CB6" w:rsidRPr="00F620B4">
        <w:rPr>
          <w:szCs w:val="22"/>
        </w:rPr>
        <w:t>.</w:t>
      </w:r>
    </w:p>
    <w:p w:rsidR="00C07CB6" w:rsidRDefault="00C07CB6" w:rsidP="00C07CB6">
      <w:pPr>
        <w:ind w:left="567"/>
        <w:rPr>
          <w:szCs w:val="22"/>
        </w:rPr>
      </w:pPr>
      <w:r>
        <w:rPr>
          <w:szCs w:val="22"/>
        </w:rPr>
        <w:t xml:space="preserve">Lægemiddelform: </w:t>
      </w:r>
      <w:r w:rsidRPr="00E257E4">
        <w:rPr>
          <w:szCs w:val="22"/>
        </w:rPr>
        <w:t>injektionsvæske, opløsning</w:t>
      </w:r>
    </w:p>
    <w:p w:rsidR="00C07CB6" w:rsidRPr="00F260F0" w:rsidRDefault="00C07CB6" w:rsidP="00C07CB6">
      <w:pPr>
        <w:ind w:left="567"/>
        <w:rPr>
          <w:szCs w:val="22"/>
        </w:rPr>
      </w:pPr>
      <w:r>
        <w:rPr>
          <w:szCs w:val="22"/>
        </w:rPr>
        <w:t>Styrke: 50 mg/ml</w:t>
      </w:r>
    </w:p>
    <w:p w:rsidR="00C07CB6" w:rsidRPr="00F260F0" w:rsidRDefault="00C07CB6" w:rsidP="00C07CB6">
      <w:pPr>
        <w:rPr>
          <w:szCs w:val="22"/>
        </w:rPr>
      </w:pPr>
    </w:p>
    <w:p w:rsidR="00C07CB6" w:rsidRPr="00F260F0" w:rsidRDefault="00C07CB6" w:rsidP="00C07CB6">
      <w:pPr>
        <w:pStyle w:val="Style1"/>
      </w:pPr>
      <w:r w:rsidRPr="00F260F0">
        <w:t>2.</w:t>
      </w:r>
      <w:r w:rsidRPr="00F260F0">
        <w:tab/>
        <w:t>KVALITATIV OG KVANTITATIV SAMMENSÆTNING</w:t>
      </w:r>
    </w:p>
    <w:p w:rsidR="00C07CB6" w:rsidRPr="00F260F0" w:rsidRDefault="00C07CB6" w:rsidP="00C07CB6">
      <w:pPr>
        <w:rPr>
          <w:szCs w:val="22"/>
        </w:rPr>
      </w:pPr>
    </w:p>
    <w:p w:rsidR="00C07CB6" w:rsidRPr="00F620B4" w:rsidRDefault="00C07CB6" w:rsidP="00C07CB6">
      <w:pPr>
        <w:ind w:left="567"/>
        <w:rPr>
          <w:szCs w:val="22"/>
          <w:lang w:eastAsia="da-DK"/>
        </w:rPr>
      </w:pPr>
      <w:r>
        <w:rPr>
          <w:szCs w:val="22"/>
        </w:rPr>
        <w:t>Hver</w:t>
      </w:r>
      <w:r w:rsidRPr="00F620B4">
        <w:rPr>
          <w:szCs w:val="22"/>
        </w:rPr>
        <w:t> ml indeholder:</w:t>
      </w:r>
    </w:p>
    <w:p w:rsidR="00C07CB6" w:rsidRPr="00F620B4" w:rsidRDefault="00C07CB6" w:rsidP="00C07CB6">
      <w:pPr>
        <w:ind w:left="567"/>
        <w:rPr>
          <w:szCs w:val="22"/>
        </w:rPr>
      </w:pPr>
    </w:p>
    <w:p w:rsidR="00C07CB6" w:rsidRPr="00F620B4" w:rsidRDefault="00C07CB6" w:rsidP="00C07CB6">
      <w:pPr>
        <w:ind w:left="567"/>
        <w:rPr>
          <w:b/>
          <w:szCs w:val="22"/>
        </w:rPr>
      </w:pPr>
      <w:r w:rsidRPr="00F620B4">
        <w:rPr>
          <w:b/>
          <w:szCs w:val="22"/>
        </w:rPr>
        <w:t>Aktivt stof:</w:t>
      </w:r>
    </w:p>
    <w:p w:rsidR="00C07CB6" w:rsidRPr="00F620B4" w:rsidRDefault="00C07CB6" w:rsidP="00C07CB6">
      <w:pPr>
        <w:ind w:left="567"/>
        <w:rPr>
          <w:iCs/>
          <w:szCs w:val="22"/>
        </w:rPr>
      </w:pPr>
      <w:proofErr w:type="spellStart"/>
      <w:r w:rsidRPr="00F620B4">
        <w:rPr>
          <w:szCs w:val="22"/>
        </w:rPr>
        <w:t>Tramadol</w:t>
      </w:r>
      <w:proofErr w:type="spellEnd"/>
      <w:r>
        <w:rPr>
          <w:szCs w:val="22"/>
        </w:rPr>
        <w:tab/>
        <w:t>43,9</w:t>
      </w:r>
      <w:r w:rsidRPr="00F620B4">
        <w:rPr>
          <w:szCs w:val="22"/>
        </w:rPr>
        <w:t xml:space="preserve"> mg </w:t>
      </w:r>
    </w:p>
    <w:p w:rsidR="00C07CB6" w:rsidRPr="00F620B4" w:rsidRDefault="00C07CB6" w:rsidP="00C07CB6">
      <w:pPr>
        <w:ind w:left="567"/>
        <w:rPr>
          <w:iCs/>
          <w:szCs w:val="22"/>
        </w:rPr>
      </w:pPr>
      <w:r w:rsidRPr="00F620B4">
        <w:rPr>
          <w:szCs w:val="22"/>
        </w:rPr>
        <w:t xml:space="preserve">(svarende til </w:t>
      </w:r>
      <w:r>
        <w:rPr>
          <w:szCs w:val="22"/>
        </w:rPr>
        <w:t>50</w:t>
      </w:r>
      <w:r w:rsidRPr="00F620B4">
        <w:rPr>
          <w:szCs w:val="22"/>
        </w:rPr>
        <w:t xml:space="preserve"> mg </w:t>
      </w:r>
      <w:proofErr w:type="spellStart"/>
      <w:r w:rsidRPr="00F620B4">
        <w:rPr>
          <w:szCs w:val="22"/>
        </w:rPr>
        <w:t>tramadol</w:t>
      </w:r>
      <w:r>
        <w:rPr>
          <w:szCs w:val="22"/>
        </w:rPr>
        <w:t>hydrochlorid</w:t>
      </w:r>
      <w:proofErr w:type="spellEnd"/>
      <w:r w:rsidRPr="00F620B4">
        <w:rPr>
          <w:szCs w:val="22"/>
        </w:rPr>
        <w:t>)</w:t>
      </w:r>
    </w:p>
    <w:p w:rsidR="00C07CB6" w:rsidRPr="00F620B4" w:rsidRDefault="00C07CB6" w:rsidP="00C07CB6">
      <w:pPr>
        <w:ind w:left="567"/>
        <w:rPr>
          <w:iCs/>
          <w:szCs w:val="22"/>
        </w:rPr>
      </w:pPr>
    </w:p>
    <w:p w:rsidR="00C07CB6" w:rsidRPr="00F620B4" w:rsidRDefault="00C07CB6" w:rsidP="00C07CB6">
      <w:pPr>
        <w:ind w:left="567"/>
        <w:rPr>
          <w:szCs w:val="22"/>
        </w:rPr>
      </w:pPr>
      <w:r w:rsidRPr="00F620B4">
        <w:rPr>
          <w:b/>
          <w:szCs w:val="22"/>
        </w:rPr>
        <w:t>Hjælpestoffer:</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C07CB6" w:rsidTr="00C07CB6">
        <w:tc>
          <w:tcPr>
            <w:tcW w:w="4521" w:type="dxa"/>
            <w:shd w:val="clear" w:color="auto" w:fill="auto"/>
            <w:vAlign w:val="center"/>
          </w:tcPr>
          <w:p w:rsidR="00C07CB6" w:rsidRPr="00F260F0" w:rsidRDefault="00C07CB6" w:rsidP="00E64573">
            <w:pPr>
              <w:spacing w:before="60" w:after="60"/>
              <w:rPr>
                <w:b/>
                <w:bCs/>
                <w:iCs/>
                <w:szCs w:val="22"/>
              </w:rPr>
            </w:pPr>
            <w:r w:rsidRPr="00F260F0">
              <w:rPr>
                <w:b/>
                <w:bCs/>
                <w:iCs/>
                <w:szCs w:val="22"/>
              </w:rPr>
              <w:t>Kvalitativ sammensætning af hjælpestoffer og andre bestanddele</w:t>
            </w:r>
          </w:p>
        </w:tc>
        <w:tc>
          <w:tcPr>
            <w:tcW w:w="4540" w:type="dxa"/>
            <w:shd w:val="clear" w:color="auto" w:fill="auto"/>
            <w:vAlign w:val="center"/>
          </w:tcPr>
          <w:p w:rsidR="00C07CB6" w:rsidRPr="00F260F0" w:rsidRDefault="00C07CB6" w:rsidP="00E64573">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C07CB6" w:rsidTr="00C07CB6">
        <w:tc>
          <w:tcPr>
            <w:tcW w:w="4521" w:type="dxa"/>
            <w:shd w:val="clear" w:color="auto" w:fill="auto"/>
            <w:vAlign w:val="center"/>
          </w:tcPr>
          <w:p w:rsidR="00C07CB6" w:rsidRPr="00F260F0" w:rsidRDefault="00C07CB6" w:rsidP="00E64573">
            <w:pPr>
              <w:spacing w:before="60" w:after="60"/>
              <w:ind w:left="567" w:hanging="567"/>
              <w:rPr>
                <w:iCs/>
                <w:szCs w:val="22"/>
              </w:rPr>
            </w:pPr>
            <w:proofErr w:type="spellStart"/>
            <w:r w:rsidRPr="00F620B4">
              <w:rPr>
                <w:szCs w:val="22"/>
              </w:rPr>
              <w:t>Benzylalkohol</w:t>
            </w:r>
            <w:proofErr w:type="spellEnd"/>
            <w:r w:rsidRPr="00F620B4">
              <w:rPr>
                <w:szCs w:val="22"/>
              </w:rPr>
              <w:t xml:space="preserve"> (E1519)</w:t>
            </w:r>
          </w:p>
        </w:tc>
        <w:tc>
          <w:tcPr>
            <w:tcW w:w="4540" w:type="dxa"/>
            <w:shd w:val="clear" w:color="auto" w:fill="auto"/>
            <w:vAlign w:val="center"/>
          </w:tcPr>
          <w:p w:rsidR="00C07CB6" w:rsidRPr="00F260F0" w:rsidRDefault="00C07CB6" w:rsidP="00E64573">
            <w:pPr>
              <w:spacing w:before="60" w:after="60"/>
              <w:rPr>
                <w:iCs/>
                <w:szCs w:val="22"/>
              </w:rPr>
            </w:pPr>
            <w:r w:rsidRPr="00F620B4">
              <w:rPr>
                <w:szCs w:val="22"/>
              </w:rPr>
              <w:t>10 mg</w:t>
            </w:r>
          </w:p>
        </w:tc>
      </w:tr>
      <w:tr w:rsidR="00C07CB6" w:rsidTr="00C07CB6">
        <w:tc>
          <w:tcPr>
            <w:tcW w:w="4521" w:type="dxa"/>
            <w:shd w:val="clear" w:color="auto" w:fill="auto"/>
            <w:vAlign w:val="center"/>
          </w:tcPr>
          <w:p w:rsidR="00C07CB6" w:rsidRPr="002C5C97" w:rsidRDefault="00C07CB6" w:rsidP="00E64573">
            <w:pPr>
              <w:rPr>
                <w:szCs w:val="22"/>
              </w:rPr>
            </w:pPr>
            <w:proofErr w:type="spellStart"/>
            <w:r w:rsidRPr="00F620B4">
              <w:rPr>
                <w:szCs w:val="22"/>
              </w:rPr>
              <w:t>Natriumacetattrihydrat</w:t>
            </w:r>
            <w:proofErr w:type="spellEnd"/>
          </w:p>
        </w:tc>
        <w:tc>
          <w:tcPr>
            <w:tcW w:w="4540" w:type="dxa"/>
            <w:shd w:val="clear" w:color="auto" w:fill="auto"/>
            <w:vAlign w:val="center"/>
          </w:tcPr>
          <w:p w:rsidR="00C07CB6" w:rsidRPr="00F260F0" w:rsidRDefault="00C07CB6" w:rsidP="00E64573">
            <w:pPr>
              <w:spacing w:before="60" w:after="60"/>
              <w:rPr>
                <w:iCs/>
                <w:szCs w:val="22"/>
              </w:rPr>
            </w:pPr>
          </w:p>
        </w:tc>
      </w:tr>
      <w:tr w:rsidR="00C07CB6" w:rsidTr="00C07CB6">
        <w:tc>
          <w:tcPr>
            <w:tcW w:w="4521" w:type="dxa"/>
            <w:shd w:val="clear" w:color="auto" w:fill="auto"/>
            <w:vAlign w:val="center"/>
          </w:tcPr>
          <w:p w:rsidR="00C07CB6" w:rsidRPr="00F260F0" w:rsidRDefault="00C07CB6" w:rsidP="00E64573">
            <w:pPr>
              <w:spacing w:before="60" w:after="60"/>
              <w:rPr>
                <w:iCs/>
                <w:szCs w:val="22"/>
              </w:rPr>
            </w:pPr>
            <w:r w:rsidRPr="00F620B4">
              <w:rPr>
                <w:szCs w:val="22"/>
              </w:rPr>
              <w:t>Saltsyre, fortyndet (til pH-justering)</w:t>
            </w:r>
          </w:p>
        </w:tc>
        <w:tc>
          <w:tcPr>
            <w:tcW w:w="4540" w:type="dxa"/>
            <w:shd w:val="clear" w:color="auto" w:fill="auto"/>
            <w:vAlign w:val="center"/>
          </w:tcPr>
          <w:p w:rsidR="00C07CB6" w:rsidRPr="00F260F0" w:rsidRDefault="00C07CB6" w:rsidP="00E64573">
            <w:pPr>
              <w:spacing w:before="60" w:after="60"/>
              <w:rPr>
                <w:iCs/>
                <w:szCs w:val="22"/>
              </w:rPr>
            </w:pPr>
          </w:p>
        </w:tc>
      </w:tr>
      <w:tr w:rsidR="00C07CB6" w:rsidTr="00C07CB6">
        <w:tc>
          <w:tcPr>
            <w:tcW w:w="4521" w:type="dxa"/>
            <w:shd w:val="clear" w:color="auto" w:fill="auto"/>
            <w:vAlign w:val="center"/>
          </w:tcPr>
          <w:p w:rsidR="00C07CB6" w:rsidRPr="00F260F0" w:rsidRDefault="00C07CB6" w:rsidP="00E64573">
            <w:pPr>
              <w:spacing w:before="60" w:after="60"/>
              <w:ind w:left="567" w:hanging="567"/>
              <w:rPr>
                <w:b/>
                <w:bCs/>
                <w:iCs/>
                <w:szCs w:val="22"/>
              </w:rPr>
            </w:pPr>
            <w:r w:rsidRPr="00F620B4">
              <w:rPr>
                <w:szCs w:val="22"/>
              </w:rPr>
              <w:t>Natriumhydroxid (til pH-justering)</w:t>
            </w:r>
          </w:p>
        </w:tc>
        <w:tc>
          <w:tcPr>
            <w:tcW w:w="4540" w:type="dxa"/>
            <w:shd w:val="clear" w:color="auto" w:fill="auto"/>
            <w:vAlign w:val="center"/>
          </w:tcPr>
          <w:p w:rsidR="00C07CB6" w:rsidRPr="00F260F0" w:rsidRDefault="00C07CB6" w:rsidP="00E64573">
            <w:pPr>
              <w:spacing w:before="60" w:after="60"/>
              <w:rPr>
                <w:iCs/>
                <w:szCs w:val="22"/>
              </w:rPr>
            </w:pPr>
          </w:p>
        </w:tc>
      </w:tr>
      <w:tr w:rsidR="00C07CB6" w:rsidTr="00C07CB6">
        <w:tc>
          <w:tcPr>
            <w:tcW w:w="4521" w:type="dxa"/>
            <w:shd w:val="clear" w:color="auto" w:fill="auto"/>
            <w:vAlign w:val="center"/>
          </w:tcPr>
          <w:p w:rsidR="00C07CB6" w:rsidRPr="00F260F0" w:rsidRDefault="00C07CB6" w:rsidP="00E64573">
            <w:pPr>
              <w:spacing w:before="60" w:after="60"/>
              <w:rPr>
                <w:iCs/>
                <w:szCs w:val="22"/>
              </w:rPr>
            </w:pPr>
            <w:r w:rsidRPr="00F620B4">
              <w:rPr>
                <w:szCs w:val="22"/>
              </w:rPr>
              <w:t>Vand til injektionsvæsker</w:t>
            </w:r>
          </w:p>
        </w:tc>
        <w:tc>
          <w:tcPr>
            <w:tcW w:w="4540" w:type="dxa"/>
            <w:shd w:val="clear" w:color="auto" w:fill="auto"/>
            <w:vAlign w:val="center"/>
          </w:tcPr>
          <w:p w:rsidR="00C07CB6" w:rsidRPr="00F260F0" w:rsidRDefault="00C07CB6" w:rsidP="00E64573">
            <w:pPr>
              <w:spacing w:before="60" w:after="60"/>
              <w:rPr>
                <w:iCs/>
                <w:szCs w:val="22"/>
              </w:rPr>
            </w:pPr>
          </w:p>
        </w:tc>
      </w:tr>
    </w:tbl>
    <w:p w:rsidR="00C07CB6" w:rsidRDefault="00C07CB6" w:rsidP="00C07CB6">
      <w:pPr>
        <w:rPr>
          <w:szCs w:val="22"/>
        </w:rPr>
      </w:pPr>
    </w:p>
    <w:p w:rsidR="00C07CB6" w:rsidRPr="00F620B4" w:rsidRDefault="00C07CB6" w:rsidP="00C07CB6">
      <w:pPr>
        <w:tabs>
          <w:tab w:val="left" w:pos="1304"/>
        </w:tabs>
        <w:ind w:left="567" w:hanging="567"/>
        <w:rPr>
          <w:szCs w:val="22"/>
        </w:rPr>
      </w:pPr>
      <w:r>
        <w:rPr>
          <w:szCs w:val="22"/>
        </w:rPr>
        <w:tab/>
      </w:r>
      <w:r w:rsidRPr="00F620B4">
        <w:rPr>
          <w:szCs w:val="22"/>
        </w:rPr>
        <w:t>Klar og farveløs opløsning</w:t>
      </w:r>
      <w:r>
        <w:rPr>
          <w:szCs w:val="22"/>
        </w:rPr>
        <w:t>.</w:t>
      </w:r>
    </w:p>
    <w:p w:rsidR="00C07CB6" w:rsidRPr="00F260F0"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3.</w:t>
      </w:r>
      <w:r w:rsidRPr="00F260F0">
        <w:tab/>
        <w:t>KLINISKE OPLYSNINGER</w:t>
      </w:r>
    </w:p>
    <w:p w:rsidR="00C07CB6" w:rsidRPr="00F260F0" w:rsidRDefault="00C07CB6" w:rsidP="00C07CB6">
      <w:pPr>
        <w:rPr>
          <w:szCs w:val="22"/>
        </w:rPr>
      </w:pPr>
    </w:p>
    <w:p w:rsidR="00C07CB6" w:rsidRPr="00F260F0" w:rsidRDefault="00C07CB6" w:rsidP="00C07CB6">
      <w:pPr>
        <w:pStyle w:val="Style1"/>
      </w:pPr>
      <w:r w:rsidRPr="00F260F0">
        <w:t>3.1</w:t>
      </w:r>
      <w:r w:rsidRPr="00F260F0">
        <w:tab/>
        <w:t>Dyrearter, som lægemidlet er beregnet til</w:t>
      </w:r>
    </w:p>
    <w:p w:rsidR="00C07CB6" w:rsidRDefault="00C07CB6" w:rsidP="00C07CB6">
      <w:pPr>
        <w:rPr>
          <w:szCs w:val="22"/>
        </w:rPr>
      </w:pPr>
    </w:p>
    <w:p w:rsidR="00C07CB6" w:rsidRDefault="00C07CB6" w:rsidP="00C07CB6">
      <w:pPr>
        <w:ind w:firstLine="567"/>
        <w:rPr>
          <w:szCs w:val="22"/>
        </w:rPr>
      </w:pPr>
      <w:r w:rsidRPr="00F620B4">
        <w:rPr>
          <w:szCs w:val="22"/>
        </w:rPr>
        <w:lastRenderedPageBreak/>
        <w:t>Hund.</w:t>
      </w:r>
    </w:p>
    <w:p w:rsidR="00C07CB6" w:rsidRPr="00F260F0" w:rsidRDefault="00C07CB6" w:rsidP="00C07CB6">
      <w:pPr>
        <w:rPr>
          <w:szCs w:val="22"/>
        </w:rPr>
      </w:pPr>
    </w:p>
    <w:p w:rsidR="00C07CB6" w:rsidRPr="00F260F0" w:rsidRDefault="00C07CB6" w:rsidP="00C07CB6">
      <w:pPr>
        <w:pStyle w:val="Style1"/>
      </w:pPr>
      <w:r w:rsidRPr="00F260F0">
        <w:t>3.2</w:t>
      </w:r>
      <w:r w:rsidRPr="00F260F0">
        <w:tab/>
        <w:t>Terapeutiske indikationer for hver dyreart, som lægemidlet er beregnet til</w:t>
      </w:r>
    </w:p>
    <w:p w:rsidR="00C07CB6" w:rsidRPr="00F260F0" w:rsidRDefault="00C07CB6" w:rsidP="00C07CB6">
      <w:pPr>
        <w:rPr>
          <w:szCs w:val="22"/>
        </w:rPr>
      </w:pPr>
    </w:p>
    <w:p w:rsidR="00C07CB6" w:rsidRDefault="00C07CB6" w:rsidP="00C07CB6">
      <w:pPr>
        <w:ind w:firstLine="567"/>
        <w:rPr>
          <w:szCs w:val="22"/>
        </w:rPr>
      </w:pPr>
      <w:r w:rsidRPr="00F620B4">
        <w:rPr>
          <w:szCs w:val="22"/>
        </w:rPr>
        <w:t>Til lindring af lette, postoperative smerter.</w:t>
      </w:r>
    </w:p>
    <w:p w:rsidR="00C07CB6" w:rsidRPr="00F260F0" w:rsidRDefault="00C07CB6" w:rsidP="00C07CB6">
      <w:pPr>
        <w:rPr>
          <w:szCs w:val="22"/>
        </w:rPr>
      </w:pPr>
    </w:p>
    <w:p w:rsidR="00C07CB6" w:rsidRPr="00F260F0" w:rsidRDefault="00C07CB6" w:rsidP="00C07CB6">
      <w:pPr>
        <w:pStyle w:val="Style1"/>
      </w:pPr>
      <w:r w:rsidRPr="00F260F0">
        <w:t>3.3</w:t>
      </w:r>
      <w:r w:rsidRPr="00F260F0">
        <w:tab/>
        <w:t>Kontraindikationer</w:t>
      </w:r>
    </w:p>
    <w:p w:rsidR="00C07CB6" w:rsidRPr="00F260F0" w:rsidRDefault="00C07CB6" w:rsidP="00C07CB6">
      <w:pPr>
        <w:rPr>
          <w:szCs w:val="22"/>
        </w:rPr>
      </w:pPr>
    </w:p>
    <w:p w:rsidR="00C07CB6" w:rsidRDefault="00C07CB6" w:rsidP="00C07CB6">
      <w:pPr>
        <w:ind w:left="567"/>
        <w:rPr>
          <w:szCs w:val="22"/>
        </w:rPr>
      </w:pPr>
      <w:r>
        <w:rPr>
          <w:color w:val="000000"/>
          <w:szCs w:val="22"/>
        </w:rPr>
        <w:t>Må</w:t>
      </w:r>
      <w:r w:rsidRPr="00F620B4">
        <w:rPr>
          <w:color w:val="000000"/>
          <w:szCs w:val="22"/>
        </w:rPr>
        <w:t xml:space="preserve"> ikke anvendes til</w:t>
      </w:r>
      <w:r w:rsidRPr="00F620B4">
        <w:rPr>
          <w:szCs w:val="22"/>
        </w:rPr>
        <w:t xml:space="preserve"> dyr med epilepsi.</w:t>
      </w:r>
    </w:p>
    <w:p w:rsidR="00C07CB6" w:rsidRPr="00F620B4" w:rsidRDefault="00C07CB6" w:rsidP="00C07CB6">
      <w:pPr>
        <w:ind w:left="567"/>
        <w:rPr>
          <w:color w:val="000000"/>
          <w:szCs w:val="22"/>
        </w:rPr>
      </w:pPr>
      <w:r>
        <w:rPr>
          <w:szCs w:val="22"/>
        </w:rPr>
        <w:t>Må</w:t>
      </w:r>
      <w:r w:rsidRPr="00F620B4">
        <w:rPr>
          <w:szCs w:val="22"/>
        </w:rPr>
        <w:t xml:space="preserve"> ikke anvendes i tilfælde af overfølsomhed over for det aktive stof eller over for et eller flere af hjælpestofferne.</w:t>
      </w:r>
    </w:p>
    <w:p w:rsidR="00C07CB6" w:rsidRPr="00F620B4" w:rsidRDefault="00C07CB6" w:rsidP="00C07CB6">
      <w:pPr>
        <w:ind w:left="567"/>
        <w:rPr>
          <w:color w:val="000000"/>
          <w:szCs w:val="22"/>
        </w:rPr>
      </w:pPr>
      <w:r>
        <w:rPr>
          <w:color w:val="000000"/>
          <w:szCs w:val="22"/>
        </w:rPr>
        <w:t>Må</w:t>
      </w:r>
      <w:r w:rsidRPr="00F620B4">
        <w:rPr>
          <w:color w:val="000000"/>
          <w:szCs w:val="22"/>
        </w:rPr>
        <w:t xml:space="preserve"> ikke administreres sammen med tricykliske </w:t>
      </w:r>
      <w:proofErr w:type="spellStart"/>
      <w:r w:rsidRPr="00F620B4">
        <w:rPr>
          <w:color w:val="000000"/>
          <w:szCs w:val="22"/>
        </w:rPr>
        <w:t>antidepressiva</w:t>
      </w:r>
      <w:proofErr w:type="spellEnd"/>
      <w:r w:rsidRPr="00F620B4">
        <w:rPr>
          <w:color w:val="000000"/>
          <w:szCs w:val="22"/>
        </w:rPr>
        <w:t xml:space="preserve">, </w:t>
      </w:r>
      <w:proofErr w:type="spellStart"/>
      <w:r w:rsidRPr="00F620B4">
        <w:rPr>
          <w:color w:val="000000"/>
          <w:szCs w:val="22"/>
        </w:rPr>
        <w:t>monoaminoxidase</w:t>
      </w:r>
      <w:r w:rsidRPr="00F620B4">
        <w:rPr>
          <w:color w:val="000000"/>
          <w:szCs w:val="22"/>
        </w:rPr>
        <w:softHyphen/>
        <w:t>hæmmere</w:t>
      </w:r>
      <w:proofErr w:type="spellEnd"/>
      <w:r w:rsidRPr="00F620B4">
        <w:rPr>
          <w:color w:val="000000"/>
          <w:szCs w:val="22"/>
        </w:rPr>
        <w:t xml:space="preserve"> og </w:t>
      </w:r>
      <w:proofErr w:type="spellStart"/>
      <w:r w:rsidRPr="00F620B4">
        <w:rPr>
          <w:color w:val="000000"/>
          <w:szCs w:val="22"/>
        </w:rPr>
        <w:t>serotoningenoptagshæmmere</w:t>
      </w:r>
      <w:proofErr w:type="spellEnd"/>
      <w:r w:rsidRPr="00F620B4">
        <w:rPr>
          <w:color w:val="000000"/>
          <w:szCs w:val="22"/>
        </w:rPr>
        <w:t>.</w:t>
      </w:r>
    </w:p>
    <w:p w:rsidR="00C07CB6" w:rsidRPr="00F260F0" w:rsidRDefault="00C07CB6" w:rsidP="00C07CB6">
      <w:pPr>
        <w:rPr>
          <w:szCs w:val="22"/>
        </w:rPr>
      </w:pPr>
    </w:p>
    <w:p w:rsidR="00C07CB6" w:rsidRPr="00F260F0" w:rsidRDefault="00C07CB6" w:rsidP="00C07CB6">
      <w:pPr>
        <w:pStyle w:val="Style1"/>
      </w:pPr>
      <w:r w:rsidRPr="00F260F0">
        <w:t>3.4</w:t>
      </w:r>
      <w:r w:rsidRPr="00F260F0">
        <w:tab/>
        <w:t>Særlige advarsler</w:t>
      </w:r>
    </w:p>
    <w:p w:rsidR="00C07CB6" w:rsidRPr="00F260F0" w:rsidRDefault="00C07CB6" w:rsidP="00C07CB6">
      <w:pPr>
        <w:rPr>
          <w:szCs w:val="22"/>
        </w:rPr>
      </w:pPr>
    </w:p>
    <w:p w:rsidR="00C07CB6" w:rsidRPr="00F620B4" w:rsidRDefault="00C07CB6" w:rsidP="00C07CB6">
      <w:pPr>
        <w:ind w:left="567"/>
        <w:rPr>
          <w:b/>
          <w:color w:val="000000"/>
          <w:szCs w:val="22"/>
        </w:rPr>
      </w:pPr>
      <w:bookmarkStart w:id="1" w:name="_Hlk484677278"/>
      <w:r w:rsidRPr="00F620B4">
        <w:rPr>
          <w:color w:val="000000"/>
          <w:szCs w:val="22"/>
        </w:rPr>
        <w:t xml:space="preserve">Den analgetiske virkning af </w:t>
      </w:r>
      <w:proofErr w:type="spellStart"/>
      <w:r w:rsidRPr="00F620B4">
        <w:rPr>
          <w:color w:val="000000"/>
          <w:szCs w:val="22"/>
        </w:rPr>
        <w:t>tramadolhydrochlorid</w:t>
      </w:r>
      <w:proofErr w:type="spellEnd"/>
      <w:r w:rsidRPr="00F620B4">
        <w:rPr>
          <w:color w:val="000000"/>
          <w:szCs w:val="22"/>
        </w:rPr>
        <w:t xml:space="preserve"> kan være variabel. Dette menes at skyldes individuelle forskelle i metabolismen af lægemidlet til den primære aktive metabolit O</w:t>
      </w:r>
      <w:r w:rsidRPr="00F620B4">
        <w:rPr>
          <w:color w:val="000000"/>
          <w:szCs w:val="22"/>
        </w:rPr>
        <w:noBreakHyphen/>
      </w:r>
      <w:proofErr w:type="spellStart"/>
      <w:r w:rsidRPr="00F620B4">
        <w:rPr>
          <w:color w:val="000000"/>
          <w:szCs w:val="22"/>
        </w:rPr>
        <w:t>desmethyltramadol</w:t>
      </w:r>
      <w:proofErr w:type="spellEnd"/>
      <w:r w:rsidRPr="00F620B4">
        <w:rPr>
          <w:color w:val="000000"/>
          <w:szCs w:val="22"/>
        </w:rPr>
        <w:t xml:space="preserve">. Hos nogle hunde (ikke-responderende) kan dette føre til, at </w:t>
      </w:r>
      <w:r>
        <w:rPr>
          <w:color w:val="000000"/>
          <w:szCs w:val="22"/>
        </w:rPr>
        <w:t>veterinærlægemidlet</w:t>
      </w:r>
      <w:r w:rsidRPr="00F620B4">
        <w:rPr>
          <w:color w:val="000000"/>
          <w:szCs w:val="22"/>
        </w:rPr>
        <w:t xml:space="preserve"> ikke har en analgetisk virkning. Hunde skal derfor overvåges regelmæssigt for at sikre en tilstrækkelig virkning.</w:t>
      </w:r>
      <w:bookmarkEnd w:id="1"/>
    </w:p>
    <w:p w:rsidR="00C07CB6" w:rsidRPr="00F260F0" w:rsidRDefault="00C07CB6" w:rsidP="00C07CB6">
      <w:pPr>
        <w:rPr>
          <w:szCs w:val="22"/>
        </w:rPr>
      </w:pPr>
    </w:p>
    <w:p w:rsidR="00C07CB6" w:rsidRPr="00F260F0" w:rsidRDefault="00C07CB6" w:rsidP="00C07CB6">
      <w:pPr>
        <w:pStyle w:val="Style1"/>
      </w:pPr>
      <w:r w:rsidRPr="00F260F0">
        <w:t>3.5</w:t>
      </w:r>
      <w:r w:rsidRPr="00F260F0">
        <w:tab/>
        <w:t>Særlige forholdsregler vedrørende brugen</w:t>
      </w:r>
    </w:p>
    <w:p w:rsidR="00C07CB6" w:rsidRPr="00F260F0" w:rsidRDefault="00C07CB6" w:rsidP="00C07CB6">
      <w:pPr>
        <w:rPr>
          <w:szCs w:val="22"/>
        </w:rPr>
      </w:pPr>
    </w:p>
    <w:p w:rsidR="00C07CB6" w:rsidRPr="00F260F0" w:rsidRDefault="00C07CB6" w:rsidP="00C07CB6">
      <w:pPr>
        <w:ind w:left="567"/>
        <w:rPr>
          <w:szCs w:val="22"/>
          <w:u w:val="single"/>
        </w:rPr>
      </w:pPr>
      <w:r w:rsidRPr="00F260F0">
        <w:rPr>
          <w:szCs w:val="22"/>
          <w:u w:val="single"/>
        </w:rPr>
        <w:t>Særlige forholdsregler vedrørende sikker brug hos de dyrearter, som lægemidlet er beregnet til:</w:t>
      </w:r>
    </w:p>
    <w:p w:rsidR="00C07CB6" w:rsidRPr="00F260F0" w:rsidRDefault="00C07CB6" w:rsidP="00C07CB6">
      <w:pPr>
        <w:ind w:left="567"/>
        <w:rPr>
          <w:szCs w:val="22"/>
        </w:rPr>
      </w:pPr>
    </w:p>
    <w:p w:rsidR="00C07CB6" w:rsidRPr="00F620B4" w:rsidRDefault="00C07CB6" w:rsidP="00C07CB6">
      <w:pPr>
        <w:ind w:left="567"/>
        <w:rPr>
          <w:szCs w:val="22"/>
        </w:rPr>
      </w:pPr>
      <w:r w:rsidRPr="00F620B4">
        <w:rPr>
          <w:szCs w:val="22"/>
        </w:rPr>
        <w:t xml:space="preserve">Anvendes med forsigtighed til hunde med nedsat nyre- eller leverfunktion. Hos hunde med nedsat leverfunktion kan metabolismen af </w:t>
      </w:r>
      <w:proofErr w:type="spellStart"/>
      <w:r w:rsidRPr="00F620B4">
        <w:rPr>
          <w:szCs w:val="22"/>
        </w:rPr>
        <w:t>tramadol</w:t>
      </w:r>
      <w:proofErr w:type="spellEnd"/>
      <w:r w:rsidRPr="00F620B4">
        <w:rPr>
          <w:szCs w:val="22"/>
        </w:rPr>
        <w:t xml:space="preserve"> til de aktive metabolitter være nedsat, hvilket kan nedsætte </w:t>
      </w:r>
      <w:r>
        <w:rPr>
          <w:szCs w:val="22"/>
        </w:rPr>
        <w:t>veterinærlægemidlets</w:t>
      </w:r>
      <w:r w:rsidRPr="00F620B4">
        <w:rPr>
          <w:szCs w:val="22"/>
        </w:rPr>
        <w:t xml:space="preserve"> virkning. En af </w:t>
      </w:r>
      <w:proofErr w:type="spellStart"/>
      <w:r w:rsidRPr="00F620B4">
        <w:rPr>
          <w:szCs w:val="22"/>
        </w:rPr>
        <w:t>tramadols</w:t>
      </w:r>
      <w:proofErr w:type="spellEnd"/>
      <w:r w:rsidRPr="00F620B4">
        <w:rPr>
          <w:szCs w:val="22"/>
        </w:rPr>
        <w:t xml:space="preserve"> aktive metabolitter udskilles via nyrerne, og derfor kan det være nødvendigt at justere det anvendte dosisprogram hos hunde. Nyre- og leverfunktionen skal overvåges, når dette </w:t>
      </w:r>
      <w:r>
        <w:rPr>
          <w:szCs w:val="22"/>
        </w:rPr>
        <w:t>veterinærlægemiddel</w:t>
      </w:r>
      <w:r w:rsidRPr="00F620B4">
        <w:rPr>
          <w:szCs w:val="22"/>
        </w:rPr>
        <w:t xml:space="preserve"> anvendes. Se også pkt. </w:t>
      </w:r>
      <w:r>
        <w:rPr>
          <w:szCs w:val="22"/>
        </w:rPr>
        <w:t>3</w:t>
      </w:r>
      <w:r w:rsidRPr="00F620B4">
        <w:rPr>
          <w:szCs w:val="22"/>
        </w:rPr>
        <w:t>.8.</w:t>
      </w:r>
    </w:p>
    <w:p w:rsidR="00C07CB6" w:rsidRPr="00F260F0" w:rsidRDefault="00C07CB6" w:rsidP="00C07CB6">
      <w:pPr>
        <w:ind w:left="567"/>
        <w:rPr>
          <w:szCs w:val="22"/>
        </w:rPr>
      </w:pPr>
    </w:p>
    <w:p w:rsidR="00C07CB6" w:rsidRPr="00F260F0" w:rsidRDefault="00C07CB6" w:rsidP="00C07CB6">
      <w:pPr>
        <w:ind w:left="567"/>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rsidR="00C07CB6" w:rsidRPr="00F260F0" w:rsidRDefault="00C07CB6" w:rsidP="00C07CB6">
      <w:pPr>
        <w:ind w:left="567"/>
        <w:rPr>
          <w:szCs w:val="22"/>
        </w:rPr>
      </w:pPr>
    </w:p>
    <w:p w:rsidR="00C07CB6" w:rsidRPr="00F620B4" w:rsidRDefault="00C07CB6" w:rsidP="00C07CB6">
      <w:pPr>
        <w:ind w:left="567"/>
        <w:rPr>
          <w:color w:val="000000"/>
          <w:szCs w:val="22"/>
        </w:rPr>
      </w:pPr>
      <w:bookmarkStart w:id="2" w:name="_Hlk484073552"/>
      <w:r w:rsidRPr="00F620B4">
        <w:rPr>
          <w:color w:val="000000"/>
          <w:szCs w:val="22"/>
        </w:rPr>
        <w:t xml:space="preserve">Ved overfølsomhed over for </w:t>
      </w:r>
      <w:proofErr w:type="spellStart"/>
      <w:r w:rsidRPr="00F620B4">
        <w:rPr>
          <w:color w:val="000000"/>
          <w:szCs w:val="22"/>
        </w:rPr>
        <w:t>tramadol</w:t>
      </w:r>
      <w:proofErr w:type="spellEnd"/>
      <w:r w:rsidRPr="00F620B4">
        <w:rPr>
          <w:color w:val="000000"/>
          <w:szCs w:val="22"/>
        </w:rPr>
        <w:t xml:space="preserve"> eller over for et eller flere af hjælpestofferne, bør kontakt med </w:t>
      </w:r>
      <w:r>
        <w:rPr>
          <w:color w:val="000000"/>
          <w:szCs w:val="22"/>
        </w:rPr>
        <w:t>veterinær</w:t>
      </w:r>
      <w:r w:rsidRPr="00F620B4">
        <w:rPr>
          <w:color w:val="000000"/>
          <w:szCs w:val="22"/>
        </w:rPr>
        <w:t>lægemidlet undgås.</w:t>
      </w:r>
    </w:p>
    <w:p w:rsidR="00C07CB6" w:rsidRPr="00F620B4" w:rsidRDefault="00C07CB6" w:rsidP="00C07CB6">
      <w:pPr>
        <w:ind w:left="567"/>
        <w:rPr>
          <w:color w:val="000000"/>
          <w:szCs w:val="22"/>
        </w:rPr>
      </w:pPr>
      <w:bookmarkStart w:id="3" w:name="_Hlk486419656"/>
      <w:r>
        <w:rPr>
          <w:color w:val="000000"/>
          <w:szCs w:val="22"/>
        </w:rPr>
        <w:t>Veterinærlægemidlet</w:t>
      </w:r>
      <w:r w:rsidRPr="00F620B4">
        <w:rPr>
          <w:color w:val="000000"/>
          <w:szCs w:val="22"/>
        </w:rPr>
        <w:t xml:space="preserve"> kan forårsage hud- og øjenirritation. Undgå kontakt med hud og øjne. Vask hænder efter brug. I tilfælde af øjeneksponering ved hændeligt uheld, skal der skylles med rent vand.</w:t>
      </w:r>
    </w:p>
    <w:p w:rsidR="00C07CB6" w:rsidRPr="00F620B4" w:rsidRDefault="00C07CB6" w:rsidP="00C07CB6">
      <w:pPr>
        <w:ind w:left="567"/>
        <w:rPr>
          <w:color w:val="000000"/>
          <w:szCs w:val="22"/>
        </w:rPr>
      </w:pPr>
      <w:r w:rsidRPr="00F620B4">
        <w:rPr>
          <w:color w:val="000000"/>
          <w:szCs w:val="22"/>
        </w:rPr>
        <w:t xml:space="preserve">Der er </w:t>
      </w:r>
      <w:bookmarkStart w:id="4" w:name="_Hlk486413450"/>
      <w:r w:rsidRPr="00F620B4">
        <w:rPr>
          <w:color w:val="000000"/>
          <w:szCs w:val="22"/>
        </w:rPr>
        <w:t xml:space="preserve">utilstrækkeligt tilgængeligt evidens for sikkerheden af </w:t>
      </w:r>
      <w:proofErr w:type="spellStart"/>
      <w:r w:rsidRPr="00F620B4">
        <w:rPr>
          <w:color w:val="000000"/>
          <w:szCs w:val="22"/>
        </w:rPr>
        <w:t>tramadol</w:t>
      </w:r>
      <w:proofErr w:type="spellEnd"/>
      <w:r w:rsidRPr="00F620B4">
        <w:rPr>
          <w:color w:val="000000"/>
          <w:szCs w:val="22"/>
        </w:rPr>
        <w:t xml:space="preserve"> under human graviditet. Gravide kvinder og kvinder i den fertile alder skal derfor udvise stor forsigtighed ved håndtering af dette </w:t>
      </w:r>
      <w:r>
        <w:rPr>
          <w:color w:val="000000"/>
          <w:szCs w:val="22"/>
        </w:rPr>
        <w:t>veterinærlægemiddel</w:t>
      </w:r>
      <w:r w:rsidRPr="00F620B4">
        <w:rPr>
          <w:color w:val="000000"/>
          <w:szCs w:val="22"/>
        </w:rPr>
        <w:t>, og straks søge lægehjælp i tilfælde af eksponering</w:t>
      </w:r>
      <w:bookmarkEnd w:id="4"/>
      <w:r w:rsidRPr="00F620B4">
        <w:rPr>
          <w:color w:val="000000"/>
          <w:szCs w:val="22"/>
        </w:rPr>
        <w:t>.</w:t>
      </w:r>
    </w:p>
    <w:bookmarkEnd w:id="3"/>
    <w:p w:rsidR="00C07CB6" w:rsidRPr="00F620B4" w:rsidRDefault="00C07CB6" w:rsidP="00C07CB6">
      <w:pPr>
        <w:ind w:left="567"/>
        <w:rPr>
          <w:color w:val="000000"/>
          <w:szCs w:val="22"/>
        </w:rPr>
      </w:pPr>
      <w:proofErr w:type="spellStart"/>
      <w:r w:rsidRPr="00F620B4">
        <w:rPr>
          <w:color w:val="000000"/>
          <w:szCs w:val="22"/>
        </w:rPr>
        <w:t>Tramadol</w:t>
      </w:r>
      <w:proofErr w:type="spellEnd"/>
      <w:r w:rsidRPr="00F620B4">
        <w:rPr>
          <w:color w:val="000000"/>
          <w:szCs w:val="22"/>
        </w:rPr>
        <w:t xml:space="preserve"> kan forårsage kvalme og svimmelhed efter selvinjektion ved hændeligt uheld. Hvis du udvikler symptomer efter eksponering ved hændeligt uheld, skal der </w:t>
      </w:r>
      <w:r>
        <w:t xml:space="preserve">straks </w:t>
      </w:r>
      <w:r w:rsidRPr="00F620B4">
        <w:rPr>
          <w:color w:val="000000"/>
          <w:szCs w:val="22"/>
        </w:rPr>
        <w:t>søges lægehjælp, og indlægssedlen eller etiketten bør vises til lægen. Der må imidlertid IKKE FØRES MOTORKØRETØJ, da der kan opstå sedation.</w:t>
      </w:r>
      <w:bookmarkEnd w:id="2"/>
    </w:p>
    <w:p w:rsidR="00C07CB6" w:rsidRPr="00F260F0" w:rsidRDefault="00C07CB6" w:rsidP="00C07CB6">
      <w:pPr>
        <w:ind w:left="567"/>
        <w:rPr>
          <w:szCs w:val="22"/>
        </w:rPr>
      </w:pPr>
    </w:p>
    <w:p w:rsidR="00C07CB6" w:rsidRPr="00F260F0" w:rsidRDefault="00C07CB6" w:rsidP="00C07CB6">
      <w:pPr>
        <w:ind w:left="567"/>
        <w:rPr>
          <w:szCs w:val="22"/>
          <w:u w:val="single"/>
        </w:rPr>
      </w:pPr>
      <w:r w:rsidRPr="00F260F0">
        <w:rPr>
          <w:szCs w:val="22"/>
          <w:u w:val="single"/>
        </w:rPr>
        <w:t>Særlige forholdsregler vedrørende beskyttelse af miljøet:</w:t>
      </w:r>
    </w:p>
    <w:p w:rsidR="00C07CB6" w:rsidRPr="00F260F0" w:rsidRDefault="00C07CB6" w:rsidP="00C07CB6">
      <w:pPr>
        <w:ind w:left="567"/>
        <w:rPr>
          <w:szCs w:val="22"/>
        </w:rPr>
      </w:pPr>
    </w:p>
    <w:p w:rsidR="00C07CB6" w:rsidRDefault="00C07CB6" w:rsidP="00C07CB6">
      <w:pPr>
        <w:ind w:left="567"/>
        <w:jc w:val="both"/>
      </w:pPr>
      <w:r w:rsidRPr="00F260F0">
        <w:t>Ikke relevant.</w:t>
      </w:r>
    </w:p>
    <w:p w:rsidR="00C07CB6" w:rsidRPr="00F260F0" w:rsidRDefault="00C07CB6" w:rsidP="00C07CB6">
      <w:pPr>
        <w:jc w:val="both"/>
        <w:rPr>
          <w:szCs w:val="22"/>
        </w:rPr>
      </w:pPr>
    </w:p>
    <w:p w:rsidR="00C07CB6" w:rsidRPr="00F260F0" w:rsidRDefault="00C07CB6" w:rsidP="00C07CB6">
      <w:pPr>
        <w:pStyle w:val="Style1"/>
      </w:pPr>
      <w:r w:rsidRPr="00F260F0">
        <w:t>3.6</w:t>
      </w:r>
      <w:r w:rsidRPr="00F260F0">
        <w:tab/>
        <w:t>Bivirkninger</w:t>
      </w:r>
    </w:p>
    <w:p w:rsidR="00C07CB6" w:rsidRDefault="00C07CB6" w:rsidP="00C07CB6">
      <w:pPr>
        <w:rPr>
          <w:szCs w:val="22"/>
        </w:rPr>
      </w:pPr>
    </w:p>
    <w:p w:rsidR="00C07CB6" w:rsidRDefault="00C07CB6" w:rsidP="00C07CB6">
      <w:pPr>
        <w:ind w:firstLine="567"/>
        <w:rPr>
          <w:szCs w:val="22"/>
        </w:rPr>
      </w:pPr>
      <w:r>
        <w:rPr>
          <w:szCs w:val="22"/>
        </w:rPr>
        <w:lastRenderedPageBreak/>
        <w:t>Hunde:</w:t>
      </w:r>
    </w:p>
    <w:p w:rsidR="00C07CB6" w:rsidRPr="00F260F0" w:rsidRDefault="00C07CB6" w:rsidP="00C07CB6">
      <w:pPr>
        <w:rPr>
          <w:szCs w:val="22"/>
        </w:rPr>
      </w:pPr>
    </w:p>
    <w:tbl>
      <w:tblPr>
        <w:tblW w:w="5001"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5266"/>
      </w:tblGrid>
      <w:tr w:rsidR="00C07CB6" w:rsidTr="00C07CB6">
        <w:tc>
          <w:tcPr>
            <w:tcW w:w="2266" w:type="pct"/>
          </w:tcPr>
          <w:p w:rsidR="00C07CB6" w:rsidRPr="00F260F0" w:rsidRDefault="00C07CB6" w:rsidP="00E64573">
            <w:pPr>
              <w:spacing w:before="60" w:after="60"/>
              <w:rPr>
                <w:szCs w:val="22"/>
              </w:rPr>
            </w:pPr>
            <w:r w:rsidRPr="00F260F0">
              <w:t>Sjælden</w:t>
            </w:r>
          </w:p>
          <w:p w:rsidR="00C07CB6" w:rsidRPr="00F260F0" w:rsidRDefault="00C07CB6" w:rsidP="00E64573">
            <w:pPr>
              <w:spacing w:before="60" w:after="60"/>
              <w:rPr>
                <w:szCs w:val="22"/>
              </w:rPr>
            </w:pPr>
            <w:r w:rsidRPr="00F260F0">
              <w:t>(1 til 10</w:t>
            </w:r>
            <w:r>
              <w:t> </w:t>
            </w:r>
            <w:r w:rsidRPr="00F260F0">
              <w:t>dyr ud af 10</w:t>
            </w:r>
            <w:r>
              <w:t>.</w:t>
            </w:r>
            <w:r w:rsidRPr="00F260F0">
              <w:t>000</w:t>
            </w:r>
            <w:r>
              <w:t> </w:t>
            </w:r>
            <w:r w:rsidRPr="00F260F0">
              <w:t>behandlede dyr):</w:t>
            </w:r>
          </w:p>
        </w:tc>
        <w:tc>
          <w:tcPr>
            <w:tcW w:w="2734" w:type="pct"/>
          </w:tcPr>
          <w:p w:rsidR="00C07CB6" w:rsidRPr="00F260F0" w:rsidRDefault="00C07CB6" w:rsidP="00E64573">
            <w:pPr>
              <w:spacing w:before="60" w:after="60"/>
              <w:rPr>
                <w:iCs/>
                <w:szCs w:val="22"/>
              </w:rPr>
            </w:pPr>
            <w:r>
              <w:rPr>
                <w:iCs/>
                <w:szCs w:val="22"/>
              </w:rPr>
              <w:t>Overfølsomhedsreaktion</w:t>
            </w:r>
            <w:r w:rsidRPr="00FB5629">
              <w:rPr>
                <w:iCs/>
                <w:szCs w:val="22"/>
              </w:rPr>
              <w:t xml:space="preserve"> * </w:t>
            </w:r>
          </w:p>
        </w:tc>
      </w:tr>
      <w:tr w:rsidR="00C07CB6" w:rsidTr="00C07CB6">
        <w:tc>
          <w:tcPr>
            <w:tcW w:w="2266" w:type="pct"/>
          </w:tcPr>
          <w:p w:rsidR="00C07CB6" w:rsidRPr="00F260F0" w:rsidRDefault="00C07CB6" w:rsidP="00E64573">
            <w:pPr>
              <w:spacing w:before="60" w:after="60"/>
              <w:rPr>
                <w:szCs w:val="22"/>
              </w:rPr>
            </w:pPr>
            <w:r w:rsidRPr="00F260F0">
              <w:t>Meget sjælden</w:t>
            </w:r>
          </w:p>
          <w:p w:rsidR="00C07CB6" w:rsidRPr="00F260F0" w:rsidRDefault="00C07CB6" w:rsidP="00E64573">
            <w:pPr>
              <w:spacing w:before="60" w:after="60"/>
              <w:rPr>
                <w:szCs w:val="22"/>
              </w:rPr>
            </w:pPr>
            <w:r w:rsidRPr="00F260F0">
              <w:t>(&lt; 1</w:t>
            </w:r>
            <w:r>
              <w:t> </w:t>
            </w:r>
            <w:r w:rsidRPr="00F260F0">
              <w:t>dyr ud af 10</w:t>
            </w:r>
            <w:r>
              <w:t>.</w:t>
            </w:r>
            <w:r w:rsidRPr="00F260F0">
              <w:t>000</w:t>
            </w:r>
            <w:r>
              <w:t> </w:t>
            </w:r>
            <w:r w:rsidRPr="00F260F0">
              <w:t>behandlede dyr, herunder enkeltstående indberetninger):</w:t>
            </w:r>
          </w:p>
        </w:tc>
        <w:tc>
          <w:tcPr>
            <w:tcW w:w="2734" w:type="pct"/>
          </w:tcPr>
          <w:p w:rsidR="00C07CB6" w:rsidRPr="00F260F0" w:rsidRDefault="00C07CB6" w:rsidP="00E64573">
            <w:pPr>
              <w:spacing w:before="60" w:after="60"/>
              <w:rPr>
                <w:iCs/>
                <w:szCs w:val="22"/>
              </w:rPr>
            </w:pPr>
            <w:r>
              <w:rPr>
                <w:iCs/>
                <w:szCs w:val="22"/>
              </w:rPr>
              <w:t>Opkastning</w:t>
            </w:r>
            <w:r w:rsidRPr="00FB5629">
              <w:rPr>
                <w:iCs/>
                <w:szCs w:val="22"/>
              </w:rPr>
              <w:t xml:space="preserve">, </w:t>
            </w:r>
            <w:r>
              <w:rPr>
                <w:iCs/>
                <w:szCs w:val="22"/>
              </w:rPr>
              <w:t>kvalme</w:t>
            </w:r>
          </w:p>
        </w:tc>
      </w:tr>
    </w:tbl>
    <w:p w:rsidR="00C07CB6" w:rsidRPr="003F7E2B" w:rsidRDefault="00C07CB6" w:rsidP="00C07CB6">
      <w:pPr>
        <w:ind w:left="567"/>
        <w:rPr>
          <w:szCs w:val="22"/>
          <w:lang w:val="en-GB"/>
        </w:rPr>
      </w:pPr>
      <w:r w:rsidRPr="003F7E2B">
        <w:rPr>
          <w:szCs w:val="22"/>
          <w:lang w:val="en-GB"/>
        </w:rPr>
        <w:t>*</w:t>
      </w:r>
      <w:r>
        <w:rPr>
          <w:szCs w:val="22"/>
          <w:lang w:val="en-GB"/>
        </w:rPr>
        <w:t xml:space="preserve"> </w:t>
      </w:r>
      <w:proofErr w:type="spellStart"/>
      <w:r>
        <w:rPr>
          <w:szCs w:val="22"/>
          <w:lang w:val="en-GB"/>
        </w:rPr>
        <w:t>Behandlingen</w:t>
      </w:r>
      <w:proofErr w:type="spellEnd"/>
      <w:r>
        <w:rPr>
          <w:szCs w:val="22"/>
          <w:lang w:val="en-GB"/>
        </w:rPr>
        <w:t xml:space="preserve"> </w:t>
      </w:r>
      <w:proofErr w:type="spellStart"/>
      <w:r>
        <w:rPr>
          <w:szCs w:val="22"/>
          <w:lang w:val="en-GB"/>
        </w:rPr>
        <w:t>skal</w:t>
      </w:r>
      <w:proofErr w:type="spellEnd"/>
      <w:r>
        <w:rPr>
          <w:szCs w:val="22"/>
          <w:lang w:val="en-GB"/>
        </w:rPr>
        <w:t xml:space="preserve"> </w:t>
      </w:r>
      <w:proofErr w:type="spellStart"/>
      <w:r>
        <w:rPr>
          <w:szCs w:val="22"/>
          <w:lang w:val="en-GB"/>
        </w:rPr>
        <w:t>stoppes</w:t>
      </w:r>
      <w:proofErr w:type="spellEnd"/>
      <w:r w:rsidRPr="003F7E2B">
        <w:rPr>
          <w:bCs/>
          <w:szCs w:val="22"/>
          <w:lang w:val="en-GB"/>
        </w:rPr>
        <w:t>.</w:t>
      </w:r>
    </w:p>
    <w:p w:rsidR="00C07CB6" w:rsidRPr="00F260F0" w:rsidRDefault="00C07CB6" w:rsidP="00C07CB6">
      <w:pPr>
        <w:ind w:left="567"/>
        <w:rPr>
          <w:szCs w:val="22"/>
        </w:rPr>
      </w:pPr>
    </w:p>
    <w:p w:rsidR="00C07CB6" w:rsidRDefault="00C07CB6" w:rsidP="00C07CB6">
      <w:pPr>
        <w:ind w:left="567"/>
      </w:pPr>
      <w:bookmarkStart w:id="5" w:name="_Hlk66891708"/>
      <w:r w:rsidRPr="00F260F0">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5"/>
    <w:p w:rsidR="00C07CB6" w:rsidRPr="00371B54" w:rsidRDefault="00C07CB6" w:rsidP="00C07CB6">
      <w:pPr>
        <w:rPr>
          <w:szCs w:val="22"/>
        </w:rPr>
      </w:pPr>
    </w:p>
    <w:p w:rsidR="00C07CB6" w:rsidRPr="00F260F0" w:rsidRDefault="00C07CB6" w:rsidP="00C07CB6">
      <w:pPr>
        <w:pStyle w:val="Style1"/>
      </w:pPr>
      <w:r w:rsidRPr="00F260F0">
        <w:t>3.7</w:t>
      </w:r>
      <w:r w:rsidRPr="00F260F0">
        <w:tab/>
        <w:t>Anvendelse under drægtighed, laktation eller æglægning</w:t>
      </w:r>
    </w:p>
    <w:p w:rsidR="00C07CB6" w:rsidRPr="00F260F0" w:rsidRDefault="00C07CB6" w:rsidP="00C07CB6">
      <w:pPr>
        <w:rPr>
          <w:szCs w:val="22"/>
        </w:rPr>
      </w:pPr>
    </w:p>
    <w:p w:rsidR="00C07CB6" w:rsidRPr="00F620B4" w:rsidRDefault="00C07CB6" w:rsidP="00C07CB6">
      <w:pPr>
        <w:ind w:left="567"/>
        <w:rPr>
          <w:szCs w:val="22"/>
          <w:u w:val="single"/>
          <w:lang w:eastAsia="da-DK"/>
        </w:rPr>
      </w:pPr>
      <w:r w:rsidRPr="00F620B4">
        <w:rPr>
          <w:szCs w:val="22"/>
          <w:u w:val="single"/>
        </w:rPr>
        <w:t>Drægtighed:</w:t>
      </w:r>
    </w:p>
    <w:p w:rsidR="00C07CB6" w:rsidRDefault="00C07CB6" w:rsidP="00C07CB6">
      <w:pPr>
        <w:ind w:left="567"/>
        <w:rPr>
          <w:szCs w:val="22"/>
        </w:rPr>
      </w:pPr>
      <w:r w:rsidRPr="00F620B4">
        <w:rPr>
          <w:szCs w:val="22"/>
        </w:rPr>
        <w:t xml:space="preserve">Laboratorieundersøgelser af mus og/eller rotter og kaniner har ikke afsløret </w:t>
      </w:r>
      <w:proofErr w:type="spellStart"/>
      <w:r w:rsidRPr="00F620B4">
        <w:rPr>
          <w:szCs w:val="22"/>
        </w:rPr>
        <w:t>teratogene</w:t>
      </w:r>
      <w:proofErr w:type="spellEnd"/>
      <w:r w:rsidRPr="00F620B4">
        <w:rPr>
          <w:szCs w:val="22"/>
        </w:rPr>
        <w:t xml:space="preserve">, </w:t>
      </w:r>
      <w:proofErr w:type="spellStart"/>
      <w:r w:rsidRPr="00F620B4">
        <w:rPr>
          <w:szCs w:val="22"/>
        </w:rPr>
        <w:t>føt</w:t>
      </w:r>
      <w:r>
        <w:rPr>
          <w:szCs w:val="22"/>
        </w:rPr>
        <w:t>o</w:t>
      </w:r>
      <w:r w:rsidRPr="00F620B4">
        <w:rPr>
          <w:szCs w:val="22"/>
        </w:rPr>
        <w:t>toksi</w:t>
      </w:r>
      <w:r>
        <w:rPr>
          <w:szCs w:val="22"/>
        </w:rPr>
        <w:t>ske</w:t>
      </w:r>
      <w:proofErr w:type="spellEnd"/>
      <w:r w:rsidRPr="00F620B4">
        <w:rPr>
          <w:szCs w:val="22"/>
        </w:rPr>
        <w:t xml:space="preserve"> eller </w:t>
      </w:r>
      <w:proofErr w:type="spellStart"/>
      <w:r w:rsidRPr="00F620B4">
        <w:rPr>
          <w:szCs w:val="22"/>
        </w:rPr>
        <w:t>matern</w:t>
      </w:r>
      <w:r>
        <w:rPr>
          <w:szCs w:val="22"/>
        </w:rPr>
        <w:t>o</w:t>
      </w:r>
      <w:r w:rsidRPr="00F620B4">
        <w:rPr>
          <w:szCs w:val="22"/>
        </w:rPr>
        <w:t>toksi</w:t>
      </w:r>
      <w:r>
        <w:rPr>
          <w:szCs w:val="22"/>
        </w:rPr>
        <w:t>ske</w:t>
      </w:r>
      <w:proofErr w:type="spellEnd"/>
      <w:r>
        <w:rPr>
          <w:szCs w:val="22"/>
        </w:rPr>
        <w:t xml:space="preserve"> virkninger</w:t>
      </w:r>
      <w:r w:rsidRPr="00F620B4">
        <w:rPr>
          <w:szCs w:val="22"/>
        </w:rPr>
        <w:t>.</w:t>
      </w:r>
    </w:p>
    <w:p w:rsidR="00C07CB6" w:rsidRPr="00F620B4" w:rsidRDefault="00C07CB6" w:rsidP="00C07CB6">
      <w:pPr>
        <w:ind w:left="567"/>
        <w:rPr>
          <w:szCs w:val="22"/>
        </w:rPr>
      </w:pPr>
      <w:r w:rsidRPr="00F620B4">
        <w:rPr>
          <w:szCs w:val="22"/>
        </w:rPr>
        <w:t>Må kun anvendes i overensstemmelse med den ansvarlige dyrlæges vurdering af benefit</w:t>
      </w:r>
      <w:r>
        <w:rPr>
          <w:szCs w:val="22"/>
        </w:rPr>
        <w:t>/</w:t>
      </w:r>
      <w:proofErr w:type="spellStart"/>
      <w:r w:rsidRPr="00F620B4">
        <w:rPr>
          <w:szCs w:val="22"/>
        </w:rPr>
        <w:t>risk</w:t>
      </w:r>
      <w:proofErr w:type="spellEnd"/>
      <w:r w:rsidRPr="00F620B4">
        <w:rPr>
          <w:szCs w:val="22"/>
        </w:rPr>
        <w:t>-forholdet.</w:t>
      </w:r>
    </w:p>
    <w:p w:rsidR="00C07CB6" w:rsidRPr="00F620B4" w:rsidRDefault="00C07CB6" w:rsidP="00C07CB6">
      <w:pPr>
        <w:ind w:left="567"/>
        <w:rPr>
          <w:szCs w:val="22"/>
        </w:rPr>
      </w:pPr>
    </w:p>
    <w:p w:rsidR="00C07CB6" w:rsidRPr="00F620B4" w:rsidRDefault="00C07CB6" w:rsidP="00C07CB6">
      <w:pPr>
        <w:ind w:left="567"/>
        <w:rPr>
          <w:szCs w:val="22"/>
          <w:u w:val="single"/>
        </w:rPr>
      </w:pPr>
      <w:r w:rsidRPr="00F620B4">
        <w:rPr>
          <w:szCs w:val="22"/>
          <w:u w:val="single"/>
        </w:rPr>
        <w:t>Diegivning:</w:t>
      </w:r>
    </w:p>
    <w:p w:rsidR="00C07CB6" w:rsidRDefault="00C07CB6" w:rsidP="00C07CB6">
      <w:pPr>
        <w:ind w:left="567"/>
        <w:rPr>
          <w:szCs w:val="22"/>
        </w:rPr>
      </w:pPr>
      <w:r w:rsidRPr="00F620B4">
        <w:rPr>
          <w:szCs w:val="22"/>
        </w:rPr>
        <w:t xml:space="preserve">Laboratorieundersøgelser af mus og/eller rotter og kaniner har ikke afsløret bivirkninger i den peri- og </w:t>
      </w:r>
      <w:proofErr w:type="spellStart"/>
      <w:r w:rsidRPr="00F620B4">
        <w:rPr>
          <w:szCs w:val="22"/>
        </w:rPr>
        <w:t>postnatale</w:t>
      </w:r>
      <w:proofErr w:type="spellEnd"/>
      <w:r w:rsidRPr="00F620B4">
        <w:rPr>
          <w:szCs w:val="22"/>
        </w:rPr>
        <w:t xml:space="preserve"> udvikling af afkommet.</w:t>
      </w:r>
    </w:p>
    <w:p w:rsidR="00C07CB6" w:rsidRPr="00F620B4" w:rsidRDefault="00C07CB6" w:rsidP="00C07CB6">
      <w:pPr>
        <w:ind w:left="567"/>
        <w:rPr>
          <w:szCs w:val="22"/>
        </w:rPr>
      </w:pPr>
      <w:r w:rsidRPr="00F620B4">
        <w:rPr>
          <w:szCs w:val="22"/>
        </w:rPr>
        <w:t>Må kun anvendes i overensstemmelse med den ansvarlige dyrlæges vurdering af benefit</w:t>
      </w:r>
      <w:r>
        <w:rPr>
          <w:szCs w:val="22"/>
        </w:rPr>
        <w:t>/</w:t>
      </w:r>
      <w:proofErr w:type="spellStart"/>
      <w:r w:rsidRPr="00F620B4">
        <w:rPr>
          <w:szCs w:val="22"/>
        </w:rPr>
        <w:t>risk</w:t>
      </w:r>
      <w:proofErr w:type="spellEnd"/>
      <w:r w:rsidRPr="00F620B4">
        <w:rPr>
          <w:szCs w:val="22"/>
        </w:rPr>
        <w:t>-forholdet.</w:t>
      </w:r>
    </w:p>
    <w:p w:rsidR="00C07CB6" w:rsidRPr="00F620B4" w:rsidRDefault="00C07CB6" w:rsidP="00C07CB6">
      <w:pPr>
        <w:ind w:left="567"/>
        <w:rPr>
          <w:szCs w:val="22"/>
        </w:rPr>
      </w:pPr>
    </w:p>
    <w:p w:rsidR="00C07CB6" w:rsidRPr="00F620B4" w:rsidRDefault="00C07CB6" w:rsidP="00C07CB6">
      <w:pPr>
        <w:ind w:left="567"/>
        <w:rPr>
          <w:szCs w:val="22"/>
          <w:u w:val="single"/>
        </w:rPr>
      </w:pPr>
      <w:r w:rsidRPr="00F620B4">
        <w:rPr>
          <w:szCs w:val="22"/>
          <w:u w:val="single"/>
        </w:rPr>
        <w:t>Fertilitet:</w:t>
      </w:r>
    </w:p>
    <w:p w:rsidR="00C07CB6" w:rsidRDefault="00C07CB6" w:rsidP="00C07CB6">
      <w:pPr>
        <w:ind w:left="567"/>
        <w:rPr>
          <w:szCs w:val="22"/>
        </w:rPr>
      </w:pPr>
      <w:r w:rsidRPr="00F620B4">
        <w:rPr>
          <w:szCs w:val="22"/>
        </w:rPr>
        <w:t xml:space="preserve">I laboratorieundersøgelser af mus og/eller rotter og kaniner, påvirkede anvendelsen af </w:t>
      </w:r>
      <w:proofErr w:type="spellStart"/>
      <w:r w:rsidRPr="00F620B4">
        <w:rPr>
          <w:szCs w:val="22"/>
        </w:rPr>
        <w:t>tramadol</w:t>
      </w:r>
      <w:proofErr w:type="spellEnd"/>
      <w:r w:rsidRPr="00F620B4">
        <w:rPr>
          <w:szCs w:val="22"/>
        </w:rPr>
        <w:t xml:space="preserve"> ved terapeutiske doser ikke reproduktionsevnen og fertiliteten hos hanner og hunner.</w:t>
      </w:r>
    </w:p>
    <w:p w:rsidR="00C07CB6" w:rsidRPr="00F620B4" w:rsidRDefault="00C07CB6" w:rsidP="00C07CB6">
      <w:pPr>
        <w:ind w:left="567"/>
        <w:rPr>
          <w:szCs w:val="22"/>
        </w:rPr>
      </w:pPr>
      <w:r w:rsidRPr="00F620B4">
        <w:rPr>
          <w:szCs w:val="22"/>
        </w:rPr>
        <w:t>Må kun anvendes i overensstemmelse med den ansvarlige dyrlæges vurdering af benefit</w:t>
      </w:r>
      <w:r>
        <w:rPr>
          <w:szCs w:val="22"/>
        </w:rPr>
        <w:t>/</w:t>
      </w:r>
      <w:proofErr w:type="spellStart"/>
      <w:r w:rsidRPr="00F620B4">
        <w:rPr>
          <w:szCs w:val="22"/>
        </w:rPr>
        <w:t>risk</w:t>
      </w:r>
      <w:proofErr w:type="spellEnd"/>
      <w:r w:rsidRPr="00F620B4">
        <w:rPr>
          <w:szCs w:val="22"/>
        </w:rPr>
        <w:t>-forholdet.</w:t>
      </w:r>
    </w:p>
    <w:p w:rsidR="00C07CB6" w:rsidRPr="00F260F0" w:rsidRDefault="00C07CB6" w:rsidP="00C07CB6">
      <w:pPr>
        <w:rPr>
          <w:szCs w:val="22"/>
        </w:rPr>
      </w:pPr>
    </w:p>
    <w:p w:rsidR="00C07CB6" w:rsidRPr="00F260F0" w:rsidRDefault="00C07CB6" w:rsidP="00C07CB6">
      <w:pPr>
        <w:pStyle w:val="Style1"/>
      </w:pPr>
      <w:r w:rsidRPr="00F260F0">
        <w:t>3.8</w:t>
      </w:r>
      <w:r w:rsidRPr="00F260F0">
        <w:tab/>
        <w:t>Interaktion med andre lægemidler og andre former for interaktion</w:t>
      </w:r>
    </w:p>
    <w:p w:rsidR="00C07CB6" w:rsidRPr="00F260F0" w:rsidRDefault="00C07CB6" w:rsidP="00C07CB6">
      <w:pPr>
        <w:rPr>
          <w:szCs w:val="22"/>
        </w:rPr>
      </w:pPr>
    </w:p>
    <w:p w:rsidR="00C07CB6" w:rsidRPr="00F620B4" w:rsidRDefault="00C07CB6" w:rsidP="00C07CB6">
      <w:pPr>
        <w:ind w:left="567"/>
        <w:rPr>
          <w:color w:val="000000"/>
          <w:szCs w:val="22"/>
          <w:lang w:eastAsia="da-DK"/>
        </w:rPr>
      </w:pPr>
      <w:r w:rsidRPr="00F620B4">
        <w:rPr>
          <w:szCs w:val="22"/>
        </w:rPr>
        <w:t xml:space="preserve">Administration af </w:t>
      </w:r>
      <w:r>
        <w:rPr>
          <w:szCs w:val="22"/>
        </w:rPr>
        <w:t>veterinærlægemidlet</w:t>
      </w:r>
      <w:r w:rsidRPr="00F620B4">
        <w:rPr>
          <w:szCs w:val="22"/>
        </w:rPr>
        <w:t xml:space="preserve"> sammen med midler, der undertrykker centralnervesystemet, kan forstærke virkningerne på CNS og de åndedrætsundertrykkende virkninger.</w:t>
      </w:r>
    </w:p>
    <w:p w:rsidR="00C07CB6" w:rsidRPr="00F620B4" w:rsidRDefault="00C07CB6" w:rsidP="00C07CB6">
      <w:pPr>
        <w:ind w:left="567"/>
        <w:rPr>
          <w:color w:val="000000"/>
          <w:szCs w:val="22"/>
        </w:rPr>
      </w:pPr>
      <w:r w:rsidRPr="00F620B4">
        <w:rPr>
          <w:color w:val="000000"/>
          <w:szCs w:val="22"/>
        </w:rPr>
        <w:t xml:space="preserve">Når </w:t>
      </w:r>
      <w:r>
        <w:rPr>
          <w:color w:val="000000"/>
          <w:szCs w:val="22"/>
        </w:rPr>
        <w:t>veterinærlægemidlet</w:t>
      </w:r>
      <w:r w:rsidRPr="00F620B4">
        <w:rPr>
          <w:color w:val="000000"/>
          <w:szCs w:val="22"/>
        </w:rPr>
        <w:t xml:space="preserve"> administreres sammen med </w:t>
      </w:r>
      <w:r>
        <w:rPr>
          <w:color w:val="000000"/>
          <w:szCs w:val="22"/>
        </w:rPr>
        <w:t>veterinær</w:t>
      </w:r>
      <w:r w:rsidRPr="00F620B4">
        <w:rPr>
          <w:color w:val="000000"/>
          <w:szCs w:val="22"/>
        </w:rPr>
        <w:t xml:space="preserve">lægemidler med en sederende virkning, kan varigheden af </w:t>
      </w:r>
      <w:proofErr w:type="spellStart"/>
      <w:r w:rsidRPr="00F620B4">
        <w:rPr>
          <w:color w:val="000000"/>
          <w:szCs w:val="22"/>
        </w:rPr>
        <w:t>sederingen</w:t>
      </w:r>
      <w:proofErr w:type="spellEnd"/>
      <w:r w:rsidRPr="00F620B4">
        <w:rPr>
          <w:color w:val="000000"/>
          <w:szCs w:val="22"/>
        </w:rPr>
        <w:t xml:space="preserve"> være forlænget.</w:t>
      </w:r>
    </w:p>
    <w:p w:rsidR="00C07CB6" w:rsidRPr="00F620B4" w:rsidRDefault="00C07CB6" w:rsidP="00C07CB6">
      <w:pPr>
        <w:ind w:left="567"/>
        <w:rPr>
          <w:color w:val="000000"/>
          <w:szCs w:val="22"/>
        </w:rPr>
      </w:pPr>
      <w:proofErr w:type="spellStart"/>
      <w:r w:rsidRPr="00F620B4">
        <w:rPr>
          <w:color w:val="000000"/>
          <w:szCs w:val="22"/>
        </w:rPr>
        <w:t>Tramadol</w:t>
      </w:r>
      <w:proofErr w:type="spellEnd"/>
      <w:r w:rsidRPr="00F620B4">
        <w:rPr>
          <w:color w:val="000000"/>
          <w:szCs w:val="22"/>
        </w:rPr>
        <w:t xml:space="preserve"> kan inducere krampeanfald, og øge virkningen af lægemidler, der sænker tærskelværdien for epileptiske anfald. </w:t>
      </w:r>
    </w:p>
    <w:p w:rsidR="00C07CB6" w:rsidRPr="00F620B4" w:rsidRDefault="00C07CB6" w:rsidP="00C07CB6">
      <w:pPr>
        <w:ind w:left="567"/>
        <w:rPr>
          <w:color w:val="000000"/>
          <w:szCs w:val="22"/>
        </w:rPr>
      </w:pPr>
      <w:r w:rsidRPr="00F620B4">
        <w:rPr>
          <w:color w:val="000000"/>
          <w:szCs w:val="22"/>
        </w:rPr>
        <w:t xml:space="preserve">Lægemidler der hæmmer (f.eks. </w:t>
      </w:r>
      <w:proofErr w:type="spellStart"/>
      <w:r w:rsidRPr="00F620B4">
        <w:rPr>
          <w:color w:val="000000"/>
          <w:szCs w:val="22"/>
        </w:rPr>
        <w:t>cimetidin</w:t>
      </w:r>
      <w:proofErr w:type="spellEnd"/>
      <w:r w:rsidRPr="00F620B4">
        <w:rPr>
          <w:color w:val="000000"/>
          <w:szCs w:val="22"/>
        </w:rPr>
        <w:t xml:space="preserve"> og </w:t>
      </w:r>
      <w:proofErr w:type="spellStart"/>
      <w:r w:rsidRPr="00F620B4">
        <w:rPr>
          <w:color w:val="000000"/>
          <w:szCs w:val="22"/>
        </w:rPr>
        <w:t>erythromycin</w:t>
      </w:r>
      <w:proofErr w:type="spellEnd"/>
      <w:r w:rsidRPr="00F620B4">
        <w:rPr>
          <w:color w:val="000000"/>
          <w:szCs w:val="22"/>
        </w:rPr>
        <w:t xml:space="preserve">) eller inducerer (f.eks. </w:t>
      </w:r>
      <w:proofErr w:type="spellStart"/>
      <w:r w:rsidRPr="00F620B4">
        <w:rPr>
          <w:color w:val="000000"/>
          <w:szCs w:val="22"/>
        </w:rPr>
        <w:t>carbamazepin</w:t>
      </w:r>
      <w:proofErr w:type="spellEnd"/>
      <w:r w:rsidRPr="00F620B4">
        <w:rPr>
          <w:color w:val="000000"/>
          <w:szCs w:val="22"/>
        </w:rPr>
        <w:t>) CYP450</w:t>
      </w:r>
      <w:r w:rsidRPr="00F620B4">
        <w:rPr>
          <w:color w:val="000000"/>
          <w:szCs w:val="22"/>
        </w:rPr>
        <w:noBreakHyphen/>
        <w:t xml:space="preserve">medieret metabolisme, kan have en virkning på den analgetiske virkning af </w:t>
      </w:r>
      <w:proofErr w:type="spellStart"/>
      <w:r w:rsidRPr="00F620B4">
        <w:rPr>
          <w:color w:val="000000"/>
          <w:szCs w:val="22"/>
        </w:rPr>
        <w:t>tramadol</w:t>
      </w:r>
      <w:proofErr w:type="spellEnd"/>
      <w:r w:rsidRPr="00F620B4">
        <w:rPr>
          <w:color w:val="000000"/>
          <w:szCs w:val="22"/>
        </w:rPr>
        <w:t>. Den kliniske relevans af disse interaktioner er ikke blevet undersøgt hos hunde.</w:t>
      </w:r>
    </w:p>
    <w:p w:rsidR="00C07CB6" w:rsidRPr="00F620B4" w:rsidRDefault="00C07CB6" w:rsidP="00C07CB6">
      <w:pPr>
        <w:ind w:left="567"/>
        <w:rPr>
          <w:color w:val="000000"/>
          <w:szCs w:val="22"/>
        </w:rPr>
      </w:pPr>
      <w:r w:rsidRPr="00F620B4">
        <w:rPr>
          <w:color w:val="000000"/>
          <w:szCs w:val="22"/>
        </w:rPr>
        <w:t>Se også pkt. </w:t>
      </w:r>
      <w:r>
        <w:rPr>
          <w:color w:val="000000"/>
          <w:szCs w:val="22"/>
        </w:rPr>
        <w:t>3</w:t>
      </w:r>
      <w:r w:rsidRPr="00F620B4">
        <w:rPr>
          <w:color w:val="000000"/>
          <w:szCs w:val="22"/>
        </w:rPr>
        <w:t>.3.</w:t>
      </w:r>
    </w:p>
    <w:p w:rsidR="00C07CB6" w:rsidRPr="00F260F0" w:rsidRDefault="00C07CB6" w:rsidP="00C07CB6">
      <w:pPr>
        <w:rPr>
          <w:szCs w:val="22"/>
        </w:rPr>
      </w:pPr>
    </w:p>
    <w:p w:rsidR="00C07CB6" w:rsidRPr="00F260F0" w:rsidRDefault="00C07CB6" w:rsidP="00C07CB6">
      <w:pPr>
        <w:pStyle w:val="Style1"/>
      </w:pPr>
      <w:r w:rsidRPr="00F260F0">
        <w:t>3.9</w:t>
      </w:r>
      <w:r w:rsidRPr="00F260F0">
        <w:tab/>
      </w:r>
      <w:r>
        <w:t>Administrations</w:t>
      </w:r>
      <w:r w:rsidRPr="00F260F0">
        <w:t>veje og dosering</w:t>
      </w:r>
    </w:p>
    <w:p w:rsidR="00C07CB6" w:rsidRPr="00F260F0" w:rsidRDefault="00C07CB6" w:rsidP="00C07CB6">
      <w:pPr>
        <w:rPr>
          <w:szCs w:val="22"/>
        </w:rPr>
      </w:pPr>
    </w:p>
    <w:p w:rsidR="00C07CB6" w:rsidRDefault="00C07CB6" w:rsidP="00C07CB6">
      <w:pPr>
        <w:tabs>
          <w:tab w:val="left" w:pos="567"/>
        </w:tabs>
        <w:rPr>
          <w:szCs w:val="22"/>
        </w:rPr>
      </w:pPr>
      <w:r>
        <w:rPr>
          <w:szCs w:val="22"/>
        </w:rPr>
        <w:tab/>
        <w:t>I</w:t>
      </w:r>
      <w:r w:rsidRPr="00F620B4">
        <w:rPr>
          <w:szCs w:val="22"/>
        </w:rPr>
        <w:t xml:space="preserve">ntramuskulær eller intravenøs </w:t>
      </w:r>
      <w:r>
        <w:rPr>
          <w:szCs w:val="22"/>
        </w:rPr>
        <w:t>anvendelse.</w:t>
      </w:r>
    </w:p>
    <w:p w:rsidR="00C07CB6" w:rsidRPr="00F620B4" w:rsidRDefault="00C07CB6" w:rsidP="00C07CB6">
      <w:pPr>
        <w:tabs>
          <w:tab w:val="left" w:pos="567"/>
        </w:tabs>
        <w:ind w:left="567"/>
        <w:rPr>
          <w:color w:val="000000"/>
          <w:szCs w:val="22"/>
          <w:lang w:eastAsia="da-DK"/>
        </w:rPr>
      </w:pPr>
      <w:r w:rsidRPr="00F620B4">
        <w:rPr>
          <w:szCs w:val="22"/>
        </w:rPr>
        <w:lastRenderedPageBreak/>
        <w:t xml:space="preserve">2-4 mg </w:t>
      </w:r>
      <w:proofErr w:type="spellStart"/>
      <w:r w:rsidRPr="00F620B4">
        <w:rPr>
          <w:szCs w:val="22"/>
        </w:rPr>
        <w:t>tramadolhydrochlorid</w:t>
      </w:r>
      <w:proofErr w:type="spellEnd"/>
      <w:r w:rsidRPr="00F620B4">
        <w:rPr>
          <w:szCs w:val="22"/>
        </w:rPr>
        <w:t xml:space="preserve"> pr. kg. legemsvægt, svarende til 0,04</w:t>
      </w:r>
      <w:r w:rsidRPr="00F620B4">
        <w:rPr>
          <w:szCs w:val="22"/>
        </w:rPr>
        <w:noBreakHyphen/>
        <w:t xml:space="preserve">0,08 ml </w:t>
      </w:r>
      <w:r>
        <w:rPr>
          <w:szCs w:val="22"/>
        </w:rPr>
        <w:t>veterinærlægemiddel</w:t>
      </w:r>
      <w:r w:rsidRPr="00F620B4">
        <w:rPr>
          <w:szCs w:val="22"/>
        </w:rPr>
        <w:t xml:space="preserve"> pr. kg legemsvægt.</w:t>
      </w:r>
      <w:r w:rsidRPr="00F620B4">
        <w:rPr>
          <w:color w:val="000000"/>
          <w:szCs w:val="22"/>
        </w:rPr>
        <w:t xml:space="preserve"> Gentagne doser kan administreres hver 6. til 8. time (3</w:t>
      </w:r>
      <w:r w:rsidRPr="00F620B4">
        <w:rPr>
          <w:color w:val="000000"/>
          <w:szCs w:val="22"/>
        </w:rPr>
        <w:noBreakHyphen/>
        <w:t>4 gange daglig). Den anbefalede, maksimale daglige dosis er 16 mg/kg.</w:t>
      </w:r>
    </w:p>
    <w:p w:rsidR="00C07CB6" w:rsidRPr="00F620B4" w:rsidRDefault="00C07CB6" w:rsidP="00C07CB6">
      <w:pPr>
        <w:tabs>
          <w:tab w:val="left" w:pos="567"/>
        </w:tabs>
        <w:ind w:left="567"/>
        <w:rPr>
          <w:color w:val="000000"/>
          <w:szCs w:val="22"/>
        </w:rPr>
      </w:pPr>
      <w:r w:rsidRPr="00F620B4">
        <w:rPr>
          <w:color w:val="000000"/>
          <w:szCs w:val="22"/>
        </w:rPr>
        <w:t>Intravenøs administration skal udføres meget langsomt.</w:t>
      </w:r>
    </w:p>
    <w:p w:rsidR="00C07CB6" w:rsidRPr="00F620B4" w:rsidRDefault="00C07CB6" w:rsidP="00C07CB6">
      <w:pPr>
        <w:tabs>
          <w:tab w:val="left" w:pos="567"/>
        </w:tabs>
        <w:ind w:left="567"/>
        <w:rPr>
          <w:color w:val="000000"/>
          <w:szCs w:val="22"/>
        </w:rPr>
      </w:pPr>
      <w:r w:rsidRPr="00F620B4">
        <w:rPr>
          <w:color w:val="000000"/>
          <w:szCs w:val="22"/>
        </w:rPr>
        <w:t xml:space="preserve">Da det individuelle respons på </w:t>
      </w:r>
      <w:proofErr w:type="spellStart"/>
      <w:r w:rsidRPr="00F620B4">
        <w:rPr>
          <w:color w:val="000000"/>
          <w:szCs w:val="22"/>
        </w:rPr>
        <w:t>tramadol</w:t>
      </w:r>
      <w:proofErr w:type="spellEnd"/>
      <w:r w:rsidRPr="00F620B4">
        <w:rPr>
          <w:color w:val="000000"/>
          <w:szCs w:val="22"/>
        </w:rPr>
        <w:t xml:space="preserve"> er variabelt, og delvist afhænger af doseringen, patientens alder, individuelle forskelle i følsomheden over for smerter og den generelle tilstand, skal det optimale doseringsprogram tilpasses individuelt ved hjælp af de ovenstående intervaller for dosis og genbehandling. Hvis </w:t>
      </w:r>
      <w:r>
        <w:rPr>
          <w:color w:val="000000"/>
          <w:szCs w:val="22"/>
        </w:rPr>
        <w:t>veterinærlægemidlet</w:t>
      </w:r>
      <w:r w:rsidRPr="00F620B4">
        <w:rPr>
          <w:color w:val="000000"/>
          <w:szCs w:val="22"/>
        </w:rPr>
        <w:t xml:space="preserve"> ikke giver tilstrækkelig analgesi 30 minutter efter administrationen, eller i løbet af alle planlagte genbehandlingsintervaller, skal et andet egnet </w:t>
      </w:r>
      <w:proofErr w:type="spellStart"/>
      <w:r w:rsidRPr="00F620B4">
        <w:rPr>
          <w:color w:val="000000"/>
          <w:szCs w:val="22"/>
        </w:rPr>
        <w:t>analgetikum</w:t>
      </w:r>
      <w:proofErr w:type="spellEnd"/>
      <w:r w:rsidRPr="00F620B4">
        <w:rPr>
          <w:color w:val="000000"/>
          <w:szCs w:val="22"/>
        </w:rPr>
        <w:t xml:space="preserve"> anvendes.</w:t>
      </w:r>
    </w:p>
    <w:p w:rsidR="00C07CB6" w:rsidRDefault="00C07CB6" w:rsidP="00C07CB6"/>
    <w:p w:rsidR="00C07CB6" w:rsidRDefault="00C07CB6" w:rsidP="00C07CB6">
      <w:pPr>
        <w:ind w:firstLine="567"/>
      </w:pPr>
      <w:r w:rsidRPr="00F260F0">
        <w:t>For at sikre korrekt dosering bør legemsvægten beregnes så nøjagtigt som muligt.</w:t>
      </w:r>
    </w:p>
    <w:p w:rsidR="00C07CB6" w:rsidRDefault="00C07CB6" w:rsidP="00C07CB6">
      <w:pPr>
        <w:rPr>
          <w:b/>
          <w:szCs w:val="22"/>
        </w:rPr>
      </w:pPr>
    </w:p>
    <w:p w:rsidR="00C07CB6" w:rsidRPr="00F260F0" w:rsidRDefault="00C07CB6" w:rsidP="00C07CB6">
      <w:pPr>
        <w:pStyle w:val="Style1"/>
      </w:pPr>
      <w:r w:rsidRPr="00F260F0">
        <w:t>3.10</w:t>
      </w:r>
      <w:r w:rsidRPr="00F260F0">
        <w:tab/>
        <w:t>Symptomer på overdosering (og, hvis relevant, nødforanstaltninger og modgift)</w:t>
      </w:r>
    </w:p>
    <w:p w:rsidR="00C07CB6" w:rsidRDefault="00C07CB6" w:rsidP="00C07CB6">
      <w:pPr>
        <w:ind w:left="567"/>
        <w:rPr>
          <w:szCs w:val="22"/>
        </w:rPr>
      </w:pPr>
    </w:p>
    <w:p w:rsidR="00C07CB6" w:rsidRPr="00F620B4" w:rsidRDefault="00C07CB6" w:rsidP="00C07CB6">
      <w:pPr>
        <w:tabs>
          <w:tab w:val="left" w:pos="1304"/>
        </w:tabs>
        <w:ind w:left="567"/>
        <w:rPr>
          <w:szCs w:val="22"/>
          <w:lang w:eastAsia="da-DK"/>
        </w:rPr>
      </w:pPr>
      <w:r w:rsidRPr="00F620B4">
        <w:rPr>
          <w:szCs w:val="22"/>
        </w:rPr>
        <w:t xml:space="preserve">I tilfælde af forgiftning med </w:t>
      </w:r>
      <w:proofErr w:type="spellStart"/>
      <w:r w:rsidRPr="00F620B4">
        <w:rPr>
          <w:szCs w:val="22"/>
        </w:rPr>
        <w:t>tramadol</w:t>
      </w:r>
      <w:proofErr w:type="spellEnd"/>
      <w:r w:rsidRPr="00F620B4">
        <w:rPr>
          <w:szCs w:val="22"/>
        </w:rPr>
        <w:t xml:space="preserve">, er det sandsynligt, at der kan opstå symptomer svarende til de observerede med andre centralt virkende </w:t>
      </w:r>
      <w:proofErr w:type="spellStart"/>
      <w:r w:rsidRPr="00F620B4">
        <w:rPr>
          <w:szCs w:val="22"/>
        </w:rPr>
        <w:t>analgetika</w:t>
      </w:r>
      <w:proofErr w:type="spellEnd"/>
      <w:r w:rsidRPr="00F620B4">
        <w:rPr>
          <w:szCs w:val="22"/>
        </w:rPr>
        <w:t xml:space="preserve"> (opioider). Dette omfatter i særdeleshed </w:t>
      </w:r>
      <w:proofErr w:type="spellStart"/>
      <w:r w:rsidRPr="00F620B4">
        <w:rPr>
          <w:szCs w:val="22"/>
        </w:rPr>
        <w:t>miose</w:t>
      </w:r>
      <w:proofErr w:type="spellEnd"/>
      <w:r w:rsidRPr="00F620B4">
        <w:rPr>
          <w:szCs w:val="22"/>
        </w:rPr>
        <w:t xml:space="preserve">, opkastning, </w:t>
      </w:r>
      <w:proofErr w:type="spellStart"/>
      <w:r w:rsidRPr="00F620B4">
        <w:rPr>
          <w:szCs w:val="22"/>
        </w:rPr>
        <w:t>kardiovaskulært</w:t>
      </w:r>
      <w:proofErr w:type="spellEnd"/>
      <w:r w:rsidRPr="00F620B4">
        <w:rPr>
          <w:szCs w:val="22"/>
        </w:rPr>
        <w:t xml:space="preserve"> kollaps, bevidstheds</w:t>
      </w:r>
      <w:r w:rsidRPr="00F620B4">
        <w:rPr>
          <w:szCs w:val="22"/>
        </w:rPr>
        <w:softHyphen/>
        <w:t>forstyrrelser op til koma, krampeanfald og åndedrætsundertrykkelse op til åndedrætssvigt.</w:t>
      </w:r>
    </w:p>
    <w:p w:rsidR="00C07CB6" w:rsidRPr="00F620B4" w:rsidRDefault="00C07CB6" w:rsidP="00C07CB6">
      <w:pPr>
        <w:tabs>
          <w:tab w:val="left" w:pos="1304"/>
        </w:tabs>
        <w:ind w:left="567"/>
        <w:rPr>
          <w:szCs w:val="22"/>
        </w:rPr>
      </w:pPr>
      <w:r w:rsidRPr="00F620B4">
        <w:rPr>
          <w:szCs w:val="22"/>
        </w:rPr>
        <w:t xml:space="preserve">Generelle nødforanstaltninger: Oprethold åbne luftveje, støt hjerte- og åndedrætsfunktion afhængig af symptomerne. </w:t>
      </w:r>
      <w:proofErr w:type="spellStart"/>
      <w:r w:rsidRPr="00F620B4">
        <w:rPr>
          <w:szCs w:val="22"/>
        </w:rPr>
        <w:t>Antidoten</w:t>
      </w:r>
      <w:proofErr w:type="spellEnd"/>
      <w:r w:rsidRPr="00F620B4">
        <w:rPr>
          <w:szCs w:val="22"/>
        </w:rPr>
        <w:t xml:space="preserve"> for åndedrætsundertrykkelse er </w:t>
      </w:r>
      <w:proofErr w:type="spellStart"/>
      <w:r w:rsidRPr="00F620B4">
        <w:rPr>
          <w:szCs w:val="22"/>
        </w:rPr>
        <w:t>naloxon</w:t>
      </w:r>
      <w:proofErr w:type="spellEnd"/>
      <w:r w:rsidRPr="00F620B4">
        <w:rPr>
          <w:szCs w:val="22"/>
        </w:rPr>
        <w:t xml:space="preserve">. </w:t>
      </w:r>
      <w:bookmarkStart w:id="6" w:name="_Hlk486419759"/>
      <w:r w:rsidRPr="00F620B4">
        <w:rPr>
          <w:szCs w:val="22"/>
        </w:rPr>
        <w:t xml:space="preserve">Beslutningen om at anvende </w:t>
      </w:r>
      <w:proofErr w:type="spellStart"/>
      <w:r w:rsidRPr="00F620B4">
        <w:rPr>
          <w:szCs w:val="22"/>
        </w:rPr>
        <w:t>naloxon</w:t>
      </w:r>
      <w:proofErr w:type="spellEnd"/>
      <w:r w:rsidRPr="00F620B4">
        <w:rPr>
          <w:szCs w:val="22"/>
        </w:rPr>
        <w:t xml:space="preserve"> i tilfælde af en overdosering bør udføres efter en vurdering af benefit-</w:t>
      </w:r>
      <w:proofErr w:type="spellStart"/>
      <w:r w:rsidRPr="00F620B4">
        <w:rPr>
          <w:szCs w:val="22"/>
        </w:rPr>
        <w:t>risk</w:t>
      </w:r>
      <w:proofErr w:type="spellEnd"/>
      <w:r w:rsidRPr="00F620B4">
        <w:rPr>
          <w:szCs w:val="22"/>
        </w:rPr>
        <w:t xml:space="preserve">-forholdet for det enkelte dyr, da det er muligt, at det kun delvist ophæver nogle af de andre virkninger af </w:t>
      </w:r>
      <w:proofErr w:type="spellStart"/>
      <w:r w:rsidRPr="00F620B4">
        <w:rPr>
          <w:szCs w:val="22"/>
        </w:rPr>
        <w:t>tramadol</w:t>
      </w:r>
      <w:proofErr w:type="spellEnd"/>
      <w:r w:rsidRPr="00F620B4">
        <w:rPr>
          <w:szCs w:val="22"/>
        </w:rPr>
        <w:t xml:space="preserve">, og det kan øge risikoen for epileptiske anfald, selvom data for dette er modsigende. </w:t>
      </w:r>
      <w:bookmarkEnd w:id="6"/>
      <w:r w:rsidRPr="00F620B4">
        <w:rPr>
          <w:szCs w:val="22"/>
        </w:rPr>
        <w:t xml:space="preserve">I tilfælde af epileptiske anfald, skal der administreres </w:t>
      </w:r>
      <w:proofErr w:type="spellStart"/>
      <w:r w:rsidRPr="00F620B4">
        <w:rPr>
          <w:szCs w:val="22"/>
        </w:rPr>
        <w:t>diazepam</w:t>
      </w:r>
      <w:proofErr w:type="spellEnd"/>
      <w:r w:rsidRPr="00F620B4">
        <w:rPr>
          <w:szCs w:val="22"/>
        </w:rPr>
        <w:t>.</w:t>
      </w:r>
    </w:p>
    <w:p w:rsidR="00C07CB6" w:rsidRPr="00F260F0" w:rsidRDefault="00C07CB6" w:rsidP="00C07CB6">
      <w:pPr>
        <w:rPr>
          <w:szCs w:val="22"/>
        </w:rPr>
      </w:pPr>
    </w:p>
    <w:p w:rsidR="00C07CB6" w:rsidRPr="00F260F0" w:rsidRDefault="00C07CB6" w:rsidP="00C07CB6">
      <w:pPr>
        <w:pStyle w:val="Style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rsidR="00C07CB6" w:rsidRPr="00F260F0" w:rsidRDefault="00C07CB6" w:rsidP="00C07CB6">
      <w:pPr>
        <w:rPr>
          <w:szCs w:val="22"/>
        </w:rPr>
      </w:pPr>
    </w:p>
    <w:p w:rsidR="00C07CB6" w:rsidRPr="00F620B4" w:rsidRDefault="00C07CB6" w:rsidP="00C07CB6">
      <w:pPr>
        <w:tabs>
          <w:tab w:val="left" w:pos="1304"/>
        </w:tabs>
        <w:ind w:left="567" w:hanging="567"/>
        <w:rPr>
          <w:szCs w:val="22"/>
          <w:lang w:eastAsia="da-DK"/>
        </w:rPr>
      </w:pPr>
      <w:r>
        <w:rPr>
          <w:szCs w:val="22"/>
        </w:rPr>
        <w:tab/>
      </w:r>
      <w:r w:rsidRPr="00F620B4">
        <w:rPr>
          <w:szCs w:val="22"/>
        </w:rPr>
        <w:t>Ikke relevant.</w:t>
      </w:r>
    </w:p>
    <w:p w:rsidR="00C07CB6" w:rsidRPr="00F260F0" w:rsidRDefault="00C07CB6" w:rsidP="00C07CB6">
      <w:pPr>
        <w:rPr>
          <w:szCs w:val="22"/>
        </w:rPr>
      </w:pPr>
    </w:p>
    <w:p w:rsidR="00C07CB6" w:rsidRPr="00F260F0" w:rsidRDefault="00C07CB6" w:rsidP="00C07CB6">
      <w:pPr>
        <w:pStyle w:val="Style1"/>
      </w:pPr>
      <w:r w:rsidRPr="00F260F0">
        <w:t>3.12</w:t>
      </w:r>
      <w:r w:rsidRPr="00F260F0">
        <w:tab/>
        <w:t>Tilbageholdelsestid</w:t>
      </w:r>
      <w:r>
        <w:t>(er)</w:t>
      </w:r>
    </w:p>
    <w:p w:rsidR="00C07CB6" w:rsidRPr="00F260F0" w:rsidRDefault="00C07CB6" w:rsidP="00C07CB6">
      <w:pPr>
        <w:rPr>
          <w:szCs w:val="22"/>
        </w:rPr>
      </w:pPr>
    </w:p>
    <w:p w:rsidR="00C07CB6" w:rsidRPr="00F620B4" w:rsidRDefault="00C07CB6" w:rsidP="00C07CB6">
      <w:pPr>
        <w:tabs>
          <w:tab w:val="left" w:pos="1304"/>
        </w:tabs>
        <w:ind w:left="567" w:hanging="567"/>
        <w:rPr>
          <w:szCs w:val="22"/>
          <w:lang w:eastAsia="da-DK"/>
        </w:rPr>
      </w:pPr>
      <w:r>
        <w:rPr>
          <w:szCs w:val="22"/>
        </w:rPr>
        <w:tab/>
      </w:r>
      <w:r w:rsidRPr="00F620B4">
        <w:rPr>
          <w:szCs w:val="22"/>
        </w:rPr>
        <w:t>Ikke relevant.</w:t>
      </w:r>
    </w:p>
    <w:p w:rsidR="00C07CB6"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69601F">
        <w:t>4.</w:t>
      </w:r>
      <w:r w:rsidRPr="0069601F">
        <w:tab/>
      </w:r>
      <w:r w:rsidRPr="00F260F0">
        <w:t>FARMAKOLOGISKE OPLYSNINGER</w:t>
      </w:r>
    </w:p>
    <w:p w:rsidR="00C07CB6" w:rsidRPr="0069601F" w:rsidRDefault="00C07CB6" w:rsidP="00C07CB6">
      <w:pPr>
        <w:rPr>
          <w:szCs w:val="22"/>
        </w:rPr>
      </w:pPr>
    </w:p>
    <w:p w:rsidR="00C07CB6" w:rsidRPr="00F260F0" w:rsidRDefault="00C07CB6" w:rsidP="00C07CB6">
      <w:pPr>
        <w:pStyle w:val="Style1"/>
      </w:pPr>
      <w:r w:rsidRPr="0069601F">
        <w:t>4.1</w:t>
      </w:r>
      <w:r w:rsidRPr="0069601F">
        <w:tab/>
      </w:r>
      <w:proofErr w:type="spellStart"/>
      <w:r w:rsidRPr="00F260F0">
        <w:t>ATCvet</w:t>
      </w:r>
      <w:proofErr w:type="spellEnd"/>
      <w:r w:rsidRPr="00F260F0">
        <w:t>-kode:</w:t>
      </w:r>
    </w:p>
    <w:p w:rsidR="00C07CB6" w:rsidRDefault="00C07CB6" w:rsidP="00C07CB6">
      <w:pPr>
        <w:rPr>
          <w:szCs w:val="22"/>
        </w:rPr>
      </w:pPr>
    </w:p>
    <w:p w:rsidR="00C07CB6" w:rsidRDefault="00C07CB6" w:rsidP="00C07CB6">
      <w:pPr>
        <w:ind w:firstLine="567"/>
        <w:rPr>
          <w:szCs w:val="22"/>
        </w:rPr>
      </w:pPr>
      <w:r w:rsidRPr="00F620B4">
        <w:rPr>
          <w:szCs w:val="22"/>
        </w:rPr>
        <w:t>QN02AX02</w:t>
      </w:r>
    </w:p>
    <w:p w:rsidR="00C07CB6" w:rsidRPr="00F260F0" w:rsidRDefault="00C07CB6" w:rsidP="00C07CB6">
      <w:pPr>
        <w:rPr>
          <w:szCs w:val="22"/>
        </w:rPr>
      </w:pPr>
    </w:p>
    <w:p w:rsidR="00C07CB6" w:rsidRPr="00F260F0" w:rsidRDefault="00C07CB6" w:rsidP="00C07CB6">
      <w:pPr>
        <w:pStyle w:val="Style1"/>
      </w:pPr>
      <w:r w:rsidRPr="00F260F0">
        <w:t>4.2</w:t>
      </w:r>
      <w:r w:rsidRPr="00F260F0">
        <w:tab/>
      </w:r>
      <w:proofErr w:type="spellStart"/>
      <w:r w:rsidRPr="00F260F0">
        <w:t>Farmakodynamiske</w:t>
      </w:r>
      <w:proofErr w:type="spellEnd"/>
      <w:r w:rsidRPr="00F260F0">
        <w:t xml:space="preserve"> oplysninger</w:t>
      </w:r>
    </w:p>
    <w:p w:rsidR="00C07CB6" w:rsidRDefault="00C07CB6" w:rsidP="00C07CB6">
      <w:pPr>
        <w:rPr>
          <w:szCs w:val="22"/>
        </w:rPr>
      </w:pPr>
    </w:p>
    <w:p w:rsidR="00C07CB6" w:rsidRPr="00F620B4" w:rsidRDefault="00C07CB6" w:rsidP="00C07CB6">
      <w:pPr>
        <w:tabs>
          <w:tab w:val="left" w:pos="1304"/>
        </w:tabs>
        <w:ind w:left="567"/>
        <w:rPr>
          <w:color w:val="000000"/>
          <w:szCs w:val="22"/>
          <w:lang w:eastAsia="da-DK"/>
        </w:rPr>
      </w:pPr>
      <w:proofErr w:type="spellStart"/>
      <w:r w:rsidRPr="00F620B4">
        <w:rPr>
          <w:color w:val="000000"/>
          <w:szCs w:val="22"/>
        </w:rPr>
        <w:t>Tramadol</w:t>
      </w:r>
      <w:proofErr w:type="spellEnd"/>
      <w:r w:rsidRPr="00F620B4">
        <w:rPr>
          <w:color w:val="000000"/>
          <w:szCs w:val="22"/>
        </w:rPr>
        <w:t xml:space="preserve"> er et centralt virkende stof med en kompleks virkningsmekanisme, der udøves af de 2 </w:t>
      </w:r>
      <w:proofErr w:type="spellStart"/>
      <w:r w:rsidRPr="00F620B4">
        <w:rPr>
          <w:color w:val="000000"/>
          <w:szCs w:val="22"/>
        </w:rPr>
        <w:t>enantiomerer</w:t>
      </w:r>
      <w:proofErr w:type="spellEnd"/>
      <w:r w:rsidRPr="00F620B4">
        <w:rPr>
          <w:color w:val="000000"/>
          <w:szCs w:val="22"/>
        </w:rPr>
        <w:t xml:space="preserve"> og den primære metabolit, der omfatter opioid-, noradrenalin- og serotoninreceptorer. (</w:t>
      </w:r>
      <w:proofErr w:type="gramStart"/>
      <w:r w:rsidRPr="00F620B4">
        <w:rPr>
          <w:color w:val="000000"/>
          <w:szCs w:val="22"/>
        </w:rPr>
        <w:t>+)-</w:t>
      </w:r>
      <w:proofErr w:type="spellStart"/>
      <w:proofErr w:type="gramEnd"/>
      <w:r w:rsidRPr="00F620B4">
        <w:rPr>
          <w:color w:val="000000"/>
          <w:szCs w:val="22"/>
        </w:rPr>
        <w:t>enantiomeren</w:t>
      </w:r>
      <w:proofErr w:type="spellEnd"/>
      <w:r w:rsidRPr="00F620B4">
        <w:rPr>
          <w:color w:val="000000"/>
          <w:szCs w:val="22"/>
        </w:rPr>
        <w:t xml:space="preserve"> af </w:t>
      </w:r>
      <w:proofErr w:type="spellStart"/>
      <w:r w:rsidRPr="00F620B4">
        <w:rPr>
          <w:color w:val="000000"/>
          <w:szCs w:val="22"/>
        </w:rPr>
        <w:t>tramadol</w:t>
      </w:r>
      <w:proofErr w:type="spellEnd"/>
      <w:r w:rsidRPr="00F620B4">
        <w:rPr>
          <w:color w:val="000000"/>
          <w:szCs w:val="22"/>
        </w:rPr>
        <w:t xml:space="preserve"> hæmmer serotoningenoptagelsen. (</w:t>
      </w:r>
      <w:proofErr w:type="gramStart"/>
      <w:r w:rsidRPr="00F620B4">
        <w:rPr>
          <w:szCs w:val="22"/>
        </w:rPr>
        <w:noBreakHyphen/>
      </w:r>
      <w:r w:rsidRPr="00F620B4">
        <w:rPr>
          <w:color w:val="000000"/>
          <w:szCs w:val="22"/>
        </w:rPr>
        <w:t>)-</w:t>
      </w:r>
      <w:proofErr w:type="spellStart"/>
      <w:proofErr w:type="gramEnd"/>
      <w:r w:rsidRPr="00F620B4">
        <w:rPr>
          <w:color w:val="000000"/>
          <w:szCs w:val="22"/>
        </w:rPr>
        <w:t>enantiomeren</w:t>
      </w:r>
      <w:proofErr w:type="spellEnd"/>
      <w:r w:rsidRPr="00F620B4">
        <w:rPr>
          <w:color w:val="000000"/>
          <w:szCs w:val="22"/>
        </w:rPr>
        <w:t xml:space="preserve"> hæmmer </w:t>
      </w:r>
      <w:proofErr w:type="spellStart"/>
      <w:r w:rsidRPr="00F620B4">
        <w:rPr>
          <w:color w:val="000000"/>
          <w:szCs w:val="22"/>
        </w:rPr>
        <w:t>noradrenalingenoptagelsen</w:t>
      </w:r>
      <w:proofErr w:type="spellEnd"/>
      <w:r w:rsidRPr="00F620B4">
        <w:rPr>
          <w:color w:val="000000"/>
          <w:szCs w:val="22"/>
        </w:rPr>
        <w:t>. O-</w:t>
      </w:r>
      <w:proofErr w:type="spellStart"/>
      <w:r w:rsidRPr="00F620B4">
        <w:rPr>
          <w:color w:val="000000"/>
          <w:szCs w:val="22"/>
        </w:rPr>
        <w:t>desmethyltramadol</w:t>
      </w:r>
      <w:proofErr w:type="spellEnd"/>
      <w:r w:rsidRPr="00F620B4">
        <w:rPr>
          <w:color w:val="000000"/>
          <w:szCs w:val="22"/>
        </w:rPr>
        <w:t>-metabolitten har større affinitet for µ-opioidreceptorerne.</w:t>
      </w:r>
    </w:p>
    <w:p w:rsidR="00C07CB6" w:rsidRPr="00F620B4" w:rsidRDefault="00C07CB6" w:rsidP="00C07CB6">
      <w:pPr>
        <w:tabs>
          <w:tab w:val="left" w:pos="1304"/>
        </w:tabs>
        <w:ind w:left="567"/>
        <w:rPr>
          <w:szCs w:val="22"/>
        </w:rPr>
      </w:pPr>
      <w:r w:rsidRPr="00F620B4">
        <w:rPr>
          <w:szCs w:val="22"/>
        </w:rPr>
        <w:t xml:space="preserve">Til forskel fra morfin har </w:t>
      </w:r>
      <w:proofErr w:type="spellStart"/>
      <w:r w:rsidRPr="00F620B4">
        <w:rPr>
          <w:szCs w:val="22"/>
        </w:rPr>
        <w:t>tramadol</w:t>
      </w:r>
      <w:proofErr w:type="spellEnd"/>
      <w:r w:rsidRPr="00F620B4">
        <w:rPr>
          <w:szCs w:val="22"/>
        </w:rPr>
        <w:t xml:space="preserve"> ikke en undertrykkende virkning på åndedrættet for et omfattende analgetisk dosisinterval. På samme måde påvirker det ikke den </w:t>
      </w:r>
      <w:proofErr w:type="spellStart"/>
      <w:r w:rsidRPr="00F620B4">
        <w:rPr>
          <w:szCs w:val="22"/>
        </w:rPr>
        <w:t>gastrointestinale</w:t>
      </w:r>
      <w:proofErr w:type="spellEnd"/>
      <w:r w:rsidRPr="00F620B4">
        <w:rPr>
          <w:szCs w:val="22"/>
        </w:rPr>
        <w:t xml:space="preserve"> </w:t>
      </w:r>
      <w:proofErr w:type="spellStart"/>
      <w:r w:rsidRPr="00F620B4">
        <w:rPr>
          <w:szCs w:val="22"/>
        </w:rPr>
        <w:lastRenderedPageBreak/>
        <w:t>motilitet</w:t>
      </w:r>
      <w:proofErr w:type="spellEnd"/>
      <w:r w:rsidRPr="00F620B4">
        <w:rPr>
          <w:szCs w:val="22"/>
        </w:rPr>
        <w:t xml:space="preserve">. Virkningen på det </w:t>
      </w:r>
      <w:proofErr w:type="spellStart"/>
      <w:r w:rsidRPr="00F620B4">
        <w:rPr>
          <w:szCs w:val="22"/>
        </w:rPr>
        <w:t>kardiovaskulære</w:t>
      </w:r>
      <w:proofErr w:type="spellEnd"/>
      <w:r w:rsidRPr="00F620B4">
        <w:rPr>
          <w:szCs w:val="22"/>
        </w:rPr>
        <w:t xml:space="preserve"> system har en tendens til at være let. Den analgetiske styrke af </w:t>
      </w:r>
      <w:proofErr w:type="spellStart"/>
      <w:r w:rsidRPr="00F620B4">
        <w:rPr>
          <w:szCs w:val="22"/>
        </w:rPr>
        <w:t>tramadol</w:t>
      </w:r>
      <w:proofErr w:type="spellEnd"/>
      <w:r w:rsidRPr="00F620B4">
        <w:rPr>
          <w:szCs w:val="22"/>
        </w:rPr>
        <w:t xml:space="preserve"> er ca. 1/10 til 1/6 af morfins styrke.</w:t>
      </w:r>
    </w:p>
    <w:p w:rsidR="00C07CB6" w:rsidRPr="00F620B4" w:rsidRDefault="00C07CB6" w:rsidP="00C07CB6">
      <w:pPr>
        <w:tabs>
          <w:tab w:val="left" w:pos="1304"/>
        </w:tabs>
        <w:ind w:left="567"/>
        <w:rPr>
          <w:szCs w:val="22"/>
        </w:rPr>
      </w:pPr>
      <w:r w:rsidRPr="00F620B4">
        <w:rPr>
          <w:szCs w:val="22"/>
        </w:rPr>
        <w:t xml:space="preserve">Hos mennesker fører genotype-forskelle til, at 10 % ikke responderer på </w:t>
      </w:r>
      <w:proofErr w:type="spellStart"/>
      <w:r w:rsidRPr="00F620B4">
        <w:rPr>
          <w:szCs w:val="22"/>
        </w:rPr>
        <w:t>tramadolhydrochlorid</w:t>
      </w:r>
      <w:proofErr w:type="spellEnd"/>
      <w:r w:rsidRPr="00F620B4">
        <w:rPr>
          <w:szCs w:val="22"/>
        </w:rPr>
        <w:t xml:space="preserve">. Hos disse personer er den analgetiske virkning af </w:t>
      </w:r>
      <w:proofErr w:type="spellStart"/>
      <w:r w:rsidRPr="00F620B4">
        <w:rPr>
          <w:szCs w:val="22"/>
        </w:rPr>
        <w:t>tramadol</w:t>
      </w:r>
      <w:proofErr w:type="spellEnd"/>
      <w:r w:rsidRPr="00F620B4">
        <w:rPr>
          <w:szCs w:val="22"/>
        </w:rPr>
        <w:t xml:space="preserve"> nedsat eller ikke eksisterende. Et lignende fænomen vides at eksistere hos hunde, men det er ukendt, hvor mange procent af hunde, der er påvirket.</w:t>
      </w:r>
    </w:p>
    <w:p w:rsidR="00C07CB6" w:rsidRPr="00F260F0" w:rsidRDefault="00C07CB6" w:rsidP="00C07CB6">
      <w:pPr>
        <w:rPr>
          <w:szCs w:val="22"/>
        </w:rPr>
      </w:pPr>
    </w:p>
    <w:p w:rsidR="00C07CB6" w:rsidRPr="00F260F0" w:rsidRDefault="00C07CB6" w:rsidP="00C07CB6">
      <w:pPr>
        <w:pStyle w:val="Style1"/>
      </w:pPr>
      <w:r w:rsidRPr="00F260F0">
        <w:t>4.3</w:t>
      </w:r>
      <w:r w:rsidRPr="00F260F0">
        <w:tab/>
      </w:r>
      <w:proofErr w:type="spellStart"/>
      <w:r w:rsidRPr="00F260F0">
        <w:t>Farmakokinetiske</w:t>
      </w:r>
      <w:proofErr w:type="spellEnd"/>
      <w:r w:rsidRPr="00F260F0">
        <w:t xml:space="preserve"> oplysninger</w:t>
      </w:r>
    </w:p>
    <w:p w:rsidR="00C07CB6" w:rsidRPr="00F260F0" w:rsidRDefault="00C07CB6" w:rsidP="00C07CB6">
      <w:pPr>
        <w:rPr>
          <w:szCs w:val="22"/>
        </w:rPr>
      </w:pPr>
    </w:p>
    <w:p w:rsidR="00C07CB6" w:rsidRPr="00F620B4" w:rsidRDefault="00C07CB6" w:rsidP="00C07CB6">
      <w:pPr>
        <w:tabs>
          <w:tab w:val="left" w:pos="1304"/>
        </w:tabs>
        <w:ind w:left="567"/>
        <w:rPr>
          <w:color w:val="000000"/>
          <w:szCs w:val="22"/>
          <w:lang w:eastAsia="da-DK"/>
        </w:rPr>
      </w:pPr>
      <w:r w:rsidRPr="00F620B4">
        <w:rPr>
          <w:szCs w:val="22"/>
        </w:rPr>
        <w:t>Efter intramuskulær administration er absorptionen næsten total, med en biotilgængelighed på 92 %.</w:t>
      </w:r>
      <w:r w:rsidRPr="00F620B4">
        <w:rPr>
          <w:color w:val="000000"/>
          <w:szCs w:val="22"/>
        </w:rPr>
        <w:t xml:space="preserve"> Proteinbindingsgraden er moderat (15 %). </w:t>
      </w:r>
      <w:proofErr w:type="spellStart"/>
      <w:r w:rsidRPr="00F620B4">
        <w:rPr>
          <w:color w:val="000000"/>
          <w:szCs w:val="22"/>
        </w:rPr>
        <w:t>Tramadol</w:t>
      </w:r>
      <w:proofErr w:type="spellEnd"/>
      <w:r w:rsidRPr="00F620B4">
        <w:rPr>
          <w:color w:val="000000"/>
          <w:szCs w:val="22"/>
        </w:rPr>
        <w:t xml:space="preserve"> </w:t>
      </w:r>
      <w:proofErr w:type="spellStart"/>
      <w:r w:rsidRPr="00F620B4">
        <w:rPr>
          <w:color w:val="000000"/>
          <w:szCs w:val="22"/>
        </w:rPr>
        <w:t>metaboliseres</w:t>
      </w:r>
      <w:proofErr w:type="spellEnd"/>
      <w:r w:rsidRPr="00F620B4">
        <w:rPr>
          <w:color w:val="000000"/>
          <w:szCs w:val="22"/>
        </w:rPr>
        <w:t xml:space="preserve"> i leveren via </w:t>
      </w:r>
      <w:proofErr w:type="spellStart"/>
      <w:r w:rsidRPr="00F620B4">
        <w:rPr>
          <w:color w:val="000000"/>
          <w:szCs w:val="22"/>
        </w:rPr>
        <w:t>cytokrom</w:t>
      </w:r>
      <w:proofErr w:type="spellEnd"/>
      <w:r w:rsidRPr="00F620B4">
        <w:rPr>
          <w:color w:val="000000"/>
          <w:szCs w:val="22"/>
        </w:rPr>
        <w:t xml:space="preserve"> P450-medieret </w:t>
      </w:r>
      <w:proofErr w:type="spellStart"/>
      <w:r w:rsidRPr="00F620B4">
        <w:rPr>
          <w:color w:val="000000"/>
          <w:szCs w:val="22"/>
        </w:rPr>
        <w:t>demethylering</w:t>
      </w:r>
      <w:proofErr w:type="spellEnd"/>
      <w:r w:rsidRPr="00F620B4">
        <w:rPr>
          <w:color w:val="000000"/>
          <w:szCs w:val="22"/>
        </w:rPr>
        <w:t xml:space="preserve">, efterfulgt af </w:t>
      </w:r>
      <w:proofErr w:type="spellStart"/>
      <w:r w:rsidRPr="00F620B4">
        <w:rPr>
          <w:color w:val="000000"/>
          <w:szCs w:val="22"/>
        </w:rPr>
        <w:t>konjugering</w:t>
      </w:r>
      <w:proofErr w:type="spellEnd"/>
      <w:r w:rsidRPr="00F620B4">
        <w:rPr>
          <w:color w:val="000000"/>
          <w:szCs w:val="22"/>
        </w:rPr>
        <w:t xml:space="preserve"> med </w:t>
      </w:r>
      <w:proofErr w:type="spellStart"/>
      <w:r w:rsidRPr="00F620B4">
        <w:rPr>
          <w:color w:val="000000"/>
          <w:szCs w:val="22"/>
        </w:rPr>
        <w:t>glukuronsyre</w:t>
      </w:r>
      <w:proofErr w:type="spellEnd"/>
      <w:r w:rsidRPr="00F620B4">
        <w:rPr>
          <w:color w:val="000000"/>
          <w:szCs w:val="22"/>
        </w:rPr>
        <w:t>. Eliminationen finder primært sted via nyrerne, med en eliminationshalveringstid på ca. 0,5</w:t>
      </w:r>
      <w:r w:rsidRPr="00F620B4">
        <w:rPr>
          <w:color w:val="000000"/>
          <w:szCs w:val="22"/>
        </w:rPr>
        <w:noBreakHyphen/>
        <w:t>2 timer.</w:t>
      </w:r>
    </w:p>
    <w:p w:rsidR="00C07CB6" w:rsidRPr="00F260F0"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5.</w:t>
      </w:r>
      <w:r w:rsidRPr="00F260F0">
        <w:tab/>
        <w:t>FARMACEUTISKE OPLYSNINGER</w:t>
      </w:r>
    </w:p>
    <w:p w:rsidR="00C07CB6" w:rsidRPr="00F260F0" w:rsidRDefault="00C07CB6" w:rsidP="00C07CB6">
      <w:pPr>
        <w:rPr>
          <w:szCs w:val="22"/>
        </w:rPr>
      </w:pPr>
    </w:p>
    <w:p w:rsidR="00C07CB6" w:rsidRPr="00F260F0" w:rsidRDefault="00C07CB6" w:rsidP="00C07CB6">
      <w:pPr>
        <w:pStyle w:val="Style1"/>
      </w:pPr>
      <w:r w:rsidRPr="00F260F0">
        <w:t>5.1</w:t>
      </w:r>
      <w:r w:rsidRPr="00F260F0">
        <w:tab/>
        <w:t>Væsentlige uforligeligheder</w:t>
      </w:r>
    </w:p>
    <w:p w:rsidR="00C07CB6" w:rsidRPr="00F260F0" w:rsidRDefault="00C07CB6" w:rsidP="00C07CB6">
      <w:pPr>
        <w:rPr>
          <w:szCs w:val="22"/>
        </w:rPr>
      </w:pPr>
    </w:p>
    <w:p w:rsidR="00C07CB6" w:rsidRPr="00F620B4" w:rsidRDefault="00C07CB6" w:rsidP="00C07CB6">
      <w:pPr>
        <w:tabs>
          <w:tab w:val="left" w:pos="1304"/>
        </w:tabs>
        <w:ind w:left="567"/>
        <w:rPr>
          <w:szCs w:val="22"/>
          <w:lang w:eastAsia="da-DK"/>
        </w:rPr>
      </w:pPr>
      <w:r w:rsidRPr="00F620B4">
        <w:rPr>
          <w:szCs w:val="22"/>
        </w:rPr>
        <w:t xml:space="preserve">Da der ikke foreligger undersøgelser vedrørende eventuelle uforligeligheder, bør dette </w:t>
      </w:r>
      <w:r>
        <w:rPr>
          <w:szCs w:val="22"/>
        </w:rPr>
        <w:t>veterinær</w:t>
      </w:r>
      <w:r w:rsidRPr="00F620B4">
        <w:rPr>
          <w:szCs w:val="22"/>
        </w:rPr>
        <w:t>lægemiddel ikke blandes med andre lægemidler.</w:t>
      </w:r>
    </w:p>
    <w:p w:rsidR="00C07CB6" w:rsidRPr="00F260F0" w:rsidRDefault="00C07CB6" w:rsidP="00C07CB6">
      <w:pPr>
        <w:rPr>
          <w:szCs w:val="22"/>
        </w:rPr>
      </w:pPr>
    </w:p>
    <w:p w:rsidR="00C07CB6" w:rsidRPr="00F260F0" w:rsidRDefault="00C07CB6" w:rsidP="00C07CB6">
      <w:pPr>
        <w:pStyle w:val="Style1"/>
      </w:pPr>
      <w:r w:rsidRPr="00F260F0">
        <w:t>5.2</w:t>
      </w:r>
      <w:r w:rsidRPr="00F260F0">
        <w:tab/>
        <w:t>Opbevaringstid</w:t>
      </w:r>
    </w:p>
    <w:p w:rsidR="00C07CB6" w:rsidRDefault="00C07CB6" w:rsidP="00C07CB6">
      <w:pPr>
        <w:tabs>
          <w:tab w:val="left" w:pos="1304"/>
        </w:tabs>
        <w:ind w:left="851" w:hanging="851"/>
        <w:rPr>
          <w:szCs w:val="22"/>
        </w:rPr>
      </w:pPr>
    </w:p>
    <w:p w:rsidR="00C07CB6" w:rsidRPr="00F620B4" w:rsidRDefault="00C07CB6" w:rsidP="00C07CB6">
      <w:pPr>
        <w:tabs>
          <w:tab w:val="left" w:pos="1304"/>
        </w:tabs>
        <w:ind w:left="1418" w:hanging="851"/>
        <w:rPr>
          <w:szCs w:val="22"/>
          <w:lang w:eastAsia="da-DK"/>
        </w:rPr>
      </w:pPr>
      <w:r w:rsidRPr="009D246F">
        <w:rPr>
          <w:szCs w:val="22"/>
        </w:rPr>
        <w:t xml:space="preserve">Opbevaringstid for veterinærlægemidlet </w:t>
      </w:r>
      <w:r>
        <w:rPr>
          <w:szCs w:val="22"/>
        </w:rPr>
        <w:t>i</w:t>
      </w:r>
      <w:r w:rsidRPr="00F620B4">
        <w:rPr>
          <w:szCs w:val="22"/>
        </w:rPr>
        <w:t xml:space="preserve"> salgspakning: 30 måneder</w:t>
      </w:r>
      <w:r>
        <w:rPr>
          <w:szCs w:val="22"/>
        </w:rPr>
        <w:t>.</w:t>
      </w:r>
    </w:p>
    <w:p w:rsidR="00C07CB6" w:rsidRPr="00F260F0" w:rsidRDefault="00C07CB6" w:rsidP="00C07CB6">
      <w:pPr>
        <w:tabs>
          <w:tab w:val="left" w:pos="1304"/>
        </w:tabs>
        <w:ind w:left="1418" w:hanging="851"/>
        <w:rPr>
          <w:szCs w:val="22"/>
        </w:rPr>
      </w:pPr>
      <w:r w:rsidRPr="009D246F">
        <w:rPr>
          <w:szCs w:val="22"/>
        </w:rPr>
        <w:t xml:space="preserve">Opbevaringstid </w:t>
      </w:r>
      <w:r>
        <w:rPr>
          <w:szCs w:val="22"/>
        </w:rPr>
        <w:t>e</w:t>
      </w:r>
      <w:r w:rsidRPr="00F620B4">
        <w:rPr>
          <w:szCs w:val="22"/>
        </w:rPr>
        <w:t>fter første åbning af den indre emballage: 8 uger</w:t>
      </w:r>
      <w:r>
        <w:rPr>
          <w:szCs w:val="22"/>
        </w:rPr>
        <w:t>.</w:t>
      </w:r>
    </w:p>
    <w:p w:rsidR="00C07CB6" w:rsidRPr="00F260F0" w:rsidRDefault="00C07CB6" w:rsidP="00C07CB6">
      <w:pPr>
        <w:rPr>
          <w:szCs w:val="22"/>
        </w:rPr>
      </w:pPr>
    </w:p>
    <w:p w:rsidR="00C07CB6" w:rsidRPr="00F260F0" w:rsidRDefault="00C07CB6" w:rsidP="00C07CB6">
      <w:pPr>
        <w:pStyle w:val="Style1"/>
      </w:pPr>
      <w:r w:rsidRPr="00F260F0">
        <w:t>5.3</w:t>
      </w:r>
      <w:r w:rsidRPr="00F260F0">
        <w:tab/>
        <w:t>Særlige forholdsregler vedrørende opbevaring</w:t>
      </w:r>
    </w:p>
    <w:p w:rsidR="00C07CB6" w:rsidRPr="00F260F0" w:rsidRDefault="00C07CB6" w:rsidP="00C07CB6">
      <w:pPr>
        <w:rPr>
          <w:szCs w:val="22"/>
        </w:rPr>
      </w:pPr>
    </w:p>
    <w:p w:rsidR="00C07CB6" w:rsidRPr="00F620B4" w:rsidRDefault="00C07CB6" w:rsidP="00C07CB6">
      <w:pPr>
        <w:tabs>
          <w:tab w:val="left" w:pos="1304"/>
        </w:tabs>
        <w:ind w:left="567" w:hanging="567"/>
        <w:rPr>
          <w:szCs w:val="22"/>
          <w:lang w:eastAsia="da-DK"/>
        </w:rPr>
      </w:pPr>
      <w:r>
        <w:rPr>
          <w:szCs w:val="22"/>
        </w:rPr>
        <w:tab/>
      </w:r>
      <w:r w:rsidRPr="009D246F">
        <w:rPr>
          <w:szCs w:val="22"/>
        </w:rPr>
        <w:t>Der er ingen særlige krav vedrørende opbevaringsforhold for dette veterinærlægemiddel.</w:t>
      </w:r>
    </w:p>
    <w:p w:rsidR="00C07CB6" w:rsidRPr="00FF2CF5" w:rsidRDefault="00C07CB6" w:rsidP="00C07CB6">
      <w:pPr>
        <w:rPr>
          <w:szCs w:val="22"/>
        </w:rPr>
      </w:pPr>
    </w:p>
    <w:p w:rsidR="00C07CB6" w:rsidRPr="00F260F0" w:rsidRDefault="00C07CB6" w:rsidP="00C07CB6">
      <w:pPr>
        <w:pStyle w:val="Style1"/>
      </w:pPr>
      <w:r w:rsidRPr="00F260F0">
        <w:t>5.4</w:t>
      </w:r>
      <w:r w:rsidRPr="00F260F0">
        <w:tab/>
        <w:t>Den indre emballages art og indhold</w:t>
      </w:r>
    </w:p>
    <w:p w:rsidR="00C07CB6" w:rsidRPr="00F260F0" w:rsidRDefault="00C07CB6" w:rsidP="00C07CB6">
      <w:pPr>
        <w:rPr>
          <w:szCs w:val="22"/>
        </w:rPr>
      </w:pPr>
    </w:p>
    <w:p w:rsidR="00C07CB6" w:rsidRPr="00F620B4" w:rsidRDefault="00C07CB6" w:rsidP="00C07CB6">
      <w:pPr>
        <w:ind w:left="567"/>
        <w:rPr>
          <w:color w:val="000000"/>
          <w:szCs w:val="22"/>
          <w:lang w:eastAsia="da-DK"/>
        </w:rPr>
      </w:pPr>
      <w:r w:rsidRPr="00F620B4">
        <w:rPr>
          <w:color w:val="000000"/>
          <w:szCs w:val="22"/>
        </w:rPr>
        <w:t xml:space="preserve">Gennemsigtige type I hætteglas lukket med en prop belagt med </w:t>
      </w:r>
      <w:proofErr w:type="spellStart"/>
      <w:r w:rsidRPr="00F620B4">
        <w:rPr>
          <w:color w:val="000000"/>
          <w:szCs w:val="22"/>
        </w:rPr>
        <w:t>brombutylgummi</w:t>
      </w:r>
      <w:proofErr w:type="spellEnd"/>
      <w:r w:rsidRPr="00F620B4">
        <w:rPr>
          <w:color w:val="000000"/>
          <w:szCs w:val="22"/>
        </w:rPr>
        <w:t xml:space="preserve"> og et aluminiumslåg i en kartonæske.</w:t>
      </w:r>
    </w:p>
    <w:p w:rsidR="00C07CB6" w:rsidRPr="00F620B4" w:rsidRDefault="00C07CB6" w:rsidP="00C07CB6">
      <w:pPr>
        <w:ind w:left="567"/>
        <w:rPr>
          <w:color w:val="000000"/>
          <w:szCs w:val="22"/>
          <w:u w:val="single"/>
        </w:rPr>
      </w:pPr>
    </w:p>
    <w:p w:rsidR="00C07CB6" w:rsidRPr="00F620B4" w:rsidRDefault="00C07CB6" w:rsidP="00C07CB6">
      <w:pPr>
        <w:ind w:left="567"/>
        <w:rPr>
          <w:color w:val="000000"/>
          <w:szCs w:val="22"/>
          <w:u w:val="single"/>
        </w:rPr>
      </w:pPr>
      <w:r w:rsidRPr="00F620B4">
        <w:rPr>
          <w:color w:val="000000"/>
          <w:szCs w:val="22"/>
          <w:u w:val="single"/>
        </w:rPr>
        <w:t>Pakningsstørrelser:</w:t>
      </w:r>
    </w:p>
    <w:p w:rsidR="00C07CB6" w:rsidRPr="00F620B4" w:rsidRDefault="00C07CB6" w:rsidP="00C07CB6">
      <w:pPr>
        <w:ind w:left="567"/>
        <w:rPr>
          <w:color w:val="000000"/>
          <w:szCs w:val="22"/>
        </w:rPr>
      </w:pPr>
      <w:r w:rsidRPr="00F620B4">
        <w:rPr>
          <w:color w:val="000000"/>
          <w:szCs w:val="22"/>
        </w:rPr>
        <w:t>Æske med 1 hætteglas med 10 ml</w:t>
      </w:r>
    </w:p>
    <w:p w:rsidR="00C07CB6" w:rsidRPr="00F620B4" w:rsidRDefault="00C07CB6" w:rsidP="00C07CB6">
      <w:pPr>
        <w:ind w:left="567"/>
        <w:rPr>
          <w:color w:val="000000"/>
          <w:szCs w:val="22"/>
        </w:rPr>
      </w:pPr>
      <w:r w:rsidRPr="00F620B4">
        <w:rPr>
          <w:color w:val="000000"/>
          <w:szCs w:val="22"/>
        </w:rPr>
        <w:t>Æske med 1 hætteglas med 20 ml</w:t>
      </w:r>
    </w:p>
    <w:p w:rsidR="00C07CB6" w:rsidRPr="00F620B4" w:rsidRDefault="00C07CB6" w:rsidP="00C07CB6">
      <w:pPr>
        <w:ind w:left="567"/>
        <w:rPr>
          <w:color w:val="000000"/>
          <w:szCs w:val="22"/>
        </w:rPr>
      </w:pPr>
      <w:r w:rsidRPr="00F620B4">
        <w:rPr>
          <w:color w:val="000000"/>
          <w:szCs w:val="22"/>
        </w:rPr>
        <w:t>Æske med 1 hætteglas med 50 ml</w:t>
      </w:r>
    </w:p>
    <w:p w:rsidR="00C07CB6" w:rsidRPr="00F620B4" w:rsidRDefault="00C07CB6" w:rsidP="00C07CB6">
      <w:pPr>
        <w:ind w:left="567"/>
        <w:rPr>
          <w:color w:val="000000"/>
          <w:szCs w:val="22"/>
        </w:rPr>
      </w:pPr>
    </w:p>
    <w:p w:rsidR="00C07CB6" w:rsidRPr="00F620B4" w:rsidRDefault="00C07CB6" w:rsidP="00C07CB6">
      <w:pPr>
        <w:ind w:left="567"/>
        <w:rPr>
          <w:color w:val="000000"/>
          <w:szCs w:val="22"/>
        </w:rPr>
      </w:pPr>
      <w:r w:rsidRPr="00F620B4">
        <w:rPr>
          <w:color w:val="000000"/>
          <w:szCs w:val="22"/>
        </w:rPr>
        <w:t>Multipakning med 6 æsker, der hver indeholder 1 hætteglas med 10 ml</w:t>
      </w:r>
    </w:p>
    <w:p w:rsidR="00C07CB6" w:rsidRPr="00F620B4" w:rsidRDefault="00C07CB6" w:rsidP="00C07CB6">
      <w:pPr>
        <w:ind w:left="567"/>
        <w:rPr>
          <w:color w:val="000000"/>
          <w:szCs w:val="22"/>
        </w:rPr>
      </w:pPr>
      <w:r w:rsidRPr="00F620B4">
        <w:rPr>
          <w:color w:val="000000"/>
          <w:szCs w:val="22"/>
        </w:rPr>
        <w:t>Multipakning med 6 æsker, der hver indeholder 1 hætteglas med 20 ml</w:t>
      </w:r>
    </w:p>
    <w:p w:rsidR="00C07CB6" w:rsidRPr="00F620B4" w:rsidRDefault="00C07CB6" w:rsidP="00C07CB6">
      <w:pPr>
        <w:ind w:left="567"/>
        <w:rPr>
          <w:color w:val="000000"/>
          <w:szCs w:val="22"/>
        </w:rPr>
      </w:pPr>
      <w:r w:rsidRPr="00F620B4">
        <w:rPr>
          <w:color w:val="000000"/>
          <w:szCs w:val="22"/>
        </w:rPr>
        <w:t>Multipakning med 6 æsker, der hver indeholder 1 hætteglas med 50 ml</w:t>
      </w:r>
    </w:p>
    <w:p w:rsidR="00C07CB6" w:rsidRPr="00F620B4" w:rsidRDefault="00C07CB6" w:rsidP="00C07CB6">
      <w:pPr>
        <w:ind w:left="567"/>
        <w:rPr>
          <w:color w:val="000000"/>
          <w:szCs w:val="22"/>
        </w:rPr>
      </w:pPr>
    </w:p>
    <w:p w:rsidR="00C07CB6" w:rsidRPr="00F620B4" w:rsidRDefault="00C07CB6" w:rsidP="00C07CB6">
      <w:pPr>
        <w:ind w:left="567"/>
        <w:rPr>
          <w:color w:val="000000"/>
          <w:szCs w:val="22"/>
        </w:rPr>
      </w:pPr>
      <w:r w:rsidRPr="00F620B4">
        <w:rPr>
          <w:color w:val="000000"/>
          <w:szCs w:val="22"/>
        </w:rPr>
        <w:t>Multipakning med 10 æsker, der hver indeholder 1 hætteglas med 10 ml</w:t>
      </w:r>
    </w:p>
    <w:p w:rsidR="00C07CB6" w:rsidRPr="00F620B4" w:rsidRDefault="00C07CB6" w:rsidP="00C07CB6">
      <w:pPr>
        <w:ind w:left="567"/>
        <w:rPr>
          <w:color w:val="000000"/>
          <w:szCs w:val="22"/>
        </w:rPr>
      </w:pPr>
      <w:r w:rsidRPr="00F620B4">
        <w:rPr>
          <w:color w:val="000000"/>
          <w:szCs w:val="22"/>
        </w:rPr>
        <w:t>Multipakning med 10 æsker, der hver indeholder 1 hætteglas med 20 ml</w:t>
      </w:r>
    </w:p>
    <w:p w:rsidR="00C07CB6" w:rsidRPr="00F620B4" w:rsidRDefault="00C07CB6" w:rsidP="00C07CB6">
      <w:pPr>
        <w:ind w:left="567"/>
        <w:rPr>
          <w:color w:val="000000"/>
          <w:szCs w:val="22"/>
        </w:rPr>
      </w:pPr>
      <w:r w:rsidRPr="00F620B4">
        <w:rPr>
          <w:color w:val="000000"/>
          <w:szCs w:val="22"/>
        </w:rPr>
        <w:t>Multipakning med 10 æsker, der hver indeholder 1 hætteglas med 50 ml</w:t>
      </w:r>
    </w:p>
    <w:p w:rsidR="00C07CB6" w:rsidRDefault="00C07CB6" w:rsidP="00C07CB6">
      <w:pPr>
        <w:ind w:left="567"/>
      </w:pPr>
    </w:p>
    <w:p w:rsidR="00C07CB6" w:rsidRDefault="00C07CB6" w:rsidP="00C07CB6">
      <w:pPr>
        <w:ind w:left="567"/>
      </w:pPr>
      <w:r w:rsidRPr="00F260F0">
        <w:t>Ikke alle pakningsstørrelser er nødvendigvis markedsført.</w:t>
      </w:r>
    </w:p>
    <w:p w:rsidR="00C07CB6" w:rsidRPr="00F260F0" w:rsidRDefault="00C07CB6" w:rsidP="00C07CB6">
      <w:pPr>
        <w:rPr>
          <w:szCs w:val="22"/>
        </w:rPr>
      </w:pPr>
    </w:p>
    <w:p w:rsidR="00C07CB6" w:rsidRPr="00F260F0" w:rsidRDefault="00C07CB6" w:rsidP="00C07CB6">
      <w:pPr>
        <w:pStyle w:val="Style1"/>
      </w:pPr>
      <w:r w:rsidRPr="00F260F0">
        <w:t>5.5</w:t>
      </w:r>
      <w:r w:rsidRPr="00F260F0">
        <w:tab/>
        <w:t>Særlige forholdsregler vedrørende bortskaffelse af ubrugte veterinærlægemidler eller affaldsmaterialer fra brugen heraf</w:t>
      </w:r>
    </w:p>
    <w:p w:rsidR="00C07CB6" w:rsidRPr="00F260F0" w:rsidRDefault="00C07CB6" w:rsidP="00C07CB6">
      <w:pPr>
        <w:rPr>
          <w:szCs w:val="22"/>
        </w:rPr>
      </w:pPr>
    </w:p>
    <w:p w:rsidR="00C07CB6" w:rsidRPr="00F260F0" w:rsidRDefault="00C07CB6" w:rsidP="00C07CB6">
      <w:pPr>
        <w:ind w:left="567"/>
        <w:rPr>
          <w:szCs w:val="22"/>
        </w:rPr>
      </w:pPr>
      <w:r w:rsidRPr="00F260F0">
        <w:t>Lægemidler må ikke bortskaffes sammen med spildevand eller husholdningsaffald.</w:t>
      </w:r>
    </w:p>
    <w:p w:rsidR="00C07CB6" w:rsidRPr="00F260F0" w:rsidRDefault="00C07CB6" w:rsidP="00C07CB6">
      <w:pPr>
        <w:ind w:left="567"/>
        <w:rPr>
          <w:szCs w:val="22"/>
        </w:rPr>
      </w:pPr>
    </w:p>
    <w:p w:rsidR="00C07CB6" w:rsidRPr="00F260F0" w:rsidRDefault="00C07CB6" w:rsidP="00C07CB6">
      <w:pPr>
        <w:ind w:left="567"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C07CB6" w:rsidRPr="00F260F0"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6.</w:t>
      </w:r>
      <w:r w:rsidRPr="00F260F0">
        <w:tab/>
        <w:t>NAVN PÅ INDEHAVEREN AF MARKEDSFØRINGSTILLADELSEN</w:t>
      </w:r>
    </w:p>
    <w:p w:rsidR="00C07CB6" w:rsidRPr="00F260F0" w:rsidRDefault="00C07CB6" w:rsidP="00C07CB6">
      <w:pPr>
        <w:rPr>
          <w:szCs w:val="22"/>
        </w:rPr>
      </w:pPr>
    </w:p>
    <w:p w:rsidR="00C07CB6" w:rsidRPr="00AC247C" w:rsidRDefault="00C07CB6" w:rsidP="00C07CB6">
      <w:pPr>
        <w:ind w:left="567"/>
        <w:rPr>
          <w:szCs w:val="22"/>
          <w:lang w:eastAsia="da-DK"/>
        </w:rPr>
      </w:pPr>
      <w:proofErr w:type="spellStart"/>
      <w:r w:rsidRPr="00AC247C">
        <w:rPr>
          <w:szCs w:val="22"/>
          <w:lang w:eastAsia="da-DK"/>
        </w:rPr>
        <w:t>Dechra</w:t>
      </w:r>
      <w:proofErr w:type="spellEnd"/>
      <w:r w:rsidRPr="00AC247C">
        <w:rPr>
          <w:szCs w:val="22"/>
          <w:lang w:eastAsia="da-DK"/>
        </w:rPr>
        <w:t xml:space="preserve"> Regulatory B.V.</w:t>
      </w:r>
    </w:p>
    <w:p w:rsidR="00C07CB6" w:rsidRPr="00AC247C" w:rsidRDefault="00C07CB6" w:rsidP="00C07CB6">
      <w:pPr>
        <w:ind w:left="567"/>
        <w:rPr>
          <w:szCs w:val="22"/>
          <w:lang w:eastAsia="da-DK"/>
        </w:rPr>
      </w:pPr>
      <w:proofErr w:type="spellStart"/>
      <w:r w:rsidRPr="00AC247C">
        <w:rPr>
          <w:szCs w:val="22"/>
          <w:lang w:eastAsia="da-DK"/>
        </w:rPr>
        <w:t>Handelsweg</w:t>
      </w:r>
      <w:proofErr w:type="spellEnd"/>
      <w:r w:rsidRPr="00AC247C">
        <w:rPr>
          <w:szCs w:val="22"/>
          <w:lang w:eastAsia="da-DK"/>
        </w:rPr>
        <w:t xml:space="preserve"> 25</w:t>
      </w:r>
    </w:p>
    <w:p w:rsidR="00C07CB6" w:rsidRPr="00F620B4" w:rsidRDefault="00C07CB6" w:rsidP="00C07CB6">
      <w:pPr>
        <w:ind w:left="567"/>
        <w:rPr>
          <w:szCs w:val="22"/>
          <w:lang w:eastAsia="da-DK"/>
        </w:rPr>
      </w:pPr>
      <w:r w:rsidRPr="00F620B4">
        <w:rPr>
          <w:szCs w:val="22"/>
          <w:lang w:eastAsia="da-DK"/>
        </w:rPr>
        <w:t xml:space="preserve">5531 AE </w:t>
      </w:r>
      <w:proofErr w:type="spellStart"/>
      <w:r w:rsidRPr="00F620B4">
        <w:rPr>
          <w:szCs w:val="22"/>
          <w:lang w:eastAsia="da-DK"/>
        </w:rPr>
        <w:t>Bladel</w:t>
      </w:r>
      <w:proofErr w:type="spellEnd"/>
    </w:p>
    <w:p w:rsidR="00C07CB6" w:rsidRPr="00AC247C" w:rsidRDefault="00C07CB6" w:rsidP="00C07CB6">
      <w:pPr>
        <w:tabs>
          <w:tab w:val="left" w:pos="1304"/>
        </w:tabs>
        <w:ind w:left="567"/>
        <w:rPr>
          <w:szCs w:val="22"/>
        </w:rPr>
      </w:pPr>
      <w:r w:rsidRPr="00F620B4">
        <w:rPr>
          <w:szCs w:val="22"/>
          <w:lang w:eastAsia="da-DK"/>
        </w:rPr>
        <w:t>Holland</w:t>
      </w:r>
    </w:p>
    <w:p w:rsidR="00C07CB6" w:rsidRPr="00AC247C" w:rsidRDefault="00C07CB6" w:rsidP="00C07CB6">
      <w:pPr>
        <w:tabs>
          <w:tab w:val="left" w:pos="1304"/>
        </w:tabs>
        <w:ind w:left="567"/>
        <w:rPr>
          <w:szCs w:val="22"/>
        </w:rPr>
      </w:pPr>
    </w:p>
    <w:p w:rsidR="00C07CB6" w:rsidRPr="00AC247C" w:rsidRDefault="00C07CB6" w:rsidP="00C07CB6">
      <w:pPr>
        <w:tabs>
          <w:tab w:val="left" w:pos="1304"/>
        </w:tabs>
        <w:ind w:left="567"/>
        <w:rPr>
          <w:b/>
          <w:szCs w:val="22"/>
        </w:rPr>
      </w:pPr>
      <w:r w:rsidRPr="00AC247C">
        <w:rPr>
          <w:b/>
          <w:szCs w:val="22"/>
        </w:rPr>
        <w:t>Repræsentant</w:t>
      </w:r>
    </w:p>
    <w:p w:rsidR="00C07CB6" w:rsidRPr="00AC247C" w:rsidRDefault="00C07CB6" w:rsidP="00C07CB6">
      <w:pPr>
        <w:tabs>
          <w:tab w:val="left" w:pos="1304"/>
        </w:tabs>
        <w:ind w:left="567"/>
        <w:rPr>
          <w:szCs w:val="22"/>
        </w:rPr>
      </w:pPr>
      <w:proofErr w:type="spellStart"/>
      <w:r w:rsidRPr="00AC247C">
        <w:rPr>
          <w:szCs w:val="22"/>
        </w:rPr>
        <w:t>Dechra</w:t>
      </w:r>
      <w:proofErr w:type="spellEnd"/>
      <w:r w:rsidRPr="00AC247C">
        <w:rPr>
          <w:szCs w:val="22"/>
        </w:rPr>
        <w:t xml:space="preserve"> Veterinary Products A/S</w:t>
      </w:r>
    </w:p>
    <w:p w:rsidR="00C07CB6" w:rsidRPr="00F620B4" w:rsidRDefault="00C07CB6" w:rsidP="00C07CB6">
      <w:pPr>
        <w:tabs>
          <w:tab w:val="left" w:pos="1304"/>
        </w:tabs>
        <w:ind w:left="567"/>
        <w:rPr>
          <w:szCs w:val="22"/>
        </w:rPr>
      </w:pPr>
      <w:proofErr w:type="spellStart"/>
      <w:r w:rsidRPr="00F620B4">
        <w:rPr>
          <w:szCs w:val="22"/>
        </w:rPr>
        <w:t>Mekuvej</w:t>
      </w:r>
      <w:proofErr w:type="spellEnd"/>
      <w:r w:rsidRPr="00F620B4">
        <w:rPr>
          <w:szCs w:val="22"/>
        </w:rPr>
        <w:t xml:space="preserve"> 9</w:t>
      </w:r>
    </w:p>
    <w:p w:rsidR="00C07CB6" w:rsidRPr="00F620B4" w:rsidRDefault="00C07CB6" w:rsidP="00C07CB6">
      <w:pPr>
        <w:tabs>
          <w:tab w:val="left" w:pos="1304"/>
        </w:tabs>
        <w:ind w:left="567"/>
        <w:rPr>
          <w:szCs w:val="22"/>
        </w:rPr>
      </w:pPr>
      <w:r w:rsidRPr="00F620B4">
        <w:rPr>
          <w:szCs w:val="22"/>
        </w:rPr>
        <w:t>7171 Uldum</w:t>
      </w:r>
    </w:p>
    <w:p w:rsidR="00C07CB6" w:rsidRPr="00F260F0"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7.</w:t>
      </w:r>
      <w:r w:rsidRPr="00F260F0">
        <w:tab/>
        <w:t>MARKEDSFØRINGSTILLADELSESNUMMER (-NUMRE)</w:t>
      </w:r>
    </w:p>
    <w:p w:rsidR="00C07CB6" w:rsidRPr="00F260F0" w:rsidRDefault="00C07CB6" w:rsidP="00C07CB6">
      <w:pPr>
        <w:rPr>
          <w:szCs w:val="22"/>
        </w:rPr>
      </w:pPr>
    </w:p>
    <w:p w:rsidR="00C07CB6" w:rsidRDefault="00C07CB6" w:rsidP="00C07CB6">
      <w:pPr>
        <w:ind w:firstLine="567"/>
        <w:rPr>
          <w:szCs w:val="22"/>
        </w:rPr>
      </w:pPr>
      <w:r w:rsidRPr="00F620B4">
        <w:rPr>
          <w:szCs w:val="22"/>
        </w:rPr>
        <w:t>58919</w:t>
      </w:r>
    </w:p>
    <w:p w:rsidR="00C07CB6"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8.</w:t>
      </w:r>
      <w:r w:rsidRPr="00F260F0">
        <w:tab/>
        <w:t>DATO FOR FØRSTE TILLADELSE</w:t>
      </w:r>
    </w:p>
    <w:p w:rsidR="00C07CB6" w:rsidRPr="00F260F0" w:rsidRDefault="00C07CB6" w:rsidP="00C07CB6">
      <w:pPr>
        <w:rPr>
          <w:szCs w:val="22"/>
        </w:rPr>
      </w:pPr>
    </w:p>
    <w:p w:rsidR="00C07CB6" w:rsidRDefault="00C07CB6" w:rsidP="00C07CB6">
      <w:pPr>
        <w:ind w:firstLine="567"/>
      </w:pPr>
      <w:r w:rsidRPr="00345C20">
        <w:rPr>
          <w:szCs w:val="22"/>
        </w:rPr>
        <w:t>Dato for første markedsføringstilladelse:</w:t>
      </w:r>
      <w:r>
        <w:rPr>
          <w:szCs w:val="22"/>
        </w:rPr>
        <w:t xml:space="preserve"> </w:t>
      </w:r>
      <w:r w:rsidRPr="00F620B4">
        <w:rPr>
          <w:szCs w:val="22"/>
        </w:rPr>
        <w:t>10. januar 2018</w:t>
      </w:r>
    </w:p>
    <w:p w:rsidR="00C07CB6" w:rsidRPr="00F260F0" w:rsidRDefault="00C07CB6" w:rsidP="00C07CB6">
      <w:pPr>
        <w:rPr>
          <w:szCs w:val="22"/>
        </w:rPr>
      </w:pPr>
    </w:p>
    <w:p w:rsidR="00C07CB6" w:rsidRPr="00F260F0" w:rsidRDefault="00C07CB6" w:rsidP="00C07CB6">
      <w:pPr>
        <w:rPr>
          <w:szCs w:val="22"/>
        </w:rPr>
      </w:pPr>
    </w:p>
    <w:p w:rsidR="00C07CB6" w:rsidRPr="00F260F0" w:rsidRDefault="00C07CB6" w:rsidP="00C07CB6">
      <w:pPr>
        <w:pStyle w:val="Style1"/>
      </w:pPr>
      <w:r w:rsidRPr="00F260F0">
        <w:t>9.</w:t>
      </w:r>
      <w:r w:rsidRPr="00F260F0">
        <w:tab/>
        <w:t>DATO FOR SENESTE ÆNDRING AF PRODUKTRESUMÉET</w:t>
      </w:r>
    </w:p>
    <w:p w:rsidR="00C07CB6" w:rsidRPr="00F260F0" w:rsidRDefault="00C07CB6" w:rsidP="00C07CB6">
      <w:pPr>
        <w:rPr>
          <w:szCs w:val="22"/>
        </w:rPr>
      </w:pPr>
    </w:p>
    <w:p w:rsidR="00C07CB6" w:rsidRPr="00F260F0" w:rsidRDefault="00C07CB6" w:rsidP="00C07CB6">
      <w:pPr>
        <w:ind w:left="567"/>
        <w:rPr>
          <w:szCs w:val="22"/>
        </w:rPr>
      </w:pPr>
      <w:r>
        <w:rPr>
          <w:szCs w:val="22"/>
        </w:rPr>
        <w:t>11. februar 2025</w:t>
      </w:r>
    </w:p>
    <w:p w:rsidR="00C07CB6" w:rsidRPr="00F260F0" w:rsidRDefault="00C07CB6" w:rsidP="00C07CB6">
      <w:pPr>
        <w:rPr>
          <w:szCs w:val="22"/>
        </w:rPr>
      </w:pPr>
    </w:p>
    <w:p w:rsidR="00C07CB6" w:rsidRPr="00F260F0" w:rsidRDefault="00C07CB6" w:rsidP="00C07CB6">
      <w:pPr>
        <w:pStyle w:val="Style1"/>
      </w:pPr>
      <w:r w:rsidRPr="00F260F0">
        <w:t>10.</w:t>
      </w:r>
      <w:r w:rsidRPr="00F260F0">
        <w:tab/>
        <w:t>KLASSIFICERING AF VETERINÆRLÆGEMIDLER</w:t>
      </w:r>
    </w:p>
    <w:p w:rsidR="00C07CB6" w:rsidRPr="00F260F0" w:rsidRDefault="00C07CB6" w:rsidP="00C07CB6">
      <w:pPr>
        <w:rPr>
          <w:szCs w:val="22"/>
        </w:rPr>
      </w:pPr>
    </w:p>
    <w:p w:rsidR="00C07CB6" w:rsidRDefault="00C07CB6" w:rsidP="00C07CB6">
      <w:pPr>
        <w:ind w:left="567"/>
      </w:pPr>
      <w:r w:rsidRPr="00345C20">
        <w:t>A§4 (kopieringspligtigt)</w:t>
      </w:r>
    </w:p>
    <w:p w:rsidR="00C07CB6" w:rsidRDefault="00C07CB6" w:rsidP="00C07CB6">
      <w:pPr>
        <w:ind w:left="567"/>
      </w:pPr>
    </w:p>
    <w:p w:rsidR="0003527F" w:rsidRPr="00A14062" w:rsidRDefault="00C07CB6" w:rsidP="00C07CB6">
      <w:pPr>
        <w:ind w:left="567" w:right="-318"/>
      </w:pPr>
      <w:bookmarkStart w:id="7" w:name="_Hlk73467306"/>
      <w:r w:rsidRPr="00F260F0">
        <w:t>Der findes detaljerede oplysninger om dette veterinærlægemiddel i EU-lægemiddeldatabasen.</w:t>
      </w:r>
      <w:bookmarkEnd w:id="7"/>
    </w:p>
    <w:sectPr w:rsidR="0003527F" w:rsidRPr="00A1406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62" w:rsidRDefault="00A14062">
      <w:r>
        <w:separator/>
      </w:r>
    </w:p>
  </w:endnote>
  <w:endnote w:type="continuationSeparator" w:id="0">
    <w:p w:rsidR="00A14062" w:rsidRDefault="00A1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322D5B">
    <w:pPr>
      <w:pStyle w:val="Sidefod"/>
      <w:tabs>
        <w:tab w:val="clear" w:pos="4819"/>
        <w:tab w:val="left" w:pos="8647"/>
      </w:tabs>
      <w:rPr>
        <w:i/>
        <w:sz w:val="18"/>
      </w:rPr>
    </w:pPr>
    <w:proofErr w:type="spellStart"/>
    <w:r w:rsidRPr="00322D5B">
      <w:rPr>
        <w:i/>
        <w:snapToGrid w:val="0"/>
        <w:sz w:val="18"/>
      </w:rPr>
      <w:t>Tralieve</w:t>
    </w:r>
    <w:proofErr w:type="spellEnd"/>
    <w:r w:rsidRPr="00322D5B">
      <w:rPr>
        <w:i/>
        <w:snapToGrid w:val="0"/>
        <w:sz w:val="18"/>
      </w:rPr>
      <w:t xml:space="preserve"> </w:t>
    </w:r>
    <w:proofErr w:type="spellStart"/>
    <w:r w:rsidRPr="00322D5B">
      <w:rPr>
        <w:i/>
        <w:snapToGrid w:val="0"/>
        <w:sz w:val="18"/>
      </w:rPr>
      <w:t>Vet</w:t>
    </w:r>
    <w:proofErr w:type="spellEnd"/>
    <w:r w:rsidRPr="00322D5B">
      <w:rPr>
        <w:i/>
        <w:snapToGrid w:val="0"/>
        <w:sz w:val="18"/>
      </w:rPr>
      <w:t>., injektionsvæske, opløsning 50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14062">
      <w:rPr>
        <w:i/>
        <w:noProof/>
        <w:snapToGrid w:val="0"/>
        <w:sz w:val="18"/>
      </w:rPr>
      <w:t>Dokument779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62" w:rsidRDefault="00A14062">
      <w:r>
        <w:separator/>
      </w:r>
    </w:p>
  </w:footnote>
  <w:footnote w:type="continuationSeparator" w:id="0">
    <w:p w:rsidR="00A14062" w:rsidRDefault="00A1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62"/>
    <w:rsid w:val="0003527F"/>
    <w:rsid w:val="00065C7D"/>
    <w:rsid w:val="000C6CD4"/>
    <w:rsid w:val="001577E4"/>
    <w:rsid w:val="001858CA"/>
    <w:rsid w:val="001C4AEF"/>
    <w:rsid w:val="001D3CC5"/>
    <w:rsid w:val="00322BDE"/>
    <w:rsid w:val="00322D5B"/>
    <w:rsid w:val="00406EE7"/>
    <w:rsid w:val="00407013"/>
    <w:rsid w:val="004A62CC"/>
    <w:rsid w:val="00565A74"/>
    <w:rsid w:val="005B0036"/>
    <w:rsid w:val="005F5831"/>
    <w:rsid w:val="00662012"/>
    <w:rsid w:val="00666B01"/>
    <w:rsid w:val="006B1539"/>
    <w:rsid w:val="006D4B41"/>
    <w:rsid w:val="006F5621"/>
    <w:rsid w:val="00717E48"/>
    <w:rsid w:val="007E2A00"/>
    <w:rsid w:val="008010F2"/>
    <w:rsid w:val="009202AE"/>
    <w:rsid w:val="00932676"/>
    <w:rsid w:val="009D66C6"/>
    <w:rsid w:val="00A14062"/>
    <w:rsid w:val="00A96525"/>
    <w:rsid w:val="00AC4ABA"/>
    <w:rsid w:val="00AE29E5"/>
    <w:rsid w:val="00AE5757"/>
    <w:rsid w:val="00B25EB8"/>
    <w:rsid w:val="00BC634B"/>
    <w:rsid w:val="00BF2AE0"/>
    <w:rsid w:val="00C07CB6"/>
    <w:rsid w:val="00C479BF"/>
    <w:rsid w:val="00CE664F"/>
    <w:rsid w:val="00D567AA"/>
    <w:rsid w:val="00DD6D71"/>
    <w:rsid w:val="00DF32BE"/>
    <w:rsid w:val="00E14F0A"/>
    <w:rsid w:val="00EB5778"/>
    <w:rsid w:val="00EE5253"/>
    <w:rsid w:val="00EF335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F399B-D52D-4A47-A52C-F34E8049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C07CB6"/>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10084</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2024021776 QRD9</dc:description>
  <cp:lastModifiedBy>Alexandra Wæver</cp:lastModifiedBy>
  <cp:revision>2</cp:revision>
  <dcterms:created xsi:type="dcterms:W3CDTF">2025-02-11T09:57:00Z</dcterms:created>
  <dcterms:modified xsi:type="dcterms:W3CDTF">2025-02-11T09:57:00Z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