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4AF341" w14:textId="77777777" w:rsidR="005B0036" w:rsidRPr="008F49E1" w:rsidRDefault="005B0036" w:rsidP="005B0036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2B304170" wp14:editId="754B2D3E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2F23B" w14:textId="77777777" w:rsidR="00C479BF" w:rsidRDefault="00C479BF" w:rsidP="005B0036">
      <w:pPr>
        <w:rPr>
          <w:sz w:val="24"/>
          <w:szCs w:val="24"/>
        </w:rPr>
      </w:pPr>
    </w:p>
    <w:p w14:paraId="72DA0D3C" w14:textId="29AB26D3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B23B7">
        <w:rPr>
          <w:b/>
          <w:sz w:val="24"/>
          <w:szCs w:val="24"/>
        </w:rPr>
        <w:t>3. september 2019</w:t>
      </w:r>
    </w:p>
    <w:p w14:paraId="323AA937" w14:textId="77777777" w:rsidR="005B0036" w:rsidRPr="00406EE7" w:rsidRDefault="005B0036" w:rsidP="005B0036">
      <w:pPr>
        <w:rPr>
          <w:sz w:val="24"/>
          <w:szCs w:val="24"/>
        </w:rPr>
      </w:pPr>
    </w:p>
    <w:p w14:paraId="0F7A648C" w14:textId="77777777" w:rsidR="005B0036" w:rsidRDefault="005B0036" w:rsidP="005B0036">
      <w:pPr>
        <w:rPr>
          <w:sz w:val="24"/>
          <w:szCs w:val="24"/>
        </w:rPr>
      </w:pPr>
    </w:p>
    <w:p w14:paraId="5FE07052" w14:textId="77777777" w:rsidR="00A4686C" w:rsidRPr="00406EE7" w:rsidRDefault="00A4686C" w:rsidP="005B0036">
      <w:pPr>
        <w:rPr>
          <w:sz w:val="24"/>
          <w:szCs w:val="24"/>
        </w:rPr>
      </w:pPr>
    </w:p>
    <w:p w14:paraId="61963A01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5B3C2096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2CBB0DBC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1F0AA6B6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6AA5D8B" w14:textId="2EE4C080" w:rsidR="005B0036" w:rsidRPr="00565A74" w:rsidRDefault="004B2DB7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Tramvetol</w:t>
      </w:r>
      <w:proofErr w:type="spellEnd"/>
      <w:r>
        <w:rPr>
          <w:b/>
          <w:sz w:val="24"/>
          <w:szCs w:val="24"/>
        </w:rPr>
        <w:t>, tabletter</w:t>
      </w:r>
    </w:p>
    <w:p w14:paraId="00D39E01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51612D42" w14:textId="77777777" w:rsidR="005B0036" w:rsidRPr="00A4686C" w:rsidRDefault="005B0036" w:rsidP="00A4686C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14:paraId="18120CDB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0.</w:t>
      </w:r>
      <w:r w:rsidRPr="00A4686C">
        <w:rPr>
          <w:b/>
          <w:sz w:val="24"/>
          <w:szCs w:val="24"/>
        </w:rPr>
        <w:tab/>
        <w:t>D.SP.NR.</w:t>
      </w:r>
    </w:p>
    <w:p w14:paraId="0783DE44" w14:textId="0DA16B43" w:rsidR="005B0036" w:rsidRPr="00A4686C" w:rsidRDefault="00A4686C" w:rsidP="00A4686C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4B2DB7" w:rsidRPr="00A4686C">
        <w:rPr>
          <w:sz w:val="24"/>
          <w:szCs w:val="24"/>
        </w:rPr>
        <w:t>31382</w:t>
      </w:r>
    </w:p>
    <w:p w14:paraId="68F28CB9" w14:textId="77777777" w:rsidR="005B0036" w:rsidRPr="00A4686C" w:rsidRDefault="005B0036" w:rsidP="00A4686C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3C0D93FC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1.</w:t>
      </w:r>
      <w:r w:rsidRPr="00A4686C">
        <w:rPr>
          <w:b/>
          <w:sz w:val="24"/>
          <w:szCs w:val="24"/>
        </w:rPr>
        <w:tab/>
        <w:t>VETERINÆRLÆGEMIDLETS NAVN</w:t>
      </w:r>
    </w:p>
    <w:p w14:paraId="6FF31145" w14:textId="049CB206" w:rsidR="005B0036" w:rsidRPr="00A4686C" w:rsidRDefault="00A4686C" w:rsidP="00A4686C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4B2DB7" w:rsidRPr="00A4686C">
        <w:rPr>
          <w:sz w:val="24"/>
          <w:szCs w:val="24"/>
        </w:rPr>
        <w:t>Tramvetol</w:t>
      </w:r>
      <w:proofErr w:type="spellEnd"/>
    </w:p>
    <w:p w14:paraId="5AEA8564" w14:textId="77777777" w:rsidR="005B0036" w:rsidRPr="00A4686C" w:rsidRDefault="005B0036" w:rsidP="00A4686C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720C3AF2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2.</w:t>
      </w:r>
      <w:r w:rsidRPr="00A4686C">
        <w:rPr>
          <w:b/>
          <w:sz w:val="24"/>
          <w:szCs w:val="24"/>
        </w:rPr>
        <w:tab/>
        <w:t>KVALITATIV OG KVANTITATIV SAMMENSÆTNING</w:t>
      </w:r>
    </w:p>
    <w:p w14:paraId="48041BF7" w14:textId="0A664B01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>1 tablet indeholder:</w:t>
      </w:r>
    </w:p>
    <w:p w14:paraId="60B1ADD7" w14:textId="77777777" w:rsidR="00181B80" w:rsidRPr="00A4686C" w:rsidRDefault="00181B80" w:rsidP="00A4686C">
      <w:pPr>
        <w:tabs>
          <w:tab w:val="left" w:pos="1304"/>
        </w:tabs>
        <w:ind w:left="851" w:hanging="851"/>
        <w:rPr>
          <w:b/>
          <w:sz w:val="24"/>
          <w:szCs w:val="24"/>
        </w:rPr>
      </w:pPr>
    </w:p>
    <w:p w14:paraId="1B670C84" w14:textId="11580908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181B80" w:rsidRPr="00A4686C">
        <w:rPr>
          <w:b/>
          <w:sz w:val="24"/>
          <w:szCs w:val="24"/>
        </w:rPr>
        <w:t>Aktivt stof:</w:t>
      </w:r>
    </w:p>
    <w:p w14:paraId="5B57DDA6" w14:textId="795F3D10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181B80" w:rsidRPr="00A4686C">
        <w:rPr>
          <w:sz w:val="24"/>
          <w:szCs w:val="24"/>
        </w:rPr>
        <w:t>Tramadol</w:t>
      </w:r>
      <w:proofErr w:type="spellEnd"/>
      <w:r w:rsidR="00181B80" w:rsidRPr="00A4686C">
        <w:rPr>
          <w:sz w:val="24"/>
          <w:szCs w:val="24"/>
        </w:rPr>
        <w:t xml:space="preserve"> (som </w:t>
      </w:r>
      <w:proofErr w:type="spellStart"/>
      <w:proofErr w:type="gramStart"/>
      <w:r w:rsidR="00181B80" w:rsidRPr="00A4686C">
        <w:rPr>
          <w:sz w:val="24"/>
          <w:szCs w:val="24"/>
        </w:rPr>
        <w:t>hydrochlorid</w:t>
      </w:r>
      <w:proofErr w:type="spellEnd"/>
      <w:r w:rsidR="00181B80" w:rsidRPr="00A4686C">
        <w:rPr>
          <w:sz w:val="24"/>
          <w:szCs w:val="24"/>
        </w:rPr>
        <w:t>)</w:t>
      </w:r>
      <w:r w:rsidR="00181B80" w:rsidRPr="00A4686C">
        <w:rPr>
          <w:sz w:val="24"/>
          <w:szCs w:val="24"/>
        </w:rPr>
        <w:tab/>
      </w:r>
      <w:proofErr w:type="gramEnd"/>
      <w:r w:rsidR="00181B80" w:rsidRPr="00A4686C">
        <w:rPr>
          <w:sz w:val="24"/>
          <w:szCs w:val="24"/>
        </w:rPr>
        <w:tab/>
        <w:t>43,9 mg</w:t>
      </w:r>
    </w:p>
    <w:p w14:paraId="54DEFDE6" w14:textId="55B681C0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181B80" w:rsidRPr="00A4686C">
        <w:rPr>
          <w:sz w:val="24"/>
          <w:szCs w:val="24"/>
        </w:rPr>
        <w:t>svarende</w:t>
      </w:r>
      <w:proofErr w:type="gramEnd"/>
      <w:r w:rsidR="00181B80" w:rsidRPr="00A4686C">
        <w:rPr>
          <w:sz w:val="24"/>
          <w:szCs w:val="24"/>
        </w:rPr>
        <w:t xml:space="preserve"> til 50 mg </w:t>
      </w:r>
      <w:proofErr w:type="spellStart"/>
      <w:r w:rsidR="00181B80" w:rsidRPr="00A4686C">
        <w:rPr>
          <w:sz w:val="24"/>
          <w:szCs w:val="24"/>
        </w:rPr>
        <w:t>tramadolhydrochlorid</w:t>
      </w:r>
      <w:proofErr w:type="spellEnd"/>
    </w:p>
    <w:p w14:paraId="09BF3D2B" w14:textId="77777777" w:rsidR="00181B80" w:rsidRPr="00A4686C" w:rsidRDefault="00181B80" w:rsidP="00A4686C">
      <w:pPr>
        <w:tabs>
          <w:tab w:val="left" w:pos="1304"/>
        </w:tabs>
        <w:ind w:left="851" w:hanging="851"/>
        <w:rPr>
          <w:sz w:val="24"/>
          <w:szCs w:val="24"/>
        </w:rPr>
      </w:pPr>
    </w:p>
    <w:p w14:paraId="089A6195" w14:textId="478E8692" w:rsidR="00181B80" w:rsidRPr="00A4686C" w:rsidRDefault="00A4686C" w:rsidP="00A4686C">
      <w:pPr>
        <w:tabs>
          <w:tab w:val="left" w:pos="1304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181B80" w:rsidRPr="00A4686C">
        <w:rPr>
          <w:b/>
          <w:sz w:val="24"/>
          <w:szCs w:val="24"/>
        </w:rPr>
        <w:t>Hjælpestof (Hjælpestoffer):</w:t>
      </w:r>
    </w:p>
    <w:p w14:paraId="259E4522" w14:textId="41CD6522" w:rsidR="00181B80" w:rsidRPr="00A4686C" w:rsidRDefault="00A4686C" w:rsidP="00A4686C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Alle hjælpestoffer er anført under pkt. 6.1  </w:t>
      </w:r>
    </w:p>
    <w:p w14:paraId="22FC3FEC" w14:textId="77777777" w:rsidR="005B0036" w:rsidRPr="00A4686C" w:rsidRDefault="005B0036" w:rsidP="00A4686C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422D0CB6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3.</w:t>
      </w:r>
      <w:r w:rsidRPr="00A4686C">
        <w:rPr>
          <w:b/>
          <w:sz w:val="24"/>
          <w:szCs w:val="24"/>
        </w:rPr>
        <w:tab/>
        <w:t>LÆGEMIDDELFORM</w:t>
      </w:r>
    </w:p>
    <w:p w14:paraId="03567EAA" w14:textId="7FAD97DF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>Tabletter</w:t>
      </w:r>
    </w:p>
    <w:p w14:paraId="2845E167" w14:textId="41A85400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bookmarkStart w:id="1" w:name="_Hlk487542819"/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Hvidlig til hvid flad tablet med brune prikker, delekærv på den ene side, afrundede kanter </w:t>
      </w:r>
      <w:proofErr w:type="gramStart"/>
      <w:r w:rsidR="00181B80" w:rsidRPr="00A4686C">
        <w:rPr>
          <w:sz w:val="24"/>
          <w:szCs w:val="24"/>
        </w:rPr>
        <w:t>og</w:t>
      </w:r>
      <w:proofErr w:type="gramEnd"/>
      <w:r w:rsidR="00181B80" w:rsidRPr="00A4686C">
        <w:rPr>
          <w:sz w:val="24"/>
          <w:szCs w:val="24"/>
        </w:rPr>
        <w:t xml:space="preserve"> med en karakteristisk duft af kød.</w:t>
      </w:r>
      <w:bookmarkStart w:id="2" w:name="_Hlk487542902"/>
      <w:bookmarkEnd w:id="1"/>
    </w:p>
    <w:bookmarkEnd w:id="2"/>
    <w:p w14:paraId="1BE4F540" w14:textId="71AB65EE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>Tabletterne kan deles i to lige store dele.</w:t>
      </w:r>
    </w:p>
    <w:p w14:paraId="19A76B86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6D4A2F6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67C8271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</w:t>
      </w:r>
      <w:r w:rsidRPr="00A4686C">
        <w:rPr>
          <w:b/>
          <w:sz w:val="24"/>
          <w:szCs w:val="24"/>
        </w:rPr>
        <w:tab/>
        <w:t>KLINISKE OPLYSNINGER</w:t>
      </w:r>
    </w:p>
    <w:p w14:paraId="51A52967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8323407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A4686C">
        <w:rPr>
          <w:b/>
          <w:sz w:val="24"/>
          <w:szCs w:val="24"/>
        </w:rPr>
        <w:t>4.1</w:t>
      </w:r>
      <w:r w:rsidRPr="00A4686C">
        <w:rPr>
          <w:b/>
          <w:sz w:val="24"/>
          <w:szCs w:val="24"/>
        </w:rPr>
        <w:tab/>
        <w:t>Dyrearter</w:t>
      </w:r>
    </w:p>
    <w:p w14:paraId="4D8E7732" w14:textId="577244CF" w:rsidR="00181B80" w:rsidRPr="00A4686C" w:rsidRDefault="00A4686C" w:rsidP="00A4686C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Hunde der vejer mere end </w:t>
      </w:r>
      <w:smartTag w:uri="urn:schemas-microsoft-com:office:smarttags" w:element="metricconverter">
        <w:smartTagPr>
          <w:attr w:name="ProductID" w:val="6,25 kg"/>
        </w:smartTagPr>
        <w:r w:rsidR="00181B80" w:rsidRPr="00A4686C">
          <w:rPr>
            <w:sz w:val="24"/>
            <w:szCs w:val="24"/>
          </w:rPr>
          <w:t>6,25 kg</w:t>
        </w:r>
      </w:smartTag>
      <w:r w:rsidR="00181B80" w:rsidRPr="00A4686C">
        <w:rPr>
          <w:sz w:val="24"/>
          <w:szCs w:val="24"/>
        </w:rPr>
        <w:t>.</w:t>
      </w:r>
    </w:p>
    <w:p w14:paraId="09CD7247" w14:textId="77777777" w:rsidR="005B0036" w:rsidRPr="00A4686C" w:rsidRDefault="005B0036" w:rsidP="00A4686C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29A5D281" w14:textId="77777777" w:rsidR="005B0036" w:rsidRPr="00A4686C" w:rsidRDefault="005B0036" w:rsidP="00A4686C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A4686C">
        <w:rPr>
          <w:b/>
          <w:szCs w:val="24"/>
        </w:rPr>
        <w:t>4.2</w:t>
      </w:r>
      <w:r w:rsidRPr="00A4686C">
        <w:rPr>
          <w:b/>
          <w:szCs w:val="24"/>
        </w:rPr>
        <w:tab/>
        <w:t>Terapeutiske indikationer</w:t>
      </w:r>
    </w:p>
    <w:p w14:paraId="08239879" w14:textId="55C6A206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bookmarkStart w:id="3" w:name="_Hlk492899822"/>
      <w:bookmarkStart w:id="4" w:name="_Hlk494181284"/>
      <w:bookmarkStart w:id="5" w:name="_Hlk493575387"/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Til lindring af akutte og kroniske lette smerter i bløddele og det </w:t>
      </w:r>
      <w:proofErr w:type="spellStart"/>
      <w:r w:rsidR="00181B80" w:rsidRPr="00A4686C">
        <w:rPr>
          <w:sz w:val="24"/>
          <w:szCs w:val="24"/>
        </w:rPr>
        <w:t>muskuloskeletale</w:t>
      </w:r>
      <w:proofErr w:type="spellEnd"/>
      <w:r w:rsidR="00181B80" w:rsidRPr="00A4686C">
        <w:rPr>
          <w:sz w:val="24"/>
          <w:szCs w:val="24"/>
        </w:rPr>
        <w:t xml:space="preserve"> system.</w:t>
      </w:r>
      <w:bookmarkEnd w:id="3"/>
      <w:bookmarkEnd w:id="4"/>
      <w:bookmarkEnd w:id="5"/>
    </w:p>
    <w:p w14:paraId="07675FE8" w14:textId="77777777" w:rsidR="005B0036" w:rsidRPr="00A4686C" w:rsidRDefault="005B0036" w:rsidP="00A4686C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23D6F896" w14:textId="77777777" w:rsidR="005B0036" w:rsidRPr="00A4686C" w:rsidRDefault="005B0036" w:rsidP="00A4686C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A4686C">
        <w:rPr>
          <w:b/>
          <w:szCs w:val="24"/>
        </w:rPr>
        <w:t>4.3</w:t>
      </w:r>
      <w:r w:rsidRPr="00A4686C">
        <w:rPr>
          <w:b/>
          <w:szCs w:val="24"/>
        </w:rPr>
        <w:tab/>
        <w:t>Kontraindikationer</w:t>
      </w:r>
    </w:p>
    <w:p w14:paraId="5D924DBD" w14:textId="40429E71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Bør ikke administreres sammen med tricykliske </w:t>
      </w:r>
      <w:proofErr w:type="spellStart"/>
      <w:r w:rsidR="00181B80" w:rsidRPr="00A4686C">
        <w:rPr>
          <w:sz w:val="24"/>
          <w:szCs w:val="24"/>
        </w:rPr>
        <w:t>antidepressiva</w:t>
      </w:r>
      <w:proofErr w:type="spellEnd"/>
      <w:r w:rsidR="00181B80" w:rsidRPr="00A4686C">
        <w:rPr>
          <w:sz w:val="24"/>
          <w:szCs w:val="24"/>
        </w:rPr>
        <w:t xml:space="preserve">, </w:t>
      </w:r>
      <w:proofErr w:type="spellStart"/>
      <w:r w:rsidR="00181B80" w:rsidRPr="00A4686C">
        <w:rPr>
          <w:sz w:val="24"/>
          <w:szCs w:val="24"/>
        </w:rPr>
        <w:t>monoaminoxidase</w:t>
      </w:r>
      <w:r w:rsidR="00181B80" w:rsidRPr="00A4686C">
        <w:rPr>
          <w:sz w:val="24"/>
          <w:szCs w:val="24"/>
        </w:rPr>
        <w:softHyphen/>
        <w:t>hæmmere</w:t>
      </w:r>
      <w:proofErr w:type="spellEnd"/>
      <w:r w:rsidR="00181B80" w:rsidRPr="00A4686C">
        <w:rPr>
          <w:sz w:val="24"/>
          <w:szCs w:val="24"/>
        </w:rPr>
        <w:t xml:space="preserve"> og </w:t>
      </w:r>
      <w:proofErr w:type="spellStart"/>
      <w:r w:rsidR="00181B80" w:rsidRPr="00A4686C">
        <w:rPr>
          <w:sz w:val="24"/>
          <w:szCs w:val="24"/>
        </w:rPr>
        <w:t>serotoningenoptagshæmmere</w:t>
      </w:r>
      <w:proofErr w:type="spellEnd"/>
      <w:r w:rsidR="00181B80" w:rsidRPr="00A4686C">
        <w:rPr>
          <w:sz w:val="24"/>
          <w:szCs w:val="24"/>
        </w:rPr>
        <w:t>.</w:t>
      </w:r>
    </w:p>
    <w:p w14:paraId="50BD2CD7" w14:textId="56C51BDB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181B80" w:rsidRPr="00A4686C">
        <w:rPr>
          <w:sz w:val="24"/>
          <w:szCs w:val="24"/>
        </w:rPr>
        <w:t xml:space="preserve">Bør ikke anvendes i tilfælde af overfølsomhed over for det aktive stof eller over for et eller flere af hjælpestofferne. </w:t>
      </w:r>
    </w:p>
    <w:p w14:paraId="046E2480" w14:textId="62CA9359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Bør ikke anvendes til dyr med epilepsi. </w:t>
      </w:r>
    </w:p>
    <w:p w14:paraId="1384AA5E" w14:textId="77777777" w:rsidR="005B0036" w:rsidRPr="00A4686C" w:rsidRDefault="005B0036" w:rsidP="00A4686C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63889B82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4.4</w:t>
      </w:r>
      <w:r w:rsidRPr="00A4686C">
        <w:rPr>
          <w:b/>
          <w:sz w:val="24"/>
          <w:szCs w:val="24"/>
        </w:rPr>
        <w:tab/>
        <w:t>Særlige advarsler</w:t>
      </w:r>
    </w:p>
    <w:p w14:paraId="29B3521D" w14:textId="1083A1AA" w:rsidR="00181B80" w:rsidRPr="00A4686C" w:rsidRDefault="00A4686C" w:rsidP="00A4686C">
      <w:pPr>
        <w:tabs>
          <w:tab w:val="left" w:pos="1304"/>
        </w:tabs>
        <w:ind w:left="851" w:hanging="851"/>
        <w:rPr>
          <w:color w:val="000000"/>
          <w:sz w:val="24"/>
          <w:szCs w:val="24"/>
        </w:rPr>
      </w:pPr>
      <w:bookmarkStart w:id="6" w:name="_Hlk493575244"/>
      <w:r>
        <w:rPr>
          <w:color w:val="000000"/>
          <w:sz w:val="24"/>
          <w:szCs w:val="24"/>
        </w:rPr>
        <w:tab/>
      </w:r>
      <w:r w:rsidR="00181B80" w:rsidRPr="00A4686C">
        <w:rPr>
          <w:color w:val="000000"/>
          <w:sz w:val="24"/>
          <w:szCs w:val="24"/>
        </w:rPr>
        <w:t xml:space="preserve">Den </w:t>
      </w:r>
      <w:proofErr w:type="spellStart"/>
      <w:r w:rsidR="00181B80" w:rsidRPr="00A4686C">
        <w:rPr>
          <w:color w:val="000000"/>
          <w:sz w:val="24"/>
          <w:szCs w:val="24"/>
        </w:rPr>
        <w:t>analgetiske</w:t>
      </w:r>
      <w:proofErr w:type="spellEnd"/>
      <w:r w:rsidR="00181B80" w:rsidRPr="00A4686C">
        <w:rPr>
          <w:color w:val="000000"/>
          <w:sz w:val="24"/>
          <w:szCs w:val="24"/>
        </w:rPr>
        <w:t xml:space="preserve"> virkning af </w:t>
      </w:r>
      <w:proofErr w:type="spellStart"/>
      <w:r w:rsidR="00181B80" w:rsidRPr="00A4686C">
        <w:rPr>
          <w:color w:val="000000"/>
          <w:sz w:val="24"/>
          <w:szCs w:val="24"/>
        </w:rPr>
        <w:t>tramadolhydrochlorid</w:t>
      </w:r>
      <w:proofErr w:type="spellEnd"/>
      <w:r w:rsidR="00181B80" w:rsidRPr="00A4686C">
        <w:rPr>
          <w:color w:val="000000"/>
          <w:sz w:val="24"/>
          <w:szCs w:val="24"/>
        </w:rPr>
        <w:t xml:space="preserve"> kan variere. Dette menes at skyldes individuelle forskelle i metabolismen af lægemidlet til den primære aktive </w:t>
      </w:r>
      <w:proofErr w:type="spellStart"/>
      <w:r w:rsidR="00181B80" w:rsidRPr="00A4686C">
        <w:rPr>
          <w:color w:val="000000"/>
          <w:sz w:val="24"/>
          <w:szCs w:val="24"/>
        </w:rPr>
        <w:t>metabolit</w:t>
      </w:r>
      <w:proofErr w:type="spellEnd"/>
      <w:r w:rsidR="00181B80" w:rsidRPr="00A4686C">
        <w:rPr>
          <w:color w:val="000000"/>
          <w:sz w:val="24"/>
          <w:szCs w:val="24"/>
        </w:rPr>
        <w:t xml:space="preserve"> O</w:t>
      </w:r>
      <w:r w:rsidR="00181B80" w:rsidRPr="00A4686C">
        <w:rPr>
          <w:color w:val="000000"/>
          <w:sz w:val="24"/>
          <w:szCs w:val="24"/>
        </w:rPr>
        <w:noBreakHyphen/>
      </w:r>
      <w:proofErr w:type="spellStart"/>
      <w:r w:rsidR="00181B80" w:rsidRPr="00A4686C">
        <w:rPr>
          <w:color w:val="000000"/>
          <w:sz w:val="24"/>
          <w:szCs w:val="24"/>
        </w:rPr>
        <w:t>desmethyltramadol</w:t>
      </w:r>
      <w:proofErr w:type="spellEnd"/>
      <w:r w:rsidR="00181B80" w:rsidRPr="00A4686C">
        <w:rPr>
          <w:color w:val="000000"/>
          <w:sz w:val="24"/>
          <w:szCs w:val="24"/>
        </w:rPr>
        <w:t>. Hos nogle hunde (non-</w:t>
      </w:r>
      <w:proofErr w:type="spellStart"/>
      <w:r w:rsidR="00181B80" w:rsidRPr="00A4686C">
        <w:rPr>
          <w:color w:val="000000"/>
          <w:sz w:val="24"/>
          <w:szCs w:val="24"/>
        </w:rPr>
        <w:t>responders</w:t>
      </w:r>
      <w:proofErr w:type="spellEnd"/>
      <w:r w:rsidR="00181B80" w:rsidRPr="00A4686C">
        <w:rPr>
          <w:color w:val="000000"/>
          <w:sz w:val="24"/>
          <w:szCs w:val="24"/>
        </w:rPr>
        <w:t xml:space="preserve">) kan dette føre til, at præparatet ikke har en </w:t>
      </w:r>
      <w:proofErr w:type="spellStart"/>
      <w:r w:rsidR="00181B80" w:rsidRPr="00A4686C">
        <w:rPr>
          <w:color w:val="000000"/>
          <w:sz w:val="24"/>
          <w:szCs w:val="24"/>
        </w:rPr>
        <w:t>analgetisk</w:t>
      </w:r>
      <w:proofErr w:type="spellEnd"/>
      <w:r w:rsidR="00181B80" w:rsidRPr="00A4686C">
        <w:rPr>
          <w:color w:val="000000"/>
          <w:sz w:val="24"/>
          <w:szCs w:val="24"/>
        </w:rPr>
        <w:t xml:space="preserve"> virkning. </w:t>
      </w:r>
      <w:bookmarkStart w:id="7" w:name="_Hlk494181321"/>
      <w:r w:rsidR="00181B80" w:rsidRPr="00A4686C">
        <w:rPr>
          <w:color w:val="000000"/>
          <w:sz w:val="24"/>
          <w:szCs w:val="24"/>
        </w:rPr>
        <w:t xml:space="preserve">Til kroniske smerter bør det overvejes at anvende flere forskellige typer smertestillende lægemidler. </w:t>
      </w:r>
      <w:bookmarkEnd w:id="7"/>
      <w:r w:rsidR="00181B80" w:rsidRPr="00A4686C">
        <w:rPr>
          <w:color w:val="000000"/>
          <w:sz w:val="24"/>
          <w:szCs w:val="24"/>
        </w:rPr>
        <w:t>Hunde bør overvåges regelmæssigt af en dyrlæge, for at sikre en tilstrækkelig smertelindring</w:t>
      </w:r>
      <w:bookmarkStart w:id="8" w:name="_Hlk493600649"/>
      <w:r w:rsidR="00181B80" w:rsidRPr="00A4686C">
        <w:rPr>
          <w:color w:val="000000"/>
          <w:sz w:val="24"/>
          <w:szCs w:val="24"/>
        </w:rPr>
        <w:t xml:space="preserve">. Hvis smerterne vender tilbage, eller den </w:t>
      </w:r>
      <w:proofErr w:type="spellStart"/>
      <w:r w:rsidR="00181B80" w:rsidRPr="00A4686C">
        <w:rPr>
          <w:color w:val="000000"/>
          <w:sz w:val="24"/>
          <w:szCs w:val="24"/>
        </w:rPr>
        <w:t>analgetiske</w:t>
      </w:r>
      <w:proofErr w:type="spellEnd"/>
      <w:r w:rsidR="00181B80" w:rsidRPr="00A4686C">
        <w:rPr>
          <w:color w:val="000000"/>
          <w:sz w:val="24"/>
          <w:szCs w:val="24"/>
        </w:rPr>
        <w:t xml:space="preserve"> virkning er utilstrækkelig, kan det være nødvendigt at genoverveje behandlingen.</w:t>
      </w:r>
      <w:bookmarkEnd w:id="8"/>
      <w:r w:rsidR="00181B80" w:rsidRPr="00A4686C">
        <w:rPr>
          <w:color w:val="000000"/>
          <w:sz w:val="24"/>
          <w:szCs w:val="24"/>
        </w:rPr>
        <w:t xml:space="preserve"> </w:t>
      </w:r>
      <w:bookmarkEnd w:id="6"/>
    </w:p>
    <w:p w14:paraId="69CEFE51" w14:textId="77777777" w:rsidR="005B0036" w:rsidRPr="00A4686C" w:rsidRDefault="005B0036" w:rsidP="00A4686C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44FF60B6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4.5</w:t>
      </w:r>
      <w:r w:rsidRPr="00A4686C">
        <w:rPr>
          <w:b/>
          <w:sz w:val="24"/>
          <w:szCs w:val="24"/>
        </w:rPr>
        <w:tab/>
        <w:t>Særlige forsigtighedsregler vedrørende brugen</w:t>
      </w:r>
    </w:p>
    <w:p w14:paraId="142E068E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4BE204C" w14:textId="77777777" w:rsidR="005B0036" w:rsidRPr="00A4686C" w:rsidRDefault="005B0036" w:rsidP="00A4686C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Særlige forsigtighedsregler for dyret</w:t>
      </w:r>
    </w:p>
    <w:p w14:paraId="3EB8C19F" w14:textId="77777777" w:rsidR="00181B80" w:rsidRPr="00A4686C" w:rsidRDefault="00181B80" w:rsidP="00A4686C">
      <w:pPr>
        <w:tabs>
          <w:tab w:val="left" w:pos="1304"/>
        </w:tabs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Anvendes med forsigtighed til hunde med nedsat nyre- eller leverfunktion. Hos hunde med nedsat leverfunktion kan metabolismen af </w:t>
      </w:r>
      <w:proofErr w:type="spellStart"/>
      <w:r w:rsidRPr="00A4686C">
        <w:rPr>
          <w:sz w:val="24"/>
          <w:szCs w:val="24"/>
        </w:rPr>
        <w:t>tramadol</w:t>
      </w:r>
      <w:proofErr w:type="spellEnd"/>
      <w:r w:rsidRPr="00A4686C">
        <w:rPr>
          <w:sz w:val="24"/>
          <w:szCs w:val="24"/>
        </w:rPr>
        <w:t xml:space="preserve"> til de aktive </w:t>
      </w:r>
      <w:proofErr w:type="spellStart"/>
      <w:r w:rsidRPr="00A4686C">
        <w:rPr>
          <w:sz w:val="24"/>
          <w:szCs w:val="24"/>
        </w:rPr>
        <w:t>metabolitter</w:t>
      </w:r>
      <w:proofErr w:type="spellEnd"/>
      <w:r w:rsidRPr="00A4686C">
        <w:rPr>
          <w:sz w:val="24"/>
          <w:szCs w:val="24"/>
        </w:rPr>
        <w:t xml:space="preserve"> være nedsat, hvilket kan nedsætte præparatets virkning. En af </w:t>
      </w:r>
      <w:proofErr w:type="spellStart"/>
      <w:r w:rsidRPr="00A4686C">
        <w:rPr>
          <w:sz w:val="24"/>
          <w:szCs w:val="24"/>
        </w:rPr>
        <w:t>tramadols</w:t>
      </w:r>
      <w:proofErr w:type="spellEnd"/>
      <w:r w:rsidRPr="00A4686C">
        <w:rPr>
          <w:sz w:val="24"/>
          <w:szCs w:val="24"/>
        </w:rPr>
        <w:t xml:space="preserve"> aktive </w:t>
      </w:r>
      <w:proofErr w:type="spellStart"/>
      <w:r w:rsidRPr="00A4686C">
        <w:rPr>
          <w:sz w:val="24"/>
          <w:szCs w:val="24"/>
        </w:rPr>
        <w:t>metabolitter</w:t>
      </w:r>
      <w:proofErr w:type="spellEnd"/>
      <w:r w:rsidRPr="00A4686C">
        <w:rPr>
          <w:sz w:val="24"/>
          <w:szCs w:val="24"/>
        </w:rPr>
        <w:t xml:space="preserve"> udskilles via nyrerne, og derfor kan det være nødvendigt at justere den anvendte dosering til hunde med nedsat nyrefunktion. Nyre- og leverfunktionen skal overvåges under brug af præparatet. Langvarig smertestillende behandling skal ophøre ved gradvis nedtrapning, når det er muligt. </w:t>
      </w:r>
    </w:p>
    <w:p w14:paraId="4035353B" w14:textId="77777777" w:rsidR="005B0036" w:rsidRPr="00A4686C" w:rsidRDefault="005B0036" w:rsidP="00A4686C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447E130" w14:textId="77777777" w:rsidR="005B0036" w:rsidRPr="00A4686C" w:rsidRDefault="005B0036" w:rsidP="00A4686C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Særlige forsigtighedsregler for personer, der administrerer lægemidlet</w:t>
      </w:r>
    </w:p>
    <w:p w14:paraId="3765BC64" w14:textId="25FD3B7B" w:rsidR="00181B80" w:rsidRPr="00A4686C" w:rsidRDefault="00181B80" w:rsidP="00A4686C">
      <w:pPr>
        <w:tabs>
          <w:tab w:val="left" w:pos="1304"/>
        </w:tabs>
        <w:ind w:left="851"/>
        <w:rPr>
          <w:sz w:val="24"/>
          <w:szCs w:val="24"/>
        </w:rPr>
      </w:pPr>
      <w:bookmarkStart w:id="9" w:name="OLE_LINK1"/>
      <w:bookmarkStart w:id="10" w:name="OLE_LINK2"/>
      <w:proofErr w:type="spellStart"/>
      <w:r w:rsidRPr="00A4686C">
        <w:rPr>
          <w:sz w:val="24"/>
          <w:szCs w:val="24"/>
        </w:rPr>
        <w:t>Tramadol</w:t>
      </w:r>
      <w:proofErr w:type="spellEnd"/>
      <w:r w:rsidRPr="00A4686C">
        <w:rPr>
          <w:sz w:val="24"/>
          <w:szCs w:val="24"/>
        </w:rPr>
        <w:t xml:space="preserve"> kan forårsage </w:t>
      </w:r>
      <w:proofErr w:type="spellStart"/>
      <w:r w:rsidRPr="00A4686C">
        <w:rPr>
          <w:sz w:val="24"/>
          <w:szCs w:val="24"/>
        </w:rPr>
        <w:t>sedation</w:t>
      </w:r>
      <w:proofErr w:type="spellEnd"/>
      <w:r w:rsidRPr="00A4686C">
        <w:rPr>
          <w:sz w:val="24"/>
          <w:szCs w:val="24"/>
        </w:rPr>
        <w:t xml:space="preserve">, kvalme og svimmelhed efter indgift ved hændeligt uheld, især af børn. </w:t>
      </w:r>
      <w:bookmarkStart w:id="11" w:name="_Hlk494362023"/>
      <w:r w:rsidRPr="00A4686C">
        <w:rPr>
          <w:sz w:val="24"/>
          <w:szCs w:val="24"/>
        </w:rPr>
        <w:t>For at undgå indgift ved hændeligt uheld, især af børn, skal ubrugte tabletdele sættes tilbage i den åbne blister, lægges tilbage i æsken og opbevares på et sikkert sted, utilgængeligt for</w:t>
      </w:r>
      <w:r w:rsidR="004B23B7">
        <w:rPr>
          <w:sz w:val="24"/>
          <w:szCs w:val="24"/>
        </w:rPr>
        <w:t xml:space="preserve"> børn</w:t>
      </w:r>
      <w:r w:rsidRPr="00A4686C">
        <w:rPr>
          <w:sz w:val="24"/>
          <w:szCs w:val="24"/>
        </w:rPr>
        <w:t xml:space="preserve">. </w:t>
      </w:r>
    </w:p>
    <w:p w14:paraId="54F9168D" w14:textId="77777777" w:rsidR="00181B80" w:rsidRPr="00A4686C" w:rsidRDefault="00181B80" w:rsidP="00A4686C">
      <w:pPr>
        <w:tabs>
          <w:tab w:val="left" w:pos="1304"/>
        </w:tabs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I tilfælde af indgift ved hændeligt uheld, især af børn, skal der søges lægehjælp, </w:t>
      </w:r>
      <w:bookmarkEnd w:id="11"/>
      <w:r w:rsidRPr="00A4686C">
        <w:rPr>
          <w:sz w:val="24"/>
          <w:szCs w:val="24"/>
        </w:rPr>
        <w:t xml:space="preserve">og indlægssedlen eller etiketten bør vises til lægen. </w:t>
      </w:r>
      <w:bookmarkStart w:id="12" w:name="_Hlk502839639"/>
      <w:r w:rsidRPr="00A4686C">
        <w:rPr>
          <w:sz w:val="24"/>
          <w:szCs w:val="24"/>
        </w:rPr>
        <w:t xml:space="preserve">I tilfælde af indgift ved hændeligt uheld af voksne: Der MÅ IKKE FØRES MOTORKØRETØJ, da der kan opstå </w:t>
      </w:r>
      <w:proofErr w:type="spellStart"/>
      <w:r w:rsidRPr="00A4686C">
        <w:rPr>
          <w:sz w:val="24"/>
          <w:szCs w:val="24"/>
        </w:rPr>
        <w:t>sedation</w:t>
      </w:r>
      <w:proofErr w:type="spellEnd"/>
      <w:r w:rsidRPr="00A4686C">
        <w:rPr>
          <w:sz w:val="24"/>
          <w:szCs w:val="24"/>
        </w:rPr>
        <w:t xml:space="preserve">. </w:t>
      </w:r>
    </w:p>
    <w:bookmarkEnd w:id="12"/>
    <w:p w14:paraId="72E31156" w14:textId="77777777" w:rsidR="00181B80" w:rsidRPr="00A4686C" w:rsidRDefault="00181B80" w:rsidP="00A4686C">
      <w:pPr>
        <w:tabs>
          <w:tab w:val="left" w:pos="1304"/>
        </w:tabs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Personer med kendt overfølsomhed over for </w:t>
      </w:r>
      <w:proofErr w:type="spellStart"/>
      <w:r w:rsidRPr="00A4686C">
        <w:rPr>
          <w:sz w:val="24"/>
          <w:szCs w:val="24"/>
        </w:rPr>
        <w:t>tramadol</w:t>
      </w:r>
      <w:proofErr w:type="spellEnd"/>
      <w:r w:rsidRPr="00A4686C">
        <w:rPr>
          <w:sz w:val="24"/>
          <w:szCs w:val="24"/>
        </w:rPr>
        <w:t xml:space="preserve"> eller over for et eller flere af hjælpestofferne, bør undgå kontakt med lægemidlet.</w:t>
      </w:r>
      <w:bookmarkEnd w:id="9"/>
      <w:bookmarkEnd w:id="10"/>
    </w:p>
    <w:p w14:paraId="0C1D0296" w14:textId="77777777" w:rsidR="00181B80" w:rsidRPr="00A4686C" w:rsidRDefault="00181B80" w:rsidP="00A4686C">
      <w:pPr>
        <w:tabs>
          <w:tab w:val="left" w:pos="1304"/>
        </w:tabs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Vask hænder efter brug. </w:t>
      </w:r>
    </w:p>
    <w:p w14:paraId="09B324C4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89638BD" w14:textId="76684958" w:rsidR="005B0036" w:rsidRPr="00A4686C" w:rsidRDefault="00A4686C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B0036" w:rsidRPr="00A4686C">
        <w:rPr>
          <w:b/>
          <w:sz w:val="24"/>
          <w:szCs w:val="24"/>
        </w:rPr>
        <w:t>Andre forsigtighedsregler</w:t>
      </w:r>
    </w:p>
    <w:p w14:paraId="760B73B6" w14:textId="19D2A12B" w:rsidR="005B0036" w:rsidRPr="00A4686C" w:rsidRDefault="00A4686C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>-</w:t>
      </w:r>
    </w:p>
    <w:p w14:paraId="30631124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3956E03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4.6</w:t>
      </w:r>
      <w:r w:rsidRPr="00A4686C">
        <w:rPr>
          <w:b/>
          <w:sz w:val="24"/>
          <w:szCs w:val="24"/>
        </w:rPr>
        <w:tab/>
        <w:t>Bivirkninger</w:t>
      </w:r>
    </w:p>
    <w:p w14:paraId="2A38191F" w14:textId="407DAD30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Let </w:t>
      </w:r>
      <w:proofErr w:type="spellStart"/>
      <w:r w:rsidR="00181B80" w:rsidRPr="00A4686C">
        <w:rPr>
          <w:sz w:val="24"/>
          <w:szCs w:val="24"/>
        </w:rPr>
        <w:t>sedation</w:t>
      </w:r>
      <w:proofErr w:type="spellEnd"/>
      <w:r w:rsidR="00181B80" w:rsidRPr="00A4686C">
        <w:rPr>
          <w:sz w:val="24"/>
          <w:szCs w:val="24"/>
        </w:rPr>
        <w:t xml:space="preserve"> og døsighed forekommer almindeligt, især når der gives større doser.</w:t>
      </w:r>
    </w:p>
    <w:p w14:paraId="45288963" w14:textId="3069D79D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Kvalme og opkastning er ikke almindeligt forekommende hos hunde efter administration af </w:t>
      </w:r>
      <w:proofErr w:type="spellStart"/>
      <w:r w:rsidR="00181B80" w:rsidRPr="00A4686C">
        <w:rPr>
          <w:sz w:val="24"/>
          <w:szCs w:val="24"/>
        </w:rPr>
        <w:t>tramadol</w:t>
      </w:r>
      <w:proofErr w:type="spellEnd"/>
      <w:r w:rsidR="00181B80" w:rsidRPr="00A4686C">
        <w:rPr>
          <w:sz w:val="24"/>
          <w:szCs w:val="24"/>
        </w:rPr>
        <w:t xml:space="preserve">. </w:t>
      </w:r>
    </w:p>
    <w:p w14:paraId="3F2B6D9C" w14:textId="67817F52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>I sjældne tilfælde kan der forekomme overfølsomhed. I tilfælde af overfølsomheds</w:t>
      </w:r>
      <w:r w:rsidR="00181B80" w:rsidRPr="00A4686C">
        <w:rPr>
          <w:sz w:val="24"/>
          <w:szCs w:val="24"/>
        </w:rPr>
        <w:softHyphen/>
        <w:t>reaktioner skal behandlingen stoppes.</w:t>
      </w:r>
    </w:p>
    <w:p w14:paraId="0018E0ED" w14:textId="6DFE4C18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 xml:space="preserve">I meget sjældne tilfælde kan </w:t>
      </w:r>
      <w:proofErr w:type="spellStart"/>
      <w:r w:rsidR="00181B80" w:rsidRPr="00A4686C">
        <w:rPr>
          <w:sz w:val="24"/>
          <w:szCs w:val="24"/>
        </w:rPr>
        <w:t>tramadol</w:t>
      </w:r>
      <w:proofErr w:type="spellEnd"/>
      <w:r w:rsidR="00181B80" w:rsidRPr="00A4686C">
        <w:rPr>
          <w:sz w:val="24"/>
          <w:szCs w:val="24"/>
        </w:rPr>
        <w:t xml:space="preserve"> inducere krampeanfald hos hunde med en lav tærskelværdi for kramper. </w:t>
      </w:r>
    </w:p>
    <w:p w14:paraId="5579A31D" w14:textId="684173F7" w:rsidR="00730BA5" w:rsidRDefault="00730BA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20AB7E7" w14:textId="77777777" w:rsidR="00181B80" w:rsidRPr="00A4686C" w:rsidRDefault="00181B80" w:rsidP="00A4686C">
      <w:pPr>
        <w:tabs>
          <w:tab w:val="left" w:pos="1304"/>
        </w:tabs>
        <w:ind w:left="851" w:hanging="851"/>
        <w:rPr>
          <w:sz w:val="24"/>
          <w:szCs w:val="24"/>
        </w:rPr>
      </w:pPr>
    </w:p>
    <w:p w14:paraId="36736029" w14:textId="4FBA36B8" w:rsidR="00181B80" w:rsidRP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181B80" w:rsidRPr="00A4686C">
        <w:rPr>
          <w:sz w:val="24"/>
          <w:szCs w:val="24"/>
        </w:rPr>
        <w:t>Hyppigheden af bivirkninger er defineret som:</w:t>
      </w:r>
    </w:p>
    <w:p w14:paraId="033CD718" w14:textId="203B609D" w:rsidR="00181B80" w:rsidRPr="00A4686C" w:rsidRDefault="00181B80" w:rsidP="00A4686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A4686C">
        <w:rPr>
          <w:sz w:val="24"/>
          <w:szCs w:val="24"/>
        </w:rPr>
        <w:t>Meget almindelig (flere end 1 ud af 10 behandlede dyr, der viser bivirkninger i løbet af en behandling)</w:t>
      </w:r>
    </w:p>
    <w:p w14:paraId="50147129" w14:textId="0061A433" w:rsidR="00181B80" w:rsidRPr="00A4686C" w:rsidRDefault="00181B80" w:rsidP="00A4686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A4686C">
        <w:rPr>
          <w:sz w:val="24"/>
          <w:szCs w:val="24"/>
        </w:rPr>
        <w:t>Almindelige (flere end 1, men færre end 10 dyr af 100 behandlede dyr)</w:t>
      </w:r>
    </w:p>
    <w:p w14:paraId="3B4609A3" w14:textId="61DC577A" w:rsidR="00181B80" w:rsidRPr="00A4686C" w:rsidRDefault="00181B80" w:rsidP="00A4686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A4686C">
        <w:rPr>
          <w:sz w:val="24"/>
          <w:szCs w:val="24"/>
        </w:rPr>
        <w:t>Ikke almindelige (flere end 1, men færre end 10 dyr af 1.000 behandlede dyr)</w:t>
      </w:r>
    </w:p>
    <w:p w14:paraId="08EC9799" w14:textId="7F8203A4" w:rsidR="00181B80" w:rsidRPr="00A4686C" w:rsidRDefault="00181B80" w:rsidP="00A4686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A4686C">
        <w:rPr>
          <w:sz w:val="24"/>
          <w:szCs w:val="24"/>
        </w:rPr>
        <w:t>Sjældne (flere end 1, men færre end 10 dyr ud af 10.000 behandlede dyr)</w:t>
      </w:r>
    </w:p>
    <w:p w14:paraId="778072D7" w14:textId="1318B6AD" w:rsidR="00181B80" w:rsidRPr="00A4686C" w:rsidRDefault="00181B80" w:rsidP="00A4686C">
      <w:pPr>
        <w:pStyle w:val="Listeafsnit"/>
        <w:numPr>
          <w:ilvl w:val="0"/>
          <w:numId w:val="5"/>
        </w:numPr>
        <w:ind w:left="1276" w:hanging="425"/>
        <w:rPr>
          <w:sz w:val="24"/>
          <w:szCs w:val="24"/>
        </w:rPr>
      </w:pPr>
      <w:r w:rsidRPr="00A4686C">
        <w:rPr>
          <w:sz w:val="24"/>
          <w:szCs w:val="24"/>
        </w:rPr>
        <w:t>Meget sjælden (færre end 1 dyr ud af 10.000 behandlede dyr, herunder isolerede rapporter).</w:t>
      </w:r>
    </w:p>
    <w:p w14:paraId="01DB5C54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771B4F1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4.7</w:t>
      </w:r>
      <w:r w:rsidRPr="00A4686C">
        <w:rPr>
          <w:b/>
          <w:sz w:val="24"/>
          <w:szCs w:val="24"/>
        </w:rPr>
        <w:tab/>
        <w:t>Drægtighed, diegivning eller æglægning</w:t>
      </w:r>
    </w:p>
    <w:p w14:paraId="63CB255C" w14:textId="77777777" w:rsidR="00A4686C" w:rsidRDefault="00A4686C" w:rsidP="00A4686C">
      <w:pPr>
        <w:tabs>
          <w:tab w:val="left" w:pos="1304"/>
        </w:tabs>
        <w:ind w:left="851" w:hanging="851"/>
        <w:rPr>
          <w:sz w:val="24"/>
          <w:szCs w:val="24"/>
          <w:u w:val="single"/>
        </w:rPr>
      </w:pPr>
    </w:p>
    <w:p w14:paraId="19920ABF" w14:textId="77777777" w:rsidR="00181B80" w:rsidRPr="00A4686C" w:rsidRDefault="00181B80" w:rsidP="00A4686C">
      <w:pPr>
        <w:ind w:left="851"/>
        <w:rPr>
          <w:sz w:val="24"/>
          <w:szCs w:val="24"/>
          <w:u w:val="single"/>
        </w:rPr>
      </w:pPr>
      <w:r w:rsidRPr="00A4686C">
        <w:rPr>
          <w:sz w:val="24"/>
          <w:szCs w:val="24"/>
          <w:u w:val="single"/>
        </w:rPr>
        <w:t>Drægtighed:</w:t>
      </w:r>
    </w:p>
    <w:p w14:paraId="12B30BDE" w14:textId="77777777" w:rsidR="00181B80" w:rsidRPr="00A4686C" w:rsidRDefault="00181B80" w:rsidP="00A4686C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Laboratorieundersøgelser af mus og/eller rotter og kaniner har ikke afsløret </w:t>
      </w:r>
      <w:proofErr w:type="spellStart"/>
      <w:r w:rsidRPr="00A4686C">
        <w:rPr>
          <w:sz w:val="24"/>
          <w:szCs w:val="24"/>
        </w:rPr>
        <w:t>teratogene</w:t>
      </w:r>
      <w:proofErr w:type="spellEnd"/>
      <w:r w:rsidRPr="00A4686C">
        <w:rPr>
          <w:sz w:val="24"/>
          <w:szCs w:val="24"/>
        </w:rPr>
        <w:t xml:space="preserve"> virkninger, </w:t>
      </w:r>
      <w:proofErr w:type="spellStart"/>
      <w:r w:rsidRPr="00A4686C">
        <w:rPr>
          <w:sz w:val="24"/>
          <w:szCs w:val="24"/>
        </w:rPr>
        <w:t>føtal</w:t>
      </w:r>
      <w:proofErr w:type="spellEnd"/>
      <w:r w:rsidRPr="00A4686C">
        <w:rPr>
          <w:sz w:val="24"/>
          <w:szCs w:val="24"/>
        </w:rPr>
        <w:t xml:space="preserve"> toksicitet eller </w:t>
      </w:r>
      <w:proofErr w:type="spellStart"/>
      <w:r w:rsidRPr="00A4686C">
        <w:rPr>
          <w:sz w:val="24"/>
          <w:szCs w:val="24"/>
        </w:rPr>
        <w:t>maternel</w:t>
      </w:r>
      <w:proofErr w:type="spellEnd"/>
      <w:r w:rsidRPr="00A4686C">
        <w:rPr>
          <w:sz w:val="24"/>
          <w:szCs w:val="24"/>
        </w:rPr>
        <w:t xml:space="preserve"> toksicitet. Må kun anvendes i overensstemmelse med den ansvarlige dyrlæges vurdering af fordele og ulemper.</w:t>
      </w:r>
    </w:p>
    <w:p w14:paraId="79DB0C40" w14:textId="77777777" w:rsidR="00181B80" w:rsidRPr="00A4686C" w:rsidRDefault="00181B80" w:rsidP="00A4686C">
      <w:pPr>
        <w:ind w:left="851"/>
        <w:rPr>
          <w:sz w:val="24"/>
          <w:szCs w:val="24"/>
        </w:rPr>
      </w:pPr>
    </w:p>
    <w:p w14:paraId="6371F3D3" w14:textId="77777777" w:rsidR="00181B80" w:rsidRPr="00A4686C" w:rsidRDefault="00181B80" w:rsidP="00A4686C">
      <w:pPr>
        <w:ind w:left="851"/>
        <w:rPr>
          <w:sz w:val="24"/>
          <w:szCs w:val="24"/>
          <w:u w:val="single"/>
        </w:rPr>
      </w:pPr>
      <w:r w:rsidRPr="00A4686C">
        <w:rPr>
          <w:sz w:val="24"/>
          <w:szCs w:val="24"/>
          <w:u w:val="single"/>
        </w:rPr>
        <w:t>Laktation:</w:t>
      </w:r>
    </w:p>
    <w:p w14:paraId="25A3DA2B" w14:textId="77777777" w:rsidR="00181B80" w:rsidRPr="00A4686C" w:rsidRDefault="00181B80" w:rsidP="00A4686C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Laboratorieundersøgelser af mus og/eller rotter og kaniner har ikke afsløret bivirkninger i den peri- og </w:t>
      </w:r>
      <w:proofErr w:type="spellStart"/>
      <w:r w:rsidRPr="00A4686C">
        <w:rPr>
          <w:sz w:val="24"/>
          <w:szCs w:val="24"/>
        </w:rPr>
        <w:t>postnatale</w:t>
      </w:r>
      <w:proofErr w:type="spellEnd"/>
      <w:r w:rsidRPr="00A4686C">
        <w:rPr>
          <w:sz w:val="24"/>
          <w:szCs w:val="24"/>
        </w:rPr>
        <w:t xml:space="preserve"> udvikling af afkommet. Må kun anvendes i overensstemmelse med den ansvarlige dyrlæges vurdering af fordele og ulemper.</w:t>
      </w:r>
    </w:p>
    <w:p w14:paraId="19F56868" w14:textId="77777777" w:rsidR="00181B80" w:rsidRPr="00A4686C" w:rsidRDefault="00181B80" w:rsidP="00A4686C">
      <w:pPr>
        <w:ind w:left="851"/>
        <w:rPr>
          <w:sz w:val="24"/>
          <w:szCs w:val="24"/>
        </w:rPr>
      </w:pPr>
    </w:p>
    <w:p w14:paraId="76B32DE0" w14:textId="77777777" w:rsidR="00181B80" w:rsidRPr="00A4686C" w:rsidRDefault="00181B80" w:rsidP="00A4686C">
      <w:pPr>
        <w:ind w:left="851"/>
        <w:rPr>
          <w:sz w:val="24"/>
          <w:szCs w:val="24"/>
          <w:u w:val="single"/>
        </w:rPr>
      </w:pPr>
      <w:r w:rsidRPr="00A4686C">
        <w:rPr>
          <w:sz w:val="24"/>
          <w:szCs w:val="24"/>
          <w:u w:val="single"/>
        </w:rPr>
        <w:t>Fertilitet:</w:t>
      </w:r>
    </w:p>
    <w:p w14:paraId="52F3F13F" w14:textId="77777777" w:rsidR="00181B80" w:rsidRPr="00A4686C" w:rsidRDefault="00181B80" w:rsidP="00A4686C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I laboratorieundersøgelser af mus og/eller rotter og kaniner påvirkede anvendelsen af </w:t>
      </w:r>
      <w:proofErr w:type="spellStart"/>
      <w:r w:rsidRPr="00A4686C">
        <w:rPr>
          <w:sz w:val="24"/>
          <w:szCs w:val="24"/>
        </w:rPr>
        <w:t>tramadol</w:t>
      </w:r>
      <w:proofErr w:type="spellEnd"/>
      <w:r w:rsidRPr="00A4686C">
        <w:rPr>
          <w:sz w:val="24"/>
          <w:szCs w:val="24"/>
        </w:rPr>
        <w:t xml:space="preserve"> ved terapeutiske doser ikke reproduktionsevnen og fertiliteten hos hanner og hunner. Må kun anvendes i overensstemmelse med den ansvarlige dyrlæges vurdering af fordele og ulemper.</w:t>
      </w:r>
    </w:p>
    <w:p w14:paraId="282143D7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F344F06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4.8</w:t>
      </w:r>
      <w:r w:rsidRPr="00A4686C">
        <w:rPr>
          <w:b/>
          <w:sz w:val="24"/>
          <w:szCs w:val="24"/>
        </w:rPr>
        <w:tab/>
        <w:t>Interaktion med andre lægemidler og andre former for interaktion</w:t>
      </w:r>
    </w:p>
    <w:p w14:paraId="5B5127D4" w14:textId="77777777" w:rsidR="00181B80" w:rsidRPr="00A4686C" w:rsidRDefault="00181B80" w:rsidP="00A4686C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>Samtidig administration af præparatet med andre præparater, der undertrykker centralnervesystemet, kan forstærke påvirkningen af CNS og respirationsdepressionen.</w:t>
      </w:r>
    </w:p>
    <w:p w14:paraId="73164A82" w14:textId="77777777" w:rsidR="00A4686C" w:rsidRDefault="00A4686C" w:rsidP="00A4686C">
      <w:pPr>
        <w:ind w:left="851"/>
        <w:rPr>
          <w:sz w:val="24"/>
          <w:szCs w:val="24"/>
        </w:rPr>
      </w:pPr>
    </w:p>
    <w:p w14:paraId="5371CC2D" w14:textId="03EB4081" w:rsidR="00181B80" w:rsidRPr="00A4686C" w:rsidRDefault="00181B80" w:rsidP="00A4686C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>Præparatet kan øge virkningen af lægemidler, der sænker tærskelværdien for krampeanfald.</w:t>
      </w:r>
    </w:p>
    <w:p w14:paraId="4FB2C438" w14:textId="77777777" w:rsidR="00181B80" w:rsidRPr="00A4686C" w:rsidRDefault="00181B80" w:rsidP="00A4686C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Lægemidler der hæmmer (f.eks. </w:t>
      </w:r>
      <w:proofErr w:type="spellStart"/>
      <w:r w:rsidRPr="00A4686C">
        <w:rPr>
          <w:sz w:val="24"/>
          <w:szCs w:val="24"/>
        </w:rPr>
        <w:t>cimetidin</w:t>
      </w:r>
      <w:proofErr w:type="spellEnd"/>
      <w:r w:rsidRPr="00A4686C">
        <w:rPr>
          <w:sz w:val="24"/>
          <w:szCs w:val="24"/>
        </w:rPr>
        <w:t xml:space="preserve"> og </w:t>
      </w:r>
      <w:proofErr w:type="spellStart"/>
      <w:r w:rsidRPr="00A4686C">
        <w:rPr>
          <w:sz w:val="24"/>
          <w:szCs w:val="24"/>
        </w:rPr>
        <w:t>erythromycin</w:t>
      </w:r>
      <w:proofErr w:type="spellEnd"/>
      <w:r w:rsidRPr="00A4686C">
        <w:rPr>
          <w:sz w:val="24"/>
          <w:szCs w:val="24"/>
        </w:rPr>
        <w:t xml:space="preserve">) eller inducerer (f.eks. </w:t>
      </w:r>
      <w:proofErr w:type="spellStart"/>
      <w:r w:rsidRPr="00A4686C">
        <w:rPr>
          <w:sz w:val="24"/>
          <w:szCs w:val="24"/>
        </w:rPr>
        <w:t>carbamazepin</w:t>
      </w:r>
      <w:proofErr w:type="spellEnd"/>
      <w:r w:rsidRPr="00A4686C">
        <w:rPr>
          <w:sz w:val="24"/>
          <w:szCs w:val="24"/>
        </w:rPr>
        <w:t xml:space="preserve">) CYP450-medieret metabolisme, kan påvirke den </w:t>
      </w:r>
      <w:proofErr w:type="spellStart"/>
      <w:r w:rsidRPr="00A4686C">
        <w:rPr>
          <w:sz w:val="24"/>
          <w:szCs w:val="24"/>
        </w:rPr>
        <w:t>analgetiske</w:t>
      </w:r>
      <w:proofErr w:type="spellEnd"/>
      <w:r w:rsidRPr="00A4686C">
        <w:rPr>
          <w:sz w:val="24"/>
          <w:szCs w:val="24"/>
        </w:rPr>
        <w:t xml:space="preserve"> virkning af </w:t>
      </w:r>
      <w:proofErr w:type="spellStart"/>
      <w:r w:rsidRPr="00A4686C">
        <w:rPr>
          <w:sz w:val="24"/>
          <w:szCs w:val="24"/>
        </w:rPr>
        <w:t>tramadol</w:t>
      </w:r>
      <w:proofErr w:type="spellEnd"/>
      <w:r w:rsidRPr="00A4686C">
        <w:rPr>
          <w:sz w:val="24"/>
          <w:szCs w:val="24"/>
        </w:rPr>
        <w:t xml:space="preserve">. Den kliniske relevans af disse interaktioner er ikke blevet undersøgt hos hunde. </w:t>
      </w:r>
    </w:p>
    <w:p w14:paraId="181E8B70" w14:textId="77777777" w:rsidR="00181B80" w:rsidRPr="00A4686C" w:rsidRDefault="00181B80" w:rsidP="00A4686C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Anvendelse i kombinationen med blandede </w:t>
      </w:r>
      <w:proofErr w:type="spellStart"/>
      <w:r w:rsidRPr="00A4686C">
        <w:rPr>
          <w:sz w:val="24"/>
          <w:szCs w:val="24"/>
        </w:rPr>
        <w:t>agonist</w:t>
      </w:r>
      <w:proofErr w:type="spellEnd"/>
      <w:r w:rsidRPr="00A4686C">
        <w:rPr>
          <w:sz w:val="24"/>
          <w:szCs w:val="24"/>
        </w:rPr>
        <w:t xml:space="preserve">/antagonister (f.eks. </w:t>
      </w:r>
      <w:proofErr w:type="spellStart"/>
      <w:r w:rsidRPr="00A4686C">
        <w:rPr>
          <w:sz w:val="24"/>
          <w:szCs w:val="24"/>
        </w:rPr>
        <w:t>buprenorphin</w:t>
      </w:r>
      <w:proofErr w:type="spellEnd"/>
      <w:r w:rsidRPr="00A4686C">
        <w:rPr>
          <w:sz w:val="24"/>
          <w:szCs w:val="24"/>
        </w:rPr>
        <w:t xml:space="preserve">, </w:t>
      </w:r>
      <w:proofErr w:type="spellStart"/>
      <w:r w:rsidRPr="00A4686C">
        <w:rPr>
          <w:sz w:val="24"/>
          <w:szCs w:val="24"/>
        </w:rPr>
        <w:t>butorphanol</w:t>
      </w:r>
      <w:proofErr w:type="spellEnd"/>
      <w:r w:rsidRPr="00A4686C">
        <w:rPr>
          <w:sz w:val="24"/>
          <w:szCs w:val="24"/>
        </w:rPr>
        <w:t xml:space="preserve">) frarådes, da den </w:t>
      </w:r>
      <w:proofErr w:type="spellStart"/>
      <w:r w:rsidRPr="00A4686C">
        <w:rPr>
          <w:sz w:val="24"/>
          <w:szCs w:val="24"/>
        </w:rPr>
        <w:t>analgetiske</w:t>
      </w:r>
      <w:proofErr w:type="spellEnd"/>
      <w:r w:rsidRPr="00A4686C">
        <w:rPr>
          <w:sz w:val="24"/>
          <w:szCs w:val="24"/>
        </w:rPr>
        <w:t xml:space="preserve"> virkning af en ren </w:t>
      </w:r>
      <w:proofErr w:type="spellStart"/>
      <w:r w:rsidRPr="00A4686C">
        <w:rPr>
          <w:sz w:val="24"/>
          <w:szCs w:val="24"/>
        </w:rPr>
        <w:t>agonist</w:t>
      </w:r>
      <w:proofErr w:type="spellEnd"/>
      <w:r w:rsidRPr="00A4686C">
        <w:rPr>
          <w:sz w:val="24"/>
          <w:szCs w:val="24"/>
        </w:rPr>
        <w:t xml:space="preserve"> teoretisk set kan være reduceret. Se også pkt. 4.3.</w:t>
      </w:r>
    </w:p>
    <w:p w14:paraId="02D87EB7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681F22B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4.9</w:t>
      </w:r>
      <w:r w:rsidRPr="00A4686C">
        <w:rPr>
          <w:b/>
          <w:sz w:val="24"/>
          <w:szCs w:val="24"/>
        </w:rPr>
        <w:tab/>
        <w:t>Dosering og indgivelsesmåde</w:t>
      </w:r>
    </w:p>
    <w:p w14:paraId="72925E5E" w14:textId="1E3E9A45" w:rsidR="00181B80" w:rsidRPr="00A4686C" w:rsidRDefault="00181B80" w:rsidP="00A4686C">
      <w:pPr>
        <w:ind w:left="851"/>
        <w:rPr>
          <w:noProof/>
          <w:sz w:val="24"/>
          <w:szCs w:val="24"/>
        </w:rPr>
      </w:pPr>
      <w:bookmarkStart w:id="13" w:name="_Hlk493758590"/>
      <w:r w:rsidRPr="00A4686C">
        <w:rPr>
          <w:sz w:val="24"/>
          <w:szCs w:val="24"/>
        </w:rPr>
        <w:t xml:space="preserve">Oral </w:t>
      </w:r>
      <w:r w:rsidR="00730BA5">
        <w:rPr>
          <w:sz w:val="24"/>
          <w:szCs w:val="24"/>
        </w:rPr>
        <w:t>anvendelse</w:t>
      </w:r>
      <w:r w:rsidRPr="00A4686C">
        <w:rPr>
          <w:sz w:val="24"/>
          <w:szCs w:val="24"/>
        </w:rPr>
        <w:t>.</w:t>
      </w:r>
    </w:p>
    <w:p w14:paraId="743B2C03" w14:textId="77777777" w:rsidR="00181B80" w:rsidRPr="00A4686C" w:rsidRDefault="00181B80" w:rsidP="00A4686C">
      <w:pPr>
        <w:ind w:left="851"/>
        <w:rPr>
          <w:noProof/>
          <w:sz w:val="24"/>
          <w:szCs w:val="24"/>
        </w:rPr>
      </w:pPr>
      <w:bookmarkStart w:id="14" w:name="_Hlk503443119"/>
      <w:r w:rsidRPr="00A4686C">
        <w:rPr>
          <w:sz w:val="24"/>
          <w:szCs w:val="24"/>
        </w:rPr>
        <w:t>Den anbefalede dosis er 2</w:t>
      </w:r>
      <w:r w:rsidRPr="00A4686C">
        <w:rPr>
          <w:sz w:val="24"/>
          <w:szCs w:val="24"/>
        </w:rPr>
        <w:noBreakHyphen/>
        <w:t xml:space="preserve">4 mg </w:t>
      </w:r>
      <w:proofErr w:type="spellStart"/>
      <w:r w:rsidRPr="00A4686C">
        <w:rPr>
          <w:sz w:val="24"/>
          <w:szCs w:val="24"/>
        </w:rPr>
        <w:t>tramadolhydrochlorid</w:t>
      </w:r>
      <w:proofErr w:type="spellEnd"/>
      <w:r w:rsidRPr="00A4686C">
        <w:rPr>
          <w:sz w:val="24"/>
          <w:szCs w:val="24"/>
        </w:rPr>
        <w:t xml:space="preserve"> pr. kg kropsvægt hver 8. time eller efter behov baseret på graden af smerte. </w:t>
      </w:r>
    </w:p>
    <w:p w14:paraId="1D1476A3" w14:textId="77777777" w:rsidR="00181B80" w:rsidRPr="00A4686C" w:rsidRDefault="00181B80" w:rsidP="00A4686C">
      <w:pPr>
        <w:ind w:left="851"/>
        <w:rPr>
          <w:noProof/>
          <w:sz w:val="24"/>
          <w:szCs w:val="24"/>
        </w:rPr>
      </w:pPr>
      <w:bookmarkStart w:id="15" w:name="_Hlk494179917"/>
      <w:r w:rsidRPr="00A4686C">
        <w:rPr>
          <w:sz w:val="24"/>
          <w:szCs w:val="24"/>
        </w:rPr>
        <w:t xml:space="preserve">Det minimale doseringsinterval er 6 timer. </w:t>
      </w:r>
      <w:bookmarkStart w:id="16" w:name="_Hlk493597704"/>
      <w:r w:rsidRPr="00A4686C">
        <w:rPr>
          <w:sz w:val="24"/>
          <w:szCs w:val="24"/>
        </w:rPr>
        <w:t xml:space="preserve">Den anbefalede maksimale daglige dosis er 16 mg/kg. </w:t>
      </w:r>
      <w:bookmarkEnd w:id="14"/>
      <w:r w:rsidRPr="00A4686C">
        <w:rPr>
          <w:sz w:val="24"/>
          <w:szCs w:val="24"/>
        </w:rPr>
        <w:t xml:space="preserve">Da det individuelle respons på </w:t>
      </w:r>
      <w:proofErr w:type="spellStart"/>
      <w:r w:rsidRPr="00A4686C">
        <w:rPr>
          <w:sz w:val="24"/>
          <w:szCs w:val="24"/>
        </w:rPr>
        <w:t>tramadol</w:t>
      </w:r>
      <w:proofErr w:type="spellEnd"/>
      <w:r w:rsidRPr="00A4686C">
        <w:rPr>
          <w:sz w:val="24"/>
          <w:szCs w:val="24"/>
        </w:rPr>
        <w:t xml:space="preserve"> varierer, og delvist afhænger af doseringen, patientens alder, individuelle forskelle i følsomheden over for smerter og dyrets generelle tilstand, bør det optimale doseringsprogram tilpasses individuelt ved brug af den ovenstående dosering og intervaller for genbehandling. </w:t>
      </w:r>
      <w:bookmarkEnd w:id="16"/>
      <w:r w:rsidRPr="00A4686C">
        <w:rPr>
          <w:sz w:val="24"/>
          <w:szCs w:val="24"/>
        </w:rPr>
        <w:t xml:space="preserve">Hunden bør undersøges regelmæssigt af en dyrlæge for at vurdere, om det efterfølgende er nødvendigt med </w:t>
      </w:r>
      <w:r w:rsidRPr="00A4686C">
        <w:rPr>
          <w:sz w:val="24"/>
          <w:szCs w:val="24"/>
        </w:rPr>
        <w:lastRenderedPageBreak/>
        <w:t>yderligere smertestillende behandling</w:t>
      </w:r>
      <w:bookmarkEnd w:id="15"/>
      <w:r w:rsidRPr="00A4686C">
        <w:rPr>
          <w:sz w:val="24"/>
          <w:szCs w:val="24"/>
        </w:rPr>
        <w:t xml:space="preserve">. Dette kan opnås ved at øge dosis af </w:t>
      </w:r>
      <w:proofErr w:type="spellStart"/>
      <w:r w:rsidRPr="00A4686C">
        <w:rPr>
          <w:sz w:val="24"/>
          <w:szCs w:val="24"/>
        </w:rPr>
        <w:t>tramadol</w:t>
      </w:r>
      <w:proofErr w:type="spellEnd"/>
      <w:r w:rsidRPr="00A4686C">
        <w:rPr>
          <w:sz w:val="24"/>
          <w:szCs w:val="24"/>
        </w:rPr>
        <w:t xml:space="preserve">, indtil den maksimale daglige dosis er nået, og/eller ved at tilføje andre egnede smertestillende lægemidler. </w:t>
      </w:r>
    </w:p>
    <w:bookmarkEnd w:id="13"/>
    <w:p w14:paraId="35181552" w14:textId="77777777" w:rsidR="00181B80" w:rsidRPr="00A4686C" w:rsidRDefault="00181B80" w:rsidP="00A4686C">
      <w:pPr>
        <w:ind w:left="851"/>
        <w:rPr>
          <w:noProof/>
          <w:sz w:val="24"/>
          <w:szCs w:val="24"/>
        </w:rPr>
      </w:pPr>
    </w:p>
    <w:p w14:paraId="77F6B6EA" w14:textId="77777777" w:rsidR="00181B80" w:rsidRPr="00A4686C" w:rsidRDefault="00181B80" w:rsidP="00A4686C">
      <w:pPr>
        <w:ind w:left="851"/>
        <w:rPr>
          <w:sz w:val="24"/>
          <w:szCs w:val="24"/>
        </w:rPr>
      </w:pPr>
      <w:bookmarkStart w:id="17" w:name="_Hlk494805160"/>
      <w:r w:rsidRPr="00A4686C">
        <w:rPr>
          <w:sz w:val="24"/>
          <w:szCs w:val="24"/>
        </w:rPr>
        <w:t>Bemærk at doseringstabellen er beregnet som vejledende i administrationen af præparatet i den høje ende af dosisintervallet: 4 mg/kg kropsvægt.</w:t>
      </w:r>
      <w:bookmarkEnd w:id="17"/>
      <w:r w:rsidRPr="00A4686C">
        <w:rPr>
          <w:sz w:val="24"/>
          <w:szCs w:val="24"/>
        </w:rPr>
        <w:t xml:space="preserve"> </w:t>
      </w:r>
      <w:bookmarkStart w:id="18" w:name="_Hlk503262872"/>
      <w:r w:rsidRPr="00A4686C">
        <w:rPr>
          <w:sz w:val="24"/>
          <w:szCs w:val="24"/>
        </w:rPr>
        <w:t xml:space="preserve">Den angiver det antal tabletter der er nødvendig for at administrere 4 mg </w:t>
      </w:r>
      <w:proofErr w:type="spellStart"/>
      <w:r w:rsidRPr="00A4686C">
        <w:rPr>
          <w:sz w:val="24"/>
          <w:szCs w:val="24"/>
        </w:rPr>
        <w:t>tramadolhydrochlorid</w:t>
      </w:r>
      <w:proofErr w:type="spellEnd"/>
      <w:r w:rsidRPr="00A4686C">
        <w:rPr>
          <w:sz w:val="24"/>
          <w:szCs w:val="24"/>
        </w:rPr>
        <w:t xml:space="preserve"> pr. kg kropsvægt</w:t>
      </w:r>
      <w:bookmarkEnd w:id="18"/>
      <w:r w:rsidRPr="00A4686C">
        <w:rPr>
          <w:sz w:val="24"/>
          <w:szCs w:val="24"/>
        </w:rPr>
        <w:t>.</w:t>
      </w:r>
    </w:p>
    <w:p w14:paraId="4ED41DD4" w14:textId="77777777" w:rsidR="00181B80" w:rsidRPr="00A4686C" w:rsidRDefault="00181B80" w:rsidP="00A4686C">
      <w:pPr>
        <w:tabs>
          <w:tab w:val="left" w:pos="1304"/>
        </w:tabs>
        <w:ind w:left="851" w:hanging="851"/>
        <w:rPr>
          <w:sz w:val="24"/>
          <w:szCs w:val="24"/>
        </w:rPr>
      </w:pPr>
    </w:p>
    <w:tbl>
      <w:tblPr>
        <w:tblW w:w="0" w:type="dxa"/>
        <w:jc w:val="center"/>
        <w:tblLayout w:type="fixed"/>
        <w:tblLook w:val="00A0" w:firstRow="1" w:lastRow="0" w:firstColumn="1" w:lastColumn="0" w:noHBand="0" w:noVBand="0"/>
      </w:tblPr>
      <w:tblGrid>
        <w:gridCol w:w="1416"/>
        <w:gridCol w:w="3524"/>
      </w:tblGrid>
      <w:tr w:rsidR="00181B80" w:rsidRPr="00A4686C" w14:paraId="07D41282" w14:textId="77777777" w:rsidTr="00181B80">
        <w:trPr>
          <w:trHeight w:val="388"/>
          <w:jc w:val="center"/>
        </w:trPr>
        <w:tc>
          <w:tcPr>
            <w:tcW w:w="1416" w:type="dxa"/>
            <w:hideMark/>
          </w:tcPr>
          <w:p w14:paraId="3A891A5E" w14:textId="175A424D" w:rsidR="00181B80" w:rsidRPr="00A4686C" w:rsidRDefault="00181B80" w:rsidP="00730BA5">
            <w:pPr>
              <w:rPr>
                <w:lang w:val="ga-IE"/>
              </w:rPr>
            </w:pPr>
            <w:r w:rsidRPr="00A4686C">
              <w:rPr>
                <w:lang w:val="ga-IE"/>
              </w:rPr>
              <w:t>4 mg/kg</w:t>
            </w:r>
            <w:r w:rsidRPr="00A4686C">
              <w:rPr>
                <w:lang w:val="fr-FR"/>
              </w:rPr>
              <w:t xml:space="preserve"> kropsvægt</w:t>
            </w:r>
          </w:p>
        </w:tc>
        <w:tc>
          <w:tcPr>
            <w:tcW w:w="3524" w:type="dxa"/>
            <w:hideMark/>
          </w:tcPr>
          <w:p w14:paraId="38C56583" w14:textId="77777777" w:rsidR="00181B80" w:rsidRPr="00A4686C" w:rsidRDefault="00181B80" w:rsidP="00A4686C">
            <w:pPr>
              <w:rPr>
                <w:lang w:val="ga-IE"/>
              </w:rPr>
            </w:pPr>
            <w:r w:rsidRPr="00A4686C">
              <w:rPr>
                <w:lang w:val="ga-IE"/>
              </w:rPr>
              <w:t>Antal tramadol tabletter af 50 mg</w:t>
            </w:r>
          </w:p>
        </w:tc>
      </w:tr>
      <w:tr w:rsidR="00181B80" w:rsidRPr="00A4686C" w14:paraId="118DA3AB" w14:textId="77777777" w:rsidTr="00181B80">
        <w:trPr>
          <w:trHeight w:val="388"/>
          <w:jc w:val="center"/>
        </w:trPr>
        <w:tc>
          <w:tcPr>
            <w:tcW w:w="1416" w:type="dxa"/>
            <w:hideMark/>
          </w:tcPr>
          <w:p w14:paraId="6DD6B661" w14:textId="77777777" w:rsidR="00181B80" w:rsidRPr="00A4686C" w:rsidRDefault="00181B80" w:rsidP="00A4686C">
            <w:pPr>
              <w:rPr>
                <w:lang w:val="ga-IE"/>
              </w:rPr>
            </w:pPr>
            <w:r w:rsidRPr="00A4686C">
              <w:rPr>
                <w:lang w:val="ga-IE"/>
              </w:rPr>
              <w:t xml:space="preserve">&lt; </w:t>
            </w: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ga-IE"/>
                </w:rPr>
                <w:t>6.25 kg</w:t>
              </w:r>
            </w:smartTag>
          </w:p>
        </w:tc>
        <w:tc>
          <w:tcPr>
            <w:tcW w:w="3524" w:type="dxa"/>
            <w:hideMark/>
          </w:tcPr>
          <w:p w14:paraId="611F8712" w14:textId="77777777" w:rsidR="00181B80" w:rsidRPr="00A4686C" w:rsidRDefault="00181B80" w:rsidP="00A4686C">
            <w:pPr>
              <w:rPr>
                <w:lang w:val="ga-IE"/>
              </w:rPr>
            </w:pPr>
            <w:r w:rsidRPr="00A4686C">
              <w:rPr>
                <w:lang w:val="ga-IE"/>
              </w:rPr>
              <w:t>Ikke aktuelt</w:t>
            </w:r>
          </w:p>
        </w:tc>
      </w:tr>
      <w:tr w:rsidR="00181B80" w:rsidRPr="00A4686C" w14:paraId="3A0B59C0" w14:textId="77777777" w:rsidTr="00181B80">
        <w:trPr>
          <w:trHeight w:val="567"/>
          <w:jc w:val="center"/>
        </w:trPr>
        <w:tc>
          <w:tcPr>
            <w:tcW w:w="1416" w:type="dxa"/>
            <w:hideMark/>
          </w:tcPr>
          <w:p w14:paraId="01CCA0B4" w14:textId="77777777" w:rsidR="00181B80" w:rsidRPr="00A4686C" w:rsidRDefault="00181B80" w:rsidP="00A4686C">
            <w:pPr>
              <w:rPr>
                <w:lang w:val="ga-IE"/>
              </w:rPr>
            </w:pP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ga-IE"/>
                </w:rPr>
                <w:t>6,25 kg</w:t>
              </w:r>
            </w:smartTag>
            <w:r w:rsidRPr="00A4686C">
              <w:rPr>
                <w:lang w:val="ga-IE"/>
              </w:rPr>
              <w:t xml:space="preserve"> </w:t>
            </w:r>
          </w:p>
        </w:tc>
        <w:tc>
          <w:tcPr>
            <w:tcW w:w="3524" w:type="dxa"/>
            <w:hideMark/>
          </w:tcPr>
          <w:p w14:paraId="223DDB1B" w14:textId="7F0DCCCB" w:rsidR="00181B80" w:rsidRPr="00A4686C" w:rsidRDefault="00181B80" w:rsidP="00A4686C">
            <w:r w:rsidRPr="00A4686C">
              <w:rPr>
                <w:lang w:val="ga-IE"/>
              </w:rPr>
              <w:t xml:space="preserve">½          </w:t>
            </w:r>
            <w:r w:rsidRPr="00A4686C">
              <w:rPr>
                <w:lang w:val="ga-IE"/>
              </w:rPr>
              <w:tab/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37A147BD" wp14:editId="68903352">
                  <wp:extent cx="114300" cy="213360"/>
                  <wp:effectExtent l="0" t="0" r="0" b="0"/>
                  <wp:docPr id="22" name="Billed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0" w:rsidRPr="00A4686C" w14:paraId="76C6B67B" w14:textId="77777777" w:rsidTr="00181B80">
        <w:trPr>
          <w:trHeight w:val="567"/>
          <w:jc w:val="center"/>
        </w:trPr>
        <w:tc>
          <w:tcPr>
            <w:tcW w:w="1416" w:type="dxa"/>
            <w:hideMark/>
          </w:tcPr>
          <w:p w14:paraId="607EFB68" w14:textId="77777777" w:rsidR="00181B80" w:rsidRPr="00A4686C" w:rsidRDefault="00181B80" w:rsidP="00A4686C">
            <w:pPr>
              <w:rPr>
                <w:lang w:val="ga-IE"/>
              </w:rPr>
            </w:pP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ga-IE"/>
                </w:rPr>
                <w:t>12,5 kg</w:t>
              </w:r>
            </w:smartTag>
            <w:r w:rsidRPr="00A4686C">
              <w:rPr>
                <w:lang w:val="ga-IE"/>
              </w:rPr>
              <w:t xml:space="preserve"> </w:t>
            </w:r>
          </w:p>
        </w:tc>
        <w:tc>
          <w:tcPr>
            <w:tcW w:w="3524" w:type="dxa"/>
            <w:hideMark/>
          </w:tcPr>
          <w:p w14:paraId="027FAAC3" w14:textId="416EB895" w:rsidR="00181B80" w:rsidRPr="00A4686C" w:rsidRDefault="00181B80" w:rsidP="00A4686C">
            <w:pPr>
              <w:rPr>
                <w:lang w:val="ga-IE"/>
              </w:rPr>
            </w:pPr>
            <w:r w:rsidRPr="00A4686C">
              <w:rPr>
                <w:lang w:val="ga-IE"/>
              </w:rPr>
              <w:t xml:space="preserve">1         </w:t>
            </w:r>
            <w:r w:rsidRPr="00A4686C">
              <w:rPr>
                <w:lang w:val="ga-IE"/>
              </w:rPr>
              <w:tab/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4149E990" wp14:editId="77ACF638">
                  <wp:extent cx="213360" cy="198120"/>
                  <wp:effectExtent l="0" t="0" r="0" b="0"/>
                  <wp:docPr id="21" name="Billed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0" w:rsidRPr="00A4686C" w14:paraId="43F18995" w14:textId="77777777" w:rsidTr="00181B80">
        <w:trPr>
          <w:trHeight w:val="567"/>
          <w:jc w:val="center"/>
        </w:trPr>
        <w:tc>
          <w:tcPr>
            <w:tcW w:w="1416" w:type="dxa"/>
            <w:hideMark/>
          </w:tcPr>
          <w:p w14:paraId="40537D01" w14:textId="77777777" w:rsidR="00181B80" w:rsidRPr="00A4686C" w:rsidRDefault="00181B80" w:rsidP="00A4686C">
            <w:pPr>
              <w:rPr>
                <w:lang w:val="ga-IE"/>
              </w:rPr>
            </w:pP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ga-IE"/>
                </w:rPr>
                <w:t>18,75 kg</w:t>
              </w:r>
            </w:smartTag>
            <w:r w:rsidRPr="00A4686C">
              <w:rPr>
                <w:lang w:val="ga-IE"/>
              </w:rPr>
              <w:t xml:space="preserve"> </w:t>
            </w:r>
          </w:p>
        </w:tc>
        <w:tc>
          <w:tcPr>
            <w:tcW w:w="3524" w:type="dxa"/>
            <w:hideMark/>
          </w:tcPr>
          <w:p w14:paraId="5DEF648E" w14:textId="0BBCA3CF" w:rsidR="00181B80" w:rsidRPr="00A4686C" w:rsidRDefault="00181B80" w:rsidP="004B23B7">
            <w:pPr>
              <w:rPr>
                <w:lang w:val="ga-IE"/>
              </w:rPr>
            </w:pPr>
            <w:r w:rsidRPr="00A4686C">
              <w:rPr>
                <w:lang w:val="ga-IE"/>
              </w:rPr>
              <w:t xml:space="preserve">1 + ½ </w:t>
            </w:r>
            <w:r w:rsidRPr="00A4686C">
              <w:rPr>
                <w:lang w:val="ga-IE"/>
              </w:rPr>
              <w:tab/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4B92133A" wp14:editId="0F8A6733">
                  <wp:extent cx="213360" cy="198120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lang w:val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3DF870B6" wp14:editId="465374E6">
                  <wp:extent cx="114300" cy="213360"/>
                  <wp:effectExtent l="0" t="0" r="0" b="0"/>
                  <wp:docPr id="19" name="Billed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0" w:rsidRPr="00A4686C" w14:paraId="29A8F546" w14:textId="77777777" w:rsidTr="00181B80">
        <w:trPr>
          <w:trHeight w:val="567"/>
          <w:jc w:val="center"/>
        </w:trPr>
        <w:tc>
          <w:tcPr>
            <w:tcW w:w="1416" w:type="dxa"/>
            <w:hideMark/>
          </w:tcPr>
          <w:p w14:paraId="2437E57C" w14:textId="77777777" w:rsidR="00181B80" w:rsidRPr="00A4686C" w:rsidRDefault="00181B80" w:rsidP="00A4686C">
            <w:pPr>
              <w:rPr>
                <w:lang w:val="ga-IE"/>
              </w:rPr>
            </w:pP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ga-IE"/>
                </w:rPr>
                <w:t>25 kg</w:t>
              </w:r>
            </w:smartTag>
            <w:r w:rsidRPr="00A4686C">
              <w:rPr>
                <w:lang w:val="ga-IE"/>
              </w:rPr>
              <w:t xml:space="preserve"> </w:t>
            </w:r>
          </w:p>
        </w:tc>
        <w:tc>
          <w:tcPr>
            <w:tcW w:w="3524" w:type="dxa"/>
            <w:hideMark/>
          </w:tcPr>
          <w:p w14:paraId="0F6B7D0C" w14:textId="0D17FF1C" w:rsidR="00181B80" w:rsidRPr="00A4686C" w:rsidRDefault="00181B80" w:rsidP="004B23B7">
            <w:pPr>
              <w:rPr>
                <w:lang w:val="ga-IE"/>
              </w:rPr>
            </w:pPr>
            <w:r w:rsidRPr="00A4686C">
              <w:rPr>
                <w:lang w:val="ga-IE"/>
              </w:rPr>
              <w:t xml:space="preserve">2      </w:t>
            </w:r>
            <w:r w:rsidRPr="00A4686C">
              <w:rPr>
                <w:lang w:val="ga-IE"/>
              </w:rPr>
              <w:tab/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7F08CB62" wp14:editId="19CA5EFE">
                  <wp:extent cx="213360" cy="198120"/>
                  <wp:effectExtent l="0" t="0" r="0" b="0"/>
                  <wp:docPr id="18" name="Billed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lang w:val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0F6F6391" wp14:editId="39C35F76">
                  <wp:extent cx="213360" cy="198120"/>
                  <wp:effectExtent l="0" t="0" r="0" b="0"/>
                  <wp:docPr id="17" name="Billed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0" w:rsidRPr="00A4686C" w14:paraId="303EF971" w14:textId="77777777" w:rsidTr="00181B80">
        <w:trPr>
          <w:trHeight w:val="567"/>
          <w:jc w:val="center"/>
        </w:trPr>
        <w:tc>
          <w:tcPr>
            <w:tcW w:w="1416" w:type="dxa"/>
            <w:hideMark/>
          </w:tcPr>
          <w:p w14:paraId="51D655F2" w14:textId="77777777" w:rsidR="00181B80" w:rsidRPr="00A4686C" w:rsidRDefault="00181B80" w:rsidP="00A4686C">
            <w:pPr>
              <w:rPr>
                <w:lang w:val="ga-IE"/>
              </w:rPr>
            </w:pP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ga-IE"/>
                </w:rPr>
                <w:t>31,25 kg</w:t>
              </w:r>
            </w:smartTag>
            <w:r w:rsidRPr="00A4686C">
              <w:rPr>
                <w:lang w:val="ga-IE"/>
              </w:rPr>
              <w:t xml:space="preserve"> </w:t>
            </w:r>
          </w:p>
        </w:tc>
        <w:tc>
          <w:tcPr>
            <w:tcW w:w="3524" w:type="dxa"/>
            <w:hideMark/>
          </w:tcPr>
          <w:p w14:paraId="26AC04C0" w14:textId="4EA21FA7" w:rsidR="00181B80" w:rsidRPr="00A4686C" w:rsidRDefault="00181B80" w:rsidP="004B23B7">
            <w:pPr>
              <w:rPr>
                <w:lang w:val="ga-IE"/>
              </w:rPr>
            </w:pPr>
            <w:r w:rsidRPr="00A4686C">
              <w:rPr>
                <w:lang w:val="ga-IE"/>
              </w:rPr>
              <w:t xml:space="preserve">2 + ½ </w:t>
            </w:r>
            <w:r w:rsidRPr="00A4686C">
              <w:rPr>
                <w:lang w:val="ga-IE"/>
              </w:rPr>
              <w:tab/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3F4B79FB" wp14:editId="43BC9759">
                  <wp:extent cx="213360" cy="198120"/>
                  <wp:effectExtent l="0" t="0" r="0" b="0"/>
                  <wp:docPr id="16" name="Billed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4D9376E3" wp14:editId="4F1732C8">
                  <wp:extent cx="213360" cy="198120"/>
                  <wp:effectExtent l="0" t="0" r="0" b="0"/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2D44C11A" wp14:editId="39AEA3C9">
                  <wp:extent cx="114300" cy="213360"/>
                  <wp:effectExtent l="0" t="0" r="0" b="0"/>
                  <wp:docPr id="14" name="Billed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0" w:rsidRPr="00A4686C" w14:paraId="49223EC9" w14:textId="77777777" w:rsidTr="00181B80">
        <w:trPr>
          <w:trHeight w:val="567"/>
          <w:jc w:val="center"/>
        </w:trPr>
        <w:tc>
          <w:tcPr>
            <w:tcW w:w="1416" w:type="dxa"/>
            <w:hideMark/>
          </w:tcPr>
          <w:p w14:paraId="7AF426A9" w14:textId="77777777" w:rsidR="00181B80" w:rsidRPr="00A4686C" w:rsidRDefault="00181B80" w:rsidP="00A4686C">
            <w:pPr>
              <w:rPr>
                <w:lang w:val="ga-IE"/>
              </w:rPr>
            </w:pP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ga-IE"/>
                </w:rPr>
                <w:t>37,5 kg</w:t>
              </w:r>
            </w:smartTag>
            <w:r w:rsidRPr="00A4686C">
              <w:rPr>
                <w:lang w:val="ga-IE"/>
              </w:rPr>
              <w:t xml:space="preserve"> </w:t>
            </w:r>
          </w:p>
        </w:tc>
        <w:tc>
          <w:tcPr>
            <w:tcW w:w="3524" w:type="dxa"/>
            <w:hideMark/>
          </w:tcPr>
          <w:p w14:paraId="037C0D98" w14:textId="19710F16" w:rsidR="00181B80" w:rsidRPr="00A4686C" w:rsidRDefault="00181B80" w:rsidP="004B23B7">
            <w:pPr>
              <w:rPr>
                <w:lang w:val="ga-IE"/>
              </w:rPr>
            </w:pPr>
            <w:r w:rsidRPr="00A4686C">
              <w:rPr>
                <w:lang w:val="ga-IE"/>
              </w:rPr>
              <w:t xml:space="preserve">3        </w:t>
            </w:r>
            <w:r w:rsidRPr="00A4686C">
              <w:rPr>
                <w:lang w:val="ga-IE"/>
              </w:rPr>
              <w:tab/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41B0C5BB" wp14:editId="6769E740">
                  <wp:extent cx="213360" cy="198120"/>
                  <wp:effectExtent l="0" t="0" r="0" b="0"/>
                  <wp:docPr id="13" name="Billed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359E751F" wp14:editId="74353209">
                  <wp:extent cx="213360" cy="198120"/>
                  <wp:effectExtent l="0" t="0" r="0" b="0"/>
                  <wp:docPr id="12" name="Billed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1AFFE61A" wp14:editId="6540E836">
                  <wp:extent cx="213360" cy="198120"/>
                  <wp:effectExtent l="0" t="0" r="0" b="0"/>
                  <wp:docPr id="11" name="Billed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0" w:rsidRPr="00A4686C" w14:paraId="580FAC16" w14:textId="77777777" w:rsidTr="00181B80">
        <w:trPr>
          <w:trHeight w:val="567"/>
          <w:jc w:val="center"/>
        </w:trPr>
        <w:tc>
          <w:tcPr>
            <w:tcW w:w="1416" w:type="dxa"/>
            <w:hideMark/>
          </w:tcPr>
          <w:p w14:paraId="41CF7232" w14:textId="77777777" w:rsidR="00181B80" w:rsidRPr="00A4686C" w:rsidRDefault="00181B80" w:rsidP="00A4686C">
            <w:pPr>
              <w:rPr>
                <w:lang w:val="es-ES"/>
              </w:rPr>
            </w:pP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es-ES"/>
                </w:rPr>
                <w:t>50 kg</w:t>
              </w:r>
            </w:smartTag>
          </w:p>
        </w:tc>
        <w:tc>
          <w:tcPr>
            <w:tcW w:w="3524" w:type="dxa"/>
            <w:hideMark/>
          </w:tcPr>
          <w:p w14:paraId="4E5CC573" w14:textId="215C6BA7" w:rsidR="00181B80" w:rsidRPr="00A4686C" w:rsidRDefault="00181B80" w:rsidP="004B23B7">
            <w:pPr>
              <w:rPr>
                <w:lang w:val="ga-IE"/>
              </w:rPr>
            </w:pPr>
            <w:r w:rsidRPr="00A4686C">
              <w:rPr>
                <w:lang w:val="es-ES"/>
              </w:rPr>
              <w:t>4</w:t>
            </w:r>
            <w:r w:rsidRPr="00A4686C">
              <w:rPr>
                <w:lang w:val="ga-IE"/>
              </w:rPr>
              <w:t xml:space="preserve">  </w:t>
            </w:r>
            <w:r w:rsidRPr="00A4686C">
              <w:rPr>
                <w:lang w:val="ga-IE"/>
              </w:rPr>
              <w:tab/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662B43FE" wp14:editId="55316AD5">
                  <wp:extent cx="213360" cy="198120"/>
                  <wp:effectExtent l="0" t="0" r="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24DC4B3B" wp14:editId="74B80109">
                  <wp:extent cx="213360" cy="198120"/>
                  <wp:effectExtent l="0" t="0" r="0" b="0"/>
                  <wp:docPr id="9" name="Billed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323ED5C0" wp14:editId="0A39E5B2">
                  <wp:extent cx="213360" cy="19812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2F9AECE2" wp14:editId="08D10443">
                  <wp:extent cx="213360" cy="198120"/>
                  <wp:effectExtent l="0" t="0" r="0" b="0"/>
                  <wp:docPr id="7" name="Bille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B80" w:rsidRPr="00A4686C" w14:paraId="75A3CBA3" w14:textId="77777777" w:rsidTr="00181B80">
        <w:trPr>
          <w:trHeight w:val="567"/>
          <w:jc w:val="center"/>
        </w:trPr>
        <w:tc>
          <w:tcPr>
            <w:tcW w:w="1416" w:type="dxa"/>
            <w:hideMark/>
          </w:tcPr>
          <w:p w14:paraId="6C49A3A1" w14:textId="77777777" w:rsidR="00181B80" w:rsidRPr="00A4686C" w:rsidRDefault="00181B80" w:rsidP="00A4686C">
            <w:pPr>
              <w:rPr>
                <w:lang w:val="es-ES"/>
              </w:rPr>
            </w:pPr>
            <w:smartTag w:uri="urn:schemas-microsoft-com:office:smarttags" w:element="metricconverter">
              <w:smartTagPr>
                <w:attr w:name="ProductID" w:val="62,5 kg"/>
              </w:smartTagPr>
              <w:r w:rsidRPr="00A4686C">
                <w:rPr>
                  <w:lang w:val="es-ES"/>
                </w:rPr>
                <w:t>62,5 kg</w:t>
              </w:r>
            </w:smartTag>
          </w:p>
        </w:tc>
        <w:tc>
          <w:tcPr>
            <w:tcW w:w="3524" w:type="dxa"/>
            <w:hideMark/>
          </w:tcPr>
          <w:p w14:paraId="601736F2" w14:textId="719AA308" w:rsidR="00181B80" w:rsidRPr="00A4686C" w:rsidRDefault="00181B80" w:rsidP="004B23B7">
            <w:pPr>
              <w:rPr>
                <w:lang w:val="ga-IE"/>
              </w:rPr>
            </w:pPr>
            <w:r w:rsidRPr="00A4686C">
              <w:rPr>
                <w:lang w:val="es-ES"/>
              </w:rPr>
              <w:t>5</w:t>
            </w:r>
            <w:r w:rsidRPr="00A4686C">
              <w:rPr>
                <w:lang w:val="ga-IE"/>
              </w:rPr>
              <w:t xml:space="preserve">  </w:t>
            </w:r>
            <w:r w:rsidRPr="00A4686C">
              <w:rPr>
                <w:lang w:val="ga-IE"/>
              </w:rPr>
              <w:tab/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657E748A" wp14:editId="655ABC91">
                  <wp:extent cx="213360" cy="198120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3F49B530" wp14:editId="5421DFBE">
                  <wp:extent cx="213360" cy="198120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lang w:val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09B8D13A" wp14:editId="5C75934F">
                  <wp:extent cx="213360" cy="198120"/>
                  <wp:effectExtent l="0" t="0" r="0" b="0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123F48EF" wp14:editId="7B8C70C6">
                  <wp:extent cx="213360" cy="198120"/>
                  <wp:effectExtent l="0" t="0" r="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686C">
              <w:rPr>
                <w:noProof/>
                <w:lang w:val="ga-IE" w:eastAsia="ga-IE"/>
              </w:rPr>
              <w:t xml:space="preserve"> </w:t>
            </w:r>
            <w:r w:rsidRPr="00A4686C">
              <w:rPr>
                <w:noProof/>
                <w:lang w:eastAsia="da-DK"/>
              </w:rPr>
              <w:drawing>
                <wp:inline distT="0" distB="0" distL="0" distR="0" wp14:anchorId="20DDA868" wp14:editId="7178EF84">
                  <wp:extent cx="213360" cy="198120"/>
                  <wp:effectExtent l="0" t="0" r="0" b="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C8115F" w14:textId="77777777" w:rsidR="00181B80" w:rsidRPr="00A4686C" w:rsidRDefault="00181B80" w:rsidP="00A4686C">
      <w:pPr>
        <w:tabs>
          <w:tab w:val="left" w:pos="1304"/>
        </w:tabs>
        <w:ind w:left="851" w:hanging="851"/>
        <w:rPr>
          <w:sz w:val="24"/>
          <w:szCs w:val="24"/>
        </w:rPr>
      </w:pPr>
    </w:p>
    <w:p w14:paraId="414F2561" w14:textId="77777777" w:rsidR="00181B80" w:rsidRPr="00A4686C" w:rsidRDefault="00181B80" w:rsidP="009455E4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Tabletterne kan deles i to lige store dele for at sikre en nøjagtig dosering. </w:t>
      </w:r>
    </w:p>
    <w:p w14:paraId="1459D91A" w14:textId="77777777" w:rsidR="00181B80" w:rsidRPr="00A4686C" w:rsidRDefault="00181B80" w:rsidP="009455E4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>For at dele en tablet placeres den på en flad overflade med delekærven opad og der trykkes ned med tommelfingrene på begge sider af tabletten.</w:t>
      </w:r>
    </w:p>
    <w:p w14:paraId="2A387E6B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456AABC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4.10</w:t>
      </w:r>
      <w:r w:rsidRPr="00A4686C">
        <w:rPr>
          <w:b/>
          <w:sz w:val="24"/>
          <w:szCs w:val="24"/>
        </w:rPr>
        <w:tab/>
        <w:t>Overdosering</w:t>
      </w:r>
    </w:p>
    <w:p w14:paraId="4A02327D" w14:textId="18333EB5" w:rsidR="00055994" w:rsidRPr="00A4686C" w:rsidRDefault="009455E4" w:rsidP="00A4686C">
      <w:pPr>
        <w:tabs>
          <w:tab w:val="left" w:pos="1304"/>
        </w:tabs>
        <w:ind w:left="851" w:hanging="851"/>
        <w:rPr>
          <w:noProof/>
          <w:sz w:val="24"/>
          <w:szCs w:val="24"/>
        </w:rPr>
      </w:pPr>
      <w:bookmarkStart w:id="19" w:name="_Hlk493775360"/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 xml:space="preserve">I tilfælde af forgiftning med </w:t>
      </w:r>
      <w:proofErr w:type="spellStart"/>
      <w:r w:rsidR="00055994" w:rsidRPr="00A4686C">
        <w:rPr>
          <w:sz w:val="24"/>
          <w:szCs w:val="24"/>
        </w:rPr>
        <w:t>tramadol</w:t>
      </w:r>
      <w:proofErr w:type="spellEnd"/>
      <w:r w:rsidR="00055994" w:rsidRPr="00A4686C">
        <w:rPr>
          <w:sz w:val="24"/>
          <w:szCs w:val="24"/>
        </w:rPr>
        <w:t xml:space="preserve">, er det sandsynligt, at der kan opstå symptomer svarende til de der ses med andre centralt virkende </w:t>
      </w:r>
      <w:proofErr w:type="spellStart"/>
      <w:r w:rsidR="00055994" w:rsidRPr="00A4686C">
        <w:rPr>
          <w:sz w:val="24"/>
          <w:szCs w:val="24"/>
        </w:rPr>
        <w:t>analgetika</w:t>
      </w:r>
      <w:proofErr w:type="spellEnd"/>
      <w:r w:rsidR="00055994" w:rsidRPr="00A4686C">
        <w:rPr>
          <w:sz w:val="24"/>
          <w:szCs w:val="24"/>
        </w:rPr>
        <w:t xml:space="preserve"> (</w:t>
      </w:r>
      <w:proofErr w:type="spellStart"/>
      <w:r w:rsidR="00055994" w:rsidRPr="00A4686C">
        <w:rPr>
          <w:sz w:val="24"/>
          <w:szCs w:val="24"/>
        </w:rPr>
        <w:t>opioider</w:t>
      </w:r>
      <w:proofErr w:type="spellEnd"/>
      <w:r w:rsidR="00055994" w:rsidRPr="00A4686C">
        <w:rPr>
          <w:sz w:val="24"/>
          <w:szCs w:val="24"/>
        </w:rPr>
        <w:t xml:space="preserve">). Dette omfatter i særdeleshed </w:t>
      </w:r>
      <w:proofErr w:type="spellStart"/>
      <w:r w:rsidR="00055994" w:rsidRPr="00A4686C">
        <w:rPr>
          <w:sz w:val="24"/>
          <w:szCs w:val="24"/>
        </w:rPr>
        <w:t>miosis</w:t>
      </w:r>
      <w:proofErr w:type="spellEnd"/>
      <w:r w:rsidR="00055994" w:rsidRPr="00A4686C">
        <w:rPr>
          <w:sz w:val="24"/>
          <w:szCs w:val="24"/>
        </w:rPr>
        <w:t xml:space="preserve">, opkastning, </w:t>
      </w:r>
      <w:proofErr w:type="spellStart"/>
      <w:r w:rsidR="00055994" w:rsidRPr="00A4686C">
        <w:rPr>
          <w:sz w:val="24"/>
          <w:szCs w:val="24"/>
        </w:rPr>
        <w:t>kardiovaskulært</w:t>
      </w:r>
      <w:proofErr w:type="spellEnd"/>
      <w:r w:rsidR="00055994" w:rsidRPr="00A4686C">
        <w:rPr>
          <w:sz w:val="24"/>
          <w:szCs w:val="24"/>
        </w:rPr>
        <w:t xml:space="preserve"> kollaps, bevidstheds</w:t>
      </w:r>
      <w:r w:rsidR="00055994" w:rsidRPr="00A4686C">
        <w:rPr>
          <w:sz w:val="24"/>
          <w:szCs w:val="24"/>
        </w:rPr>
        <w:softHyphen/>
        <w:t>forstyrrelser frem til koma, krampeanfald og respirationsdepression til respirationsstop.</w:t>
      </w:r>
    </w:p>
    <w:p w14:paraId="5157D01B" w14:textId="00F956B0" w:rsidR="00055994" w:rsidRPr="00A4686C" w:rsidRDefault="009455E4" w:rsidP="00A4686C">
      <w:pPr>
        <w:tabs>
          <w:tab w:val="left" w:pos="1304"/>
        </w:tabs>
        <w:ind w:left="851" w:hanging="851"/>
        <w:rPr>
          <w:noProof/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 xml:space="preserve">Generelle nødforanstaltninger: Oprethold åbne luftveje, støt hjerte- og åndedræts-funktionen afhængig af symptomerne. Det er relevant at fremprovokere opkastning for at tømme maven, medmindre det berørte dyr er ved nedsat bevidsthed. I så fald kan mavetømning overvejes. </w:t>
      </w:r>
      <w:proofErr w:type="spellStart"/>
      <w:r w:rsidR="00055994" w:rsidRPr="00A4686C">
        <w:rPr>
          <w:sz w:val="24"/>
          <w:szCs w:val="24"/>
        </w:rPr>
        <w:t>Antidoten</w:t>
      </w:r>
      <w:proofErr w:type="spellEnd"/>
      <w:r w:rsidR="00055994" w:rsidRPr="00A4686C">
        <w:rPr>
          <w:sz w:val="24"/>
          <w:szCs w:val="24"/>
        </w:rPr>
        <w:t xml:space="preserve"> ved respirationsdepression er </w:t>
      </w:r>
      <w:proofErr w:type="spellStart"/>
      <w:r w:rsidR="00055994" w:rsidRPr="00A4686C">
        <w:rPr>
          <w:sz w:val="24"/>
          <w:szCs w:val="24"/>
        </w:rPr>
        <w:t>naloxon</w:t>
      </w:r>
      <w:proofErr w:type="spellEnd"/>
      <w:r w:rsidR="00055994" w:rsidRPr="00A4686C">
        <w:rPr>
          <w:sz w:val="24"/>
          <w:szCs w:val="24"/>
        </w:rPr>
        <w:t xml:space="preserve">. Det er muligt, at </w:t>
      </w:r>
      <w:proofErr w:type="spellStart"/>
      <w:r w:rsidR="00055994" w:rsidRPr="00A4686C">
        <w:rPr>
          <w:sz w:val="24"/>
          <w:szCs w:val="24"/>
        </w:rPr>
        <w:t>naloxon</w:t>
      </w:r>
      <w:proofErr w:type="spellEnd"/>
      <w:r w:rsidR="00055994" w:rsidRPr="00A4686C">
        <w:rPr>
          <w:sz w:val="24"/>
          <w:szCs w:val="24"/>
        </w:rPr>
        <w:t xml:space="preserve"> ikke virker ved alle tilfælde af overdosering med </w:t>
      </w:r>
      <w:proofErr w:type="spellStart"/>
      <w:r w:rsidR="00055994" w:rsidRPr="00A4686C">
        <w:rPr>
          <w:sz w:val="24"/>
          <w:szCs w:val="24"/>
        </w:rPr>
        <w:t>tramadol</w:t>
      </w:r>
      <w:proofErr w:type="spellEnd"/>
      <w:r w:rsidR="00055994" w:rsidRPr="00A4686C">
        <w:rPr>
          <w:sz w:val="24"/>
          <w:szCs w:val="24"/>
        </w:rPr>
        <w:t xml:space="preserve">, da det kun delvist kan </w:t>
      </w:r>
      <w:proofErr w:type="spellStart"/>
      <w:r w:rsidR="00055994" w:rsidRPr="00A4686C">
        <w:rPr>
          <w:sz w:val="24"/>
          <w:szCs w:val="24"/>
        </w:rPr>
        <w:t>revertere</w:t>
      </w:r>
      <w:proofErr w:type="spellEnd"/>
      <w:r w:rsidR="00055994" w:rsidRPr="00A4686C">
        <w:rPr>
          <w:sz w:val="24"/>
          <w:szCs w:val="24"/>
        </w:rPr>
        <w:t xml:space="preserve"> nogle af </w:t>
      </w:r>
      <w:proofErr w:type="spellStart"/>
      <w:r w:rsidR="00055994" w:rsidRPr="00A4686C">
        <w:rPr>
          <w:sz w:val="24"/>
          <w:szCs w:val="24"/>
        </w:rPr>
        <w:t>tramadols</w:t>
      </w:r>
      <w:proofErr w:type="spellEnd"/>
      <w:r w:rsidR="00055994" w:rsidRPr="00A4686C">
        <w:rPr>
          <w:sz w:val="24"/>
          <w:szCs w:val="24"/>
        </w:rPr>
        <w:t xml:space="preserve"> andre virkninger. I tilfælde af krampeanfald, skal der administreres </w:t>
      </w:r>
      <w:proofErr w:type="spellStart"/>
      <w:r w:rsidR="00055994" w:rsidRPr="00A4686C">
        <w:rPr>
          <w:sz w:val="24"/>
          <w:szCs w:val="24"/>
        </w:rPr>
        <w:t>diazepam</w:t>
      </w:r>
      <w:proofErr w:type="spellEnd"/>
      <w:r w:rsidR="00055994" w:rsidRPr="00A4686C">
        <w:rPr>
          <w:sz w:val="24"/>
          <w:szCs w:val="24"/>
        </w:rPr>
        <w:t>.</w:t>
      </w:r>
    </w:p>
    <w:bookmarkEnd w:id="19"/>
    <w:p w14:paraId="1B17051F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D2C2910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4.11</w:t>
      </w:r>
      <w:r w:rsidRPr="00A4686C">
        <w:rPr>
          <w:b/>
          <w:sz w:val="24"/>
          <w:szCs w:val="24"/>
        </w:rPr>
        <w:tab/>
        <w:t>Tilbageholdelsestid</w:t>
      </w:r>
    </w:p>
    <w:p w14:paraId="04F1E092" w14:textId="787F4280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Ikke relevant.</w:t>
      </w:r>
    </w:p>
    <w:p w14:paraId="0CDB2241" w14:textId="696C1F51" w:rsidR="00B409C5" w:rsidRDefault="00B409C5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14:paraId="73FA4847" w14:textId="77777777" w:rsidR="005B0036" w:rsidRPr="00A4686C" w:rsidRDefault="005B0036" w:rsidP="00A4686C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08A5F1AD" w14:textId="45271AEB" w:rsidR="005B0036" w:rsidRPr="009455E4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9455E4">
        <w:rPr>
          <w:b/>
          <w:sz w:val="24"/>
          <w:szCs w:val="24"/>
        </w:rPr>
        <w:t>5.</w:t>
      </w:r>
      <w:r w:rsidRPr="009455E4">
        <w:rPr>
          <w:b/>
          <w:sz w:val="24"/>
          <w:szCs w:val="24"/>
        </w:rPr>
        <w:tab/>
        <w:t>FARMAKOLOGISKE EGENSKABER</w:t>
      </w:r>
    </w:p>
    <w:p w14:paraId="6135271A" w14:textId="77777777" w:rsidR="005B0036" w:rsidRPr="009455E4" w:rsidRDefault="005B0036" w:rsidP="00A4686C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7AB1C6A8" w14:textId="323CA7E7" w:rsidR="00055994" w:rsidRPr="009455E4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55994" w:rsidRPr="009455E4">
        <w:rPr>
          <w:sz w:val="24"/>
          <w:szCs w:val="24"/>
        </w:rPr>
        <w:t>Farmakoterapeutisk</w:t>
      </w:r>
      <w:proofErr w:type="spellEnd"/>
      <w:r w:rsidR="00055994" w:rsidRPr="009455E4">
        <w:rPr>
          <w:sz w:val="24"/>
          <w:szCs w:val="24"/>
        </w:rPr>
        <w:t xml:space="preserve"> gruppe: </w:t>
      </w:r>
      <w:proofErr w:type="spellStart"/>
      <w:r w:rsidR="00055994" w:rsidRPr="009455E4">
        <w:rPr>
          <w:sz w:val="24"/>
          <w:szCs w:val="24"/>
        </w:rPr>
        <w:t>Analgetika</w:t>
      </w:r>
      <w:proofErr w:type="spellEnd"/>
      <w:r w:rsidR="00055994" w:rsidRPr="009455E4">
        <w:rPr>
          <w:sz w:val="24"/>
          <w:szCs w:val="24"/>
        </w:rPr>
        <w:t xml:space="preserve">, andre </w:t>
      </w:r>
      <w:proofErr w:type="spellStart"/>
      <w:r w:rsidR="00055994" w:rsidRPr="009455E4">
        <w:rPr>
          <w:sz w:val="24"/>
          <w:szCs w:val="24"/>
        </w:rPr>
        <w:t>opioider</w:t>
      </w:r>
      <w:proofErr w:type="spellEnd"/>
      <w:r w:rsidR="00055994" w:rsidRPr="009455E4">
        <w:rPr>
          <w:sz w:val="24"/>
          <w:szCs w:val="24"/>
        </w:rPr>
        <w:t>.</w:t>
      </w:r>
    </w:p>
    <w:p w14:paraId="111F24E7" w14:textId="5C021E43" w:rsidR="00055994" w:rsidRPr="009455E4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55994" w:rsidRPr="009455E4">
        <w:rPr>
          <w:sz w:val="24"/>
          <w:szCs w:val="24"/>
        </w:rPr>
        <w:t>ATCvet</w:t>
      </w:r>
      <w:proofErr w:type="spellEnd"/>
      <w:r w:rsidR="00055994" w:rsidRPr="009455E4">
        <w:rPr>
          <w:sz w:val="24"/>
          <w:szCs w:val="24"/>
        </w:rPr>
        <w:t xml:space="preserve">-kode: QN 02 AX 02 </w:t>
      </w:r>
    </w:p>
    <w:p w14:paraId="1A24151F" w14:textId="77777777" w:rsidR="005B0036" w:rsidRPr="009455E4" w:rsidRDefault="005B0036" w:rsidP="00A4686C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754AF564" w14:textId="0840767A" w:rsidR="005B0036" w:rsidRPr="009455E4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455E4">
        <w:rPr>
          <w:b/>
          <w:sz w:val="24"/>
          <w:szCs w:val="24"/>
        </w:rPr>
        <w:t>5.1</w:t>
      </w:r>
      <w:r w:rsidRPr="009455E4">
        <w:rPr>
          <w:b/>
          <w:sz w:val="24"/>
          <w:szCs w:val="24"/>
        </w:rPr>
        <w:tab/>
      </w:r>
      <w:proofErr w:type="spellStart"/>
      <w:r w:rsidRPr="009455E4">
        <w:rPr>
          <w:b/>
          <w:sz w:val="24"/>
          <w:szCs w:val="24"/>
        </w:rPr>
        <w:t>Farmakodynamiske</w:t>
      </w:r>
      <w:proofErr w:type="spellEnd"/>
      <w:r w:rsidRPr="009455E4">
        <w:rPr>
          <w:b/>
          <w:sz w:val="24"/>
          <w:szCs w:val="24"/>
        </w:rPr>
        <w:t xml:space="preserve"> egenskaber</w:t>
      </w:r>
    </w:p>
    <w:p w14:paraId="4FE45DD3" w14:textId="584FC5E8" w:rsidR="00055994" w:rsidRPr="00A4686C" w:rsidRDefault="009455E4" w:rsidP="00A4686C">
      <w:pPr>
        <w:tabs>
          <w:tab w:val="left" w:pos="1304"/>
        </w:tabs>
        <w:ind w:left="851" w:hanging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proofErr w:type="spellStart"/>
      <w:r w:rsidR="00055994" w:rsidRPr="009455E4">
        <w:rPr>
          <w:color w:val="000000"/>
          <w:sz w:val="24"/>
          <w:szCs w:val="24"/>
        </w:rPr>
        <w:t>Tramadol</w:t>
      </w:r>
      <w:proofErr w:type="spellEnd"/>
      <w:r w:rsidR="00055994" w:rsidRPr="009455E4">
        <w:rPr>
          <w:color w:val="000000"/>
          <w:sz w:val="24"/>
          <w:szCs w:val="24"/>
        </w:rPr>
        <w:t xml:space="preserve"> er et centralt virkende stof med en kompleks virkningsmekanisme, der udøves af de 2 </w:t>
      </w:r>
      <w:proofErr w:type="spellStart"/>
      <w:r w:rsidR="00055994" w:rsidRPr="009455E4">
        <w:rPr>
          <w:color w:val="000000"/>
          <w:sz w:val="24"/>
          <w:szCs w:val="24"/>
        </w:rPr>
        <w:t>enantiomerer</w:t>
      </w:r>
      <w:proofErr w:type="spellEnd"/>
      <w:r w:rsidR="00055994" w:rsidRPr="009455E4">
        <w:rPr>
          <w:color w:val="000000"/>
          <w:sz w:val="24"/>
          <w:szCs w:val="24"/>
        </w:rPr>
        <w:t xml:space="preserve"> og den primære </w:t>
      </w:r>
      <w:proofErr w:type="spellStart"/>
      <w:r w:rsidR="00055994" w:rsidRPr="009455E4">
        <w:rPr>
          <w:color w:val="000000"/>
          <w:sz w:val="24"/>
          <w:szCs w:val="24"/>
        </w:rPr>
        <w:t>metabolit</w:t>
      </w:r>
      <w:proofErr w:type="spellEnd"/>
      <w:r w:rsidR="00055994" w:rsidRPr="009455E4">
        <w:rPr>
          <w:color w:val="000000"/>
          <w:sz w:val="24"/>
          <w:szCs w:val="24"/>
        </w:rPr>
        <w:t xml:space="preserve">, der omfatter </w:t>
      </w:r>
      <w:proofErr w:type="spellStart"/>
      <w:r w:rsidR="00055994" w:rsidRPr="009455E4">
        <w:rPr>
          <w:color w:val="000000"/>
          <w:sz w:val="24"/>
          <w:szCs w:val="24"/>
        </w:rPr>
        <w:t>opioid</w:t>
      </w:r>
      <w:proofErr w:type="spellEnd"/>
      <w:r w:rsidR="00055994" w:rsidRPr="009455E4">
        <w:rPr>
          <w:color w:val="000000"/>
          <w:sz w:val="24"/>
          <w:szCs w:val="24"/>
        </w:rPr>
        <w:t xml:space="preserve">-, noradrenalin- og </w:t>
      </w:r>
      <w:proofErr w:type="spellStart"/>
      <w:r w:rsidR="00055994" w:rsidRPr="009455E4">
        <w:rPr>
          <w:color w:val="000000"/>
          <w:sz w:val="24"/>
          <w:szCs w:val="24"/>
        </w:rPr>
        <w:t>serotoninreceptorer</w:t>
      </w:r>
      <w:proofErr w:type="spellEnd"/>
      <w:r w:rsidR="00055994" w:rsidRPr="009455E4">
        <w:rPr>
          <w:color w:val="000000"/>
          <w:sz w:val="24"/>
          <w:szCs w:val="24"/>
        </w:rPr>
        <w:t>. (+)</w:t>
      </w:r>
      <w:r w:rsidR="00055994" w:rsidRPr="009455E4">
        <w:rPr>
          <w:color w:val="000000"/>
          <w:sz w:val="24"/>
          <w:szCs w:val="24"/>
        </w:rPr>
        <w:noBreakHyphen/>
      </w:r>
      <w:proofErr w:type="spellStart"/>
      <w:r w:rsidR="00055994" w:rsidRPr="009455E4">
        <w:rPr>
          <w:color w:val="000000"/>
          <w:sz w:val="24"/>
          <w:szCs w:val="24"/>
        </w:rPr>
        <w:t>enantiomeren</w:t>
      </w:r>
      <w:proofErr w:type="spellEnd"/>
      <w:r w:rsidR="00055994" w:rsidRPr="00A4686C">
        <w:rPr>
          <w:color w:val="000000"/>
          <w:sz w:val="24"/>
          <w:szCs w:val="24"/>
        </w:rPr>
        <w:t xml:space="preserve"> af </w:t>
      </w:r>
      <w:proofErr w:type="spellStart"/>
      <w:r w:rsidR="00055994" w:rsidRPr="00A4686C">
        <w:rPr>
          <w:color w:val="000000"/>
          <w:sz w:val="24"/>
          <w:szCs w:val="24"/>
        </w:rPr>
        <w:t>tramadol</w:t>
      </w:r>
      <w:proofErr w:type="spellEnd"/>
      <w:r w:rsidR="00055994" w:rsidRPr="00A4686C">
        <w:rPr>
          <w:color w:val="000000"/>
          <w:sz w:val="24"/>
          <w:szCs w:val="24"/>
        </w:rPr>
        <w:t xml:space="preserve"> har en lav affinitet for µ</w:t>
      </w:r>
      <w:r w:rsidR="00055994" w:rsidRPr="00A4686C">
        <w:rPr>
          <w:color w:val="000000"/>
          <w:sz w:val="24"/>
          <w:szCs w:val="24"/>
        </w:rPr>
        <w:noBreakHyphen/>
      </w:r>
      <w:proofErr w:type="spellStart"/>
      <w:r w:rsidR="00055994" w:rsidRPr="00A4686C">
        <w:rPr>
          <w:color w:val="000000"/>
          <w:sz w:val="24"/>
          <w:szCs w:val="24"/>
        </w:rPr>
        <w:t>opioidreceptorer</w:t>
      </w:r>
      <w:proofErr w:type="spellEnd"/>
      <w:r w:rsidR="00055994" w:rsidRPr="00A4686C">
        <w:rPr>
          <w:color w:val="000000"/>
          <w:sz w:val="24"/>
          <w:szCs w:val="24"/>
        </w:rPr>
        <w:t xml:space="preserve">, hæmmer </w:t>
      </w:r>
      <w:proofErr w:type="spellStart"/>
      <w:r w:rsidR="00055994" w:rsidRPr="00A4686C">
        <w:rPr>
          <w:color w:val="000000"/>
          <w:sz w:val="24"/>
          <w:szCs w:val="24"/>
        </w:rPr>
        <w:t>serotoninoptagelsen</w:t>
      </w:r>
      <w:proofErr w:type="spellEnd"/>
      <w:r w:rsidR="00055994" w:rsidRPr="00A4686C">
        <w:rPr>
          <w:color w:val="000000"/>
          <w:sz w:val="24"/>
          <w:szCs w:val="24"/>
        </w:rPr>
        <w:t xml:space="preserve"> og øger dets frigivelsen. (</w:t>
      </w:r>
      <w:r w:rsidR="00055994" w:rsidRPr="00A4686C">
        <w:rPr>
          <w:sz w:val="24"/>
          <w:szCs w:val="24"/>
        </w:rPr>
        <w:noBreakHyphen/>
      </w:r>
      <w:r w:rsidR="00055994" w:rsidRPr="00A4686C">
        <w:rPr>
          <w:color w:val="000000"/>
          <w:sz w:val="24"/>
          <w:szCs w:val="24"/>
        </w:rPr>
        <w:t>)</w:t>
      </w:r>
      <w:r w:rsidR="00055994" w:rsidRPr="00A4686C">
        <w:rPr>
          <w:color w:val="000000"/>
          <w:sz w:val="24"/>
          <w:szCs w:val="24"/>
        </w:rPr>
        <w:noBreakHyphen/>
      </w:r>
      <w:proofErr w:type="spellStart"/>
      <w:r w:rsidR="00055994" w:rsidRPr="00A4686C">
        <w:rPr>
          <w:color w:val="000000"/>
          <w:sz w:val="24"/>
          <w:szCs w:val="24"/>
        </w:rPr>
        <w:t>enantiomeren</w:t>
      </w:r>
      <w:proofErr w:type="spellEnd"/>
      <w:r w:rsidR="00055994" w:rsidRPr="00A4686C">
        <w:rPr>
          <w:color w:val="000000"/>
          <w:sz w:val="24"/>
          <w:szCs w:val="24"/>
        </w:rPr>
        <w:t xml:space="preserve"> hæmmer fortrinsvist genoptagelsen af noradrenalin. </w:t>
      </w:r>
      <w:proofErr w:type="spellStart"/>
      <w:r w:rsidR="00055994" w:rsidRPr="00A4686C">
        <w:rPr>
          <w:color w:val="000000"/>
          <w:sz w:val="24"/>
          <w:szCs w:val="24"/>
        </w:rPr>
        <w:t>Metabolitten</w:t>
      </w:r>
      <w:proofErr w:type="spellEnd"/>
      <w:r w:rsidR="00055994" w:rsidRPr="00A4686C">
        <w:rPr>
          <w:color w:val="000000"/>
          <w:sz w:val="24"/>
          <w:szCs w:val="24"/>
        </w:rPr>
        <w:t xml:space="preserve"> O</w:t>
      </w:r>
      <w:r w:rsidR="00055994" w:rsidRPr="00A4686C">
        <w:rPr>
          <w:color w:val="000000"/>
          <w:sz w:val="24"/>
          <w:szCs w:val="24"/>
        </w:rPr>
        <w:noBreakHyphen/>
      </w:r>
      <w:proofErr w:type="spellStart"/>
      <w:r w:rsidR="00055994" w:rsidRPr="00A4686C">
        <w:rPr>
          <w:color w:val="000000"/>
          <w:sz w:val="24"/>
          <w:szCs w:val="24"/>
        </w:rPr>
        <w:t>desmethyltramadol</w:t>
      </w:r>
      <w:proofErr w:type="spellEnd"/>
      <w:r w:rsidR="00055994" w:rsidRPr="00A4686C">
        <w:rPr>
          <w:color w:val="000000"/>
          <w:sz w:val="24"/>
          <w:szCs w:val="24"/>
        </w:rPr>
        <w:t xml:space="preserve"> (M1) har en større affinitet for µ</w:t>
      </w:r>
      <w:r w:rsidR="00055994" w:rsidRPr="00A4686C">
        <w:rPr>
          <w:color w:val="000000"/>
          <w:sz w:val="24"/>
          <w:szCs w:val="24"/>
        </w:rPr>
        <w:noBreakHyphen/>
      </w:r>
      <w:proofErr w:type="spellStart"/>
      <w:r w:rsidR="00055994" w:rsidRPr="00A4686C">
        <w:rPr>
          <w:color w:val="000000"/>
          <w:sz w:val="24"/>
          <w:szCs w:val="24"/>
        </w:rPr>
        <w:t>opioidreceptorerne</w:t>
      </w:r>
      <w:proofErr w:type="spellEnd"/>
      <w:r w:rsidR="00055994" w:rsidRPr="00A4686C">
        <w:rPr>
          <w:color w:val="000000"/>
          <w:sz w:val="24"/>
          <w:szCs w:val="24"/>
        </w:rPr>
        <w:t>.</w:t>
      </w:r>
    </w:p>
    <w:p w14:paraId="06F0507B" w14:textId="07683FC2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 xml:space="preserve">Til forskel fra morfin er </w:t>
      </w:r>
      <w:proofErr w:type="spellStart"/>
      <w:r w:rsidR="00055994" w:rsidRPr="00A4686C">
        <w:rPr>
          <w:sz w:val="24"/>
          <w:szCs w:val="24"/>
        </w:rPr>
        <w:t>tramadol</w:t>
      </w:r>
      <w:proofErr w:type="spellEnd"/>
      <w:r w:rsidR="00055994" w:rsidRPr="00A4686C">
        <w:rPr>
          <w:sz w:val="24"/>
          <w:szCs w:val="24"/>
        </w:rPr>
        <w:t xml:space="preserve"> ikke respirationsdepressivt i et bredt </w:t>
      </w:r>
      <w:proofErr w:type="spellStart"/>
      <w:r w:rsidR="00055994" w:rsidRPr="00A4686C">
        <w:rPr>
          <w:sz w:val="24"/>
          <w:szCs w:val="24"/>
        </w:rPr>
        <w:t>analgetisk</w:t>
      </w:r>
      <w:proofErr w:type="spellEnd"/>
      <w:r w:rsidR="00055994" w:rsidRPr="00A4686C">
        <w:rPr>
          <w:sz w:val="24"/>
          <w:szCs w:val="24"/>
        </w:rPr>
        <w:t xml:space="preserve"> dosisinterval. På samme måde påvirker det ikke den </w:t>
      </w:r>
      <w:proofErr w:type="spellStart"/>
      <w:r w:rsidR="00055994" w:rsidRPr="00A4686C">
        <w:rPr>
          <w:sz w:val="24"/>
          <w:szCs w:val="24"/>
        </w:rPr>
        <w:t>gastrointestinale</w:t>
      </w:r>
      <w:proofErr w:type="spellEnd"/>
      <w:r w:rsidR="00055994" w:rsidRPr="00A4686C">
        <w:rPr>
          <w:sz w:val="24"/>
          <w:szCs w:val="24"/>
        </w:rPr>
        <w:t xml:space="preserve"> </w:t>
      </w:r>
      <w:proofErr w:type="spellStart"/>
      <w:r w:rsidR="00055994" w:rsidRPr="00A4686C">
        <w:rPr>
          <w:sz w:val="24"/>
          <w:szCs w:val="24"/>
        </w:rPr>
        <w:t>motilitet</w:t>
      </w:r>
      <w:proofErr w:type="spellEnd"/>
      <w:r w:rsidR="00055994" w:rsidRPr="00A4686C">
        <w:rPr>
          <w:sz w:val="24"/>
          <w:szCs w:val="24"/>
        </w:rPr>
        <w:t xml:space="preserve">. Virkningen på det </w:t>
      </w:r>
      <w:proofErr w:type="spellStart"/>
      <w:r w:rsidR="00055994" w:rsidRPr="00A4686C">
        <w:rPr>
          <w:sz w:val="24"/>
          <w:szCs w:val="24"/>
        </w:rPr>
        <w:t>kardiovaskulære</w:t>
      </w:r>
      <w:proofErr w:type="spellEnd"/>
      <w:r w:rsidR="00055994" w:rsidRPr="00A4686C">
        <w:rPr>
          <w:sz w:val="24"/>
          <w:szCs w:val="24"/>
        </w:rPr>
        <w:t xml:space="preserve"> system har en tendens til at være let. Den </w:t>
      </w:r>
      <w:proofErr w:type="spellStart"/>
      <w:r w:rsidR="00055994" w:rsidRPr="00A4686C">
        <w:rPr>
          <w:sz w:val="24"/>
          <w:szCs w:val="24"/>
        </w:rPr>
        <w:t>analgetiske</w:t>
      </w:r>
      <w:proofErr w:type="spellEnd"/>
      <w:r w:rsidR="00055994" w:rsidRPr="00A4686C">
        <w:rPr>
          <w:sz w:val="24"/>
          <w:szCs w:val="24"/>
        </w:rPr>
        <w:t xml:space="preserve"> styrke af </w:t>
      </w:r>
      <w:proofErr w:type="spellStart"/>
      <w:r w:rsidR="00055994" w:rsidRPr="00A4686C">
        <w:rPr>
          <w:sz w:val="24"/>
          <w:szCs w:val="24"/>
        </w:rPr>
        <w:t>tramadol</w:t>
      </w:r>
      <w:proofErr w:type="spellEnd"/>
      <w:r w:rsidR="00055994" w:rsidRPr="00A4686C">
        <w:rPr>
          <w:sz w:val="24"/>
          <w:szCs w:val="24"/>
        </w:rPr>
        <w:t xml:space="preserve"> er ca. 1/10 til 1/6 af morfins styrke.</w:t>
      </w:r>
    </w:p>
    <w:p w14:paraId="51222D9C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73C9888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9455E4">
        <w:rPr>
          <w:b/>
          <w:sz w:val="24"/>
          <w:szCs w:val="24"/>
        </w:rPr>
        <w:t>5.2</w:t>
      </w:r>
      <w:r w:rsidRPr="009455E4">
        <w:rPr>
          <w:b/>
          <w:sz w:val="24"/>
          <w:szCs w:val="24"/>
        </w:rPr>
        <w:tab/>
      </w:r>
      <w:proofErr w:type="spellStart"/>
      <w:r w:rsidRPr="009455E4">
        <w:rPr>
          <w:b/>
          <w:sz w:val="24"/>
          <w:szCs w:val="24"/>
        </w:rPr>
        <w:t>Farmakokinetiske</w:t>
      </w:r>
      <w:proofErr w:type="spellEnd"/>
      <w:r w:rsidRPr="009455E4">
        <w:rPr>
          <w:b/>
          <w:sz w:val="24"/>
          <w:szCs w:val="24"/>
        </w:rPr>
        <w:t xml:space="preserve"> egenskaber</w:t>
      </w:r>
    </w:p>
    <w:p w14:paraId="38F2DE48" w14:textId="62B10E73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55994" w:rsidRPr="00A4686C">
        <w:rPr>
          <w:sz w:val="24"/>
          <w:szCs w:val="24"/>
        </w:rPr>
        <w:t>Tramadol</w:t>
      </w:r>
      <w:proofErr w:type="spellEnd"/>
      <w:r w:rsidR="00055994" w:rsidRPr="00A4686C">
        <w:rPr>
          <w:sz w:val="24"/>
          <w:szCs w:val="24"/>
        </w:rPr>
        <w:t xml:space="preserve"> absorberes let: Efter en enkelt oral administration af 4.4 mg </w:t>
      </w:r>
      <w:proofErr w:type="spellStart"/>
      <w:r w:rsidR="00055994" w:rsidRPr="00A4686C">
        <w:rPr>
          <w:sz w:val="24"/>
          <w:szCs w:val="24"/>
        </w:rPr>
        <w:t>tramadol</w:t>
      </w:r>
      <w:r w:rsidR="00730BA5">
        <w:rPr>
          <w:sz w:val="24"/>
          <w:szCs w:val="24"/>
        </w:rPr>
        <w:softHyphen/>
      </w:r>
      <w:r w:rsidR="00055994" w:rsidRPr="00A4686C">
        <w:rPr>
          <w:sz w:val="24"/>
          <w:szCs w:val="24"/>
        </w:rPr>
        <w:t>hydrochlorid</w:t>
      </w:r>
      <w:proofErr w:type="spellEnd"/>
      <w:r w:rsidR="00055994" w:rsidRPr="00A4686C">
        <w:rPr>
          <w:sz w:val="24"/>
          <w:szCs w:val="24"/>
        </w:rPr>
        <w:t xml:space="preserve"> pr. kg kropsvægt, opnås der maksimale plasmakoncentrationer på 65 </w:t>
      </w:r>
      <w:proofErr w:type="spellStart"/>
      <w:r w:rsidR="00055994" w:rsidRPr="00A4686C">
        <w:rPr>
          <w:sz w:val="24"/>
          <w:szCs w:val="24"/>
        </w:rPr>
        <w:t>ng</w:t>
      </w:r>
      <w:proofErr w:type="spellEnd"/>
      <w:r w:rsidR="00055994" w:rsidRPr="00A4686C">
        <w:rPr>
          <w:sz w:val="24"/>
          <w:szCs w:val="24"/>
        </w:rPr>
        <w:t xml:space="preserve"> </w:t>
      </w:r>
      <w:proofErr w:type="spellStart"/>
      <w:r w:rsidR="00055994" w:rsidRPr="00A4686C">
        <w:rPr>
          <w:sz w:val="24"/>
          <w:szCs w:val="24"/>
        </w:rPr>
        <w:t>tramadol</w:t>
      </w:r>
      <w:proofErr w:type="spellEnd"/>
      <w:r w:rsidR="00055994" w:rsidRPr="00A4686C">
        <w:rPr>
          <w:sz w:val="24"/>
          <w:szCs w:val="24"/>
        </w:rPr>
        <w:t xml:space="preserve"> pr. ml i løbet af 45 minutter. Foder påvirker ikke absorptionen af lægemidlet signifikant.</w:t>
      </w:r>
    </w:p>
    <w:p w14:paraId="58464ABE" w14:textId="52EF4858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55994" w:rsidRPr="00A4686C">
        <w:rPr>
          <w:sz w:val="24"/>
          <w:szCs w:val="24"/>
        </w:rPr>
        <w:t>Tramadol</w:t>
      </w:r>
      <w:proofErr w:type="spellEnd"/>
      <w:r w:rsidR="00055994" w:rsidRPr="00A4686C">
        <w:rPr>
          <w:sz w:val="24"/>
          <w:szCs w:val="24"/>
        </w:rPr>
        <w:t xml:space="preserve"> </w:t>
      </w:r>
      <w:proofErr w:type="spellStart"/>
      <w:r w:rsidR="00055994" w:rsidRPr="00A4686C">
        <w:rPr>
          <w:sz w:val="24"/>
          <w:szCs w:val="24"/>
        </w:rPr>
        <w:t>metaboliseres</w:t>
      </w:r>
      <w:proofErr w:type="spellEnd"/>
      <w:r w:rsidR="00055994" w:rsidRPr="00A4686C">
        <w:rPr>
          <w:sz w:val="24"/>
          <w:szCs w:val="24"/>
        </w:rPr>
        <w:t xml:space="preserve"> i leveren via </w:t>
      </w:r>
      <w:proofErr w:type="spellStart"/>
      <w:r w:rsidR="00055994" w:rsidRPr="00A4686C">
        <w:rPr>
          <w:sz w:val="24"/>
          <w:szCs w:val="24"/>
        </w:rPr>
        <w:t>cytokrom</w:t>
      </w:r>
      <w:proofErr w:type="spellEnd"/>
      <w:r w:rsidR="00055994" w:rsidRPr="00A4686C">
        <w:rPr>
          <w:sz w:val="24"/>
          <w:szCs w:val="24"/>
        </w:rPr>
        <w:t xml:space="preserve"> P450-medieret </w:t>
      </w:r>
      <w:proofErr w:type="spellStart"/>
      <w:r w:rsidR="00055994" w:rsidRPr="00A4686C">
        <w:rPr>
          <w:sz w:val="24"/>
          <w:szCs w:val="24"/>
        </w:rPr>
        <w:t>demethylering</w:t>
      </w:r>
      <w:proofErr w:type="spellEnd"/>
      <w:r w:rsidR="00055994" w:rsidRPr="00A4686C">
        <w:rPr>
          <w:sz w:val="24"/>
          <w:szCs w:val="24"/>
        </w:rPr>
        <w:t xml:space="preserve">, efterfulgt af </w:t>
      </w:r>
      <w:proofErr w:type="spellStart"/>
      <w:r w:rsidR="00055994" w:rsidRPr="00A4686C">
        <w:rPr>
          <w:sz w:val="24"/>
          <w:szCs w:val="24"/>
        </w:rPr>
        <w:t>konjugering</w:t>
      </w:r>
      <w:proofErr w:type="spellEnd"/>
      <w:r w:rsidR="00055994" w:rsidRPr="00A4686C">
        <w:rPr>
          <w:sz w:val="24"/>
          <w:szCs w:val="24"/>
        </w:rPr>
        <w:t xml:space="preserve"> med </w:t>
      </w:r>
      <w:proofErr w:type="spellStart"/>
      <w:r w:rsidR="00055994" w:rsidRPr="00A4686C">
        <w:rPr>
          <w:sz w:val="24"/>
          <w:szCs w:val="24"/>
        </w:rPr>
        <w:t>glukuronsyre</w:t>
      </w:r>
      <w:proofErr w:type="spellEnd"/>
      <w:r w:rsidR="00055994" w:rsidRPr="00A4686C">
        <w:rPr>
          <w:sz w:val="24"/>
          <w:szCs w:val="24"/>
        </w:rPr>
        <w:t xml:space="preserve">. Hos hunde dannes der lavere niveauer af den aktive </w:t>
      </w:r>
      <w:proofErr w:type="spellStart"/>
      <w:r w:rsidR="00055994" w:rsidRPr="00A4686C">
        <w:rPr>
          <w:sz w:val="24"/>
          <w:szCs w:val="24"/>
        </w:rPr>
        <w:t>metabolit</w:t>
      </w:r>
      <w:proofErr w:type="spellEnd"/>
      <w:r w:rsidR="00055994" w:rsidRPr="00A4686C">
        <w:rPr>
          <w:sz w:val="24"/>
          <w:szCs w:val="24"/>
        </w:rPr>
        <w:t>, O</w:t>
      </w:r>
      <w:r w:rsidR="00055994" w:rsidRPr="00A4686C">
        <w:rPr>
          <w:sz w:val="24"/>
          <w:szCs w:val="24"/>
        </w:rPr>
        <w:noBreakHyphen/>
      </w:r>
      <w:proofErr w:type="spellStart"/>
      <w:r w:rsidR="00055994" w:rsidRPr="00A4686C">
        <w:rPr>
          <w:sz w:val="24"/>
          <w:szCs w:val="24"/>
        </w:rPr>
        <w:t>desmethyltramadol</w:t>
      </w:r>
      <w:proofErr w:type="spellEnd"/>
      <w:r w:rsidR="00055994" w:rsidRPr="00A4686C">
        <w:rPr>
          <w:sz w:val="24"/>
          <w:szCs w:val="24"/>
        </w:rPr>
        <w:t>, sammenlignet med mennesker. Eliminationen finder primært sted via nyrerne, med en eliminationshalveringstid på ca. 0,5</w:t>
      </w:r>
      <w:r w:rsidR="00055994" w:rsidRPr="00A4686C">
        <w:rPr>
          <w:sz w:val="24"/>
          <w:szCs w:val="24"/>
        </w:rPr>
        <w:noBreakHyphen/>
        <w:t>2 timer.</w:t>
      </w:r>
    </w:p>
    <w:p w14:paraId="5776CC67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38C72C0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5.3</w:t>
      </w:r>
      <w:r w:rsidRPr="00A4686C">
        <w:rPr>
          <w:b/>
          <w:sz w:val="24"/>
          <w:szCs w:val="24"/>
        </w:rPr>
        <w:tab/>
        <w:t>Miljømæssige forhold</w:t>
      </w:r>
    </w:p>
    <w:p w14:paraId="3E1ACF5F" w14:textId="4EEA84C7" w:rsidR="005B0036" w:rsidRPr="00A4686C" w:rsidRDefault="009455E4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-</w:t>
      </w:r>
    </w:p>
    <w:p w14:paraId="25923C04" w14:textId="77777777" w:rsidR="005B0036" w:rsidRPr="00A4686C" w:rsidRDefault="005B0036" w:rsidP="00A4686C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76152A62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507F600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6.</w:t>
      </w:r>
      <w:r w:rsidRPr="00A4686C">
        <w:rPr>
          <w:b/>
          <w:sz w:val="24"/>
          <w:szCs w:val="24"/>
        </w:rPr>
        <w:tab/>
        <w:t>FARMACEUTISKE OPLYSNINGER</w:t>
      </w:r>
    </w:p>
    <w:p w14:paraId="3D753657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4B2875D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6.1</w:t>
      </w:r>
      <w:r w:rsidRPr="00A4686C">
        <w:rPr>
          <w:b/>
          <w:sz w:val="24"/>
          <w:szCs w:val="24"/>
        </w:rPr>
        <w:tab/>
        <w:t>Hjælpestoffer</w:t>
      </w:r>
    </w:p>
    <w:p w14:paraId="52D507F6" w14:textId="77777777" w:rsidR="00055994" w:rsidRPr="00A4686C" w:rsidRDefault="00055994" w:rsidP="009455E4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 xml:space="preserve">Cellulose, </w:t>
      </w:r>
      <w:proofErr w:type="spellStart"/>
      <w:r w:rsidRPr="00A4686C">
        <w:rPr>
          <w:sz w:val="24"/>
          <w:szCs w:val="24"/>
        </w:rPr>
        <w:t>mikrokrystallinsk</w:t>
      </w:r>
      <w:proofErr w:type="spellEnd"/>
    </w:p>
    <w:p w14:paraId="519F577C" w14:textId="77777777" w:rsidR="00055994" w:rsidRPr="00A4686C" w:rsidRDefault="00055994" w:rsidP="009455E4">
      <w:pPr>
        <w:ind w:left="851"/>
        <w:rPr>
          <w:color w:val="000000"/>
          <w:sz w:val="24"/>
          <w:szCs w:val="24"/>
        </w:rPr>
      </w:pPr>
      <w:r w:rsidRPr="00A4686C">
        <w:rPr>
          <w:color w:val="000000"/>
          <w:sz w:val="24"/>
          <w:szCs w:val="24"/>
        </w:rPr>
        <w:t xml:space="preserve">Stivelse, </w:t>
      </w:r>
      <w:proofErr w:type="spellStart"/>
      <w:r w:rsidRPr="00A4686C">
        <w:rPr>
          <w:color w:val="000000"/>
          <w:sz w:val="24"/>
          <w:szCs w:val="24"/>
        </w:rPr>
        <w:t>pregelatineret</w:t>
      </w:r>
      <w:proofErr w:type="spellEnd"/>
    </w:p>
    <w:p w14:paraId="68EC1832" w14:textId="77777777" w:rsidR="00055994" w:rsidRPr="00A4686C" w:rsidRDefault="00055994" w:rsidP="009455E4">
      <w:pPr>
        <w:ind w:left="851"/>
        <w:rPr>
          <w:sz w:val="24"/>
          <w:szCs w:val="24"/>
        </w:rPr>
      </w:pPr>
      <w:proofErr w:type="spellStart"/>
      <w:r w:rsidRPr="00A4686C">
        <w:rPr>
          <w:sz w:val="24"/>
          <w:szCs w:val="24"/>
        </w:rPr>
        <w:t>Saccharinnatrium</w:t>
      </w:r>
      <w:proofErr w:type="spellEnd"/>
    </w:p>
    <w:p w14:paraId="4469226F" w14:textId="77777777" w:rsidR="00055994" w:rsidRPr="00A4686C" w:rsidRDefault="00055994" w:rsidP="009455E4">
      <w:pPr>
        <w:ind w:left="851"/>
        <w:rPr>
          <w:sz w:val="24"/>
          <w:szCs w:val="24"/>
        </w:rPr>
      </w:pPr>
      <w:proofErr w:type="spellStart"/>
      <w:r w:rsidRPr="00A4686C">
        <w:rPr>
          <w:sz w:val="24"/>
          <w:szCs w:val="24"/>
        </w:rPr>
        <w:t>Natriumstivelsesglycolat</w:t>
      </w:r>
      <w:proofErr w:type="spellEnd"/>
      <w:r w:rsidRPr="00A4686C">
        <w:rPr>
          <w:sz w:val="24"/>
          <w:szCs w:val="24"/>
        </w:rPr>
        <w:t xml:space="preserve"> (type A)</w:t>
      </w:r>
    </w:p>
    <w:p w14:paraId="105AE839" w14:textId="77777777" w:rsidR="00055994" w:rsidRPr="00A4686C" w:rsidRDefault="00055994" w:rsidP="009455E4">
      <w:pPr>
        <w:ind w:left="851"/>
        <w:rPr>
          <w:sz w:val="24"/>
          <w:szCs w:val="24"/>
        </w:rPr>
      </w:pPr>
      <w:r w:rsidRPr="00A4686C">
        <w:rPr>
          <w:sz w:val="24"/>
          <w:szCs w:val="24"/>
        </w:rPr>
        <w:t>Kødsmag</w:t>
      </w:r>
    </w:p>
    <w:p w14:paraId="0A8B9BC4" w14:textId="77777777" w:rsidR="00055994" w:rsidRPr="00A4686C" w:rsidRDefault="00055994" w:rsidP="009455E4">
      <w:pPr>
        <w:ind w:left="851"/>
        <w:rPr>
          <w:sz w:val="24"/>
          <w:szCs w:val="24"/>
        </w:rPr>
      </w:pPr>
      <w:proofErr w:type="spellStart"/>
      <w:r w:rsidRPr="00A4686C">
        <w:rPr>
          <w:sz w:val="24"/>
          <w:szCs w:val="24"/>
        </w:rPr>
        <w:t>Silica</w:t>
      </w:r>
      <w:proofErr w:type="spellEnd"/>
      <w:r w:rsidRPr="00A4686C">
        <w:rPr>
          <w:sz w:val="24"/>
          <w:szCs w:val="24"/>
        </w:rPr>
        <w:t>, kolloid</w:t>
      </w:r>
    </w:p>
    <w:p w14:paraId="28E36580" w14:textId="77777777" w:rsidR="00055994" w:rsidRPr="00A4686C" w:rsidRDefault="00055994" w:rsidP="009455E4">
      <w:pPr>
        <w:ind w:left="851"/>
        <w:rPr>
          <w:sz w:val="24"/>
          <w:szCs w:val="24"/>
        </w:rPr>
      </w:pPr>
      <w:proofErr w:type="spellStart"/>
      <w:r w:rsidRPr="00A4686C">
        <w:rPr>
          <w:sz w:val="24"/>
          <w:szCs w:val="24"/>
        </w:rPr>
        <w:t>Magnesiumstearat</w:t>
      </w:r>
      <w:proofErr w:type="spellEnd"/>
    </w:p>
    <w:p w14:paraId="755606BE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04D92D9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6.2</w:t>
      </w:r>
      <w:r w:rsidRPr="00A4686C">
        <w:rPr>
          <w:b/>
          <w:sz w:val="24"/>
          <w:szCs w:val="24"/>
        </w:rPr>
        <w:tab/>
        <w:t>Uforligeligheder</w:t>
      </w:r>
    </w:p>
    <w:p w14:paraId="08DB55C3" w14:textId="74CCC445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Ikke relevant.</w:t>
      </w:r>
    </w:p>
    <w:p w14:paraId="22BB0907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C5610DB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6.3</w:t>
      </w:r>
      <w:r w:rsidRPr="00A4686C">
        <w:rPr>
          <w:b/>
          <w:sz w:val="24"/>
          <w:szCs w:val="24"/>
        </w:rPr>
        <w:tab/>
        <w:t>Opbevaringstid</w:t>
      </w:r>
    </w:p>
    <w:p w14:paraId="7B3205E4" w14:textId="6E92874C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I salgspakning: 2 år</w:t>
      </w:r>
    </w:p>
    <w:p w14:paraId="491905D9" w14:textId="065D4EBF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ab/>
      </w:r>
      <w:r w:rsidR="00055994" w:rsidRPr="00A4686C">
        <w:rPr>
          <w:color w:val="222222"/>
          <w:sz w:val="24"/>
          <w:szCs w:val="24"/>
          <w:shd w:val="clear" w:color="auto" w:fill="FFFFFF"/>
        </w:rPr>
        <w:t>Holdbarhed af delte tabletter: 3 dage.</w:t>
      </w:r>
    </w:p>
    <w:p w14:paraId="5E438986" w14:textId="63B3D489" w:rsidR="00B409C5" w:rsidRDefault="00B409C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4ED78A5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FFFBCBC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6.4</w:t>
      </w:r>
      <w:r w:rsidRPr="00A4686C">
        <w:rPr>
          <w:b/>
          <w:sz w:val="24"/>
          <w:szCs w:val="24"/>
        </w:rPr>
        <w:tab/>
        <w:t>Særlige opbevaringsforhold</w:t>
      </w:r>
    </w:p>
    <w:p w14:paraId="39F24F4C" w14:textId="44A2AAA9" w:rsidR="00055994" w:rsidRPr="00A4686C" w:rsidRDefault="009455E4" w:rsidP="00A4686C">
      <w:pPr>
        <w:tabs>
          <w:tab w:val="left" w:pos="1304"/>
        </w:tabs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="00055994" w:rsidRPr="00A4686C">
        <w:rPr>
          <w:noProof/>
          <w:sz w:val="24"/>
          <w:szCs w:val="24"/>
        </w:rPr>
        <w:t>Dette veterinærlægemiddel kræver ingen særlige forholdsregler vedrørende opbevaringen.</w:t>
      </w:r>
    </w:p>
    <w:p w14:paraId="023191DB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2B52E23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lastRenderedPageBreak/>
        <w:t>6.5</w:t>
      </w:r>
      <w:r w:rsidRPr="00A4686C">
        <w:rPr>
          <w:b/>
          <w:sz w:val="24"/>
          <w:szCs w:val="24"/>
        </w:rPr>
        <w:tab/>
        <w:t>Emballage</w:t>
      </w:r>
    </w:p>
    <w:p w14:paraId="5FA45EA9" w14:textId="2F79F4DB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Blisterkort af hvid PVC/PE/PVDC – aluminium.</w:t>
      </w:r>
    </w:p>
    <w:p w14:paraId="3FD0691D" w14:textId="77777777" w:rsidR="00055994" w:rsidRPr="00A4686C" w:rsidRDefault="00055994" w:rsidP="00A4686C">
      <w:pPr>
        <w:tabs>
          <w:tab w:val="left" w:pos="1304"/>
        </w:tabs>
        <w:ind w:left="851" w:hanging="851"/>
        <w:rPr>
          <w:sz w:val="24"/>
          <w:szCs w:val="24"/>
        </w:rPr>
      </w:pPr>
    </w:p>
    <w:p w14:paraId="395D50B5" w14:textId="74B338C4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Pakningsstørrelser:</w:t>
      </w:r>
    </w:p>
    <w:p w14:paraId="4BEDFB0E" w14:textId="1A95B4C9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Æske med 3 blisterkort med 10 tabletter.</w:t>
      </w:r>
    </w:p>
    <w:p w14:paraId="03C536FC" w14:textId="7C4546FA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Æske med 10 blisterkort med 10 tabletter.</w:t>
      </w:r>
    </w:p>
    <w:p w14:paraId="3FDB0E6E" w14:textId="08C0DB5C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Ikke alle pakningsstørrelser er nødvendigvis markedsført.</w:t>
      </w:r>
    </w:p>
    <w:p w14:paraId="17730FA2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42B6B88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6.6</w:t>
      </w:r>
      <w:r w:rsidRPr="00A4686C">
        <w:rPr>
          <w:b/>
          <w:sz w:val="24"/>
          <w:szCs w:val="24"/>
        </w:rPr>
        <w:tab/>
        <w:t>Særlige forholdsregler ved bortskaffelse af rester af lægemidlet eller affald</w:t>
      </w:r>
    </w:p>
    <w:p w14:paraId="5E024FAA" w14:textId="69AC19AF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 xml:space="preserve">Ikke anvendte veterinærlægemidler, samt affald heraf bør destrueres i henhold til lokale retningslinjer. </w:t>
      </w:r>
    </w:p>
    <w:p w14:paraId="3AB67A74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5847961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7.</w:t>
      </w:r>
      <w:r w:rsidRPr="00A4686C">
        <w:rPr>
          <w:b/>
          <w:sz w:val="24"/>
          <w:szCs w:val="24"/>
        </w:rPr>
        <w:tab/>
        <w:t>INDEHAVER AF MARKEDSFØRINGSTILLADELSEN</w:t>
      </w:r>
    </w:p>
    <w:p w14:paraId="64E3DAA0" w14:textId="73E8CE57" w:rsidR="00055994" w:rsidRPr="00A4686C" w:rsidRDefault="009455E4" w:rsidP="00A4686C">
      <w:pPr>
        <w:tabs>
          <w:tab w:val="left" w:pos="1304"/>
        </w:tabs>
        <w:ind w:left="851" w:hanging="851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55994" w:rsidRPr="00A4686C">
        <w:rPr>
          <w:sz w:val="24"/>
          <w:szCs w:val="24"/>
        </w:rPr>
        <w:t>Virbac</w:t>
      </w:r>
      <w:proofErr w:type="spellEnd"/>
      <w:r w:rsidR="00055994" w:rsidRPr="00A4686C">
        <w:rPr>
          <w:sz w:val="24"/>
          <w:szCs w:val="24"/>
        </w:rPr>
        <w:t xml:space="preserve"> </w:t>
      </w:r>
    </w:p>
    <w:p w14:paraId="14472B49" w14:textId="4540CC67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1</w:t>
      </w:r>
      <w:r w:rsidR="00055994" w:rsidRPr="00A4686C">
        <w:rPr>
          <w:sz w:val="24"/>
          <w:szCs w:val="24"/>
          <w:vertAlign w:val="superscript"/>
        </w:rPr>
        <w:t>ère</w:t>
      </w:r>
      <w:r w:rsidR="00055994" w:rsidRPr="00A4686C">
        <w:rPr>
          <w:sz w:val="24"/>
          <w:szCs w:val="24"/>
        </w:rPr>
        <w:t xml:space="preserve"> avenue 2065 m LID</w:t>
      </w:r>
    </w:p>
    <w:p w14:paraId="09543D01" w14:textId="61EE5B5D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 xml:space="preserve">06516 </w:t>
      </w:r>
      <w:proofErr w:type="spellStart"/>
      <w:r w:rsidR="00055994" w:rsidRPr="00A4686C">
        <w:rPr>
          <w:sz w:val="24"/>
          <w:szCs w:val="24"/>
        </w:rPr>
        <w:t>Carros</w:t>
      </w:r>
      <w:proofErr w:type="spellEnd"/>
    </w:p>
    <w:p w14:paraId="7FB50CA7" w14:textId="1033F7B9" w:rsidR="00055994" w:rsidRPr="00A4686C" w:rsidRDefault="009455E4" w:rsidP="00A4686C">
      <w:pPr>
        <w:tabs>
          <w:tab w:val="left" w:pos="1304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055994" w:rsidRPr="00A4686C">
        <w:rPr>
          <w:sz w:val="24"/>
          <w:szCs w:val="24"/>
        </w:rPr>
        <w:t>Frankrig</w:t>
      </w:r>
    </w:p>
    <w:p w14:paraId="6913623A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7AC3B04" w14:textId="77777777" w:rsidR="005B0036" w:rsidRPr="00A4686C" w:rsidRDefault="005B0036" w:rsidP="00A4686C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8.</w:t>
      </w:r>
      <w:r w:rsidRPr="00A4686C">
        <w:rPr>
          <w:b/>
          <w:sz w:val="24"/>
          <w:szCs w:val="24"/>
        </w:rPr>
        <w:tab/>
        <w:t>MARKEDSFØRINGSTILLADELSESNUMMER (NUMRE)</w:t>
      </w:r>
    </w:p>
    <w:p w14:paraId="1560CA2B" w14:textId="34B32E21" w:rsidR="005B0036" w:rsidRPr="00A4686C" w:rsidRDefault="009455E4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27833" w:rsidRPr="00A4686C">
        <w:rPr>
          <w:sz w:val="24"/>
          <w:szCs w:val="24"/>
        </w:rPr>
        <w:t>61871</w:t>
      </w:r>
    </w:p>
    <w:p w14:paraId="3D389290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E5B67F8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9.</w:t>
      </w:r>
      <w:r w:rsidRPr="00A4686C">
        <w:rPr>
          <w:b/>
          <w:sz w:val="24"/>
          <w:szCs w:val="24"/>
        </w:rPr>
        <w:tab/>
        <w:t>DATO FOR FØRSTE MARKEDSFØRINGSTILLADELSE</w:t>
      </w:r>
    </w:p>
    <w:p w14:paraId="53B05DC6" w14:textId="453FF8AA" w:rsidR="005B0036" w:rsidRPr="00A4686C" w:rsidRDefault="009455E4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409C5">
        <w:rPr>
          <w:sz w:val="24"/>
          <w:szCs w:val="24"/>
        </w:rPr>
        <w:t>3. september 2019</w:t>
      </w:r>
    </w:p>
    <w:p w14:paraId="300A561D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7966091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10.</w:t>
      </w:r>
      <w:r w:rsidRPr="00A4686C">
        <w:rPr>
          <w:b/>
          <w:sz w:val="24"/>
          <w:szCs w:val="24"/>
        </w:rPr>
        <w:tab/>
        <w:t>DATO FOR ÆNDRING AF TEKSTEN</w:t>
      </w:r>
    </w:p>
    <w:p w14:paraId="7F035FD5" w14:textId="0D037AE0" w:rsidR="005B0036" w:rsidRPr="00A4686C" w:rsidRDefault="009455E4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431125" w:rsidRPr="00A4686C">
        <w:rPr>
          <w:sz w:val="24"/>
          <w:szCs w:val="24"/>
        </w:rPr>
        <w:t>-</w:t>
      </w:r>
    </w:p>
    <w:p w14:paraId="3F806152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B2252D8" w14:textId="77777777" w:rsidR="005B0036" w:rsidRPr="00A4686C" w:rsidRDefault="005B0036" w:rsidP="00A4686C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A4686C">
        <w:rPr>
          <w:b/>
          <w:sz w:val="24"/>
          <w:szCs w:val="24"/>
        </w:rPr>
        <w:t>11.</w:t>
      </w:r>
      <w:r w:rsidRPr="00A4686C">
        <w:rPr>
          <w:b/>
          <w:sz w:val="24"/>
          <w:szCs w:val="24"/>
        </w:rPr>
        <w:tab/>
        <w:t>UDLEVERINGSBESTEMMELSE</w:t>
      </w:r>
    </w:p>
    <w:p w14:paraId="2ED0E9F5" w14:textId="598DAB74" w:rsidR="005B0036" w:rsidRPr="00A4686C" w:rsidRDefault="009455E4" w:rsidP="00A4686C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A4686C" w:rsidRPr="00A4686C">
        <w:rPr>
          <w:szCs w:val="24"/>
        </w:rPr>
        <w:t>A§4 (kopieringspligtigt)</w:t>
      </w:r>
    </w:p>
    <w:p w14:paraId="1FAC2C67" w14:textId="77777777" w:rsidR="0003527F" w:rsidRPr="00A4686C" w:rsidRDefault="0003527F" w:rsidP="00A4686C">
      <w:pPr>
        <w:ind w:left="851" w:hanging="851"/>
        <w:rPr>
          <w:sz w:val="24"/>
          <w:szCs w:val="24"/>
        </w:rPr>
      </w:pPr>
    </w:p>
    <w:sectPr w:rsidR="0003527F" w:rsidRPr="00A4686C" w:rsidSect="00C479B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C7B8C" w14:textId="77777777" w:rsidR="002166A4" w:rsidRDefault="002166A4">
      <w:r>
        <w:separator/>
      </w:r>
    </w:p>
  </w:endnote>
  <w:endnote w:type="continuationSeparator" w:id="0">
    <w:p w14:paraId="2797B3FF" w14:textId="77777777" w:rsidR="002166A4" w:rsidRDefault="0021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5A900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7A613C70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F5893EA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1144A">
      <w:rPr>
        <w:i/>
        <w:noProof/>
        <w:snapToGrid w:val="0"/>
        <w:sz w:val="18"/>
      </w:rPr>
      <w:t>Tramvetol, tabletter 50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460CF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460CF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C1B356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4A09D53D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6466DAF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A1144A">
      <w:rPr>
        <w:i/>
        <w:noProof/>
        <w:snapToGrid w:val="0"/>
        <w:sz w:val="18"/>
      </w:rPr>
      <w:t>Tramvetol, tabletter 50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A1144A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56E8F" w14:textId="77777777" w:rsidR="002166A4" w:rsidRDefault="002166A4">
      <w:r>
        <w:separator/>
      </w:r>
    </w:p>
  </w:footnote>
  <w:footnote w:type="continuationSeparator" w:id="0">
    <w:p w14:paraId="3A37AAAD" w14:textId="77777777" w:rsidR="002166A4" w:rsidRDefault="00216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D459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C2721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5211A"/>
    <w:multiLevelType w:val="hybridMultilevel"/>
    <w:tmpl w:val="E2FEC50A"/>
    <w:lvl w:ilvl="0" w:tplc="8F5658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56CA"/>
    <w:multiLevelType w:val="hybridMultilevel"/>
    <w:tmpl w:val="9432F1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A4"/>
    <w:rsid w:val="0003527F"/>
    <w:rsid w:val="00055994"/>
    <w:rsid w:val="00065C7D"/>
    <w:rsid w:val="000C6CD4"/>
    <w:rsid w:val="001577E4"/>
    <w:rsid w:val="00181B80"/>
    <w:rsid w:val="001858CA"/>
    <w:rsid w:val="001C4AEF"/>
    <w:rsid w:val="001D3CC5"/>
    <w:rsid w:val="002166A4"/>
    <w:rsid w:val="00322BDE"/>
    <w:rsid w:val="00327833"/>
    <w:rsid w:val="00406EE7"/>
    <w:rsid w:val="00407013"/>
    <w:rsid w:val="00431125"/>
    <w:rsid w:val="004A62CC"/>
    <w:rsid w:val="004B23B7"/>
    <w:rsid w:val="004B2DB7"/>
    <w:rsid w:val="00565A74"/>
    <w:rsid w:val="005B0036"/>
    <w:rsid w:val="005F5831"/>
    <w:rsid w:val="00662012"/>
    <w:rsid w:val="00666B01"/>
    <w:rsid w:val="006B1539"/>
    <w:rsid w:val="006F5621"/>
    <w:rsid w:val="00730BA5"/>
    <w:rsid w:val="007E2A00"/>
    <w:rsid w:val="008010F2"/>
    <w:rsid w:val="009202AE"/>
    <w:rsid w:val="009455E4"/>
    <w:rsid w:val="009D66C6"/>
    <w:rsid w:val="00A1144A"/>
    <w:rsid w:val="00A4686C"/>
    <w:rsid w:val="00A96525"/>
    <w:rsid w:val="00AE29E5"/>
    <w:rsid w:val="00AE5757"/>
    <w:rsid w:val="00B25EB8"/>
    <w:rsid w:val="00B409C5"/>
    <w:rsid w:val="00BC634B"/>
    <w:rsid w:val="00BF2AE0"/>
    <w:rsid w:val="00C479BF"/>
    <w:rsid w:val="00DD6D71"/>
    <w:rsid w:val="00DF32BE"/>
    <w:rsid w:val="00E14F0A"/>
    <w:rsid w:val="00E460CF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B295F4"/>
  <w15:chartTrackingRefBased/>
  <w15:docId w15:val="{CA0F879E-06F2-44A6-BD05-E6D02BA7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A46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SPC%20V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32</TotalTime>
  <Pages>6</Pages>
  <Words>1481</Words>
  <Characters>9516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2018110350+51, MT</dc:description>
  <cp:lastModifiedBy>Gitte Jørgensen</cp:lastModifiedBy>
  <cp:revision>9</cp:revision>
  <cp:lastPrinted>2019-09-03T06:35:00Z</cp:lastPrinted>
  <dcterms:created xsi:type="dcterms:W3CDTF">2019-08-30T08:56:00Z</dcterms:created>
  <dcterms:modified xsi:type="dcterms:W3CDTF">2019-09-03T06:36:00Z</dcterms:modified>
</cp:coreProperties>
</file>