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F62" w:rsidRPr="008F49E1" w:rsidRDefault="00087F62" w:rsidP="00087F62">
      <w:pPr>
        <w:rPr>
          <w:sz w:val="24"/>
          <w:szCs w:val="24"/>
        </w:rPr>
      </w:pPr>
      <w:r w:rsidRPr="005B0036">
        <w:rPr>
          <w:noProof/>
          <w:sz w:val="24"/>
          <w:szCs w:val="24"/>
          <w:lang w:eastAsia="da-DK"/>
        </w:rPr>
        <w:drawing>
          <wp:inline distT="0" distB="0" distL="0" distR="0" wp14:anchorId="43801BAF" wp14:editId="24B2E317">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087F62" w:rsidRDefault="00087F62" w:rsidP="00087F62">
      <w:pPr>
        <w:rPr>
          <w:sz w:val="24"/>
          <w:szCs w:val="24"/>
        </w:rPr>
      </w:pPr>
    </w:p>
    <w:p w:rsidR="00C2017D" w:rsidRPr="00C20AF7" w:rsidRDefault="00C2017D" w:rsidP="00087F62">
      <w:pPr>
        <w:rPr>
          <w:sz w:val="24"/>
          <w:szCs w:val="24"/>
        </w:rPr>
      </w:pPr>
    </w:p>
    <w:p w:rsidR="00087F62" w:rsidRPr="005E7A91" w:rsidRDefault="00087F62" w:rsidP="005E7A91">
      <w:pPr>
        <w:tabs>
          <w:tab w:val="right" w:pos="9356"/>
        </w:tabs>
        <w:rPr>
          <w:b/>
          <w:sz w:val="24"/>
          <w:szCs w:val="24"/>
        </w:rPr>
      </w:pPr>
      <w:r>
        <w:rPr>
          <w:b/>
          <w:sz w:val="24"/>
          <w:szCs w:val="24"/>
        </w:rPr>
        <w:tab/>
      </w:r>
      <w:r w:rsidR="00C2017D">
        <w:rPr>
          <w:b/>
          <w:sz w:val="24"/>
          <w:szCs w:val="24"/>
        </w:rPr>
        <w:t>30. oktober 2024</w:t>
      </w:r>
    </w:p>
    <w:p w:rsidR="00087F62" w:rsidRDefault="00087F62" w:rsidP="00842915">
      <w:pPr>
        <w:tabs>
          <w:tab w:val="left" w:pos="8222"/>
        </w:tabs>
        <w:rPr>
          <w:b/>
          <w:sz w:val="24"/>
          <w:szCs w:val="24"/>
        </w:rPr>
      </w:pPr>
    </w:p>
    <w:p w:rsidR="00087F62" w:rsidRDefault="00087F62" w:rsidP="00087F62">
      <w:pPr>
        <w:tabs>
          <w:tab w:val="left" w:pos="8222"/>
        </w:tabs>
        <w:jc w:val="center"/>
        <w:rPr>
          <w:b/>
          <w:sz w:val="24"/>
          <w:szCs w:val="24"/>
        </w:rPr>
      </w:pPr>
    </w:p>
    <w:p w:rsidR="00087F62" w:rsidRPr="00406EE7" w:rsidRDefault="00087F62" w:rsidP="00087F62">
      <w:pPr>
        <w:tabs>
          <w:tab w:val="left" w:pos="8222"/>
        </w:tabs>
        <w:jc w:val="center"/>
        <w:rPr>
          <w:b/>
          <w:sz w:val="24"/>
          <w:szCs w:val="24"/>
        </w:rPr>
      </w:pPr>
      <w:r w:rsidRPr="00406EE7">
        <w:rPr>
          <w:b/>
          <w:sz w:val="24"/>
          <w:szCs w:val="24"/>
        </w:rPr>
        <w:t>PRODUKTRESUMÉ</w:t>
      </w:r>
    </w:p>
    <w:p w:rsidR="00087F62" w:rsidRPr="00406EE7" w:rsidRDefault="00087F62" w:rsidP="00087F62">
      <w:pPr>
        <w:tabs>
          <w:tab w:val="left" w:pos="8222"/>
        </w:tabs>
        <w:jc w:val="center"/>
        <w:rPr>
          <w:b/>
          <w:sz w:val="24"/>
          <w:szCs w:val="24"/>
        </w:rPr>
      </w:pPr>
    </w:p>
    <w:p w:rsidR="00087F62" w:rsidRPr="00406EE7" w:rsidRDefault="00087F62" w:rsidP="00087F62">
      <w:pPr>
        <w:tabs>
          <w:tab w:val="left" w:pos="8222"/>
        </w:tabs>
        <w:jc w:val="center"/>
        <w:rPr>
          <w:b/>
          <w:sz w:val="24"/>
          <w:szCs w:val="24"/>
        </w:rPr>
      </w:pPr>
      <w:r w:rsidRPr="00406EE7">
        <w:rPr>
          <w:b/>
          <w:sz w:val="24"/>
          <w:szCs w:val="24"/>
        </w:rPr>
        <w:t>for</w:t>
      </w:r>
    </w:p>
    <w:p w:rsidR="00087F62" w:rsidRPr="00406EE7" w:rsidRDefault="00087F62" w:rsidP="00A10D5D">
      <w:pPr>
        <w:tabs>
          <w:tab w:val="left" w:pos="8222"/>
        </w:tabs>
        <w:rPr>
          <w:b/>
          <w:sz w:val="24"/>
          <w:szCs w:val="24"/>
        </w:rPr>
      </w:pPr>
    </w:p>
    <w:p w:rsidR="00087F62" w:rsidRPr="00565A74" w:rsidRDefault="00087F62" w:rsidP="00087F62">
      <w:pPr>
        <w:tabs>
          <w:tab w:val="left" w:pos="8222"/>
        </w:tabs>
        <w:jc w:val="center"/>
        <w:rPr>
          <w:b/>
          <w:sz w:val="24"/>
          <w:szCs w:val="24"/>
        </w:rPr>
      </w:pPr>
      <w:proofErr w:type="spellStart"/>
      <w:r>
        <w:rPr>
          <w:b/>
          <w:sz w:val="24"/>
          <w:szCs w:val="24"/>
        </w:rPr>
        <w:t>Trymox</w:t>
      </w:r>
      <w:proofErr w:type="spellEnd"/>
      <w:r>
        <w:rPr>
          <w:b/>
          <w:sz w:val="24"/>
          <w:szCs w:val="24"/>
        </w:rPr>
        <w:t xml:space="preserve"> </w:t>
      </w:r>
      <w:proofErr w:type="spellStart"/>
      <w:r>
        <w:rPr>
          <w:b/>
          <w:sz w:val="24"/>
          <w:szCs w:val="24"/>
        </w:rPr>
        <w:t>Vet</w:t>
      </w:r>
      <w:proofErr w:type="spellEnd"/>
      <w:r>
        <w:rPr>
          <w:b/>
          <w:sz w:val="24"/>
          <w:szCs w:val="24"/>
        </w:rPr>
        <w:t>., injektionsvæske, suspension</w:t>
      </w:r>
    </w:p>
    <w:p w:rsidR="00087F62" w:rsidRPr="00406EE7" w:rsidRDefault="00087F62" w:rsidP="00087F62">
      <w:pPr>
        <w:tabs>
          <w:tab w:val="left" w:pos="8222"/>
        </w:tabs>
        <w:jc w:val="both"/>
        <w:rPr>
          <w:sz w:val="24"/>
          <w:szCs w:val="24"/>
        </w:rPr>
      </w:pPr>
    </w:p>
    <w:p w:rsidR="00087F62" w:rsidRPr="00406EE7" w:rsidRDefault="00087F62" w:rsidP="00087F62">
      <w:pPr>
        <w:tabs>
          <w:tab w:val="left" w:pos="8222"/>
        </w:tabs>
        <w:jc w:val="both"/>
        <w:rPr>
          <w:sz w:val="24"/>
          <w:szCs w:val="24"/>
        </w:rPr>
      </w:pPr>
    </w:p>
    <w:p w:rsidR="00087F62" w:rsidRPr="00406EE7" w:rsidRDefault="00087F62" w:rsidP="00087F62">
      <w:pPr>
        <w:tabs>
          <w:tab w:val="left" w:pos="8222"/>
        </w:tabs>
        <w:ind w:left="851" w:hanging="851"/>
        <w:rPr>
          <w:b/>
          <w:sz w:val="24"/>
          <w:szCs w:val="24"/>
        </w:rPr>
      </w:pPr>
      <w:r w:rsidRPr="00406EE7">
        <w:rPr>
          <w:b/>
          <w:sz w:val="24"/>
          <w:szCs w:val="24"/>
        </w:rPr>
        <w:t>0.</w:t>
      </w:r>
      <w:r w:rsidRPr="00406EE7">
        <w:rPr>
          <w:b/>
          <w:sz w:val="24"/>
          <w:szCs w:val="24"/>
        </w:rPr>
        <w:tab/>
        <w:t>D.SP.NR</w:t>
      </w:r>
      <w:r>
        <w:rPr>
          <w:b/>
          <w:sz w:val="24"/>
          <w:szCs w:val="24"/>
        </w:rPr>
        <w:t>.</w:t>
      </w:r>
    </w:p>
    <w:p w:rsidR="00087F62" w:rsidRPr="00406EE7" w:rsidRDefault="00087F62" w:rsidP="00087F62">
      <w:pPr>
        <w:tabs>
          <w:tab w:val="left" w:pos="8222"/>
        </w:tabs>
        <w:ind w:left="851"/>
        <w:rPr>
          <w:sz w:val="24"/>
          <w:szCs w:val="24"/>
        </w:rPr>
      </w:pPr>
      <w:r>
        <w:rPr>
          <w:sz w:val="24"/>
          <w:szCs w:val="24"/>
        </w:rPr>
        <w:t>31126</w:t>
      </w:r>
    </w:p>
    <w:p w:rsidR="00087F62" w:rsidRPr="00406EE7" w:rsidRDefault="00087F62" w:rsidP="00087F62">
      <w:pPr>
        <w:tabs>
          <w:tab w:val="left" w:pos="8222"/>
        </w:tabs>
        <w:ind w:left="851"/>
        <w:rPr>
          <w:sz w:val="24"/>
          <w:szCs w:val="24"/>
        </w:rPr>
      </w:pPr>
    </w:p>
    <w:p w:rsidR="00087F62" w:rsidRPr="00406EE7" w:rsidRDefault="00087F62" w:rsidP="00087F62">
      <w:pPr>
        <w:tabs>
          <w:tab w:val="left" w:pos="8222"/>
        </w:tabs>
        <w:ind w:left="851" w:hanging="851"/>
        <w:rPr>
          <w:b/>
          <w:sz w:val="24"/>
          <w:szCs w:val="24"/>
        </w:rPr>
      </w:pPr>
      <w:r w:rsidRPr="00406EE7">
        <w:rPr>
          <w:b/>
          <w:sz w:val="24"/>
          <w:szCs w:val="24"/>
        </w:rPr>
        <w:t>1.</w:t>
      </w:r>
      <w:r w:rsidRPr="00406EE7">
        <w:rPr>
          <w:b/>
          <w:sz w:val="24"/>
          <w:szCs w:val="24"/>
        </w:rPr>
        <w:tab/>
        <w:t>VETERINÆRLÆGEMIDLETS NAVN</w:t>
      </w:r>
    </w:p>
    <w:p w:rsidR="002C4B06" w:rsidRDefault="002C4B06" w:rsidP="002C4B06">
      <w:pPr>
        <w:tabs>
          <w:tab w:val="left" w:pos="851"/>
        </w:tabs>
        <w:rPr>
          <w:sz w:val="22"/>
        </w:rPr>
      </w:pPr>
      <w:r>
        <w:tab/>
      </w:r>
      <w:proofErr w:type="spellStart"/>
      <w:r>
        <w:t>Trymox</w:t>
      </w:r>
      <w:proofErr w:type="spellEnd"/>
      <w:r>
        <w:t xml:space="preserve"> </w:t>
      </w:r>
      <w:proofErr w:type="spellStart"/>
      <w:r>
        <w:t>Vet</w:t>
      </w:r>
      <w:proofErr w:type="spellEnd"/>
      <w:r>
        <w:t>.</w:t>
      </w:r>
    </w:p>
    <w:p w:rsidR="002C4B06" w:rsidRDefault="002C4B06" w:rsidP="002C4B06">
      <w:pPr>
        <w:tabs>
          <w:tab w:val="left" w:pos="1304"/>
        </w:tabs>
        <w:rPr>
          <w:szCs w:val="22"/>
        </w:rPr>
      </w:pPr>
    </w:p>
    <w:p w:rsidR="002C4B06" w:rsidRDefault="002C4B06" w:rsidP="002C4B06">
      <w:pPr>
        <w:tabs>
          <w:tab w:val="left" w:pos="851"/>
        </w:tabs>
        <w:ind w:left="851"/>
        <w:rPr>
          <w:szCs w:val="22"/>
        </w:rPr>
      </w:pPr>
      <w:r>
        <w:rPr>
          <w:szCs w:val="22"/>
        </w:rPr>
        <w:t>Lægemiddelform: Injektionsvæske, suspension</w:t>
      </w:r>
    </w:p>
    <w:p w:rsidR="002C4B06" w:rsidRDefault="002C4B06" w:rsidP="002C4B06">
      <w:pPr>
        <w:tabs>
          <w:tab w:val="left" w:pos="851"/>
        </w:tabs>
        <w:ind w:left="851"/>
        <w:rPr>
          <w:szCs w:val="22"/>
        </w:rPr>
      </w:pPr>
      <w:r>
        <w:rPr>
          <w:szCs w:val="22"/>
        </w:rPr>
        <w:t>Styrke: 150 mg/ml</w:t>
      </w:r>
    </w:p>
    <w:p w:rsidR="002C4B06" w:rsidRDefault="002C4B06" w:rsidP="002C4B06">
      <w:pPr>
        <w:tabs>
          <w:tab w:val="left" w:pos="1304"/>
        </w:tabs>
        <w:rPr>
          <w:szCs w:val="22"/>
        </w:rPr>
      </w:pPr>
    </w:p>
    <w:p w:rsidR="002C4B06" w:rsidRDefault="002C4B06" w:rsidP="002C4B06">
      <w:pPr>
        <w:pStyle w:val="Style1"/>
        <w:ind w:left="851" w:hanging="851"/>
      </w:pPr>
      <w:r>
        <w:t>2.</w:t>
      </w:r>
      <w:r>
        <w:tab/>
        <w:t>KVALITATIV OG KVANTITATIV SAMMENSÆTNING</w:t>
      </w:r>
    </w:p>
    <w:p w:rsidR="002C4B06" w:rsidRDefault="002C4B06" w:rsidP="002C4B06">
      <w:pPr>
        <w:tabs>
          <w:tab w:val="left" w:pos="1304"/>
        </w:tabs>
        <w:rPr>
          <w:szCs w:val="22"/>
        </w:rPr>
      </w:pPr>
    </w:p>
    <w:p w:rsidR="002C4B06" w:rsidRDefault="002C4B06" w:rsidP="002C4B06">
      <w:pPr>
        <w:tabs>
          <w:tab w:val="left" w:pos="851"/>
        </w:tabs>
        <w:rPr>
          <w:bCs/>
          <w:szCs w:val="22"/>
        </w:rPr>
      </w:pPr>
      <w:r>
        <w:rPr>
          <w:bCs/>
          <w:szCs w:val="22"/>
        </w:rPr>
        <w:tab/>
      </w:r>
      <w:r>
        <w:rPr>
          <w:bCs/>
          <w:szCs w:val="22"/>
        </w:rPr>
        <w:t>Hver ml indeholder:</w:t>
      </w:r>
    </w:p>
    <w:p w:rsidR="002C4B06" w:rsidRDefault="002C4B06" w:rsidP="002C4B06">
      <w:pPr>
        <w:tabs>
          <w:tab w:val="left" w:pos="1304"/>
        </w:tabs>
        <w:rPr>
          <w:bCs/>
          <w:szCs w:val="22"/>
        </w:rPr>
      </w:pPr>
    </w:p>
    <w:p w:rsidR="002C4B06" w:rsidRDefault="002C4B06" w:rsidP="002C4B06">
      <w:pPr>
        <w:tabs>
          <w:tab w:val="left" w:pos="1304"/>
        </w:tabs>
        <w:ind w:firstLine="851"/>
        <w:rPr>
          <w:b/>
          <w:szCs w:val="22"/>
        </w:rPr>
      </w:pPr>
      <w:r>
        <w:rPr>
          <w:b/>
          <w:szCs w:val="22"/>
        </w:rPr>
        <w:t>Aktivt stof:</w:t>
      </w:r>
    </w:p>
    <w:p w:rsidR="002C4B06" w:rsidRDefault="002C4B06" w:rsidP="002C4B06">
      <w:pPr>
        <w:tabs>
          <w:tab w:val="left" w:pos="1304"/>
        </w:tabs>
        <w:ind w:firstLine="851"/>
        <w:rPr>
          <w:bCs/>
          <w:szCs w:val="22"/>
        </w:rPr>
      </w:pPr>
      <w:r>
        <w:rPr>
          <w:bCs/>
          <w:szCs w:val="22"/>
        </w:rPr>
        <w:t xml:space="preserve">150 mg </w:t>
      </w:r>
      <w:proofErr w:type="spellStart"/>
      <w:r>
        <w:rPr>
          <w:bCs/>
          <w:szCs w:val="22"/>
        </w:rPr>
        <w:t>amoxicillin</w:t>
      </w:r>
      <w:proofErr w:type="spellEnd"/>
      <w:r>
        <w:rPr>
          <w:bCs/>
          <w:szCs w:val="22"/>
        </w:rPr>
        <w:t xml:space="preserve"> svarende til 172 mg </w:t>
      </w:r>
      <w:proofErr w:type="spellStart"/>
      <w:r>
        <w:rPr>
          <w:bCs/>
          <w:szCs w:val="22"/>
        </w:rPr>
        <w:t>amoxicillintrihydrat</w:t>
      </w:r>
      <w:proofErr w:type="spellEnd"/>
      <w:r>
        <w:rPr>
          <w:bCs/>
          <w:szCs w:val="22"/>
        </w:rPr>
        <w:t>.</w:t>
      </w:r>
    </w:p>
    <w:p w:rsidR="002C4B06" w:rsidRDefault="002C4B06" w:rsidP="002C4B06">
      <w:pPr>
        <w:tabs>
          <w:tab w:val="left" w:pos="1304"/>
        </w:tabs>
        <w:ind w:firstLine="851"/>
        <w:rPr>
          <w:bCs/>
          <w:szCs w:val="22"/>
        </w:rPr>
      </w:pPr>
    </w:p>
    <w:p w:rsidR="002C4B06" w:rsidRDefault="002C4B06" w:rsidP="002C4B06">
      <w:pPr>
        <w:tabs>
          <w:tab w:val="left" w:pos="1304"/>
        </w:tabs>
        <w:ind w:firstLine="851"/>
        <w:rPr>
          <w:b/>
          <w:szCs w:val="22"/>
        </w:rPr>
      </w:pPr>
      <w:r>
        <w:rPr>
          <w:b/>
          <w:szCs w:val="22"/>
        </w:rPr>
        <w:t>Hjælpestoffer:</w:t>
      </w:r>
    </w:p>
    <w:p w:rsidR="002C4B06" w:rsidRDefault="002C4B06" w:rsidP="002C4B06">
      <w:pPr>
        <w:tabs>
          <w:tab w:val="left" w:pos="1304"/>
        </w:tabs>
        <w:rPr>
          <w:bCs/>
          <w:szCs w:val="22"/>
        </w:rPr>
      </w:pPr>
    </w:p>
    <w:tbl>
      <w:tblPr>
        <w:tblW w:w="4561"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3"/>
      </w:tblGrid>
      <w:tr w:rsidR="002C4B06" w:rsidTr="002C4B06">
        <w:tc>
          <w:tcPr>
            <w:tcW w:w="5000" w:type="pct"/>
            <w:tcBorders>
              <w:top w:val="single" w:sz="4" w:space="0" w:color="000000"/>
              <w:left w:val="single" w:sz="4" w:space="0" w:color="000000"/>
              <w:bottom w:val="single" w:sz="4" w:space="0" w:color="000000"/>
              <w:right w:val="single" w:sz="4" w:space="0" w:color="000000"/>
            </w:tcBorders>
            <w:vAlign w:val="center"/>
            <w:hideMark/>
          </w:tcPr>
          <w:p w:rsidR="002C4B06" w:rsidRDefault="002C4B06">
            <w:pPr>
              <w:spacing w:before="60" w:after="60"/>
              <w:rPr>
                <w:b/>
                <w:bCs/>
                <w:iCs/>
                <w:szCs w:val="22"/>
              </w:rPr>
            </w:pPr>
            <w:r>
              <w:rPr>
                <w:b/>
                <w:bCs/>
                <w:iCs/>
                <w:szCs w:val="22"/>
              </w:rPr>
              <w:t>Kvalitativ sammensætning af hjælpestoffer og andre bestanddele</w:t>
            </w:r>
          </w:p>
        </w:tc>
      </w:tr>
      <w:tr w:rsidR="002C4B06" w:rsidTr="002C4B06">
        <w:tc>
          <w:tcPr>
            <w:tcW w:w="5000" w:type="pct"/>
            <w:tcBorders>
              <w:top w:val="single" w:sz="4" w:space="0" w:color="000000"/>
              <w:left w:val="single" w:sz="4" w:space="0" w:color="000000"/>
              <w:bottom w:val="single" w:sz="4" w:space="0" w:color="000000"/>
              <w:right w:val="single" w:sz="4" w:space="0" w:color="000000"/>
            </w:tcBorders>
            <w:vAlign w:val="center"/>
            <w:hideMark/>
          </w:tcPr>
          <w:p w:rsidR="002C4B06" w:rsidRDefault="002C4B06">
            <w:pPr>
              <w:tabs>
                <w:tab w:val="left" w:pos="851"/>
                <w:tab w:val="left" w:pos="8222"/>
              </w:tabs>
              <w:rPr>
                <w:sz w:val="24"/>
                <w:szCs w:val="24"/>
              </w:rPr>
            </w:pPr>
            <w:proofErr w:type="spellStart"/>
            <w:r>
              <w:rPr>
                <w:sz w:val="24"/>
                <w:szCs w:val="24"/>
              </w:rPr>
              <w:t>Aluminiumdistearat</w:t>
            </w:r>
            <w:proofErr w:type="spellEnd"/>
          </w:p>
        </w:tc>
      </w:tr>
      <w:tr w:rsidR="002C4B06" w:rsidTr="002C4B06">
        <w:tc>
          <w:tcPr>
            <w:tcW w:w="5000" w:type="pct"/>
            <w:tcBorders>
              <w:top w:val="single" w:sz="4" w:space="0" w:color="000000"/>
              <w:left w:val="single" w:sz="4" w:space="0" w:color="000000"/>
              <w:bottom w:val="single" w:sz="4" w:space="0" w:color="000000"/>
              <w:right w:val="single" w:sz="4" w:space="0" w:color="000000"/>
            </w:tcBorders>
            <w:vAlign w:val="center"/>
            <w:hideMark/>
          </w:tcPr>
          <w:p w:rsidR="002C4B06" w:rsidRDefault="002C4B06">
            <w:pPr>
              <w:spacing w:before="60" w:after="60"/>
              <w:rPr>
                <w:iCs/>
                <w:sz w:val="22"/>
                <w:szCs w:val="22"/>
              </w:rPr>
            </w:pPr>
            <w:proofErr w:type="spellStart"/>
            <w:r>
              <w:rPr>
                <w:sz w:val="24"/>
                <w:szCs w:val="24"/>
              </w:rPr>
              <w:t>Propylenglycoldicaprylo-caprat</w:t>
            </w:r>
            <w:proofErr w:type="spellEnd"/>
          </w:p>
        </w:tc>
      </w:tr>
    </w:tbl>
    <w:p w:rsidR="002C4B06" w:rsidRDefault="002C4B06" w:rsidP="002C4B06">
      <w:pPr>
        <w:tabs>
          <w:tab w:val="left" w:pos="1304"/>
        </w:tabs>
        <w:rPr>
          <w:sz w:val="22"/>
          <w:szCs w:val="22"/>
        </w:rPr>
      </w:pPr>
    </w:p>
    <w:p w:rsidR="002C4B06" w:rsidRDefault="002C4B06" w:rsidP="002C4B06">
      <w:pPr>
        <w:tabs>
          <w:tab w:val="left" w:pos="851"/>
          <w:tab w:val="left" w:pos="8222"/>
        </w:tabs>
        <w:ind w:firstLine="851"/>
        <w:rPr>
          <w:sz w:val="24"/>
          <w:szCs w:val="24"/>
        </w:rPr>
      </w:pPr>
      <w:r>
        <w:rPr>
          <w:sz w:val="24"/>
          <w:szCs w:val="24"/>
        </w:rPr>
        <w:t>En hvid til råhvid, olieagtig suspension.</w:t>
      </w:r>
    </w:p>
    <w:p w:rsidR="002C4B06" w:rsidRDefault="002C4B06" w:rsidP="002C4B06">
      <w:pPr>
        <w:tabs>
          <w:tab w:val="left" w:pos="851"/>
          <w:tab w:val="left" w:pos="8222"/>
        </w:tabs>
        <w:rPr>
          <w:sz w:val="24"/>
          <w:szCs w:val="24"/>
        </w:rPr>
      </w:pPr>
    </w:p>
    <w:p w:rsidR="002C4B06" w:rsidRDefault="002C4B06" w:rsidP="002C4B06">
      <w:pPr>
        <w:tabs>
          <w:tab w:val="left" w:pos="1304"/>
        </w:tabs>
        <w:rPr>
          <w:sz w:val="22"/>
          <w:szCs w:val="22"/>
        </w:rPr>
      </w:pPr>
    </w:p>
    <w:p w:rsidR="002C4B06" w:rsidRDefault="002C4B06" w:rsidP="002C4B06">
      <w:pPr>
        <w:pStyle w:val="Style1"/>
        <w:ind w:left="851" w:hanging="851"/>
      </w:pPr>
      <w:r>
        <w:t>3.</w:t>
      </w:r>
      <w:r>
        <w:tab/>
        <w:t>KLINISKE OPLYSNINGER</w:t>
      </w:r>
    </w:p>
    <w:p w:rsidR="002C4B06" w:rsidRDefault="002C4B06" w:rsidP="002C4B06">
      <w:pPr>
        <w:tabs>
          <w:tab w:val="left" w:pos="1304"/>
        </w:tabs>
        <w:rPr>
          <w:szCs w:val="22"/>
        </w:rPr>
      </w:pPr>
    </w:p>
    <w:p w:rsidR="002C4B06" w:rsidRDefault="002C4B06" w:rsidP="002C4B06">
      <w:pPr>
        <w:pStyle w:val="Style1"/>
        <w:ind w:left="851" w:hanging="851"/>
      </w:pPr>
      <w:r>
        <w:t>3.1</w:t>
      </w:r>
      <w:r>
        <w:tab/>
        <w:t>Dyrearter, som lægemidlet er beregnet til</w:t>
      </w:r>
    </w:p>
    <w:p w:rsidR="002C4B06" w:rsidRDefault="002C4B06" w:rsidP="002C4B06">
      <w:pPr>
        <w:pStyle w:val="Style1"/>
        <w:rPr>
          <w:b w:val="0"/>
          <w:bCs/>
        </w:rPr>
      </w:pPr>
    </w:p>
    <w:p w:rsidR="002C4B06" w:rsidRDefault="002C4B06" w:rsidP="002C4B06">
      <w:pPr>
        <w:pStyle w:val="Style1"/>
        <w:ind w:left="851" w:firstLine="0"/>
        <w:rPr>
          <w:b w:val="0"/>
          <w:bCs/>
        </w:rPr>
      </w:pPr>
      <w:r>
        <w:rPr>
          <w:b w:val="0"/>
          <w:bCs/>
        </w:rPr>
        <w:t>Kvæg</w:t>
      </w:r>
      <w:r w:rsidRPr="002C4B06">
        <w:rPr>
          <w:b w:val="0"/>
          <w:bCs/>
        </w:rPr>
        <w:t>, får, svin,</w:t>
      </w:r>
      <w:r>
        <w:rPr>
          <w:b w:val="0"/>
          <w:bCs/>
        </w:rPr>
        <w:t xml:space="preserve"> hund, kat</w:t>
      </w:r>
    </w:p>
    <w:p w:rsidR="002C4B06" w:rsidRDefault="002C4B06" w:rsidP="002C4B06">
      <w:pPr>
        <w:tabs>
          <w:tab w:val="left" w:pos="1304"/>
        </w:tabs>
        <w:rPr>
          <w:szCs w:val="22"/>
        </w:rPr>
      </w:pPr>
    </w:p>
    <w:p w:rsidR="002C4B06" w:rsidRDefault="002C4B06" w:rsidP="002C4B06">
      <w:pPr>
        <w:pStyle w:val="Style1"/>
        <w:ind w:left="851" w:hanging="851"/>
      </w:pPr>
      <w:r>
        <w:t>3.2</w:t>
      </w:r>
      <w:r>
        <w:tab/>
        <w:t>Terapeutiske indikationer for hver dyreart, som lægemidlet er beregnet til</w:t>
      </w:r>
    </w:p>
    <w:p w:rsidR="002C4B06" w:rsidRDefault="002C4B06" w:rsidP="002C4B06">
      <w:pPr>
        <w:tabs>
          <w:tab w:val="left" w:pos="1304"/>
        </w:tabs>
        <w:rPr>
          <w:szCs w:val="22"/>
        </w:rPr>
      </w:pPr>
    </w:p>
    <w:p w:rsidR="002C4B06" w:rsidRDefault="002C4B06" w:rsidP="002C4B06">
      <w:pPr>
        <w:tabs>
          <w:tab w:val="left" w:pos="1304"/>
        </w:tabs>
        <w:ind w:left="851"/>
      </w:pPr>
      <w:r>
        <w:t xml:space="preserve">Til behandling af infektioner i fordøjelseskanalen, luftvejene, urogenitale kanaler, hud og blødt væv forårsaget af bakterier, der er modtagelige for </w:t>
      </w:r>
      <w:proofErr w:type="spellStart"/>
      <w:r>
        <w:t>amoxicillin</w:t>
      </w:r>
      <w:proofErr w:type="spellEnd"/>
      <w:r>
        <w:t>.</w:t>
      </w:r>
    </w:p>
    <w:p w:rsidR="002C4B06" w:rsidRDefault="002C4B06" w:rsidP="002C4B06">
      <w:pPr>
        <w:tabs>
          <w:tab w:val="left" w:pos="1304"/>
        </w:tabs>
      </w:pPr>
    </w:p>
    <w:p w:rsidR="002C4B06" w:rsidRDefault="002C4B06" w:rsidP="002C4B06">
      <w:pPr>
        <w:pStyle w:val="Style1"/>
        <w:ind w:left="851" w:hanging="851"/>
      </w:pPr>
      <w:r>
        <w:t>3.3</w:t>
      </w:r>
      <w:r>
        <w:tab/>
        <w:t>Kontraindikationer</w:t>
      </w:r>
    </w:p>
    <w:p w:rsidR="002C4B06" w:rsidRDefault="002C4B06" w:rsidP="002C4B06">
      <w:pPr>
        <w:tabs>
          <w:tab w:val="left" w:pos="1304"/>
        </w:tabs>
        <w:rPr>
          <w:szCs w:val="22"/>
        </w:rPr>
      </w:pPr>
    </w:p>
    <w:p w:rsidR="002C4B06" w:rsidRDefault="002C4B06" w:rsidP="002C4B06">
      <w:pPr>
        <w:tabs>
          <w:tab w:val="left" w:pos="1304"/>
        </w:tabs>
        <w:ind w:left="851"/>
      </w:pPr>
      <w:r>
        <w:t xml:space="preserve">Må ikke benyttes via intravenøse eller </w:t>
      </w:r>
      <w:proofErr w:type="spellStart"/>
      <w:r>
        <w:t>intratekale</w:t>
      </w:r>
      <w:proofErr w:type="spellEnd"/>
      <w:r>
        <w:t xml:space="preserve"> ruter.</w:t>
      </w:r>
    </w:p>
    <w:p w:rsidR="002C4B06" w:rsidRDefault="002C4B06" w:rsidP="002C4B06">
      <w:pPr>
        <w:tabs>
          <w:tab w:val="left" w:pos="1304"/>
        </w:tabs>
        <w:ind w:left="851"/>
      </w:pPr>
    </w:p>
    <w:p w:rsidR="002C4B06" w:rsidRDefault="002C4B06" w:rsidP="002C4B06">
      <w:pPr>
        <w:tabs>
          <w:tab w:val="left" w:pos="1304"/>
        </w:tabs>
        <w:ind w:left="851"/>
      </w:pPr>
      <w:r>
        <w:t>Må ikke benyttes på kaniner, hamstre, ørkenrotter eller marsvin.</w:t>
      </w:r>
    </w:p>
    <w:p w:rsidR="002C4B06" w:rsidRDefault="002C4B06" w:rsidP="002C4B06">
      <w:pPr>
        <w:tabs>
          <w:tab w:val="left" w:pos="1304"/>
        </w:tabs>
        <w:ind w:left="851"/>
      </w:pPr>
      <w:r>
        <w:tab/>
      </w:r>
    </w:p>
    <w:p w:rsidR="002C4B06" w:rsidRDefault="002C4B06" w:rsidP="002C4B06">
      <w:pPr>
        <w:tabs>
          <w:tab w:val="left" w:pos="1304"/>
        </w:tabs>
        <w:ind w:left="851"/>
      </w:pPr>
      <w:r>
        <w:t>Må ikke anvendes i tilfælde af overfølsomhed over for det aktive stof eller overfor et eller flere af hjælpestofferne.</w:t>
      </w:r>
    </w:p>
    <w:p w:rsidR="002C4B06" w:rsidRDefault="002C4B06" w:rsidP="002C4B06">
      <w:pPr>
        <w:tabs>
          <w:tab w:val="left" w:pos="1304"/>
        </w:tabs>
      </w:pPr>
    </w:p>
    <w:p w:rsidR="002C4B06" w:rsidRDefault="002C4B06" w:rsidP="002C4B06">
      <w:pPr>
        <w:pStyle w:val="Style1"/>
        <w:ind w:left="851" w:hanging="851"/>
      </w:pPr>
      <w:r>
        <w:t>3.4</w:t>
      </w:r>
      <w:r>
        <w:tab/>
        <w:t>Særlige advarsler</w:t>
      </w:r>
    </w:p>
    <w:p w:rsidR="002C4B06" w:rsidRDefault="002C4B06" w:rsidP="002C4B06">
      <w:pPr>
        <w:tabs>
          <w:tab w:val="left" w:pos="1304"/>
        </w:tabs>
        <w:rPr>
          <w:szCs w:val="22"/>
        </w:rPr>
      </w:pPr>
    </w:p>
    <w:p w:rsidR="002C4B06" w:rsidRDefault="002C4B06" w:rsidP="002C4B06">
      <w:pPr>
        <w:tabs>
          <w:tab w:val="left" w:pos="1304"/>
        </w:tabs>
        <w:ind w:left="851"/>
      </w:pPr>
      <w:r>
        <w:t>Veterinærlægemidlet er ikke effektivt mod beta-</w:t>
      </w:r>
      <w:proofErr w:type="spellStart"/>
      <w:r>
        <w:t>lactamase</w:t>
      </w:r>
      <w:proofErr w:type="spellEnd"/>
      <w:r>
        <w:t>-producerende organismer.</w:t>
      </w:r>
    </w:p>
    <w:p w:rsidR="002C4B06" w:rsidRDefault="002C4B06" w:rsidP="002C4B06">
      <w:pPr>
        <w:tabs>
          <w:tab w:val="left" w:pos="1304"/>
        </w:tabs>
        <w:ind w:left="851"/>
      </w:pPr>
      <w:r>
        <w:t xml:space="preserve">Fuld krydsresistens er blevet påvist mellem </w:t>
      </w:r>
      <w:proofErr w:type="spellStart"/>
      <w:r>
        <w:t>amoxicillin</w:t>
      </w:r>
      <w:proofErr w:type="spellEnd"/>
      <w:r>
        <w:t xml:space="preserve"> og andre penicilliner, især aminopenicilliner.</w:t>
      </w:r>
    </w:p>
    <w:p w:rsidR="002C4B06" w:rsidRDefault="002C4B06" w:rsidP="002C4B06">
      <w:pPr>
        <w:tabs>
          <w:tab w:val="left" w:pos="1304"/>
        </w:tabs>
        <w:ind w:left="851"/>
      </w:pPr>
      <w:r>
        <w:t>Anvendelse af veterinærlægemidlet/</w:t>
      </w:r>
      <w:proofErr w:type="spellStart"/>
      <w:r>
        <w:t>amoxicillin</w:t>
      </w:r>
      <w:proofErr w:type="spellEnd"/>
      <w:r>
        <w:t xml:space="preserve"> bør overvejes omhyggeligt, når en antimikrobiel følsomhedstest har vist resistens overfor penicilliner, fordi dets effektivitet kan reduceres.</w:t>
      </w:r>
    </w:p>
    <w:p w:rsidR="002C4B06" w:rsidRDefault="002C4B06" w:rsidP="002C4B06">
      <w:pPr>
        <w:tabs>
          <w:tab w:val="left" w:pos="1304"/>
        </w:tabs>
        <w:rPr>
          <w:szCs w:val="22"/>
        </w:rPr>
      </w:pPr>
    </w:p>
    <w:p w:rsidR="002C4B06" w:rsidRDefault="002C4B06" w:rsidP="002C4B06">
      <w:pPr>
        <w:pStyle w:val="Style1"/>
        <w:ind w:left="851" w:hanging="851"/>
      </w:pPr>
      <w:r>
        <w:t>3.5</w:t>
      </w:r>
      <w:r>
        <w:tab/>
        <w:t>Særlige forholdsregler vedrørende brugen</w:t>
      </w:r>
    </w:p>
    <w:p w:rsidR="002C4B06" w:rsidRDefault="002C4B06" w:rsidP="002C4B06">
      <w:pPr>
        <w:tabs>
          <w:tab w:val="left" w:pos="1304"/>
        </w:tabs>
        <w:rPr>
          <w:szCs w:val="22"/>
        </w:rPr>
      </w:pPr>
    </w:p>
    <w:p w:rsidR="002C4B06" w:rsidRDefault="002C4B06" w:rsidP="002C4B06">
      <w:pPr>
        <w:tabs>
          <w:tab w:val="left" w:pos="1304"/>
        </w:tabs>
        <w:ind w:left="851"/>
        <w:rPr>
          <w:szCs w:val="22"/>
          <w:u w:val="single"/>
        </w:rPr>
      </w:pPr>
      <w:r>
        <w:rPr>
          <w:szCs w:val="22"/>
          <w:u w:val="single"/>
        </w:rPr>
        <w:t>Særlige forholdsregler vedrørende sikker brug hos de dyrearter, som lægemidlet er beregnet til:</w:t>
      </w:r>
    </w:p>
    <w:p w:rsidR="002C4B06" w:rsidRDefault="002C4B06" w:rsidP="002C4B06">
      <w:pPr>
        <w:tabs>
          <w:tab w:val="left" w:pos="1304"/>
        </w:tabs>
        <w:ind w:left="851"/>
        <w:rPr>
          <w:szCs w:val="22"/>
        </w:rPr>
      </w:pPr>
    </w:p>
    <w:p w:rsidR="002C4B06" w:rsidRDefault="002C4B06" w:rsidP="002C4B06">
      <w:pPr>
        <w:tabs>
          <w:tab w:val="left" w:pos="1304"/>
        </w:tabs>
        <w:ind w:left="851"/>
      </w:pPr>
      <w:r>
        <w:t>Anvendelse af veterinærlægemidlet skal baseres på følsomhedsprøvning af de bakterier, der er isoleret fra dyret. Hvis dette ikke er muligt, bør terapi baseres på lokale (regionale, gårdniveau) epidemiologiske informationer om målbakteriernes modtagelighed.</w:t>
      </w:r>
    </w:p>
    <w:p w:rsidR="002C4B06" w:rsidRDefault="002C4B06" w:rsidP="002C4B06">
      <w:pPr>
        <w:tabs>
          <w:tab w:val="left" w:pos="1304"/>
        </w:tabs>
        <w:ind w:left="851"/>
      </w:pPr>
      <w:r>
        <w:t>Der skal tages hensyn til officielle, nationale og regionale antimikrobielle politikker, når veterinærlægemidlet anvendes.</w:t>
      </w:r>
    </w:p>
    <w:p w:rsidR="002C4B06" w:rsidRDefault="002C4B06" w:rsidP="002C4B06">
      <w:pPr>
        <w:tabs>
          <w:tab w:val="left" w:pos="1304"/>
        </w:tabs>
        <w:ind w:left="851"/>
      </w:pPr>
      <w:r>
        <w:t xml:space="preserve">Anvendelse af veterinærlægemidlet, der afviger fra instruktionerne i produktresuméet, kan øge forekomsten af bakterier, der er resistente overfor </w:t>
      </w:r>
      <w:proofErr w:type="spellStart"/>
      <w:r>
        <w:t>amoxicillin</w:t>
      </w:r>
      <w:proofErr w:type="spellEnd"/>
      <w:r>
        <w:t>, og kan nedsætte effektiviteten af behandlingen med andre penicilliner på grund af muligheden for krydsresistens.</w:t>
      </w:r>
    </w:p>
    <w:p w:rsidR="002C4B06" w:rsidRDefault="002C4B06" w:rsidP="002C4B06">
      <w:pPr>
        <w:tabs>
          <w:tab w:val="left" w:pos="1304"/>
        </w:tabs>
        <w:ind w:left="851"/>
        <w:rPr>
          <w:szCs w:val="22"/>
        </w:rPr>
      </w:pPr>
    </w:p>
    <w:p w:rsidR="002C4B06" w:rsidRDefault="002C4B06" w:rsidP="002C4B06">
      <w:pPr>
        <w:tabs>
          <w:tab w:val="left" w:pos="1304"/>
        </w:tabs>
        <w:ind w:left="851"/>
        <w:rPr>
          <w:szCs w:val="22"/>
          <w:u w:val="single"/>
        </w:rPr>
      </w:pPr>
      <w:r>
        <w:rPr>
          <w:szCs w:val="22"/>
          <w:u w:val="single"/>
        </w:rPr>
        <w:t>Særlige forholdsregler for personer, der administrerer veterinærlægemidlet til dyr:</w:t>
      </w:r>
    </w:p>
    <w:p w:rsidR="002C4B06" w:rsidRDefault="002C4B06" w:rsidP="002C4B06">
      <w:pPr>
        <w:tabs>
          <w:tab w:val="left" w:pos="1304"/>
        </w:tabs>
        <w:ind w:left="851"/>
        <w:rPr>
          <w:szCs w:val="22"/>
        </w:rPr>
      </w:pPr>
    </w:p>
    <w:p w:rsidR="002C4B06" w:rsidRDefault="002C4B06" w:rsidP="002C4B06">
      <w:pPr>
        <w:tabs>
          <w:tab w:val="left" w:pos="1304"/>
        </w:tabs>
        <w:ind w:left="851"/>
      </w:pPr>
      <w:r>
        <w:t>Undgå utilsigtet selvinjektion. I tilfælde af utilsigtet selvinjektion ved hændeligt uheld skal der straks søges lægehjælp og indlægssedlen eller etiketten bør vises til lægen.</w:t>
      </w:r>
    </w:p>
    <w:p w:rsidR="002C4B06" w:rsidRDefault="002C4B06" w:rsidP="002C4B06">
      <w:pPr>
        <w:tabs>
          <w:tab w:val="left" w:pos="1304"/>
        </w:tabs>
        <w:ind w:left="851"/>
      </w:pPr>
    </w:p>
    <w:p w:rsidR="002C4B06" w:rsidRDefault="002C4B06" w:rsidP="002C4B06">
      <w:pPr>
        <w:tabs>
          <w:tab w:val="left" w:pos="851"/>
          <w:tab w:val="left" w:pos="993"/>
          <w:tab w:val="left" w:pos="1304"/>
        </w:tabs>
        <w:ind w:left="851"/>
      </w:pPr>
      <w:r>
        <w:t xml:space="preserve">Penicilliner og </w:t>
      </w:r>
      <w:proofErr w:type="spellStart"/>
      <w:r>
        <w:t>cefalosporiner</w:t>
      </w:r>
      <w:proofErr w:type="spellEnd"/>
      <w:r>
        <w:t xml:space="preserve"> kan forårsage overfølsomhed (allergi) efter injektion, indånding, indtagelse eller hudkontakt. Overfølsomhed overfor penicilliner kan føre til krydsreaktioner overfor </w:t>
      </w:r>
      <w:proofErr w:type="spellStart"/>
      <w:r>
        <w:t>cefalosporiner</w:t>
      </w:r>
      <w:proofErr w:type="spellEnd"/>
      <w:r>
        <w:t xml:space="preserve"> og omvendt. Allergiske reaktioner på disse stoffer kan lejlighedsvis være alvorlige.</w:t>
      </w:r>
    </w:p>
    <w:p w:rsidR="002C4B06" w:rsidRDefault="002C4B06" w:rsidP="002C4B06">
      <w:pPr>
        <w:tabs>
          <w:tab w:val="left" w:pos="851"/>
          <w:tab w:val="left" w:pos="993"/>
          <w:tab w:val="left" w:pos="1304"/>
        </w:tabs>
      </w:pPr>
    </w:p>
    <w:p w:rsidR="002C4B06" w:rsidRDefault="002C4B06" w:rsidP="002C4B06">
      <w:pPr>
        <w:pStyle w:val="Listeafsnit"/>
        <w:numPr>
          <w:ilvl w:val="0"/>
          <w:numId w:val="5"/>
        </w:numPr>
        <w:tabs>
          <w:tab w:val="left" w:pos="851"/>
          <w:tab w:val="left" w:pos="1418"/>
        </w:tabs>
        <w:ind w:left="1418" w:hanging="567"/>
      </w:pPr>
      <w:r>
        <w:t xml:space="preserve">Ved overfølsomhed over for penicilliner og </w:t>
      </w:r>
      <w:proofErr w:type="spellStart"/>
      <w:r>
        <w:t>cefalosporiner</w:t>
      </w:r>
      <w:proofErr w:type="spellEnd"/>
      <w:r>
        <w:t xml:space="preserve"> bør kontakt med </w:t>
      </w:r>
      <w:r>
        <w:rPr>
          <w:szCs w:val="22"/>
        </w:rPr>
        <w:t>veterinær</w:t>
      </w:r>
      <w:r>
        <w:t>lægemidlet undgås.</w:t>
      </w:r>
    </w:p>
    <w:p w:rsidR="002C4B06" w:rsidRDefault="002C4B06" w:rsidP="002C4B06">
      <w:pPr>
        <w:pStyle w:val="Listeafsnit"/>
        <w:numPr>
          <w:ilvl w:val="0"/>
          <w:numId w:val="5"/>
        </w:numPr>
        <w:tabs>
          <w:tab w:val="left" w:pos="851"/>
          <w:tab w:val="left" w:pos="1418"/>
        </w:tabs>
        <w:ind w:left="1418" w:hanging="567"/>
      </w:pPr>
      <w:r>
        <w:rPr>
          <w:b/>
        </w:rPr>
        <w:t xml:space="preserve">Håndter dette veterinærlægemiddel med stor påpasselighed for at undgå </w:t>
      </w:r>
      <w:r>
        <w:rPr>
          <w:b/>
        </w:rPr>
        <w:t xml:space="preserve">    </w:t>
      </w:r>
      <w:r>
        <w:rPr>
          <w:b/>
        </w:rPr>
        <w:t>eksponering, og overhold alle anbefalede forholdsregler.</w:t>
      </w:r>
    </w:p>
    <w:p w:rsidR="002C4B06" w:rsidRDefault="002C4B06" w:rsidP="002C4B06">
      <w:pPr>
        <w:tabs>
          <w:tab w:val="left" w:pos="1418"/>
          <w:tab w:val="left" w:pos="1560"/>
        </w:tabs>
        <w:ind w:left="567" w:firstLine="284"/>
      </w:pPr>
      <w:r>
        <w:t>3.</w:t>
      </w:r>
      <w:r>
        <w:tab/>
        <w:t xml:space="preserve">Hvis du udvikler symptomer efter eksponering såsom hududslæt, skal du straks søge </w:t>
      </w:r>
      <w:r>
        <w:tab/>
        <w:t xml:space="preserve">lægehjælp og indlægssedlen eller etiketten bør vises til lægen. Hævelse af ansigt, læber </w:t>
      </w:r>
      <w:r>
        <w:tab/>
        <w:t xml:space="preserve">eller øjne eller vejrtrækningsbesvær er mere alvorlige symptomer og kræver akut </w:t>
      </w:r>
      <w:r>
        <w:tab/>
        <w:t>lægehjælp.</w:t>
      </w:r>
    </w:p>
    <w:p w:rsidR="002C4B06" w:rsidRDefault="002C4B06" w:rsidP="002C4B06">
      <w:pPr>
        <w:tabs>
          <w:tab w:val="left" w:pos="1304"/>
        </w:tabs>
        <w:ind w:firstLine="284"/>
      </w:pPr>
    </w:p>
    <w:p w:rsidR="002C4B06" w:rsidRDefault="002C4B06" w:rsidP="002C4B06">
      <w:pPr>
        <w:tabs>
          <w:tab w:val="left" w:pos="1304"/>
        </w:tabs>
        <w:ind w:firstLine="851"/>
      </w:pPr>
      <w:r>
        <w:t>Vask hænder efter brug.</w:t>
      </w:r>
    </w:p>
    <w:p w:rsidR="002C4B06" w:rsidRDefault="002C4B06" w:rsidP="002C4B06">
      <w:pPr>
        <w:tabs>
          <w:tab w:val="left" w:pos="1304"/>
        </w:tabs>
        <w:ind w:firstLine="851"/>
      </w:pPr>
    </w:p>
    <w:p w:rsidR="002C4B06" w:rsidRDefault="002C4B06" w:rsidP="002C4B06">
      <w:pPr>
        <w:tabs>
          <w:tab w:val="left" w:pos="1304"/>
        </w:tabs>
        <w:ind w:firstLine="851"/>
        <w:rPr>
          <w:szCs w:val="22"/>
          <w:u w:val="single"/>
        </w:rPr>
      </w:pPr>
      <w:r>
        <w:rPr>
          <w:szCs w:val="22"/>
          <w:u w:val="single"/>
        </w:rPr>
        <w:lastRenderedPageBreak/>
        <w:t>Særlige forholdsregler vedrørende beskyttelse af miljøet:</w:t>
      </w:r>
    </w:p>
    <w:p w:rsidR="002C4B06" w:rsidRDefault="002C4B06" w:rsidP="002C4B06">
      <w:pPr>
        <w:tabs>
          <w:tab w:val="left" w:pos="1304"/>
        </w:tabs>
        <w:ind w:firstLine="851"/>
        <w:rPr>
          <w:szCs w:val="22"/>
        </w:rPr>
      </w:pPr>
    </w:p>
    <w:p w:rsidR="002C4B06" w:rsidRDefault="002C4B06" w:rsidP="002C4B06">
      <w:pPr>
        <w:tabs>
          <w:tab w:val="left" w:pos="1304"/>
        </w:tabs>
        <w:ind w:firstLine="851"/>
        <w:rPr>
          <w:szCs w:val="22"/>
        </w:rPr>
      </w:pPr>
      <w:r>
        <w:t>Ikke relevant.</w:t>
      </w:r>
    </w:p>
    <w:p w:rsidR="002C4B06" w:rsidRDefault="002C4B06" w:rsidP="002C4B06">
      <w:pPr>
        <w:tabs>
          <w:tab w:val="left" w:pos="1304"/>
        </w:tabs>
        <w:rPr>
          <w:szCs w:val="22"/>
        </w:rPr>
      </w:pPr>
    </w:p>
    <w:p w:rsidR="002C4B06" w:rsidRDefault="002C4B06" w:rsidP="002C4B06">
      <w:pPr>
        <w:pStyle w:val="Style1"/>
        <w:ind w:left="851" w:hanging="851"/>
      </w:pPr>
      <w:r>
        <w:t>3.6</w:t>
      </w:r>
      <w:r>
        <w:tab/>
        <w:t>Bivirkninger</w:t>
      </w:r>
    </w:p>
    <w:p w:rsidR="002C4B06" w:rsidRDefault="002C4B06" w:rsidP="002C4B06">
      <w:pPr>
        <w:tabs>
          <w:tab w:val="left" w:pos="1304"/>
        </w:tabs>
        <w:rPr>
          <w:szCs w:val="22"/>
        </w:rPr>
      </w:pPr>
    </w:p>
    <w:p w:rsidR="002C4B06" w:rsidRDefault="002C4B06" w:rsidP="002C4B06">
      <w:pPr>
        <w:pStyle w:val="Style1"/>
        <w:ind w:firstLine="284"/>
        <w:rPr>
          <w:b w:val="0"/>
          <w:bCs/>
        </w:rPr>
      </w:pPr>
      <w:r>
        <w:rPr>
          <w:b w:val="0"/>
          <w:bCs/>
        </w:rPr>
        <w:t>Kvæg, får, svin, hund, kat:</w:t>
      </w:r>
    </w:p>
    <w:p w:rsidR="002C4B06" w:rsidRDefault="002C4B06" w:rsidP="002C4B06">
      <w:pPr>
        <w:rPr>
          <w:szCs w:val="22"/>
        </w:rPr>
      </w:pP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4673"/>
      </w:tblGrid>
      <w:tr w:rsidR="002C4B06" w:rsidTr="002C4B06">
        <w:tc>
          <w:tcPr>
            <w:tcW w:w="2340" w:type="pct"/>
            <w:tcBorders>
              <w:top w:val="single" w:sz="4" w:space="0" w:color="auto"/>
              <w:left w:val="single" w:sz="4" w:space="0" w:color="auto"/>
              <w:bottom w:val="single" w:sz="4" w:space="0" w:color="auto"/>
              <w:right w:val="single" w:sz="4" w:space="0" w:color="auto"/>
            </w:tcBorders>
            <w:hideMark/>
          </w:tcPr>
          <w:p w:rsidR="002C4B06" w:rsidRDefault="002C4B06">
            <w:pPr>
              <w:spacing w:before="60" w:after="60"/>
              <w:rPr>
                <w:szCs w:val="22"/>
              </w:rPr>
            </w:pPr>
            <w:r>
              <w:t>Sjælden</w:t>
            </w:r>
          </w:p>
          <w:p w:rsidR="002C4B06" w:rsidRDefault="002C4B06">
            <w:pPr>
              <w:spacing w:before="60" w:after="60"/>
              <w:rPr>
                <w:szCs w:val="22"/>
              </w:rPr>
            </w:pPr>
            <w:r>
              <w:t>(1 til 10 dyr ud af 10.000 behandlede dyr):</w:t>
            </w:r>
          </w:p>
        </w:tc>
        <w:tc>
          <w:tcPr>
            <w:tcW w:w="2660" w:type="pct"/>
            <w:tcBorders>
              <w:top w:val="single" w:sz="4" w:space="0" w:color="auto"/>
              <w:left w:val="single" w:sz="4" w:space="0" w:color="auto"/>
              <w:bottom w:val="single" w:sz="4" w:space="0" w:color="auto"/>
              <w:right w:val="single" w:sz="4" w:space="0" w:color="auto"/>
            </w:tcBorders>
            <w:vAlign w:val="center"/>
            <w:hideMark/>
          </w:tcPr>
          <w:p w:rsidR="002C4B06" w:rsidRDefault="002C4B06">
            <w:pPr>
              <w:spacing w:before="60" w:after="60"/>
              <w:rPr>
                <w:iCs/>
                <w:szCs w:val="22"/>
              </w:rPr>
            </w:pPr>
            <w:r>
              <w:rPr>
                <w:sz w:val="24"/>
                <w:szCs w:val="24"/>
              </w:rPr>
              <w:t>Irritation som følge af injektionen</w:t>
            </w:r>
            <w:r>
              <w:rPr>
                <w:sz w:val="24"/>
                <w:szCs w:val="24"/>
                <w:vertAlign w:val="superscript"/>
              </w:rPr>
              <w:t>1</w:t>
            </w:r>
          </w:p>
        </w:tc>
      </w:tr>
      <w:tr w:rsidR="002C4B06" w:rsidTr="002C4B06">
        <w:tc>
          <w:tcPr>
            <w:tcW w:w="2340" w:type="pct"/>
            <w:tcBorders>
              <w:top w:val="single" w:sz="4" w:space="0" w:color="auto"/>
              <w:left w:val="single" w:sz="4" w:space="0" w:color="auto"/>
              <w:bottom w:val="single" w:sz="4" w:space="0" w:color="auto"/>
              <w:right w:val="single" w:sz="4" w:space="0" w:color="auto"/>
            </w:tcBorders>
            <w:hideMark/>
          </w:tcPr>
          <w:p w:rsidR="002C4B06" w:rsidRDefault="002C4B06">
            <w:pPr>
              <w:spacing w:before="60" w:after="60"/>
              <w:rPr>
                <w:szCs w:val="22"/>
              </w:rPr>
            </w:pPr>
            <w:r>
              <w:t>Meget sjælden</w:t>
            </w:r>
          </w:p>
          <w:p w:rsidR="002C4B06" w:rsidRDefault="002C4B06">
            <w:pPr>
              <w:spacing w:before="60" w:after="60"/>
              <w:rPr>
                <w:szCs w:val="22"/>
              </w:rPr>
            </w:pPr>
            <w:r>
              <w:t>(&lt; 1 dyr ud af 10.000 behandlede dyr, herunder enkeltstående indberetninger):</w:t>
            </w:r>
          </w:p>
        </w:tc>
        <w:tc>
          <w:tcPr>
            <w:tcW w:w="2660" w:type="pct"/>
            <w:tcBorders>
              <w:top w:val="single" w:sz="4" w:space="0" w:color="auto"/>
              <w:left w:val="single" w:sz="4" w:space="0" w:color="auto"/>
              <w:bottom w:val="single" w:sz="4" w:space="0" w:color="auto"/>
              <w:right w:val="single" w:sz="4" w:space="0" w:color="auto"/>
            </w:tcBorders>
            <w:vAlign w:val="center"/>
            <w:hideMark/>
          </w:tcPr>
          <w:p w:rsidR="002C4B06" w:rsidRDefault="002C4B06">
            <w:pPr>
              <w:spacing w:before="60" w:after="60"/>
              <w:rPr>
                <w:iCs/>
                <w:szCs w:val="22"/>
              </w:rPr>
            </w:pPr>
            <w:r>
              <w:rPr>
                <w:sz w:val="24"/>
                <w:szCs w:val="24"/>
              </w:rPr>
              <w:t>Allergisk reaktion</w:t>
            </w:r>
            <w:r>
              <w:t xml:space="preserve"> (f.eks. </w:t>
            </w:r>
            <w:proofErr w:type="spellStart"/>
            <w:r>
              <w:rPr>
                <w:sz w:val="24"/>
                <w:szCs w:val="24"/>
              </w:rPr>
              <w:t>anafylaktisk</w:t>
            </w:r>
            <w:proofErr w:type="spellEnd"/>
            <w:r>
              <w:rPr>
                <w:sz w:val="24"/>
                <w:szCs w:val="24"/>
              </w:rPr>
              <w:t xml:space="preserve"> chok og </w:t>
            </w:r>
            <w:proofErr w:type="spellStart"/>
            <w:r>
              <w:rPr>
                <w:sz w:val="24"/>
                <w:szCs w:val="24"/>
              </w:rPr>
              <w:t>urticaria</w:t>
            </w:r>
            <w:proofErr w:type="spellEnd"/>
            <w:r>
              <w:rPr>
                <w:sz w:val="24"/>
                <w:szCs w:val="24"/>
              </w:rPr>
              <w:t xml:space="preserve">) </w:t>
            </w:r>
            <w:r>
              <w:rPr>
                <w:sz w:val="24"/>
                <w:szCs w:val="24"/>
                <w:vertAlign w:val="superscript"/>
              </w:rPr>
              <w:t>2,3</w:t>
            </w:r>
          </w:p>
        </w:tc>
      </w:tr>
    </w:tbl>
    <w:p w:rsidR="002C4B06" w:rsidRDefault="002C4B06" w:rsidP="002C4B06">
      <w:pPr>
        <w:tabs>
          <w:tab w:val="left" w:pos="851"/>
          <w:tab w:val="left" w:pos="8222"/>
        </w:tabs>
        <w:ind w:left="851"/>
        <w:rPr>
          <w:sz w:val="18"/>
          <w:szCs w:val="18"/>
        </w:rPr>
      </w:pPr>
      <w:bookmarkStart w:id="0" w:name="_Hlk66891708"/>
      <w:r>
        <w:rPr>
          <w:sz w:val="18"/>
          <w:szCs w:val="18"/>
          <w:vertAlign w:val="superscript"/>
        </w:rPr>
        <w:t xml:space="preserve">1 </w:t>
      </w:r>
      <w:r>
        <w:rPr>
          <w:sz w:val="18"/>
          <w:szCs w:val="18"/>
        </w:rPr>
        <w:t>Typisk med lav intensitet og forsvinder spontant og hurtigt. Hyppigheden kan nedsættes ved at reducere indsprøjtningsvolumen pr. injektionssted.</w:t>
      </w:r>
    </w:p>
    <w:p w:rsidR="002C4B06" w:rsidRDefault="002C4B06" w:rsidP="002C4B06">
      <w:pPr>
        <w:tabs>
          <w:tab w:val="left" w:pos="851"/>
          <w:tab w:val="left" w:pos="8222"/>
        </w:tabs>
        <w:ind w:left="851"/>
        <w:rPr>
          <w:sz w:val="18"/>
          <w:szCs w:val="18"/>
        </w:rPr>
      </w:pPr>
      <w:r>
        <w:rPr>
          <w:sz w:val="18"/>
          <w:szCs w:val="18"/>
          <w:vertAlign w:val="superscript"/>
        </w:rPr>
        <w:t>2</w:t>
      </w:r>
      <w:r>
        <w:rPr>
          <w:sz w:val="18"/>
          <w:szCs w:val="18"/>
        </w:rPr>
        <w:t xml:space="preserve"> Behandlingen skal ophøre, og symptomatisk behandling bør indledes. </w:t>
      </w:r>
    </w:p>
    <w:p w:rsidR="002C4B06" w:rsidRDefault="002C4B06" w:rsidP="002C4B06">
      <w:pPr>
        <w:tabs>
          <w:tab w:val="left" w:pos="851"/>
          <w:tab w:val="left" w:pos="8222"/>
        </w:tabs>
        <w:ind w:left="851"/>
        <w:rPr>
          <w:sz w:val="18"/>
          <w:szCs w:val="18"/>
        </w:rPr>
      </w:pPr>
      <w:r>
        <w:rPr>
          <w:sz w:val="18"/>
          <w:szCs w:val="18"/>
          <w:vertAlign w:val="superscript"/>
        </w:rPr>
        <w:t>3</w:t>
      </w:r>
      <w:r>
        <w:rPr>
          <w:sz w:val="18"/>
          <w:szCs w:val="18"/>
        </w:rPr>
        <w:t xml:space="preserve"> Varierende i sværhedsgrad</w:t>
      </w:r>
    </w:p>
    <w:p w:rsidR="002C4B06" w:rsidRDefault="002C4B06" w:rsidP="002C4B06">
      <w:pPr>
        <w:rPr>
          <w:sz w:val="22"/>
        </w:rPr>
      </w:pPr>
    </w:p>
    <w:p w:rsidR="002C4B06" w:rsidRDefault="002C4B06" w:rsidP="002C4B06">
      <w:pPr>
        <w:ind w:left="851"/>
      </w:pPr>
      <w: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afsnit 16 i indlægssedlen for de relevante kontaktoplysninger.</w:t>
      </w:r>
    </w:p>
    <w:bookmarkEnd w:id="0"/>
    <w:p w:rsidR="002C4B06" w:rsidRDefault="002C4B06" w:rsidP="002C4B06">
      <w:pPr>
        <w:tabs>
          <w:tab w:val="left" w:pos="1304"/>
        </w:tabs>
        <w:rPr>
          <w:szCs w:val="22"/>
        </w:rPr>
      </w:pPr>
    </w:p>
    <w:p w:rsidR="002C4B06" w:rsidRDefault="002C4B06" w:rsidP="002C4B06">
      <w:pPr>
        <w:pStyle w:val="Style1"/>
        <w:ind w:left="851" w:hanging="851"/>
      </w:pPr>
      <w:r>
        <w:t>3.7</w:t>
      </w:r>
      <w:r>
        <w:tab/>
        <w:t>Anvendelse under drægtighed, laktation eller æglægning</w:t>
      </w:r>
    </w:p>
    <w:p w:rsidR="002C4B06" w:rsidRDefault="002C4B06" w:rsidP="002C4B06">
      <w:pPr>
        <w:tabs>
          <w:tab w:val="left" w:pos="1304"/>
        </w:tabs>
        <w:rPr>
          <w:szCs w:val="22"/>
        </w:rPr>
      </w:pPr>
    </w:p>
    <w:p w:rsidR="002C4B06" w:rsidRDefault="002C4B06" w:rsidP="002C4B06">
      <w:pPr>
        <w:tabs>
          <w:tab w:val="left" w:pos="1304"/>
        </w:tabs>
        <w:ind w:firstLine="851"/>
        <w:rPr>
          <w:szCs w:val="22"/>
        </w:rPr>
      </w:pPr>
      <w:r>
        <w:rPr>
          <w:szCs w:val="22"/>
          <w:u w:val="single"/>
        </w:rPr>
        <w:t>Drægtighed</w:t>
      </w:r>
      <w:r>
        <w:t xml:space="preserve"> </w:t>
      </w:r>
      <w:r>
        <w:rPr>
          <w:szCs w:val="22"/>
          <w:u w:val="single"/>
        </w:rPr>
        <w:t>og laktation</w:t>
      </w:r>
      <w:r>
        <w:t>:</w:t>
      </w:r>
    </w:p>
    <w:p w:rsidR="002C4B06" w:rsidRDefault="002C4B06" w:rsidP="002C4B06">
      <w:pPr>
        <w:tabs>
          <w:tab w:val="left" w:pos="1304"/>
        </w:tabs>
        <w:ind w:firstLine="851"/>
      </w:pPr>
      <w:r>
        <w:t>Kan anvendes under drægtighed og laktation.</w:t>
      </w:r>
    </w:p>
    <w:p w:rsidR="002C4B06" w:rsidRDefault="002C4B06" w:rsidP="002C4B06">
      <w:pPr>
        <w:tabs>
          <w:tab w:val="left" w:pos="1304"/>
        </w:tabs>
        <w:rPr>
          <w:szCs w:val="22"/>
        </w:rPr>
      </w:pPr>
    </w:p>
    <w:p w:rsidR="002C4B06" w:rsidRDefault="002C4B06" w:rsidP="002C4B06">
      <w:pPr>
        <w:pStyle w:val="Style1"/>
        <w:ind w:left="851" w:hanging="851"/>
      </w:pPr>
      <w:r>
        <w:t>3.8</w:t>
      </w:r>
      <w:r>
        <w:tab/>
        <w:t>Interaktion med andre lægemidler og andre former for interaktion</w:t>
      </w:r>
    </w:p>
    <w:p w:rsidR="002C4B06" w:rsidRDefault="002C4B06" w:rsidP="002C4B06">
      <w:pPr>
        <w:tabs>
          <w:tab w:val="left" w:pos="1304"/>
        </w:tabs>
        <w:rPr>
          <w:szCs w:val="22"/>
        </w:rPr>
      </w:pPr>
    </w:p>
    <w:p w:rsidR="002C4B06" w:rsidRDefault="002C4B06" w:rsidP="002C4B06">
      <w:pPr>
        <w:tabs>
          <w:tab w:val="left" w:pos="1304"/>
        </w:tabs>
        <w:ind w:left="851"/>
      </w:pPr>
      <w:r>
        <w:t xml:space="preserve">Generelt anbefales det ikke at anvende bakteriedræbende og </w:t>
      </w:r>
      <w:proofErr w:type="spellStart"/>
      <w:r>
        <w:t>bakteriostatiske</w:t>
      </w:r>
      <w:proofErr w:type="spellEnd"/>
      <w:r>
        <w:t xml:space="preserve"> antibiotika samtidig.</w:t>
      </w:r>
    </w:p>
    <w:p w:rsidR="002C4B06" w:rsidRDefault="002C4B06" w:rsidP="002C4B06">
      <w:pPr>
        <w:tabs>
          <w:tab w:val="left" w:pos="1304"/>
        </w:tabs>
        <w:ind w:left="851"/>
      </w:pPr>
      <w:r>
        <w:t>Beta-</w:t>
      </w:r>
      <w:proofErr w:type="spellStart"/>
      <w:r>
        <w:t>lactam</w:t>
      </w:r>
      <w:proofErr w:type="spellEnd"/>
      <w:r>
        <w:t xml:space="preserve">-antibiotika er kendt for at interagere med antibiotika med </w:t>
      </w:r>
      <w:proofErr w:type="spellStart"/>
      <w:r>
        <w:t>bakteriostatiske</w:t>
      </w:r>
      <w:proofErr w:type="spellEnd"/>
      <w:r>
        <w:t xml:space="preserve"> virkninger, såsom </w:t>
      </w:r>
      <w:proofErr w:type="spellStart"/>
      <w:r>
        <w:t>chloramphenicol</w:t>
      </w:r>
      <w:proofErr w:type="spellEnd"/>
      <w:r>
        <w:t xml:space="preserve">, </w:t>
      </w:r>
      <w:proofErr w:type="spellStart"/>
      <w:r>
        <w:t>macrolider</w:t>
      </w:r>
      <w:proofErr w:type="spellEnd"/>
      <w:r>
        <w:t xml:space="preserve">, sulfonamider og </w:t>
      </w:r>
      <w:proofErr w:type="spellStart"/>
      <w:r>
        <w:t>tetracycliner</w:t>
      </w:r>
      <w:proofErr w:type="spellEnd"/>
      <w:r>
        <w:t xml:space="preserve">. Der er også en synergieffekt af penicilliner med </w:t>
      </w:r>
      <w:proofErr w:type="spellStart"/>
      <w:r>
        <w:t>aminoglycosider</w:t>
      </w:r>
      <w:proofErr w:type="spellEnd"/>
      <w:r>
        <w:t>.</w:t>
      </w:r>
    </w:p>
    <w:p w:rsidR="002C4B06" w:rsidRDefault="002C4B06" w:rsidP="002C4B06">
      <w:pPr>
        <w:tabs>
          <w:tab w:val="left" w:pos="1304"/>
        </w:tabs>
        <w:ind w:left="851"/>
      </w:pPr>
    </w:p>
    <w:p w:rsidR="002C4B06" w:rsidRDefault="002C4B06" w:rsidP="002C4B06">
      <w:pPr>
        <w:pStyle w:val="Style1"/>
        <w:tabs>
          <w:tab w:val="left" w:pos="851"/>
        </w:tabs>
        <w:ind w:left="0" w:firstLine="0"/>
      </w:pPr>
      <w:r>
        <w:t>3.9</w:t>
      </w:r>
      <w:r>
        <w:tab/>
        <w:t>Administrationsveje og dosering</w:t>
      </w:r>
    </w:p>
    <w:p w:rsidR="002C4B06" w:rsidRDefault="002C4B06" w:rsidP="002C4B06">
      <w:pPr>
        <w:tabs>
          <w:tab w:val="left" w:pos="1304"/>
        </w:tabs>
        <w:rPr>
          <w:szCs w:val="22"/>
        </w:rPr>
      </w:pPr>
    </w:p>
    <w:p w:rsidR="002C4B06" w:rsidRDefault="002C4B06" w:rsidP="002C4B06">
      <w:pPr>
        <w:tabs>
          <w:tab w:val="left" w:pos="1304"/>
        </w:tabs>
        <w:ind w:left="851"/>
      </w:pPr>
      <w:r>
        <w:t>Kvæg, får og svin - til intramuskulær anvendelse.</w:t>
      </w:r>
    </w:p>
    <w:p w:rsidR="002C4B06" w:rsidRDefault="002C4B06" w:rsidP="002C4B06">
      <w:pPr>
        <w:tabs>
          <w:tab w:val="left" w:pos="1304"/>
        </w:tabs>
        <w:ind w:left="851"/>
      </w:pPr>
    </w:p>
    <w:p w:rsidR="002C4B06" w:rsidRDefault="002C4B06" w:rsidP="002C4B06">
      <w:pPr>
        <w:tabs>
          <w:tab w:val="left" w:pos="1304"/>
        </w:tabs>
        <w:ind w:left="851"/>
      </w:pPr>
      <w:r>
        <w:t>Hund og kat - subkutan eller intramuskulær anvendelse.</w:t>
      </w:r>
    </w:p>
    <w:p w:rsidR="002C4B06" w:rsidRDefault="002C4B06" w:rsidP="002C4B06">
      <w:pPr>
        <w:tabs>
          <w:tab w:val="left" w:pos="1304"/>
        </w:tabs>
        <w:ind w:left="851"/>
      </w:pPr>
    </w:p>
    <w:p w:rsidR="002C4B06" w:rsidRDefault="002C4B06" w:rsidP="002C4B06">
      <w:pPr>
        <w:tabs>
          <w:tab w:val="left" w:pos="1304"/>
        </w:tabs>
        <w:ind w:left="851"/>
      </w:pPr>
      <w:r>
        <w:t xml:space="preserve">Ryst hætteglasset kraftigt for at opnå fuld </w:t>
      </w:r>
      <w:proofErr w:type="spellStart"/>
      <w:r>
        <w:t>resuspension</w:t>
      </w:r>
      <w:proofErr w:type="spellEnd"/>
      <w:r>
        <w:t xml:space="preserve"> før brug. </w:t>
      </w:r>
    </w:p>
    <w:p w:rsidR="002C4B06" w:rsidRDefault="002C4B06" w:rsidP="002C4B06">
      <w:pPr>
        <w:tabs>
          <w:tab w:val="left" w:pos="1304"/>
        </w:tabs>
        <w:ind w:left="851"/>
      </w:pPr>
      <w:r>
        <w:t xml:space="preserve">Dette veterinærlægemiddel indeholder ikke et antimikrobielt konserveringsmiddel. </w:t>
      </w:r>
    </w:p>
    <w:p w:rsidR="002C4B06" w:rsidRDefault="002C4B06" w:rsidP="002C4B06">
      <w:pPr>
        <w:tabs>
          <w:tab w:val="left" w:pos="1304"/>
        </w:tabs>
        <w:ind w:left="851"/>
      </w:pPr>
      <w:r>
        <w:t xml:space="preserve">Rens proppen inden hver dosis trækkes op. </w:t>
      </w:r>
    </w:p>
    <w:p w:rsidR="002C4B06" w:rsidRDefault="002C4B06" w:rsidP="002C4B06">
      <w:pPr>
        <w:tabs>
          <w:tab w:val="left" w:pos="1304"/>
        </w:tabs>
        <w:ind w:left="851"/>
      </w:pPr>
      <w:r>
        <w:t>For at sikre korrekt dosering bør legemsvægten beregnes så nøjagtigt som muligt.</w:t>
      </w:r>
    </w:p>
    <w:p w:rsidR="002C4B06" w:rsidRDefault="002C4B06" w:rsidP="002C4B06">
      <w:pPr>
        <w:tabs>
          <w:tab w:val="left" w:pos="1304"/>
        </w:tabs>
        <w:ind w:left="851"/>
      </w:pPr>
    </w:p>
    <w:p w:rsidR="002C4B06" w:rsidRDefault="002C4B06" w:rsidP="002C4B06">
      <w:pPr>
        <w:tabs>
          <w:tab w:val="left" w:pos="1304"/>
        </w:tabs>
        <w:ind w:left="851"/>
      </w:pPr>
      <w:r>
        <w:t>Den anbefalede dosis er 15 mg pr. kg kropsvægt svarende til 1 ml pr. 10 kg kropsvægt, der skal gentages en gang efter 48 timer.</w:t>
      </w:r>
    </w:p>
    <w:p w:rsidR="002C4B06" w:rsidRDefault="002C4B06" w:rsidP="002C4B06">
      <w:pPr>
        <w:tabs>
          <w:tab w:val="left" w:pos="1304"/>
        </w:tabs>
      </w:pPr>
    </w:p>
    <w:tbl>
      <w:tblPr>
        <w:tblW w:w="0" w:type="auto"/>
        <w:tblInd w:w="817" w:type="dxa"/>
        <w:tblLayout w:type="fixed"/>
        <w:tblLook w:val="04A0" w:firstRow="1" w:lastRow="0" w:firstColumn="1" w:lastColumn="0" w:noHBand="0" w:noVBand="1"/>
      </w:tblPr>
      <w:tblGrid>
        <w:gridCol w:w="1418"/>
        <w:gridCol w:w="2693"/>
        <w:gridCol w:w="2977"/>
      </w:tblGrid>
      <w:tr w:rsidR="002C4B06" w:rsidTr="002C4B06">
        <w:trPr>
          <w:trHeight w:val="340"/>
        </w:trPr>
        <w:tc>
          <w:tcPr>
            <w:tcW w:w="1418" w:type="dxa"/>
            <w:tcBorders>
              <w:top w:val="nil"/>
              <w:left w:val="nil"/>
              <w:bottom w:val="single" w:sz="4" w:space="0" w:color="auto"/>
              <w:right w:val="nil"/>
            </w:tcBorders>
            <w:hideMark/>
          </w:tcPr>
          <w:p w:rsidR="002C4B06" w:rsidRDefault="002C4B06">
            <w:pPr>
              <w:tabs>
                <w:tab w:val="left" w:pos="1304"/>
              </w:tabs>
              <w:rPr>
                <w:b/>
                <w:bCs/>
              </w:rPr>
            </w:pPr>
            <w:r>
              <w:rPr>
                <w:b/>
                <w:bCs/>
              </w:rPr>
              <w:lastRenderedPageBreak/>
              <w:t>Dyr</w:t>
            </w:r>
          </w:p>
        </w:tc>
        <w:tc>
          <w:tcPr>
            <w:tcW w:w="2693" w:type="dxa"/>
            <w:tcBorders>
              <w:top w:val="nil"/>
              <w:left w:val="nil"/>
              <w:bottom w:val="single" w:sz="4" w:space="0" w:color="auto"/>
              <w:right w:val="nil"/>
            </w:tcBorders>
            <w:hideMark/>
          </w:tcPr>
          <w:p w:rsidR="002C4B06" w:rsidRDefault="002C4B06">
            <w:pPr>
              <w:tabs>
                <w:tab w:val="left" w:pos="1304"/>
              </w:tabs>
              <w:jc w:val="center"/>
              <w:rPr>
                <w:b/>
                <w:bCs/>
              </w:rPr>
            </w:pPr>
            <w:r>
              <w:rPr>
                <w:b/>
                <w:bCs/>
              </w:rPr>
              <w:t>Vægt (kg)</w:t>
            </w:r>
          </w:p>
        </w:tc>
        <w:tc>
          <w:tcPr>
            <w:tcW w:w="2977" w:type="dxa"/>
            <w:tcBorders>
              <w:top w:val="nil"/>
              <w:left w:val="nil"/>
              <w:bottom w:val="single" w:sz="4" w:space="0" w:color="auto"/>
              <w:right w:val="nil"/>
            </w:tcBorders>
            <w:hideMark/>
          </w:tcPr>
          <w:p w:rsidR="002C4B06" w:rsidRDefault="002C4B06">
            <w:pPr>
              <w:tabs>
                <w:tab w:val="left" w:pos="1304"/>
              </w:tabs>
              <w:jc w:val="center"/>
              <w:rPr>
                <w:b/>
                <w:bCs/>
              </w:rPr>
            </w:pPr>
            <w:r>
              <w:rPr>
                <w:b/>
                <w:bCs/>
              </w:rPr>
              <w:t>Dosisvolumen (ml)</w:t>
            </w:r>
          </w:p>
        </w:tc>
      </w:tr>
      <w:tr w:rsidR="002C4B06" w:rsidTr="002C4B06">
        <w:trPr>
          <w:trHeight w:val="340"/>
        </w:trPr>
        <w:tc>
          <w:tcPr>
            <w:tcW w:w="1418" w:type="dxa"/>
            <w:tcBorders>
              <w:top w:val="single" w:sz="4" w:space="0" w:color="auto"/>
              <w:left w:val="nil"/>
              <w:bottom w:val="nil"/>
              <w:right w:val="nil"/>
            </w:tcBorders>
            <w:hideMark/>
          </w:tcPr>
          <w:p w:rsidR="002C4B06" w:rsidRDefault="002C4B06">
            <w:pPr>
              <w:tabs>
                <w:tab w:val="left" w:pos="1304"/>
              </w:tabs>
            </w:pPr>
            <w:r>
              <w:t>Kvæg</w:t>
            </w:r>
          </w:p>
        </w:tc>
        <w:tc>
          <w:tcPr>
            <w:tcW w:w="2693" w:type="dxa"/>
            <w:tcBorders>
              <w:top w:val="single" w:sz="4" w:space="0" w:color="auto"/>
              <w:left w:val="nil"/>
              <w:bottom w:val="nil"/>
              <w:right w:val="nil"/>
            </w:tcBorders>
            <w:hideMark/>
          </w:tcPr>
          <w:p w:rsidR="002C4B06" w:rsidRDefault="002C4B06">
            <w:pPr>
              <w:tabs>
                <w:tab w:val="left" w:pos="1304"/>
              </w:tabs>
              <w:jc w:val="center"/>
            </w:pPr>
            <w:r>
              <w:t>450 kg</w:t>
            </w:r>
          </w:p>
        </w:tc>
        <w:tc>
          <w:tcPr>
            <w:tcW w:w="2977" w:type="dxa"/>
            <w:tcBorders>
              <w:top w:val="single" w:sz="4" w:space="0" w:color="auto"/>
              <w:left w:val="nil"/>
              <w:bottom w:val="nil"/>
              <w:right w:val="nil"/>
            </w:tcBorders>
            <w:hideMark/>
          </w:tcPr>
          <w:p w:rsidR="002C4B06" w:rsidRDefault="002C4B06">
            <w:pPr>
              <w:tabs>
                <w:tab w:val="left" w:pos="1304"/>
              </w:tabs>
              <w:jc w:val="center"/>
            </w:pPr>
            <w:r>
              <w:t>45,0 ml</w:t>
            </w:r>
          </w:p>
        </w:tc>
      </w:tr>
      <w:tr w:rsidR="002C4B06" w:rsidTr="002C4B06">
        <w:trPr>
          <w:trHeight w:val="340"/>
        </w:trPr>
        <w:tc>
          <w:tcPr>
            <w:tcW w:w="1418" w:type="dxa"/>
            <w:hideMark/>
          </w:tcPr>
          <w:p w:rsidR="002C4B06" w:rsidRDefault="002C4B06">
            <w:pPr>
              <w:tabs>
                <w:tab w:val="left" w:pos="1304"/>
              </w:tabs>
            </w:pPr>
            <w:r>
              <w:t>Får</w:t>
            </w:r>
          </w:p>
        </w:tc>
        <w:tc>
          <w:tcPr>
            <w:tcW w:w="2693" w:type="dxa"/>
            <w:hideMark/>
          </w:tcPr>
          <w:p w:rsidR="002C4B06" w:rsidRDefault="002C4B06">
            <w:pPr>
              <w:tabs>
                <w:tab w:val="left" w:pos="1304"/>
              </w:tabs>
              <w:jc w:val="center"/>
            </w:pPr>
            <w:r>
              <w:t>65 kg</w:t>
            </w:r>
          </w:p>
        </w:tc>
        <w:tc>
          <w:tcPr>
            <w:tcW w:w="2977" w:type="dxa"/>
            <w:hideMark/>
          </w:tcPr>
          <w:p w:rsidR="002C4B06" w:rsidRDefault="002C4B06">
            <w:pPr>
              <w:tabs>
                <w:tab w:val="left" w:pos="1304"/>
              </w:tabs>
              <w:jc w:val="center"/>
            </w:pPr>
            <w:r>
              <w:t>6,5 ml</w:t>
            </w:r>
          </w:p>
        </w:tc>
      </w:tr>
      <w:tr w:rsidR="002C4B06" w:rsidTr="002C4B06">
        <w:trPr>
          <w:trHeight w:val="340"/>
        </w:trPr>
        <w:tc>
          <w:tcPr>
            <w:tcW w:w="1418" w:type="dxa"/>
            <w:hideMark/>
          </w:tcPr>
          <w:p w:rsidR="002C4B06" w:rsidRDefault="002C4B06">
            <w:pPr>
              <w:tabs>
                <w:tab w:val="left" w:pos="1304"/>
              </w:tabs>
            </w:pPr>
            <w:r>
              <w:t>Svin</w:t>
            </w:r>
          </w:p>
        </w:tc>
        <w:tc>
          <w:tcPr>
            <w:tcW w:w="2693" w:type="dxa"/>
            <w:hideMark/>
          </w:tcPr>
          <w:p w:rsidR="002C4B06" w:rsidRDefault="002C4B06">
            <w:pPr>
              <w:tabs>
                <w:tab w:val="left" w:pos="1304"/>
              </w:tabs>
              <w:jc w:val="center"/>
            </w:pPr>
            <w:r>
              <w:t>150 kg</w:t>
            </w:r>
          </w:p>
        </w:tc>
        <w:tc>
          <w:tcPr>
            <w:tcW w:w="2977" w:type="dxa"/>
            <w:hideMark/>
          </w:tcPr>
          <w:p w:rsidR="002C4B06" w:rsidRDefault="002C4B06">
            <w:pPr>
              <w:tabs>
                <w:tab w:val="left" w:pos="1304"/>
              </w:tabs>
              <w:jc w:val="center"/>
            </w:pPr>
            <w:r>
              <w:t>15,0 ml</w:t>
            </w:r>
          </w:p>
        </w:tc>
      </w:tr>
      <w:tr w:rsidR="002C4B06" w:rsidTr="002C4B06">
        <w:trPr>
          <w:trHeight w:val="340"/>
        </w:trPr>
        <w:tc>
          <w:tcPr>
            <w:tcW w:w="1418" w:type="dxa"/>
            <w:hideMark/>
          </w:tcPr>
          <w:p w:rsidR="002C4B06" w:rsidRDefault="002C4B06">
            <w:pPr>
              <w:tabs>
                <w:tab w:val="left" w:pos="1304"/>
              </w:tabs>
            </w:pPr>
            <w:r>
              <w:t>Hunde</w:t>
            </w:r>
          </w:p>
        </w:tc>
        <w:tc>
          <w:tcPr>
            <w:tcW w:w="2693" w:type="dxa"/>
            <w:hideMark/>
          </w:tcPr>
          <w:p w:rsidR="002C4B06" w:rsidRDefault="002C4B06">
            <w:pPr>
              <w:tabs>
                <w:tab w:val="left" w:pos="1304"/>
              </w:tabs>
              <w:jc w:val="center"/>
            </w:pPr>
            <w:r>
              <w:t>20 kg</w:t>
            </w:r>
          </w:p>
        </w:tc>
        <w:tc>
          <w:tcPr>
            <w:tcW w:w="2977" w:type="dxa"/>
            <w:hideMark/>
          </w:tcPr>
          <w:p w:rsidR="002C4B06" w:rsidRDefault="002C4B06">
            <w:pPr>
              <w:tabs>
                <w:tab w:val="left" w:pos="1304"/>
              </w:tabs>
              <w:jc w:val="center"/>
            </w:pPr>
            <w:r>
              <w:t>2,0 ml</w:t>
            </w:r>
          </w:p>
        </w:tc>
      </w:tr>
      <w:tr w:rsidR="002C4B06" w:rsidTr="002C4B06">
        <w:trPr>
          <w:trHeight w:val="340"/>
        </w:trPr>
        <w:tc>
          <w:tcPr>
            <w:tcW w:w="1418" w:type="dxa"/>
            <w:hideMark/>
          </w:tcPr>
          <w:p w:rsidR="002C4B06" w:rsidRDefault="002C4B06">
            <w:pPr>
              <w:tabs>
                <w:tab w:val="left" w:pos="1304"/>
              </w:tabs>
            </w:pPr>
            <w:r>
              <w:t>Katte</w:t>
            </w:r>
          </w:p>
        </w:tc>
        <w:tc>
          <w:tcPr>
            <w:tcW w:w="2693" w:type="dxa"/>
            <w:hideMark/>
          </w:tcPr>
          <w:p w:rsidR="002C4B06" w:rsidRDefault="002C4B06">
            <w:pPr>
              <w:tabs>
                <w:tab w:val="left" w:pos="1304"/>
              </w:tabs>
              <w:jc w:val="center"/>
            </w:pPr>
            <w:r>
              <w:t>5 kg</w:t>
            </w:r>
          </w:p>
        </w:tc>
        <w:tc>
          <w:tcPr>
            <w:tcW w:w="2977" w:type="dxa"/>
            <w:hideMark/>
          </w:tcPr>
          <w:p w:rsidR="002C4B06" w:rsidRDefault="002C4B06">
            <w:pPr>
              <w:tabs>
                <w:tab w:val="left" w:pos="1304"/>
              </w:tabs>
              <w:jc w:val="center"/>
            </w:pPr>
            <w:r>
              <w:t>0,5 ml</w:t>
            </w:r>
          </w:p>
        </w:tc>
      </w:tr>
    </w:tbl>
    <w:p w:rsidR="002C4B06" w:rsidRDefault="002C4B06" w:rsidP="002C4B06">
      <w:pPr>
        <w:tabs>
          <w:tab w:val="left" w:pos="1304"/>
        </w:tabs>
        <w:rPr>
          <w:sz w:val="22"/>
        </w:rPr>
      </w:pPr>
    </w:p>
    <w:p w:rsidR="002C4B06" w:rsidRDefault="002C4B06" w:rsidP="000E63F5">
      <w:pPr>
        <w:tabs>
          <w:tab w:val="left" w:pos="1304"/>
        </w:tabs>
        <w:ind w:left="851"/>
      </w:pPr>
      <w:r>
        <w:t>Dosisvolumen svarer til 1 ml pr. 10 kg kropsvægt. Hvis dosisvolumen overstiger 15 ml hos kvæg og 4 ml hos får og svin, skal den opdeles og injiceres på to eller flere steder.</w:t>
      </w:r>
    </w:p>
    <w:p w:rsidR="002C4B06" w:rsidRDefault="002C4B06" w:rsidP="000E63F5">
      <w:pPr>
        <w:tabs>
          <w:tab w:val="left" w:pos="1304"/>
        </w:tabs>
        <w:ind w:left="851"/>
      </w:pPr>
    </w:p>
    <w:p w:rsidR="002C4B06" w:rsidRDefault="002C4B06" w:rsidP="000E63F5">
      <w:pPr>
        <w:tabs>
          <w:tab w:val="left" w:pos="1304"/>
        </w:tabs>
        <w:ind w:left="851"/>
      </w:pPr>
      <w:r>
        <w:t>Proppen må ikke punkteres mere end 40 gange.</w:t>
      </w:r>
    </w:p>
    <w:p w:rsidR="002C4B06" w:rsidRDefault="002C4B06" w:rsidP="002C4B06">
      <w:pPr>
        <w:tabs>
          <w:tab w:val="left" w:pos="1304"/>
        </w:tabs>
        <w:rPr>
          <w:b/>
          <w:szCs w:val="22"/>
        </w:rPr>
      </w:pPr>
      <w:r>
        <w:t> </w:t>
      </w:r>
    </w:p>
    <w:p w:rsidR="002C4B06" w:rsidRDefault="002C4B06" w:rsidP="000E63F5">
      <w:pPr>
        <w:pStyle w:val="Style1"/>
        <w:ind w:left="851" w:hanging="851"/>
      </w:pPr>
      <w:r>
        <w:t>3.10</w:t>
      </w:r>
      <w:r>
        <w:tab/>
        <w:t>Symptomer på overdosering (og, hvis relevant, nødforanstaltninger og modgift)</w:t>
      </w:r>
    </w:p>
    <w:p w:rsidR="002C4B06" w:rsidRDefault="002C4B06" w:rsidP="002C4B06">
      <w:pPr>
        <w:pStyle w:val="Style1"/>
      </w:pPr>
    </w:p>
    <w:p w:rsidR="002C4B06" w:rsidRDefault="002C4B06" w:rsidP="000E63F5">
      <w:pPr>
        <w:pStyle w:val="Style1"/>
        <w:tabs>
          <w:tab w:val="clear" w:pos="0"/>
          <w:tab w:val="left" w:pos="284"/>
        </w:tabs>
        <w:ind w:left="851" w:firstLine="0"/>
        <w:rPr>
          <w:b w:val="0"/>
          <w:bCs/>
        </w:rPr>
      </w:pPr>
      <w:r>
        <w:rPr>
          <w:b w:val="0"/>
          <w:bCs/>
        </w:rPr>
        <w:t xml:space="preserve">Sikkerheden for </w:t>
      </w:r>
      <w:proofErr w:type="spellStart"/>
      <w:r>
        <w:rPr>
          <w:b w:val="0"/>
          <w:bCs/>
        </w:rPr>
        <w:t>amoxicillin</w:t>
      </w:r>
      <w:proofErr w:type="spellEnd"/>
      <w:r>
        <w:rPr>
          <w:b w:val="0"/>
          <w:bCs/>
        </w:rPr>
        <w:t xml:space="preserve"> er lig den for andre penicilliner, da den egentlige toksicitet er meget lav. </w:t>
      </w:r>
      <w:proofErr w:type="spellStart"/>
      <w:r>
        <w:rPr>
          <w:b w:val="0"/>
          <w:bCs/>
        </w:rPr>
        <w:t>Amoxicillin</w:t>
      </w:r>
      <w:proofErr w:type="spellEnd"/>
      <w:r>
        <w:rPr>
          <w:b w:val="0"/>
          <w:bCs/>
        </w:rPr>
        <w:t xml:space="preserve"> har en bred sikkerhedsmargen. </w:t>
      </w:r>
    </w:p>
    <w:p w:rsidR="002C4B06" w:rsidRDefault="002C4B06" w:rsidP="000E63F5">
      <w:pPr>
        <w:pStyle w:val="Style1"/>
        <w:tabs>
          <w:tab w:val="clear" w:pos="0"/>
          <w:tab w:val="left" w:pos="284"/>
        </w:tabs>
        <w:ind w:left="851" w:firstLine="0"/>
        <w:rPr>
          <w:b w:val="0"/>
          <w:bCs/>
        </w:rPr>
      </w:pPr>
      <w:r>
        <w:rPr>
          <w:b w:val="0"/>
          <w:bCs/>
        </w:rPr>
        <w:t>Ved overdosering er behandlingen symptomatisk.</w:t>
      </w:r>
    </w:p>
    <w:p w:rsidR="002C4B06" w:rsidRDefault="002C4B06" w:rsidP="002C4B06">
      <w:pPr>
        <w:tabs>
          <w:tab w:val="left" w:pos="1304"/>
        </w:tabs>
        <w:rPr>
          <w:szCs w:val="22"/>
        </w:rPr>
      </w:pPr>
    </w:p>
    <w:p w:rsidR="002C4B06" w:rsidRDefault="002C4B06" w:rsidP="000E63F5">
      <w:pPr>
        <w:pStyle w:val="Style1"/>
        <w:ind w:left="851" w:hanging="851"/>
      </w:pPr>
      <w:r>
        <w:t>3.11</w:t>
      </w:r>
      <w:r>
        <w:tab/>
        <w:t>Særlige begrænsninger og betingelser for anvendelse, herunder begrænsninger for anvendelsen af antimikrobielle og antiparasitære veterinærlægemidler for at begrænse risikoen for udvikling af resistens</w:t>
      </w:r>
    </w:p>
    <w:p w:rsidR="002C4B06" w:rsidRDefault="002C4B06" w:rsidP="002C4B06">
      <w:pPr>
        <w:tabs>
          <w:tab w:val="left" w:pos="1304"/>
        </w:tabs>
        <w:rPr>
          <w:szCs w:val="22"/>
        </w:rPr>
      </w:pPr>
    </w:p>
    <w:p w:rsidR="002C4B06" w:rsidRDefault="002C4B06" w:rsidP="000E63F5">
      <w:pPr>
        <w:tabs>
          <w:tab w:val="left" w:pos="1304"/>
        </w:tabs>
        <w:ind w:firstLine="851"/>
        <w:rPr>
          <w:szCs w:val="22"/>
        </w:rPr>
      </w:pPr>
      <w:r>
        <w:t>Ikke relevant.</w:t>
      </w:r>
    </w:p>
    <w:p w:rsidR="002C4B06" w:rsidRDefault="002C4B06" w:rsidP="002C4B06">
      <w:pPr>
        <w:tabs>
          <w:tab w:val="left" w:pos="1304"/>
        </w:tabs>
        <w:rPr>
          <w:szCs w:val="22"/>
        </w:rPr>
      </w:pPr>
    </w:p>
    <w:p w:rsidR="002C4B06" w:rsidRDefault="002C4B06" w:rsidP="000E63F5">
      <w:pPr>
        <w:pStyle w:val="Style1"/>
        <w:ind w:left="851" w:hanging="851"/>
      </w:pPr>
      <w:r>
        <w:t>3.12</w:t>
      </w:r>
      <w:r>
        <w:tab/>
        <w:t>Tilbageholdelsestid(er)</w:t>
      </w:r>
    </w:p>
    <w:p w:rsidR="002C4B06" w:rsidRDefault="002C4B06" w:rsidP="002C4B06">
      <w:pPr>
        <w:tabs>
          <w:tab w:val="left" w:pos="1304"/>
        </w:tabs>
        <w:rPr>
          <w:szCs w:val="22"/>
        </w:rPr>
      </w:pPr>
    </w:p>
    <w:p w:rsidR="002C4B06" w:rsidRDefault="002C4B06" w:rsidP="000E63F5">
      <w:pPr>
        <w:tabs>
          <w:tab w:val="left" w:pos="1304"/>
        </w:tabs>
        <w:ind w:left="851"/>
      </w:pPr>
      <w:r>
        <w:t>Kvæg:</w:t>
      </w:r>
    </w:p>
    <w:p w:rsidR="002C4B06" w:rsidRDefault="002C4B06" w:rsidP="000E63F5">
      <w:pPr>
        <w:tabs>
          <w:tab w:val="left" w:pos="1304"/>
        </w:tabs>
        <w:ind w:left="851"/>
      </w:pPr>
      <w:r>
        <w:t xml:space="preserve">Slagtning: </w:t>
      </w:r>
      <w:r>
        <w:tab/>
        <w:t>39 dage.</w:t>
      </w:r>
    </w:p>
    <w:p w:rsidR="002C4B06" w:rsidRDefault="002C4B06" w:rsidP="000E63F5">
      <w:pPr>
        <w:tabs>
          <w:tab w:val="left" w:pos="1304"/>
        </w:tabs>
        <w:ind w:left="851"/>
      </w:pPr>
      <w:r>
        <w:t xml:space="preserve">Mælk: </w:t>
      </w:r>
      <w:r>
        <w:tab/>
        <w:t>108 timer (4,5 dage).</w:t>
      </w:r>
    </w:p>
    <w:p w:rsidR="002C4B06" w:rsidRDefault="002C4B06" w:rsidP="000E63F5">
      <w:pPr>
        <w:tabs>
          <w:tab w:val="left" w:pos="1304"/>
        </w:tabs>
        <w:ind w:left="851"/>
      </w:pPr>
    </w:p>
    <w:p w:rsidR="002C4B06" w:rsidRDefault="002C4B06" w:rsidP="000E63F5">
      <w:pPr>
        <w:tabs>
          <w:tab w:val="left" w:pos="1304"/>
        </w:tabs>
        <w:ind w:left="851"/>
      </w:pPr>
      <w:r>
        <w:t>Svin:</w:t>
      </w:r>
    </w:p>
    <w:p w:rsidR="002C4B06" w:rsidRDefault="002C4B06" w:rsidP="000E63F5">
      <w:pPr>
        <w:tabs>
          <w:tab w:val="left" w:pos="1304"/>
        </w:tabs>
        <w:ind w:left="851"/>
      </w:pPr>
      <w:r>
        <w:t xml:space="preserve">Slagtning: </w:t>
      </w:r>
      <w:r>
        <w:tab/>
        <w:t>42 dage.</w:t>
      </w:r>
    </w:p>
    <w:p w:rsidR="002C4B06" w:rsidRDefault="002C4B06" w:rsidP="000E63F5">
      <w:pPr>
        <w:tabs>
          <w:tab w:val="left" w:pos="1304"/>
        </w:tabs>
        <w:ind w:left="851"/>
      </w:pPr>
    </w:p>
    <w:p w:rsidR="002C4B06" w:rsidRDefault="002C4B06" w:rsidP="000E63F5">
      <w:pPr>
        <w:tabs>
          <w:tab w:val="left" w:pos="1304"/>
        </w:tabs>
        <w:ind w:left="851"/>
      </w:pPr>
      <w:r>
        <w:t>Får:</w:t>
      </w:r>
    </w:p>
    <w:p w:rsidR="002C4B06" w:rsidRDefault="002C4B06" w:rsidP="000E63F5">
      <w:pPr>
        <w:tabs>
          <w:tab w:val="left" w:pos="1304"/>
        </w:tabs>
        <w:ind w:left="851"/>
      </w:pPr>
      <w:r>
        <w:t xml:space="preserve">Slagtning: </w:t>
      </w:r>
      <w:r>
        <w:tab/>
        <w:t>29 dage.</w:t>
      </w:r>
    </w:p>
    <w:p w:rsidR="002C4B06" w:rsidRDefault="002C4B06" w:rsidP="002C4B06">
      <w:pPr>
        <w:tabs>
          <w:tab w:val="left" w:pos="1304"/>
        </w:tabs>
      </w:pPr>
    </w:p>
    <w:p w:rsidR="002C4B06" w:rsidRDefault="002C4B06" w:rsidP="000E63F5">
      <w:pPr>
        <w:tabs>
          <w:tab w:val="left" w:pos="1304"/>
        </w:tabs>
        <w:ind w:firstLine="851"/>
      </w:pPr>
      <w:r>
        <w:t>Mælk: Må ikke anvendes til får, hvis mælk er bestemt til menneskeføde.</w:t>
      </w:r>
    </w:p>
    <w:p w:rsidR="002C4B06" w:rsidRDefault="002C4B06" w:rsidP="002C4B06">
      <w:pPr>
        <w:tabs>
          <w:tab w:val="left" w:pos="1304"/>
        </w:tabs>
      </w:pPr>
    </w:p>
    <w:p w:rsidR="002C4B06" w:rsidRDefault="002C4B06" w:rsidP="002C4B06">
      <w:pPr>
        <w:tabs>
          <w:tab w:val="left" w:pos="1304"/>
        </w:tabs>
        <w:rPr>
          <w:szCs w:val="22"/>
        </w:rPr>
      </w:pPr>
    </w:p>
    <w:p w:rsidR="002C4B06" w:rsidRDefault="002C4B06" w:rsidP="000E63F5">
      <w:pPr>
        <w:pStyle w:val="Style1"/>
        <w:ind w:left="851" w:hanging="851"/>
      </w:pPr>
      <w:r>
        <w:t>4.</w:t>
      </w:r>
      <w:r>
        <w:tab/>
        <w:t>FARMAKOLOGISKE OPLYSNINGER</w:t>
      </w:r>
    </w:p>
    <w:p w:rsidR="002C4B06" w:rsidRDefault="002C4B06" w:rsidP="002C4B06">
      <w:pPr>
        <w:tabs>
          <w:tab w:val="left" w:pos="1304"/>
        </w:tabs>
        <w:rPr>
          <w:szCs w:val="22"/>
        </w:rPr>
      </w:pPr>
    </w:p>
    <w:p w:rsidR="002C4B06" w:rsidRDefault="002C4B06" w:rsidP="000E63F5">
      <w:pPr>
        <w:pStyle w:val="Style1"/>
        <w:ind w:left="851" w:hanging="851"/>
      </w:pPr>
      <w:r>
        <w:t>4.1</w:t>
      </w:r>
      <w:r>
        <w:tab/>
      </w:r>
      <w:proofErr w:type="spellStart"/>
      <w:r>
        <w:t>ATCvet</w:t>
      </w:r>
      <w:proofErr w:type="spellEnd"/>
      <w:r>
        <w:t>-kode:</w:t>
      </w:r>
    </w:p>
    <w:p w:rsidR="002C4B06" w:rsidRDefault="002C4B06" w:rsidP="002C4B06">
      <w:pPr>
        <w:tabs>
          <w:tab w:val="left" w:pos="1304"/>
        </w:tabs>
      </w:pPr>
    </w:p>
    <w:p w:rsidR="002C4B06" w:rsidRDefault="002C4B06" w:rsidP="000E63F5">
      <w:pPr>
        <w:tabs>
          <w:tab w:val="left" w:pos="1304"/>
        </w:tabs>
        <w:ind w:firstLine="851"/>
      </w:pPr>
      <w:r>
        <w:t>QJ01CA04</w:t>
      </w:r>
    </w:p>
    <w:p w:rsidR="002C4B06" w:rsidRDefault="002C4B06" w:rsidP="002C4B06">
      <w:pPr>
        <w:tabs>
          <w:tab w:val="left" w:pos="1304"/>
        </w:tabs>
        <w:rPr>
          <w:szCs w:val="22"/>
        </w:rPr>
      </w:pPr>
    </w:p>
    <w:p w:rsidR="002C4B06" w:rsidRDefault="002C4B06" w:rsidP="000E63F5">
      <w:pPr>
        <w:pStyle w:val="Style1"/>
        <w:ind w:left="851" w:hanging="851"/>
      </w:pPr>
      <w:r>
        <w:t>4.2</w:t>
      </w:r>
      <w:r>
        <w:tab/>
      </w:r>
      <w:proofErr w:type="spellStart"/>
      <w:r>
        <w:t>Farmakodynamiske</w:t>
      </w:r>
      <w:proofErr w:type="spellEnd"/>
      <w:r>
        <w:t xml:space="preserve"> oplysninger</w:t>
      </w:r>
    </w:p>
    <w:p w:rsidR="002C4B06" w:rsidRDefault="002C4B06" w:rsidP="002C4B06">
      <w:pPr>
        <w:tabs>
          <w:tab w:val="left" w:pos="1304"/>
        </w:tabs>
        <w:rPr>
          <w:szCs w:val="22"/>
        </w:rPr>
      </w:pPr>
    </w:p>
    <w:p w:rsidR="002C4B06" w:rsidRDefault="002C4B06" w:rsidP="000E63F5">
      <w:pPr>
        <w:tabs>
          <w:tab w:val="left" w:pos="1304"/>
        </w:tabs>
        <w:ind w:left="851"/>
        <w:rPr>
          <w:szCs w:val="22"/>
        </w:rPr>
      </w:pPr>
      <w:proofErr w:type="spellStart"/>
      <w:r>
        <w:rPr>
          <w:szCs w:val="22"/>
        </w:rPr>
        <w:t>Amoxicillin</w:t>
      </w:r>
      <w:proofErr w:type="spellEnd"/>
      <w:r>
        <w:rPr>
          <w:szCs w:val="22"/>
        </w:rPr>
        <w:t xml:space="preserve"> er et bredspektret antibiotikum af β-</w:t>
      </w:r>
      <w:proofErr w:type="spellStart"/>
      <w:r>
        <w:rPr>
          <w:szCs w:val="22"/>
        </w:rPr>
        <w:t>lactam</w:t>
      </w:r>
      <w:proofErr w:type="spellEnd"/>
      <w:r>
        <w:rPr>
          <w:szCs w:val="22"/>
        </w:rPr>
        <w:t>-familien tilhørende aminopenicillin-gruppen. Dette stof har tidsafhængig bakteriedræbende aktivitet og virker mod grampositive og nogle gramnegative mikroorganismer.</w:t>
      </w:r>
    </w:p>
    <w:p w:rsidR="002C4B06" w:rsidRDefault="002C4B06" w:rsidP="000E63F5">
      <w:pPr>
        <w:tabs>
          <w:tab w:val="left" w:pos="1304"/>
        </w:tabs>
        <w:ind w:left="851"/>
        <w:rPr>
          <w:szCs w:val="22"/>
        </w:rPr>
      </w:pPr>
      <w:r>
        <w:rPr>
          <w:szCs w:val="22"/>
        </w:rPr>
        <w:t xml:space="preserve">Mekanismen for antibakteriel virkning af </w:t>
      </w:r>
      <w:proofErr w:type="spellStart"/>
      <w:r>
        <w:rPr>
          <w:szCs w:val="22"/>
        </w:rPr>
        <w:t>amoxicillin</w:t>
      </w:r>
      <w:proofErr w:type="spellEnd"/>
      <w:r>
        <w:rPr>
          <w:szCs w:val="22"/>
        </w:rPr>
        <w:t xml:space="preserve"> er hæmningen af de biokemiske processer i bakteriel cellevægssyntese ved en irreversibel og selektiv hæmning af forskellige </w:t>
      </w:r>
      <w:r>
        <w:rPr>
          <w:szCs w:val="22"/>
        </w:rPr>
        <w:lastRenderedPageBreak/>
        <w:t xml:space="preserve">enzymer involveret i disse processer, hovedsageligt </w:t>
      </w:r>
      <w:proofErr w:type="spellStart"/>
      <w:r>
        <w:rPr>
          <w:szCs w:val="22"/>
        </w:rPr>
        <w:t>transpeptidaser</w:t>
      </w:r>
      <w:proofErr w:type="spellEnd"/>
      <w:r>
        <w:rPr>
          <w:szCs w:val="22"/>
        </w:rPr>
        <w:t xml:space="preserve">, </w:t>
      </w:r>
      <w:proofErr w:type="spellStart"/>
      <w:r>
        <w:rPr>
          <w:szCs w:val="22"/>
        </w:rPr>
        <w:t>endopeptidaser</w:t>
      </w:r>
      <w:proofErr w:type="spellEnd"/>
      <w:r>
        <w:rPr>
          <w:szCs w:val="22"/>
        </w:rPr>
        <w:t xml:space="preserve"> og </w:t>
      </w:r>
      <w:proofErr w:type="spellStart"/>
      <w:r>
        <w:rPr>
          <w:szCs w:val="22"/>
        </w:rPr>
        <w:t>carboxypeptidaser</w:t>
      </w:r>
      <w:proofErr w:type="spellEnd"/>
      <w:r>
        <w:rPr>
          <w:szCs w:val="22"/>
        </w:rPr>
        <w:t xml:space="preserve">. Utilstrækkelig syntese af bakteriecellevæggen hos modtagelige arter skaber en osmotisk ubalance, der især påvirker bakteriernes vækst (hvor processerne i bakteriecellevægssyntesen er særligt vigtige), som til sidst fører til </w:t>
      </w:r>
      <w:proofErr w:type="spellStart"/>
      <w:r>
        <w:rPr>
          <w:szCs w:val="22"/>
        </w:rPr>
        <w:t>lysis</w:t>
      </w:r>
      <w:proofErr w:type="spellEnd"/>
      <w:r>
        <w:rPr>
          <w:szCs w:val="22"/>
        </w:rPr>
        <w:t xml:space="preserve"> af bakteriecellen.</w:t>
      </w:r>
    </w:p>
    <w:p w:rsidR="002C4B06" w:rsidRDefault="002C4B06" w:rsidP="000E63F5">
      <w:pPr>
        <w:tabs>
          <w:tab w:val="left" w:pos="1304"/>
        </w:tabs>
        <w:ind w:left="851"/>
        <w:rPr>
          <w:szCs w:val="22"/>
        </w:rPr>
      </w:pPr>
      <w:r>
        <w:rPr>
          <w:szCs w:val="22"/>
        </w:rPr>
        <w:t xml:space="preserve">Arter, som anses for at være modtagelige overfor </w:t>
      </w:r>
      <w:proofErr w:type="spellStart"/>
      <w:r>
        <w:rPr>
          <w:szCs w:val="22"/>
        </w:rPr>
        <w:t>amoxicillin</w:t>
      </w:r>
      <w:proofErr w:type="spellEnd"/>
      <w:r>
        <w:rPr>
          <w:szCs w:val="22"/>
        </w:rPr>
        <w:t xml:space="preserve">, inkluderer grampositive bakterier: </w:t>
      </w:r>
      <w:proofErr w:type="spellStart"/>
      <w:r>
        <w:rPr>
          <w:i/>
          <w:iCs/>
          <w:szCs w:val="22"/>
        </w:rPr>
        <w:t>Streptococcus</w:t>
      </w:r>
      <w:proofErr w:type="spellEnd"/>
      <w:r>
        <w:rPr>
          <w:szCs w:val="22"/>
        </w:rPr>
        <w:t xml:space="preserve"> </w:t>
      </w:r>
      <w:proofErr w:type="spellStart"/>
      <w:r>
        <w:rPr>
          <w:szCs w:val="22"/>
        </w:rPr>
        <w:t>spp</w:t>
      </w:r>
      <w:proofErr w:type="spellEnd"/>
      <w:r>
        <w:rPr>
          <w:szCs w:val="22"/>
        </w:rPr>
        <w:t xml:space="preserve">, gramnegative bakterier, </w:t>
      </w:r>
      <w:proofErr w:type="spellStart"/>
      <w:r>
        <w:rPr>
          <w:i/>
          <w:iCs/>
          <w:szCs w:val="22"/>
        </w:rPr>
        <w:t>Pasteurellaceae</w:t>
      </w:r>
      <w:proofErr w:type="spellEnd"/>
      <w:r>
        <w:rPr>
          <w:szCs w:val="22"/>
        </w:rPr>
        <w:t xml:space="preserve"> og </w:t>
      </w:r>
      <w:proofErr w:type="spellStart"/>
      <w:r>
        <w:rPr>
          <w:i/>
          <w:iCs/>
          <w:szCs w:val="22"/>
        </w:rPr>
        <w:t>Enterobacteriaceae</w:t>
      </w:r>
      <w:proofErr w:type="spellEnd"/>
      <w:r>
        <w:rPr>
          <w:szCs w:val="22"/>
        </w:rPr>
        <w:t xml:space="preserve"> inklusive stammer af </w:t>
      </w:r>
      <w:r>
        <w:rPr>
          <w:i/>
          <w:iCs/>
          <w:szCs w:val="22"/>
        </w:rPr>
        <w:t>E. coli</w:t>
      </w:r>
      <w:r>
        <w:rPr>
          <w:szCs w:val="22"/>
        </w:rPr>
        <w:t>.</w:t>
      </w:r>
    </w:p>
    <w:p w:rsidR="002C4B06" w:rsidRDefault="002C4B06" w:rsidP="000E63F5">
      <w:pPr>
        <w:tabs>
          <w:tab w:val="left" w:pos="1304"/>
        </w:tabs>
        <w:ind w:left="851"/>
        <w:rPr>
          <w:szCs w:val="22"/>
        </w:rPr>
      </w:pPr>
      <w:r>
        <w:rPr>
          <w:szCs w:val="22"/>
        </w:rPr>
        <w:t xml:space="preserve">Bakterier, som normalt er resistente overfor </w:t>
      </w:r>
      <w:proofErr w:type="spellStart"/>
      <w:r>
        <w:rPr>
          <w:szCs w:val="22"/>
        </w:rPr>
        <w:t>amoxicillin</w:t>
      </w:r>
      <w:proofErr w:type="spellEnd"/>
      <w:r>
        <w:rPr>
          <w:szCs w:val="22"/>
        </w:rPr>
        <w:t xml:space="preserve">, er penicillinase-producerende stafylokokker, visse </w:t>
      </w:r>
      <w:proofErr w:type="spellStart"/>
      <w:r>
        <w:rPr>
          <w:i/>
          <w:iCs/>
          <w:szCs w:val="22"/>
        </w:rPr>
        <w:t>Enterobacteriaceae</w:t>
      </w:r>
      <w:proofErr w:type="spellEnd"/>
      <w:r>
        <w:rPr>
          <w:szCs w:val="22"/>
        </w:rPr>
        <w:t xml:space="preserve">, såsom </w:t>
      </w:r>
      <w:proofErr w:type="spellStart"/>
      <w:r>
        <w:rPr>
          <w:i/>
          <w:iCs/>
          <w:szCs w:val="22"/>
        </w:rPr>
        <w:t>Klebsiella</w:t>
      </w:r>
      <w:proofErr w:type="spellEnd"/>
      <w:r>
        <w:rPr>
          <w:szCs w:val="22"/>
        </w:rPr>
        <w:t xml:space="preserve"> </w:t>
      </w:r>
      <w:proofErr w:type="spellStart"/>
      <w:r>
        <w:rPr>
          <w:szCs w:val="22"/>
        </w:rPr>
        <w:t>spp</w:t>
      </w:r>
      <w:proofErr w:type="spellEnd"/>
      <w:r>
        <w:rPr>
          <w:szCs w:val="22"/>
        </w:rPr>
        <w:t xml:space="preserve">., </w:t>
      </w:r>
      <w:proofErr w:type="spellStart"/>
      <w:r>
        <w:rPr>
          <w:i/>
          <w:iCs/>
          <w:szCs w:val="22"/>
        </w:rPr>
        <w:t>Enterobacter</w:t>
      </w:r>
      <w:proofErr w:type="spellEnd"/>
      <w:r>
        <w:rPr>
          <w:szCs w:val="22"/>
        </w:rPr>
        <w:t xml:space="preserve"> </w:t>
      </w:r>
      <w:proofErr w:type="spellStart"/>
      <w:r>
        <w:rPr>
          <w:szCs w:val="22"/>
        </w:rPr>
        <w:t>spp</w:t>
      </w:r>
      <w:proofErr w:type="spellEnd"/>
      <w:r>
        <w:rPr>
          <w:szCs w:val="22"/>
        </w:rPr>
        <w:t xml:space="preserve">., </w:t>
      </w:r>
      <w:r>
        <w:rPr>
          <w:i/>
          <w:iCs/>
          <w:szCs w:val="22"/>
        </w:rPr>
        <w:t>Proteus</w:t>
      </w:r>
      <w:r>
        <w:rPr>
          <w:szCs w:val="22"/>
        </w:rPr>
        <w:t xml:space="preserve"> </w:t>
      </w:r>
      <w:proofErr w:type="spellStart"/>
      <w:r>
        <w:rPr>
          <w:szCs w:val="22"/>
        </w:rPr>
        <w:t>spp</w:t>
      </w:r>
      <w:proofErr w:type="spellEnd"/>
      <w:r>
        <w:rPr>
          <w:szCs w:val="22"/>
        </w:rPr>
        <w:t xml:space="preserve">. og andre gramnegative bakterier såsom </w:t>
      </w:r>
      <w:proofErr w:type="spellStart"/>
      <w:r>
        <w:rPr>
          <w:i/>
          <w:iCs/>
          <w:szCs w:val="22"/>
        </w:rPr>
        <w:t>Pseudomonas</w:t>
      </w:r>
      <w:proofErr w:type="spellEnd"/>
      <w:r>
        <w:rPr>
          <w:i/>
          <w:iCs/>
          <w:szCs w:val="22"/>
        </w:rPr>
        <w:t xml:space="preserve"> </w:t>
      </w:r>
      <w:proofErr w:type="spellStart"/>
      <w:r>
        <w:rPr>
          <w:i/>
          <w:iCs/>
          <w:szCs w:val="22"/>
        </w:rPr>
        <w:t>aeruginosa</w:t>
      </w:r>
      <w:proofErr w:type="spellEnd"/>
      <w:r>
        <w:rPr>
          <w:szCs w:val="22"/>
        </w:rPr>
        <w:t>.</w:t>
      </w:r>
    </w:p>
    <w:p w:rsidR="002C4B06" w:rsidRDefault="002C4B06" w:rsidP="000E63F5">
      <w:pPr>
        <w:tabs>
          <w:tab w:val="left" w:pos="1304"/>
        </w:tabs>
        <w:ind w:left="851"/>
        <w:rPr>
          <w:szCs w:val="22"/>
        </w:rPr>
      </w:pPr>
      <w:r>
        <w:rPr>
          <w:szCs w:val="22"/>
        </w:rPr>
        <w:t>Der er tre hovedmekanismer mod resistens overfor beta-</w:t>
      </w:r>
      <w:proofErr w:type="spellStart"/>
      <w:r>
        <w:rPr>
          <w:szCs w:val="22"/>
        </w:rPr>
        <w:t>lactamer</w:t>
      </w:r>
      <w:proofErr w:type="spellEnd"/>
      <w:r>
        <w:rPr>
          <w:szCs w:val="22"/>
        </w:rPr>
        <w:t>: Beta-</w:t>
      </w:r>
      <w:proofErr w:type="spellStart"/>
      <w:r>
        <w:rPr>
          <w:szCs w:val="22"/>
        </w:rPr>
        <w:t>lactamaseproduktion</w:t>
      </w:r>
      <w:proofErr w:type="spellEnd"/>
      <w:r>
        <w:rPr>
          <w:szCs w:val="22"/>
        </w:rPr>
        <w:t>, ændret ekspression og/eller modifikation af penicillinbindende proteiner (PBP) og nedsat penetration af den ydre membran. En af de vigtigste er inaktivering af penicillin ved beta-</w:t>
      </w:r>
      <w:proofErr w:type="spellStart"/>
      <w:r>
        <w:rPr>
          <w:szCs w:val="22"/>
        </w:rPr>
        <w:t>lactamase</w:t>
      </w:r>
      <w:proofErr w:type="spellEnd"/>
      <w:r>
        <w:rPr>
          <w:szCs w:val="22"/>
        </w:rPr>
        <w:t>-enzymer produceret af visse bakterier. Disse enzymer er i stand til at spalte beta-</w:t>
      </w:r>
      <w:proofErr w:type="spellStart"/>
      <w:r>
        <w:rPr>
          <w:szCs w:val="22"/>
        </w:rPr>
        <w:t>lactamringen</w:t>
      </w:r>
      <w:proofErr w:type="spellEnd"/>
      <w:r>
        <w:rPr>
          <w:szCs w:val="22"/>
        </w:rPr>
        <w:t xml:space="preserve"> af penicilliner, hvilket gør dem inaktive. Beta-</w:t>
      </w:r>
      <w:proofErr w:type="spellStart"/>
      <w:r>
        <w:rPr>
          <w:szCs w:val="22"/>
        </w:rPr>
        <w:t>lactamasen</w:t>
      </w:r>
      <w:proofErr w:type="spellEnd"/>
      <w:r>
        <w:rPr>
          <w:szCs w:val="22"/>
        </w:rPr>
        <w:t xml:space="preserve"> kan være indkodet i kromosomale eller </w:t>
      </w:r>
      <w:proofErr w:type="spellStart"/>
      <w:r>
        <w:rPr>
          <w:szCs w:val="22"/>
        </w:rPr>
        <w:t>plasmidiske</w:t>
      </w:r>
      <w:proofErr w:type="spellEnd"/>
      <w:r>
        <w:rPr>
          <w:szCs w:val="22"/>
        </w:rPr>
        <w:t xml:space="preserve"> gener.</w:t>
      </w:r>
    </w:p>
    <w:p w:rsidR="002C4B06" w:rsidRDefault="002C4B06" w:rsidP="000E63F5">
      <w:pPr>
        <w:tabs>
          <w:tab w:val="left" w:pos="1304"/>
        </w:tabs>
        <w:ind w:left="851"/>
        <w:rPr>
          <w:szCs w:val="22"/>
        </w:rPr>
      </w:pPr>
      <w:r>
        <w:rPr>
          <w:szCs w:val="22"/>
        </w:rPr>
        <w:t xml:space="preserve">Erhvervede </w:t>
      </w:r>
      <w:proofErr w:type="spellStart"/>
      <w:r>
        <w:rPr>
          <w:szCs w:val="22"/>
        </w:rPr>
        <w:t>resistenser</w:t>
      </w:r>
      <w:proofErr w:type="spellEnd"/>
      <w:r>
        <w:rPr>
          <w:szCs w:val="22"/>
        </w:rPr>
        <w:t xml:space="preserve"> er hyppige for gramnegative bakterier som </w:t>
      </w:r>
      <w:r>
        <w:rPr>
          <w:i/>
          <w:iCs/>
          <w:szCs w:val="22"/>
        </w:rPr>
        <w:t>E. coli</w:t>
      </w:r>
      <w:r>
        <w:rPr>
          <w:szCs w:val="22"/>
        </w:rPr>
        <w:t>, der producerer forskellige typer af β-</w:t>
      </w:r>
      <w:proofErr w:type="spellStart"/>
      <w:r>
        <w:rPr>
          <w:szCs w:val="22"/>
        </w:rPr>
        <w:t>lactamaser</w:t>
      </w:r>
      <w:proofErr w:type="spellEnd"/>
      <w:r>
        <w:rPr>
          <w:szCs w:val="22"/>
        </w:rPr>
        <w:t xml:space="preserve">, der forbliver i det </w:t>
      </w:r>
      <w:proofErr w:type="spellStart"/>
      <w:r>
        <w:rPr>
          <w:szCs w:val="22"/>
        </w:rPr>
        <w:t>periplasmatiske</w:t>
      </w:r>
      <w:proofErr w:type="spellEnd"/>
      <w:r>
        <w:rPr>
          <w:szCs w:val="22"/>
        </w:rPr>
        <w:t xml:space="preserve"> rum. Krydsresistens observeres mellem </w:t>
      </w:r>
      <w:proofErr w:type="spellStart"/>
      <w:r>
        <w:rPr>
          <w:szCs w:val="22"/>
        </w:rPr>
        <w:t>amoxicillin</w:t>
      </w:r>
      <w:proofErr w:type="spellEnd"/>
      <w:r>
        <w:rPr>
          <w:szCs w:val="22"/>
        </w:rPr>
        <w:t xml:space="preserve"> og andre penicilliner, især med aminopenicilliner.</w:t>
      </w:r>
    </w:p>
    <w:p w:rsidR="002C4B06" w:rsidRDefault="002C4B06" w:rsidP="000E63F5">
      <w:pPr>
        <w:tabs>
          <w:tab w:val="left" w:pos="1304"/>
        </w:tabs>
        <w:ind w:left="851"/>
        <w:rPr>
          <w:szCs w:val="22"/>
        </w:rPr>
      </w:pPr>
      <w:r>
        <w:rPr>
          <w:szCs w:val="22"/>
        </w:rPr>
        <w:t>Anvendelsen af udvidede spektrum-beta-</w:t>
      </w:r>
      <w:proofErr w:type="spellStart"/>
      <w:r>
        <w:rPr>
          <w:szCs w:val="22"/>
        </w:rPr>
        <w:t>lactam</w:t>
      </w:r>
      <w:proofErr w:type="spellEnd"/>
      <w:r>
        <w:rPr>
          <w:szCs w:val="22"/>
        </w:rPr>
        <w:t>-lægemidler (fx aminopenicilliner) kan føre til udvælgelse af multiresistente bakterielle fænotyper (f.eks. dem, der producerer udvidede spektrum-beta-</w:t>
      </w:r>
      <w:proofErr w:type="spellStart"/>
      <w:r>
        <w:rPr>
          <w:szCs w:val="22"/>
        </w:rPr>
        <w:t>lactamaser</w:t>
      </w:r>
      <w:proofErr w:type="spellEnd"/>
      <w:r>
        <w:rPr>
          <w:szCs w:val="22"/>
        </w:rPr>
        <w:t xml:space="preserve"> (ESBL-producerende bakterier)).</w:t>
      </w:r>
    </w:p>
    <w:p w:rsidR="002C4B06" w:rsidRDefault="002C4B06" w:rsidP="002C4B06">
      <w:pPr>
        <w:tabs>
          <w:tab w:val="left" w:pos="1304"/>
        </w:tabs>
        <w:rPr>
          <w:szCs w:val="22"/>
        </w:rPr>
      </w:pPr>
    </w:p>
    <w:p w:rsidR="002C4B06" w:rsidRDefault="002C4B06" w:rsidP="000E63F5">
      <w:pPr>
        <w:pStyle w:val="Style1"/>
        <w:ind w:left="851" w:hanging="851"/>
      </w:pPr>
      <w:r>
        <w:t>4.3</w:t>
      </w:r>
      <w:r>
        <w:tab/>
      </w:r>
      <w:proofErr w:type="spellStart"/>
      <w:r>
        <w:t>Farmakokinetiske</w:t>
      </w:r>
      <w:proofErr w:type="spellEnd"/>
      <w:r>
        <w:t xml:space="preserve"> oplysninger</w:t>
      </w:r>
    </w:p>
    <w:p w:rsidR="002C4B06" w:rsidRDefault="002C4B06" w:rsidP="002C4B06">
      <w:pPr>
        <w:tabs>
          <w:tab w:val="left" w:pos="1304"/>
        </w:tabs>
        <w:rPr>
          <w:szCs w:val="22"/>
        </w:rPr>
      </w:pPr>
    </w:p>
    <w:p w:rsidR="002C4B06" w:rsidRDefault="002C4B06" w:rsidP="000E63F5">
      <w:pPr>
        <w:tabs>
          <w:tab w:val="left" w:pos="1304"/>
        </w:tabs>
        <w:ind w:left="851"/>
        <w:rPr>
          <w:szCs w:val="22"/>
        </w:rPr>
      </w:pPr>
      <w:proofErr w:type="spellStart"/>
      <w:r>
        <w:rPr>
          <w:szCs w:val="22"/>
        </w:rPr>
        <w:t>Amoxicillin</w:t>
      </w:r>
      <w:proofErr w:type="spellEnd"/>
      <w:r>
        <w:rPr>
          <w:szCs w:val="22"/>
        </w:rPr>
        <w:t xml:space="preserve"> distribueres primært til det ekstracellulære rum. Fordelingen i væv lettes af den lave grad af plasmaproteinbinding. Koncentrationer i lunge-, lungehinde- og bronkiale væv svarer til plasmakoncentrationer. </w:t>
      </w:r>
      <w:proofErr w:type="spellStart"/>
      <w:r>
        <w:rPr>
          <w:szCs w:val="22"/>
        </w:rPr>
        <w:t>Amoxicillin</w:t>
      </w:r>
      <w:proofErr w:type="spellEnd"/>
      <w:r>
        <w:rPr>
          <w:szCs w:val="22"/>
        </w:rPr>
        <w:t xml:space="preserve"> spredes i lungehinde- og </w:t>
      </w:r>
      <w:proofErr w:type="spellStart"/>
      <w:r>
        <w:rPr>
          <w:szCs w:val="22"/>
        </w:rPr>
        <w:t>ledvæske</w:t>
      </w:r>
      <w:proofErr w:type="spellEnd"/>
      <w:r>
        <w:rPr>
          <w:szCs w:val="22"/>
        </w:rPr>
        <w:t xml:space="preserve"> og i lymfevævet.</w:t>
      </w:r>
    </w:p>
    <w:p w:rsidR="002C4B06" w:rsidRDefault="002C4B06" w:rsidP="000E63F5">
      <w:pPr>
        <w:tabs>
          <w:tab w:val="left" w:pos="1304"/>
        </w:tabs>
        <w:ind w:left="851"/>
        <w:rPr>
          <w:szCs w:val="22"/>
        </w:rPr>
      </w:pPr>
      <w:r>
        <w:rPr>
          <w:szCs w:val="22"/>
        </w:rPr>
        <w:t xml:space="preserve">En lille del af </w:t>
      </w:r>
      <w:proofErr w:type="spellStart"/>
      <w:r>
        <w:rPr>
          <w:szCs w:val="22"/>
        </w:rPr>
        <w:t>amoxicillin</w:t>
      </w:r>
      <w:proofErr w:type="spellEnd"/>
      <w:r>
        <w:rPr>
          <w:szCs w:val="22"/>
        </w:rPr>
        <w:t xml:space="preserve"> (omkring 20 %) biotransformeres i leveren ved hydrolyse af β-</w:t>
      </w:r>
      <w:proofErr w:type="spellStart"/>
      <w:r>
        <w:rPr>
          <w:szCs w:val="22"/>
        </w:rPr>
        <w:t>lactam</w:t>
      </w:r>
      <w:proofErr w:type="spellEnd"/>
      <w:r>
        <w:rPr>
          <w:szCs w:val="22"/>
        </w:rPr>
        <w:t>-ringen, hvilket fører til inaktiv penicillinsyre.</w:t>
      </w:r>
    </w:p>
    <w:p w:rsidR="002C4B06" w:rsidRDefault="002C4B06" w:rsidP="000E63F5">
      <w:pPr>
        <w:tabs>
          <w:tab w:val="left" w:pos="1304"/>
        </w:tabs>
        <w:ind w:left="851"/>
        <w:rPr>
          <w:szCs w:val="22"/>
        </w:rPr>
      </w:pPr>
      <w:proofErr w:type="spellStart"/>
      <w:r>
        <w:rPr>
          <w:szCs w:val="22"/>
        </w:rPr>
        <w:t>Amoxicillin</w:t>
      </w:r>
      <w:proofErr w:type="spellEnd"/>
      <w:r>
        <w:rPr>
          <w:szCs w:val="22"/>
        </w:rPr>
        <w:t xml:space="preserve"> udskilles primært i aktiv form via nyrerne og sekundært via galdevejene og gennem mælk.</w:t>
      </w:r>
    </w:p>
    <w:p w:rsidR="002C4B06" w:rsidRDefault="002C4B06" w:rsidP="002C4B06">
      <w:pPr>
        <w:tabs>
          <w:tab w:val="left" w:pos="1304"/>
        </w:tabs>
        <w:rPr>
          <w:szCs w:val="22"/>
        </w:rPr>
      </w:pPr>
    </w:p>
    <w:p w:rsidR="002C4B06" w:rsidRDefault="002C4B06" w:rsidP="002C4B06">
      <w:pPr>
        <w:tabs>
          <w:tab w:val="left" w:pos="1304"/>
        </w:tabs>
        <w:rPr>
          <w:szCs w:val="22"/>
        </w:rPr>
      </w:pPr>
    </w:p>
    <w:p w:rsidR="002C4B06" w:rsidRDefault="002C4B06" w:rsidP="000E63F5">
      <w:pPr>
        <w:pStyle w:val="Style1"/>
        <w:ind w:left="851" w:hanging="851"/>
      </w:pPr>
      <w:r>
        <w:t>5.</w:t>
      </w:r>
      <w:r>
        <w:tab/>
        <w:t>FARMACEUTISKE OPLYSNINGER</w:t>
      </w:r>
    </w:p>
    <w:p w:rsidR="002C4B06" w:rsidRDefault="002C4B06" w:rsidP="002C4B06">
      <w:pPr>
        <w:tabs>
          <w:tab w:val="left" w:pos="1304"/>
        </w:tabs>
        <w:rPr>
          <w:szCs w:val="22"/>
        </w:rPr>
      </w:pPr>
    </w:p>
    <w:p w:rsidR="002C4B06" w:rsidRDefault="002C4B06" w:rsidP="000E63F5">
      <w:pPr>
        <w:pStyle w:val="Style1"/>
        <w:ind w:left="851" w:hanging="851"/>
      </w:pPr>
      <w:r>
        <w:t>5.1</w:t>
      </w:r>
      <w:r>
        <w:tab/>
        <w:t>Væsentlige uforligeligheder</w:t>
      </w:r>
    </w:p>
    <w:p w:rsidR="002C4B06" w:rsidRDefault="002C4B06" w:rsidP="002C4B06">
      <w:pPr>
        <w:tabs>
          <w:tab w:val="left" w:pos="1304"/>
        </w:tabs>
        <w:rPr>
          <w:szCs w:val="22"/>
        </w:rPr>
      </w:pPr>
    </w:p>
    <w:p w:rsidR="002C4B06" w:rsidRDefault="002C4B06" w:rsidP="000E63F5">
      <w:pPr>
        <w:tabs>
          <w:tab w:val="left" w:pos="1304"/>
        </w:tabs>
        <w:ind w:left="851"/>
      </w:pPr>
      <w:r>
        <w:t xml:space="preserve">Da der ikke foreligger undersøgelser vedrørende eventuelle uforligeligheder, bør dette </w:t>
      </w:r>
      <w:r>
        <w:rPr>
          <w:szCs w:val="22"/>
        </w:rPr>
        <w:t>veterinær</w:t>
      </w:r>
      <w:r>
        <w:t xml:space="preserve">lægemiddel ikke blandes med andre </w:t>
      </w:r>
      <w:r>
        <w:rPr>
          <w:szCs w:val="22"/>
        </w:rPr>
        <w:t>veterinær</w:t>
      </w:r>
      <w:r>
        <w:t>lægemidler.</w:t>
      </w:r>
    </w:p>
    <w:p w:rsidR="002C4B06" w:rsidRDefault="002C4B06" w:rsidP="002C4B06">
      <w:pPr>
        <w:tabs>
          <w:tab w:val="left" w:pos="1304"/>
        </w:tabs>
        <w:rPr>
          <w:szCs w:val="22"/>
        </w:rPr>
      </w:pPr>
    </w:p>
    <w:p w:rsidR="002C4B06" w:rsidRDefault="002C4B06" w:rsidP="000E63F5">
      <w:pPr>
        <w:pStyle w:val="Style1"/>
        <w:ind w:left="851" w:hanging="851"/>
      </w:pPr>
      <w:r>
        <w:t>5.2</w:t>
      </w:r>
      <w:r>
        <w:tab/>
        <w:t>Opbevaringstid</w:t>
      </w:r>
    </w:p>
    <w:p w:rsidR="002C4B06" w:rsidRDefault="002C4B06" w:rsidP="002C4B06">
      <w:pPr>
        <w:tabs>
          <w:tab w:val="left" w:pos="1304"/>
        </w:tabs>
        <w:rPr>
          <w:szCs w:val="22"/>
        </w:rPr>
      </w:pPr>
    </w:p>
    <w:p w:rsidR="002C4B06" w:rsidRDefault="002C4B06" w:rsidP="000E63F5">
      <w:pPr>
        <w:tabs>
          <w:tab w:val="left" w:pos="1304"/>
        </w:tabs>
        <w:ind w:firstLine="851"/>
        <w:rPr>
          <w:szCs w:val="22"/>
        </w:rPr>
      </w:pPr>
      <w:r>
        <w:t>Opbevaringstid for veterinærlægemidlet i salgspakning: 2 år.</w:t>
      </w:r>
    </w:p>
    <w:p w:rsidR="002C4B06" w:rsidRDefault="002C4B06" w:rsidP="000E63F5">
      <w:pPr>
        <w:tabs>
          <w:tab w:val="left" w:pos="1304"/>
        </w:tabs>
        <w:ind w:firstLine="851"/>
      </w:pPr>
      <w:r>
        <w:t>Opbevaringstid efter første åbning af den indre emballage: 28 dage.</w:t>
      </w:r>
    </w:p>
    <w:p w:rsidR="002C4B06" w:rsidRDefault="002C4B06" w:rsidP="002C4B06">
      <w:pPr>
        <w:tabs>
          <w:tab w:val="left" w:pos="1304"/>
        </w:tabs>
        <w:rPr>
          <w:szCs w:val="22"/>
        </w:rPr>
      </w:pPr>
    </w:p>
    <w:p w:rsidR="002C4B06" w:rsidRDefault="002C4B06" w:rsidP="000E63F5">
      <w:pPr>
        <w:pStyle w:val="Style1"/>
        <w:ind w:left="851" w:hanging="851"/>
      </w:pPr>
      <w:r>
        <w:t>5.3</w:t>
      </w:r>
      <w:r>
        <w:tab/>
        <w:t>Særlige forholdsregler vedrørende opbevaring</w:t>
      </w:r>
    </w:p>
    <w:p w:rsidR="002C4B06" w:rsidRDefault="002C4B06" w:rsidP="002C4B06">
      <w:pPr>
        <w:tabs>
          <w:tab w:val="left" w:pos="1304"/>
        </w:tabs>
        <w:rPr>
          <w:szCs w:val="22"/>
        </w:rPr>
      </w:pPr>
    </w:p>
    <w:p w:rsidR="002C4B06" w:rsidRDefault="002C4B06" w:rsidP="000E63F5">
      <w:pPr>
        <w:pStyle w:val="Style5"/>
        <w:ind w:firstLine="851"/>
      </w:pPr>
      <w:r>
        <w:t>Må ikke opbevares over 25 °C.</w:t>
      </w:r>
    </w:p>
    <w:p w:rsidR="002C4B06" w:rsidRDefault="002C4B06" w:rsidP="000E63F5">
      <w:pPr>
        <w:tabs>
          <w:tab w:val="left" w:pos="1304"/>
        </w:tabs>
        <w:ind w:firstLine="851"/>
        <w:rPr>
          <w:i/>
          <w:color w:val="008000"/>
          <w:szCs w:val="22"/>
        </w:rPr>
      </w:pPr>
      <w:r>
        <w:t>Beskyttes mod lys.</w:t>
      </w:r>
    </w:p>
    <w:p w:rsidR="002C4B06" w:rsidRDefault="002C4B06" w:rsidP="000E63F5">
      <w:pPr>
        <w:tabs>
          <w:tab w:val="left" w:pos="1304"/>
        </w:tabs>
        <w:ind w:firstLine="851"/>
        <w:rPr>
          <w:szCs w:val="22"/>
        </w:rPr>
      </w:pPr>
    </w:p>
    <w:p w:rsidR="002C4B06" w:rsidRDefault="002C4B06" w:rsidP="000E63F5">
      <w:pPr>
        <w:pStyle w:val="Style1"/>
        <w:ind w:left="851" w:hanging="851"/>
      </w:pPr>
      <w:r>
        <w:t>5.4</w:t>
      </w:r>
      <w:r>
        <w:tab/>
        <w:t>Den indre emballages art og indhold</w:t>
      </w:r>
    </w:p>
    <w:p w:rsidR="002C4B06" w:rsidRDefault="002C4B06" w:rsidP="002C4B06">
      <w:pPr>
        <w:tabs>
          <w:tab w:val="left" w:pos="1304"/>
        </w:tabs>
        <w:rPr>
          <w:szCs w:val="22"/>
        </w:rPr>
      </w:pPr>
    </w:p>
    <w:p w:rsidR="002C4B06" w:rsidRDefault="002C4B06" w:rsidP="00E44A86">
      <w:pPr>
        <w:tabs>
          <w:tab w:val="left" w:pos="1304"/>
        </w:tabs>
        <w:ind w:left="851"/>
      </w:pPr>
      <w:r>
        <w:t xml:space="preserve">Klare, farveløse Type II-glas hætteglas (50, 100 og 250 ml), lukket med </w:t>
      </w:r>
      <w:proofErr w:type="spellStart"/>
      <w:r>
        <w:t>nitrilgummiprop</w:t>
      </w:r>
      <w:proofErr w:type="spellEnd"/>
      <w:r>
        <w:t xml:space="preserve"> og aluminiumhætte.</w:t>
      </w:r>
    </w:p>
    <w:p w:rsidR="002C4B06" w:rsidRDefault="002C4B06" w:rsidP="00E44A86">
      <w:pPr>
        <w:tabs>
          <w:tab w:val="left" w:pos="1304"/>
        </w:tabs>
        <w:ind w:left="851"/>
      </w:pPr>
    </w:p>
    <w:p w:rsidR="002C4B06" w:rsidRDefault="002C4B06" w:rsidP="00E44A86">
      <w:pPr>
        <w:tabs>
          <w:tab w:val="left" w:pos="1304"/>
        </w:tabs>
        <w:ind w:left="851"/>
      </w:pPr>
      <w:r>
        <w:t xml:space="preserve">Klare </w:t>
      </w:r>
      <w:proofErr w:type="spellStart"/>
      <w:r>
        <w:t>polyethylenterephthalat</w:t>
      </w:r>
      <w:proofErr w:type="spellEnd"/>
      <w:r>
        <w:t xml:space="preserve"> hætteglas (100 og 250 ml) lukket med </w:t>
      </w:r>
      <w:proofErr w:type="spellStart"/>
      <w:r>
        <w:t>nitrilprop</w:t>
      </w:r>
      <w:proofErr w:type="spellEnd"/>
      <w:r>
        <w:t xml:space="preserve"> og aluminiumhætte.</w:t>
      </w:r>
    </w:p>
    <w:p w:rsidR="002C4B06" w:rsidRDefault="002C4B06" w:rsidP="00E44A86">
      <w:pPr>
        <w:tabs>
          <w:tab w:val="left" w:pos="1304"/>
        </w:tabs>
        <w:ind w:left="851"/>
      </w:pPr>
    </w:p>
    <w:p w:rsidR="002C4B06" w:rsidRDefault="002C4B06" w:rsidP="00E44A86">
      <w:pPr>
        <w:tabs>
          <w:tab w:val="left" w:pos="1304"/>
        </w:tabs>
        <w:ind w:left="851"/>
      </w:pPr>
      <w:r>
        <w:t>Pakningsstørrelser</w:t>
      </w:r>
    </w:p>
    <w:p w:rsidR="002C4B06" w:rsidRDefault="002C4B06" w:rsidP="00E44A86">
      <w:pPr>
        <w:tabs>
          <w:tab w:val="left" w:pos="1304"/>
        </w:tabs>
        <w:ind w:left="851"/>
      </w:pPr>
      <w:r>
        <w:t>50 ml hætteglas i papæske.</w:t>
      </w:r>
    </w:p>
    <w:p w:rsidR="002C4B06" w:rsidRDefault="002C4B06" w:rsidP="00E44A86">
      <w:pPr>
        <w:tabs>
          <w:tab w:val="left" w:pos="1304"/>
        </w:tabs>
        <w:ind w:left="851"/>
      </w:pPr>
      <w:r>
        <w:t>100 ml hætteglas i papæske.</w:t>
      </w:r>
    </w:p>
    <w:p w:rsidR="002C4B06" w:rsidRDefault="002C4B06" w:rsidP="00E44A86">
      <w:pPr>
        <w:tabs>
          <w:tab w:val="left" w:pos="1304"/>
        </w:tabs>
        <w:ind w:left="851"/>
      </w:pPr>
      <w:r>
        <w:t>250 ml hætteglas i papæske.</w:t>
      </w:r>
    </w:p>
    <w:p w:rsidR="002C4B06" w:rsidRDefault="002C4B06" w:rsidP="00E44A86">
      <w:pPr>
        <w:tabs>
          <w:tab w:val="left" w:pos="1304"/>
        </w:tabs>
        <w:ind w:left="851"/>
      </w:pPr>
      <w:r>
        <w:t>12 x 50 ml hætteglas i papæske/polystyrenæske.</w:t>
      </w:r>
    </w:p>
    <w:p w:rsidR="002C4B06" w:rsidRDefault="002C4B06" w:rsidP="00E44A86">
      <w:pPr>
        <w:tabs>
          <w:tab w:val="left" w:pos="1304"/>
        </w:tabs>
        <w:ind w:left="851"/>
      </w:pPr>
      <w:r>
        <w:t>12 x 100 ml hætteglas i papæske/polystyrenæske.</w:t>
      </w:r>
    </w:p>
    <w:p w:rsidR="002C4B06" w:rsidRDefault="002C4B06" w:rsidP="00E44A86">
      <w:pPr>
        <w:tabs>
          <w:tab w:val="left" w:pos="1304"/>
        </w:tabs>
        <w:ind w:left="851"/>
      </w:pPr>
      <w:r>
        <w:t>6 x 250 ml hætteglas i papæske/polystyrenæske.</w:t>
      </w:r>
    </w:p>
    <w:p w:rsidR="002C4B06" w:rsidRDefault="002C4B06" w:rsidP="00E44A86">
      <w:pPr>
        <w:tabs>
          <w:tab w:val="left" w:pos="1304"/>
        </w:tabs>
        <w:ind w:left="851"/>
      </w:pPr>
    </w:p>
    <w:p w:rsidR="002C4B06" w:rsidRDefault="002C4B06" w:rsidP="00E44A86">
      <w:pPr>
        <w:tabs>
          <w:tab w:val="left" w:pos="1304"/>
        </w:tabs>
        <w:ind w:left="851"/>
        <w:rPr>
          <w:szCs w:val="22"/>
        </w:rPr>
      </w:pPr>
      <w:r>
        <w:t xml:space="preserve">Ikke alle pakningsstørrelser er nødvendigvis markedsført. </w:t>
      </w:r>
    </w:p>
    <w:p w:rsidR="002C4B06" w:rsidRDefault="002C4B06" w:rsidP="002C4B06">
      <w:pPr>
        <w:tabs>
          <w:tab w:val="left" w:pos="1304"/>
        </w:tabs>
        <w:rPr>
          <w:szCs w:val="22"/>
        </w:rPr>
      </w:pPr>
    </w:p>
    <w:p w:rsidR="002C4B06" w:rsidRDefault="002C4B06" w:rsidP="00E44A86">
      <w:pPr>
        <w:pStyle w:val="Style1"/>
        <w:ind w:left="851" w:hanging="851"/>
      </w:pPr>
      <w:r>
        <w:t>5.5</w:t>
      </w:r>
      <w:r>
        <w:tab/>
        <w:t>Særlige forholdsregler vedrørende bortskaffelse af ubrugte veterinærlægemidler eller affaldsmaterialer fra brugen heraf</w:t>
      </w:r>
    </w:p>
    <w:p w:rsidR="002C4B06" w:rsidRDefault="002C4B06" w:rsidP="002C4B06">
      <w:pPr>
        <w:tabs>
          <w:tab w:val="left" w:pos="1304"/>
        </w:tabs>
        <w:rPr>
          <w:szCs w:val="22"/>
        </w:rPr>
      </w:pPr>
    </w:p>
    <w:p w:rsidR="002C4B06" w:rsidRDefault="002C4B06" w:rsidP="00E44A86">
      <w:pPr>
        <w:tabs>
          <w:tab w:val="left" w:pos="1304"/>
        </w:tabs>
        <w:ind w:left="851"/>
        <w:rPr>
          <w:szCs w:val="22"/>
        </w:rPr>
      </w:pPr>
      <w:r>
        <w:t>Lægemidler må ikke bortskaffes sammen med spildevand eller husholdningsaffald.</w:t>
      </w:r>
    </w:p>
    <w:p w:rsidR="002C4B06" w:rsidRDefault="002C4B06" w:rsidP="00E44A86">
      <w:pPr>
        <w:tabs>
          <w:tab w:val="left" w:pos="1304"/>
        </w:tabs>
        <w:ind w:left="851" w:right="-143"/>
      </w:pPr>
    </w:p>
    <w:p w:rsidR="002C4B06" w:rsidRDefault="002C4B06" w:rsidP="00E44A86">
      <w:pPr>
        <w:tabs>
          <w:tab w:val="left" w:pos="1304"/>
        </w:tabs>
        <w:ind w:left="851" w:right="-143"/>
        <w:rPr>
          <w:szCs w:val="22"/>
        </w:rPr>
      </w:pPr>
      <w:r>
        <w:t>Benyt returordninger ved bortskaffelse af ubrugte veterinærlægemidler eller affaldsmaterialer herfra i henhold til lokale retningslinjer og nationale indsamlingsordninger, der er relevante for det pågældende veterinærlægemiddel.</w:t>
      </w:r>
    </w:p>
    <w:p w:rsidR="002C4B06" w:rsidRDefault="002C4B06" w:rsidP="002C4B06">
      <w:pPr>
        <w:pStyle w:val="Style1"/>
      </w:pPr>
    </w:p>
    <w:p w:rsidR="002C4B06" w:rsidRDefault="002C4B06" w:rsidP="002C4B06">
      <w:pPr>
        <w:pStyle w:val="Style1"/>
      </w:pPr>
    </w:p>
    <w:p w:rsidR="002C4B06" w:rsidRDefault="002C4B06" w:rsidP="00E44A86">
      <w:pPr>
        <w:pStyle w:val="Style1"/>
        <w:ind w:left="851" w:hanging="851"/>
      </w:pPr>
      <w:r>
        <w:t>6.</w:t>
      </w:r>
      <w:r>
        <w:tab/>
        <w:t>NAVN PÅ INDEHAVEREN AF MARKEDSFØRINGSTILLADELSEN</w:t>
      </w:r>
    </w:p>
    <w:p w:rsidR="002C4B06" w:rsidRDefault="002C4B06" w:rsidP="002C4B06">
      <w:pPr>
        <w:tabs>
          <w:tab w:val="left" w:pos="1304"/>
        </w:tabs>
        <w:rPr>
          <w:szCs w:val="22"/>
        </w:rPr>
      </w:pPr>
    </w:p>
    <w:p w:rsidR="002C4B06" w:rsidRDefault="002C4B06" w:rsidP="00E44A86">
      <w:pPr>
        <w:tabs>
          <w:tab w:val="left" w:pos="1304"/>
        </w:tabs>
        <w:ind w:firstLine="851"/>
      </w:pPr>
      <w:proofErr w:type="spellStart"/>
      <w:r>
        <w:t>Univet</w:t>
      </w:r>
      <w:proofErr w:type="spellEnd"/>
      <w:r>
        <w:t xml:space="preserve"> Ltd.</w:t>
      </w:r>
    </w:p>
    <w:p w:rsidR="002C4B06" w:rsidRPr="002C4B06" w:rsidRDefault="002C4B06" w:rsidP="00E44A86">
      <w:pPr>
        <w:tabs>
          <w:tab w:val="left" w:pos="1304"/>
        </w:tabs>
        <w:ind w:firstLine="851"/>
        <w:rPr>
          <w:lang w:val="en-US"/>
        </w:rPr>
      </w:pPr>
      <w:proofErr w:type="spellStart"/>
      <w:r w:rsidRPr="002C4B06">
        <w:rPr>
          <w:lang w:val="en-US"/>
        </w:rPr>
        <w:t>Tullyvin</w:t>
      </w:r>
      <w:proofErr w:type="spellEnd"/>
    </w:p>
    <w:p w:rsidR="002C4B06" w:rsidRPr="002C4B06" w:rsidRDefault="002C4B06" w:rsidP="00E44A86">
      <w:pPr>
        <w:tabs>
          <w:tab w:val="left" w:pos="1304"/>
        </w:tabs>
        <w:ind w:firstLine="851"/>
        <w:rPr>
          <w:lang w:val="en-US"/>
        </w:rPr>
      </w:pPr>
      <w:proofErr w:type="spellStart"/>
      <w:r w:rsidRPr="002C4B06">
        <w:rPr>
          <w:lang w:val="en-US"/>
        </w:rPr>
        <w:t>Cootehill</w:t>
      </w:r>
      <w:proofErr w:type="spellEnd"/>
    </w:p>
    <w:p w:rsidR="002C4B06" w:rsidRPr="002C4B06" w:rsidRDefault="002C4B06" w:rsidP="00E44A86">
      <w:pPr>
        <w:tabs>
          <w:tab w:val="left" w:pos="1304"/>
        </w:tabs>
        <w:ind w:firstLine="851"/>
        <w:rPr>
          <w:lang w:val="en-US"/>
        </w:rPr>
      </w:pPr>
      <w:r w:rsidRPr="002C4B06">
        <w:rPr>
          <w:lang w:val="en-US"/>
        </w:rPr>
        <w:t xml:space="preserve">Co. </w:t>
      </w:r>
      <w:proofErr w:type="spellStart"/>
      <w:r w:rsidRPr="002C4B06">
        <w:rPr>
          <w:lang w:val="en-US"/>
        </w:rPr>
        <w:t>Cavan</w:t>
      </w:r>
      <w:proofErr w:type="spellEnd"/>
    </w:p>
    <w:p w:rsidR="002C4B06" w:rsidRDefault="002C4B06" w:rsidP="00E44A86">
      <w:pPr>
        <w:tabs>
          <w:tab w:val="left" w:pos="1304"/>
        </w:tabs>
        <w:ind w:firstLine="851"/>
        <w:rPr>
          <w:lang w:val="en-US"/>
        </w:rPr>
      </w:pPr>
      <w:r w:rsidRPr="002C4B06">
        <w:rPr>
          <w:lang w:val="en-US"/>
        </w:rPr>
        <w:t>Ireland</w:t>
      </w:r>
    </w:p>
    <w:p w:rsidR="002C4B06" w:rsidRPr="002C4B06" w:rsidRDefault="002C4B06" w:rsidP="00E44A86">
      <w:pPr>
        <w:tabs>
          <w:tab w:val="left" w:pos="1304"/>
        </w:tabs>
        <w:ind w:firstLine="851"/>
        <w:rPr>
          <w:lang w:val="en-US"/>
        </w:rPr>
      </w:pPr>
    </w:p>
    <w:p w:rsidR="002C4B06" w:rsidRPr="002C4B06" w:rsidRDefault="002C4B06" w:rsidP="00E44A86">
      <w:pPr>
        <w:tabs>
          <w:tab w:val="left" w:pos="1304"/>
        </w:tabs>
        <w:ind w:firstLine="851"/>
        <w:rPr>
          <w:b/>
          <w:bCs/>
          <w:szCs w:val="22"/>
          <w:lang w:val="en-US"/>
        </w:rPr>
      </w:pPr>
      <w:proofErr w:type="spellStart"/>
      <w:r w:rsidRPr="002C4B06">
        <w:rPr>
          <w:b/>
          <w:bCs/>
          <w:szCs w:val="22"/>
          <w:lang w:val="en-US"/>
        </w:rPr>
        <w:t>Repræsentant</w:t>
      </w:r>
      <w:proofErr w:type="spellEnd"/>
    </w:p>
    <w:p w:rsidR="002C4B06" w:rsidRDefault="002C4B06" w:rsidP="00E44A86">
      <w:pPr>
        <w:tabs>
          <w:tab w:val="left" w:pos="1304"/>
        </w:tabs>
        <w:ind w:firstLine="851"/>
        <w:rPr>
          <w:szCs w:val="22"/>
        </w:rPr>
      </w:pPr>
      <w:proofErr w:type="spellStart"/>
      <w:r w:rsidRPr="002C4B06">
        <w:rPr>
          <w:szCs w:val="22"/>
        </w:rPr>
        <w:t>Salfarm</w:t>
      </w:r>
      <w:proofErr w:type="spellEnd"/>
      <w:r w:rsidRPr="002C4B06">
        <w:rPr>
          <w:szCs w:val="22"/>
        </w:rPr>
        <w:t xml:space="preserve"> Danmark A/S</w:t>
      </w:r>
    </w:p>
    <w:p w:rsidR="002C4B06" w:rsidRDefault="002C4B06" w:rsidP="00E44A86">
      <w:pPr>
        <w:tabs>
          <w:tab w:val="left" w:pos="1304"/>
        </w:tabs>
        <w:ind w:firstLine="851"/>
        <w:rPr>
          <w:szCs w:val="22"/>
        </w:rPr>
      </w:pPr>
      <w:r w:rsidRPr="002C4B06">
        <w:rPr>
          <w:szCs w:val="22"/>
        </w:rPr>
        <w:t>Nordager 19</w:t>
      </w:r>
    </w:p>
    <w:p w:rsidR="002C4B06" w:rsidRDefault="002C4B06" w:rsidP="00E44A86">
      <w:pPr>
        <w:tabs>
          <w:tab w:val="left" w:pos="1304"/>
        </w:tabs>
        <w:ind w:firstLine="851"/>
        <w:rPr>
          <w:szCs w:val="22"/>
        </w:rPr>
      </w:pPr>
      <w:r>
        <w:rPr>
          <w:szCs w:val="22"/>
        </w:rPr>
        <w:t>6000 Kolding</w:t>
      </w:r>
    </w:p>
    <w:p w:rsidR="002C4B06" w:rsidRDefault="002C4B06" w:rsidP="002C4B06">
      <w:pPr>
        <w:tabs>
          <w:tab w:val="left" w:pos="1304"/>
        </w:tabs>
        <w:rPr>
          <w:szCs w:val="22"/>
        </w:rPr>
      </w:pPr>
    </w:p>
    <w:p w:rsidR="002C4B06" w:rsidRDefault="002C4B06" w:rsidP="00E44A86">
      <w:pPr>
        <w:pStyle w:val="Style1"/>
        <w:ind w:left="851" w:hanging="851"/>
      </w:pPr>
      <w:r>
        <w:t>7.</w:t>
      </w:r>
      <w:r>
        <w:tab/>
        <w:t>MARKEDSFØRINGSTILLADELSESNUMMER (-NUMRE)</w:t>
      </w:r>
    </w:p>
    <w:p w:rsidR="002C4B06" w:rsidRDefault="002C4B06" w:rsidP="002C4B06">
      <w:pPr>
        <w:tabs>
          <w:tab w:val="left" w:pos="1304"/>
        </w:tabs>
        <w:rPr>
          <w:szCs w:val="22"/>
        </w:rPr>
      </w:pPr>
    </w:p>
    <w:p w:rsidR="002C4B06" w:rsidRDefault="002C4B06" w:rsidP="00E44A86">
      <w:pPr>
        <w:tabs>
          <w:tab w:val="left" w:pos="1304"/>
        </w:tabs>
        <w:ind w:firstLine="851"/>
        <w:rPr>
          <w:szCs w:val="22"/>
        </w:rPr>
      </w:pPr>
      <w:r>
        <w:rPr>
          <w:szCs w:val="22"/>
        </w:rPr>
        <w:t>60961</w:t>
      </w:r>
    </w:p>
    <w:p w:rsidR="002C4B06" w:rsidRDefault="002C4B06" w:rsidP="002C4B06">
      <w:pPr>
        <w:tabs>
          <w:tab w:val="left" w:pos="1304"/>
        </w:tabs>
        <w:rPr>
          <w:szCs w:val="22"/>
        </w:rPr>
      </w:pPr>
    </w:p>
    <w:p w:rsidR="002C4B06" w:rsidRDefault="002C4B06" w:rsidP="00E44A86">
      <w:pPr>
        <w:pStyle w:val="Style1"/>
        <w:ind w:left="851" w:hanging="851"/>
      </w:pPr>
      <w:r>
        <w:t>8.</w:t>
      </w:r>
      <w:r>
        <w:tab/>
        <w:t>DATO FOR FØRSTE TILLADELSE</w:t>
      </w:r>
    </w:p>
    <w:p w:rsidR="002C4B06" w:rsidRDefault="002C4B06" w:rsidP="002C4B06">
      <w:pPr>
        <w:tabs>
          <w:tab w:val="left" w:pos="1304"/>
        </w:tabs>
        <w:rPr>
          <w:szCs w:val="22"/>
        </w:rPr>
      </w:pPr>
    </w:p>
    <w:p w:rsidR="002C4B06" w:rsidRDefault="002C4B06" w:rsidP="00E44A86">
      <w:pPr>
        <w:tabs>
          <w:tab w:val="left" w:pos="851"/>
          <w:tab w:val="left" w:pos="8222"/>
        </w:tabs>
        <w:ind w:firstLine="851"/>
        <w:rPr>
          <w:sz w:val="24"/>
          <w:szCs w:val="24"/>
        </w:rPr>
      </w:pPr>
      <w:r>
        <w:t xml:space="preserve">Dato for første markedsføringstilladelse: </w:t>
      </w:r>
      <w:r>
        <w:rPr>
          <w:sz w:val="24"/>
          <w:szCs w:val="24"/>
        </w:rPr>
        <w:t>13. marts 2019</w:t>
      </w:r>
    </w:p>
    <w:p w:rsidR="002C4B06" w:rsidRDefault="002C4B06" w:rsidP="002C4B06">
      <w:pPr>
        <w:tabs>
          <w:tab w:val="left" w:pos="1304"/>
        </w:tabs>
        <w:rPr>
          <w:sz w:val="22"/>
          <w:szCs w:val="22"/>
        </w:rPr>
      </w:pPr>
    </w:p>
    <w:p w:rsidR="002C4B06" w:rsidRDefault="002C4B06" w:rsidP="00E44A86">
      <w:pPr>
        <w:pStyle w:val="Style1"/>
        <w:ind w:left="851" w:hanging="851"/>
      </w:pPr>
      <w:r>
        <w:t>9.</w:t>
      </w:r>
      <w:r>
        <w:tab/>
        <w:t>DATO FOR SENESTE ÆNDRING AF PRODUKTRESUMÉET</w:t>
      </w:r>
    </w:p>
    <w:p w:rsidR="002C4B06" w:rsidRDefault="002C4B06" w:rsidP="002C4B06">
      <w:pPr>
        <w:tabs>
          <w:tab w:val="left" w:pos="1304"/>
        </w:tabs>
        <w:rPr>
          <w:szCs w:val="22"/>
        </w:rPr>
      </w:pPr>
    </w:p>
    <w:p w:rsidR="002C4B06" w:rsidRDefault="00E44A86" w:rsidP="00E44A86">
      <w:pPr>
        <w:tabs>
          <w:tab w:val="left" w:pos="1304"/>
        </w:tabs>
        <w:ind w:firstLine="851"/>
      </w:pPr>
      <w:r>
        <w:t xml:space="preserve">30. oktober </w:t>
      </w:r>
      <w:r w:rsidR="002C4B06">
        <w:t>2024</w:t>
      </w:r>
    </w:p>
    <w:p w:rsidR="002C4B06" w:rsidRDefault="002C4B06" w:rsidP="002C4B06">
      <w:pPr>
        <w:tabs>
          <w:tab w:val="left" w:pos="1304"/>
        </w:tabs>
      </w:pPr>
    </w:p>
    <w:p w:rsidR="002C4B06" w:rsidRDefault="002C4B06" w:rsidP="002C4B06">
      <w:pPr>
        <w:tabs>
          <w:tab w:val="left" w:pos="1304"/>
        </w:tabs>
        <w:rPr>
          <w:szCs w:val="22"/>
        </w:rPr>
      </w:pPr>
    </w:p>
    <w:p w:rsidR="002C4B06" w:rsidRDefault="002C4B06" w:rsidP="00E44A86">
      <w:pPr>
        <w:pStyle w:val="Style1"/>
        <w:ind w:left="851" w:hanging="851"/>
      </w:pPr>
      <w:r>
        <w:lastRenderedPageBreak/>
        <w:t>10.</w:t>
      </w:r>
      <w:r>
        <w:tab/>
        <w:t>KLASSIFICERING AF VETERINÆRLÆGEMIDLER</w:t>
      </w:r>
    </w:p>
    <w:p w:rsidR="002C4B06" w:rsidRDefault="002C4B06" w:rsidP="002C4B06">
      <w:pPr>
        <w:tabs>
          <w:tab w:val="left" w:pos="1304"/>
        </w:tabs>
        <w:rPr>
          <w:szCs w:val="22"/>
        </w:rPr>
      </w:pPr>
    </w:p>
    <w:p w:rsidR="002C4B06" w:rsidRDefault="002C4B06" w:rsidP="00E44A86">
      <w:pPr>
        <w:numPr>
          <w:ilvl w:val="12"/>
          <w:numId w:val="0"/>
        </w:numPr>
        <w:ind w:firstLine="851"/>
      </w:pPr>
      <w:r>
        <w:t>BPK</w:t>
      </w:r>
    </w:p>
    <w:p w:rsidR="002C4B06" w:rsidRDefault="002C4B06" w:rsidP="00E44A86">
      <w:pPr>
        <w:ind w:right="-318" w:firstLine="851"/>
        <w:rPr>
          <w:szCs w:val="22"/>
        </w:rPr>
      </w:pPr>
      <w:r>
        <w:t>Der findes detaljerede oplysninger om dette veterinærlægemiddel i EU-lægemiddeldatabasen.</w:t>
      </w:r>
    </w:p>
    <w:p w:rsidR="00087F62" w:rsidRPr="009711A3" w:rsidRDefault="00087F62" w:rsidP="00087F62"/>
    <w:p w:rsidR="0003527F" w:rsidRPr="00087F62" w:rsidRDefault="0003527F" w:rsidP="00087F62">
      <w:bookmarkStart w:id="1" w:name="_GoBack"/>
      <w:bookmarkEnd w:id="1"/>
    </w:p>
    <w:sectPr w:rsidR="0003527F" w:rsidRPr="00087F62"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F62" w:rsidRDefault="00087F62">
      <w:r>
        <w:separator/>
      </w:r>
    </w:p>
  </w:endnote>
  <w:endnote w:type="continuationSeparator" w:id="0">
    <w:p w:rsidR="00087F62" w:rsidRDefault="00087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0B7774">
      <w:rPr>
        <w:i/>
        <w:noProof/>
        <w:snapToGrid w:val="0"/>
        <w:sz w:val="18"/>
      </w:rPr>
      <w:t>Trymox Vet., injektionsvæske, suspension 150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0B7774">
      <w:rPr>
        <w:i/>
        <w:noProof/>
        <w:snapToGrid w:val="0"/>
        <w:sz w:val="18"/>
      </w:rPr>
      <w:t>Trymox Vet., injektionsvæske, suspension 150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F62" w:rsidRDefault="00087F62">
      <w:r>
        <w:separator/>
      </w:r>
    </w:p>
  </w:footnote>
  <w:footnote w:type="continuationSeparator" w:id="0">
    <w:p w:rsidR="00087F62" w:rsidRDefault="00087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9E37E1"/>
    <w:multiLevelType w:val="hybridMultilevel"/>
    <w:tmpl w:val="63764678"/>
    <w:lvl w:ilvl="0" w:tplc="C4047992">
      <w:start w:val="1"/>
      <w:numFmt w:val="decimal"/>
      <w:lvlText w:val="%1."/>
      <w:lvlJc w:val="left"/>
      <w:pPr>
        <w:ind w:left="1143" w:hanging="576"/>
      </w:pPr>
    </w:lvl>
    <w:lvl w:ilvl="1" w:tplc="04060019">
      <w:start w:val="1"/>
      <w:numFmt w:val="lowerLetter"/>
      <w:lvlText w:val="%2."/>
      <w:lvlJc w:val="left"/>
      <w:pPr>
        <w:ind w:left="1647" w:hanging="360"/>
      </w:pPr>
    </w:lvl>
    <w:lvl w:ilvl="2" w:tplc="0406001B">
      <w:start w:val="1"/>
      <w:numFmt w:val="lowerRoman"/>
      <w:lvlText w:val="%3."/>
      <w:lvlJc w:val="right"/>
      <w:pPr>
        <w:ind w:left="2367" w:hanging="180"/>
      </w:pPr>
    </w:lvl>
    <w:lvl w:ilvl="3" w:tplc="0406000F">
      <w:start w:val="1"/>
      <w:numFmt w:val="decimal"/>
      <w:lvlText w:val="%4."/>
      <w:lvlJc w:val="left"/>
      <w:pPr>
        <w:ind w:left="3087" w:hanging="360"/>
      </w:pPr>
    </w:lvl>
    <w:lvl w:ilvl="4" w:tplc="04060019">
      <w:start w:val="1"/>
      <w:numFmt w:val="lowerLetter"/>
      <w:lvlText w:val="%5."/>
      <w:lvlJc w:val="left"/>
      <w:pPr>
        <w:ind w:left="3807" w:hanging="360"/>
      </w:pPr>
    </w:lvl>
    <w:lvl w:ilvl="5" w:tplc="0406001B">
      <w:start w:val="1"/>
      <w:numFmt w:val="lowerRoman"/>
      <w:lvlText w:val="%6."/>
      <w:lvlJc w:val="right"/>
      <w:pPr>
        <w:ind w:left="4527" w:hanging="180"/>
      </w:pPr>
    </w:lvl>
    <w:lvl w:ilvl="6" w:tplc="0406000F">
      <w:start w:val="1"/>
      <w:numFmt w:val="decimal"/>
      <w:lvlText w:val="%7."/>
      <w:lvlJc w:val="left"/>
      <w:pPr>
        <w:ind w:left="5247" w:hanging="360"/>
      </w:pPr>
    </w:lvl>
    <w:lvl w:ilvl="7" w:tplc="04060019">
      <w:start w:val="1"/>
      <w:numFmt w:val="lowerLetter"/>
      <w:lvlText w:val="%8."/>
      <w:lvlJc w:val="left"/>
      <w:pPr>
        <w:ind w:left="5967" w:hanging="360"/>
      </w:pPr>
    </w:lvl>
    <w:lvl w:ilvl="8" w:tplc="0406001B">
      <w:start w:val="1"/>
      <w:numFmt w:val="lowerRoman"/>
      <w:lvlText w:val="%9."/>
      <w:lvlJc w:val="right"/>
      <w:pPr>
        <w:ind w:left="6687" w:hanging="180"/>
      </w:p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4EE2751"/>
    <w:multiLevelType w:val="hybridMultilevel"/>
    <w:tmpl w:val="25A80C3C"/>
    <w:lvl w:ilvl="0" w:tplc="5F4ECFE4">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1"/>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F62"/>
    <w:rsid w:val="00016EC9"/>
    <w:rsid w:val="0003527F"/>
    <w:rsid w:val="00041630"/>
    <w:rsid w:val="00065C7D"/>
    <w:rsid w:val="00087F62"/>
    <w:rsid w:val="000B7774"/>
    <w:rsid w:val="000C6CD4"/>
    <w:rsid w:val="000E63F5"/>
    <w:rsid w:val="001577E4"/>
    <w:rsid w:val="001858CA"/>
    <w:rsid w:val="001C4AEF"/>
    <w:rsid w:val="001D3CC5"/>
    <w:rsid w:val="001E4427"/>
    <w:rsid w:val="001F15B6"/>
    <w:rsid w:val="00201C57"/>
    <w:rsid w:val="002B24F8"/>
    <w:rsid w:val="002C4B06"/>
    <w:rsid w:val="00322BDE"/>
    <w:rsid w:val="00363F85"/>
    <w:rsid w:val="00406EE7"/>
    <w:rsid w:val="00407013"/>
    <w:rsid w:val="004A62CC"/>
    <w:rsid w:val="00565A74"/>
    <w:rsid w:val="005B0036"/>
    <w:rsid w:val="005E7A91"/>
    <w:rsid w:val="005F5831"/>
    <w:rsid w:val="0060097B"/>
    <w:rsid w:val="006401E7"/>
    <w:rsid w:val="00662012"/>
    <w:rsid w:val="00666B01"/>
    <w:rsid w:val="006B1539"/>
    <w:rsid w:val="006D4B41"/>
    <w:rsid w:val="006F5621"/>
    <w:rsid w:val="0072616D"/>
    <w:rsid w:val="007B0A32"/>
    <w:rsid w:val="007E2A00"/>
    <w:rsid w:val="008010F2"/>
    <w:rsid w:val="00842915"/>
    <w:rsid w:val="009202AE"/>
    <w:rsid w:val="00932676"/>
    <w:rsid w:val="009938F2"/>
    <w:rsid w:val="009D66C6"/>
    <w:rsid w:val="00A10D5D"/>
    <w:rsid w:val="00A51DC7"/>
    <w:rsid w:val="00A553A6"/>
    <w:rsid w:val="00A96525"/>
    <w:rsid w:val="00AD12D5"/>
    <w:rsid w:val="00AE29E5"/>
    <w:rsid w:val="00AE5757"/>
    <w:rsid w:val="00B25EB8"/>
    <w:rsid w:val="00B70AA2"/>
    <w:rsid w:val="00BC634B"/>
    <w:rsid w:val="00BF2AE0"/>
    <w:rsid w:val="00C2017D"/>
    <w:rsid w:val="00C479BF"/>
    <w:rsid w:val="00CA0EE3"/>
    <w:rsid w:val="00D44197"/>
    <w:rsid w:val="00D567AA"/>
    <w:rsid w:val="00D82D91"/>
    <w:rsid w:val="00DD6D71"/>
    <w:rsid w:val="00DF32BE"/>
    <w:rsid w:val="00E14F0A"/>
    <w:rsid w:val="00E44A86"/>
    <w:rsid w:val="00EB5778"/>
    <w:rsid w:val="00EE5253"/>
    <w:rsid w:val="00F53B10"/>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6D810"/>
  <w15:chartTrackingRefBased/>
  <w15:docId w15:val="{237EF955-29BE-451A-970E-10CCDAE2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087F62"/>
    <w:pPr>
      <w:ind w:left="720"/>
      <w:contextualSpacing/>
    </w:pPr>
  </w:style>
  <w:style w:type="paragraph" w:customStyle="1" w:styleId="Style1">
    <w:name w:val="Style1"/>
    <w:basedOn w:val="Normal"/>
    <w:qFormat/>
    <w:rsid w:val="002C4B06"/>
    <w:pPr>
      <w:tabs>
        <w:tab w:val="left" w:pos="0"/>
      </w:tabs>
      <w:ind w:left="567" w:hanging="567"/>
    </w:pPr>
    <w:rPr>
      <w:b/>
      <w:sz w:val="22"/>
      <w:szCs w:val="22"/>
    </w:rPr>
  </w:style>
  <w:style w:type="paragraph" w:customStyle="1" w:styleId="Style5">
    <w:name w:val="Style5"/>
    <w:basedOn w:val="Normal"/>
    <w:qFormat/>
    <w:rsid w:val="002C4B06"/>
    <w:pPr>
      <w:numPr>
        <w:ilvl w:val="12"/>
      </w:numP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333020690">
      <w:bodyDiv w:val="1"/>
      <w:marLeft w:val="0"/>
      <w:marRight w:val="0"/>
      <w:marTop w:val="0"/>
      <w:marBottom w:val="0"/>
      <w:divBdr>
        <w:top w:val="none" w:sz="0" w:space="0" w:color="auto"/>
        <w:left w:val="none" w:sz="0" w:space="0" w:color="auto"/>
        <w:bottom w:val="none" w:sz="0" w:space="0" w:color="auto"/>
        <w:right w:val="none" w:sz="0" w:space="0" w:color="auto"/>
      </w:divBdr>
    </w:div>
    <w:div w:id="181371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7</Pages>
  <Words>1435</Words>
  <Characters>9979</Characters>
  <Application>Microsoft Office Word</Application>
  <DocSecurity>0</DocSecurity>
  <Lines>83</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2023084260 pkt QRD9 opdatering</dc:description>
  <cp:lastModifiedBy>Gitte Ronnovius</cp:lastModifiedBy>
  <cp:revision>4</cp:revision>
  <dcterms:created xsi:type="dcterms:W3CDTF">2024-10-28T08:16:00Z</dcterms:created>
  <dcterms:modified xsi:type="dcterms:W3CDTF">2024-10-28T09:16:00Z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