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E7E" w:rsidRDefault="00B70E7E" w:rsidP="00B70E7E">
      <w:pPr>
        <w:tabs>
          <w:tab w:val="left" w:pos="8222"/>
        </w:tabs>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31E08">
        <w:fldChar w:fldCharType="begin"/>
      </w:r>
      <w:r w:rsidR="00431E08">
        <w:instrText xml:space="preserve"> INCLUDEPICTURE  "cid:image004.jpg@01D117E9.E5553340" \* MERGEFORMATINET </w:instrText>
      </w:r>
      <w:r w:rsidR="00431E08">
        <w:fldChar w:fldCharType="separate"/>
      </w:r>
      <w:r w:rsidR="00A862E2">
        <w:fldChar w:fldCharType="begin"/>
      </w:r>
      <w:r w:rsidR="00A862E2">
        <w:instrText xml:space="preserve"> </w:instrText>
      </w:r>
      <w:r w:rsidR="00A862E2">
        <w:instrText>INCLUDEPICTURE  "cid:image004.jpg@01</w:instrText>
      </w:r>
      <w:r w:rsidR="00A862E2">
        <w:instrText>D117E9.E5553340" \* MERGEFORMATINET</w:instrText>
      </w:r>
      <w:r w:rsidR="00A862E2">
        <w:instrText xml:space="preserve"> </w:instrText>
      </w:r>
      <w:r w:rsidR="00A862E2">
        <w:fldChar w:fldCharType="separate"/>
      </w:r>
      <w:r w:rsidR="00B9506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MST_auto_stor" style="width:192.75pt;height:54.75pt">
            <v:imagedata r:id="rId7" r:href="rId8"/>
          </v:shape>
        </w:pict>
      </w:r>
      <w:r w:rsidR="00A862E2">
        <w:fldChar w:fldCharType="end"/>
      </w:r>
      <w:r w:rsidR="00431E08">
        <w:fldChar w:fldCharType="end"/>
      </w:r>
      <w:r>
        <w:fldChar w:fldCharType="end"/>
      </w:r>
      <w:r>
        <w:fldChar w:fldCharType="end"/>
      </w:r>
      <w:r>
        <w:fldChar w:fldCharType="end"/>
      </w:r>
      <w:r>
        <w:fldChar w:fldCharType="end"/>
      </w:r>
      <w:r>
        <w:fldChar w:fldCharType="end"/>
      </w:r>
    </w:p>
    <w:p w:rsidR="00B9506D" w:rsidRPr="00DF32BE" w:rsidRDefault="00B9506D" w:rsidP="00B70E7E">
      <w:pPr>
        <w:tabs>
          <w:tab w:val="left" w:pos="8222"/>
        </w:tabs>
        <w:rPr>
          <w:sz w:val="24"/>
          <w:szCs w:val="24"/>
        </w:rPr>
      </w:pPr>
    </w:p>
    <w:p w:rsidR="00B70E7E" w:rsidRPr="006D6CE3" w:rsidRDefault="00F17C2B" w:rsidP="00B70E7E">
      <w:pPr>
        <w:tabs>
          <w:tab w:val="left" w:pos="6804"/>
        </w:tabs>
        <w:ind w:left="720"/>
        <w:jc w:val="right"/>
        <w:rPr>
          <w:b/>
          <w:sz w:val="24"/>
          <w:szCs w:val="24"/>
        </w:rPr>
      </w:pPr>
      <w:r>
        <w:rPr>
          <w:b/>
          <w:sz w:val="24"/>
          <w:szCs w:val="24"/>
        </w:rPr>
        <w:t>2</w:t>
      </w:r>
      <w:r w:rsidR="00B70E7E">
        <w:rPr>
          <w:b/>
          <w:sz w:val="24"/>
          <w:szCs w:val="24"/>
        </w:rPr>
        <w:t xml:space="preserve">. </w:t>
      </w:r>
      <w:r>
        <w:rPr>
          <w:b/>
          <w:sz w:val="24"/>
          <w:szCs w:val="24"/>
        </w:rPr>
        <w:t>april</w:t>
      </w:r>
      <w:r w:rsidR="00B70E7E">
        <w:rPr>
          <w:b/>
          <w:sz w:val="24"/>
          <w:szCs w:val="24"/>
        </w:rPr>
        <w:t xml:space="preserve"> 2</w:t>
      </w:r>
      <w:r>
        <w:rPr>
          <w:b/>
          <w:sz w:val="24"/>
          <w:szCs w:val="24"/>
        </w:rPr>
        <w:t>024</w:t>
      </w:r>
    </w:p>
    <w:p w:rsidR="00B70E7E" w:rsidRDefault="00B70E7E" w:rsidP="00B70E7E">
      <w:pPr>
        <w:tabs>
          <w:tab w:val="left" w:pos="8222"/>
        </w:tabs>
        <w:jc w:val="right"/>
        <w:rPr>
          <w:sz w:val="24"/>
          <w:szCs w:val="24"/>
        </w:rPr>
      </w:pPr>
    </w:p>
    <w:p w:rsidR="00F17C2B" w:rsidRPr="00DF32BE" w:rsidRDefault="00F17C2B" w:rsidP="00B70E7E">
      <w:pPr>
        <w:tabs>
          <w:tab w:val="left" w:pos="8222"/>
        </w:tabs>
        <w:jc w:val="right"/>
        <w:rPr>
          <w:sz w:val="24"/>
          <w:szCs w:val="24"/>
        </w:rPr>
      </w:pPr>
    </w:p>
    <w:p w:rsidR="00B70E7E" w:rsidRPr="00DF32BE" w:rsidRDefault="00B70E7E" w:rsidP="00B70E7E">
      <w:pPr>
        <w:tabs>
          <w:tab w:val="left" w:pos="8222"/>
        </w:tabs>
        <w:jc w:val="center"/>
        <w:rPr>
          <w:b/>
          <w:sz w:val="24"/>
          <w:szCs w:val="24"/>
        </w:rPr>
      </w:pPr>
      <w:r w:rsidRPr="00DF32BE">
        <w:rPr>
          <w:b/>
          <w:sz w:val="24"/>
          <w:szCs w:val="24"/>
        </w:rPr>
        <w:t>PRODUKTRESUMÉ</w:t>
      </w:r>
    </w:p>
    <w:p w:rsidR="00B70E7E" w:rsidRPr="00DF32BE" w:rsidRDefault="00B70E7E" w:rsidP="00B70E7E">
      <w:pPr>
        <w:tabs>
          <w:tab w:val="left" w:pos="8222"/>
        </w:tabs>
        <w:jc w:val="center"/>
        <w:rPr>
          <w:b/>
          <w:sz w:val="24"/>
          <w:szCs w:val="24"/>
        </w:rPr>
      </w:pPr>
    </w:p>
    <w:p w:rsidR="00B70E7E" w:rsidRPr="00DF32BE" w:rsidRDefault="00B70E7E" w:rsidP="00B70E7E">
      <w:pPr>
        <w:tabs>
          <w:tab w:val="left" w:pos="8222"/>
        </w:tabs>
        <w:jc w:val="center"/>
        <w:rPr>
          <w:b/>
          <w:sz w:val="24"/>
          <w:szCs w:val="24"/>
        </w:rPr>
      </w:pPr>
      <w:r w:rsidRPr="00DF32BE">
        <w:rPr>
          <w:b/>
          <w:sz w:val="24"/>
          <w:szCs w:val="24"/>
        </w:rPr>
        <w:t>for</w:t>
      </w:r>
    </w:p>
    <w:p w:rsidR="00B70E7E" w:rsidRPr="00DF32BE" w:rsidRDefault="00B70E7E" w:rsidP="00B70E7E">
      <w:pPr>
        <w:tabs>
          <w:tab w:val="left" w:pos="8222"/>
        </w:tabs>
        <w:jc w:val="center"/>
        <w:rPr>
          <w:b/>
          <w:sz w:val="24"/>
          <w:szCs w:val="24"/>
        </w:rPr>
      </w:pPr>
    </w:p>
    <w:p w:rsidR="00B70E7E" w:rsidRPr="00DF32BE" w:rsidRDefault="00B70E7E" w:rsidP="00B70E7E">
      <w:pPr>
        <w:tabs>
          <w:tab w:val="left" w:pos="8222"/>
        </w:tabs>
        <w:jc w:val="center"/>
        <w:rPr>
          <w:b/>
          <w:sz w:val="24"/>
          <w:szCs w:val="24"/>
        </w:rPr>
      </w:pPr>
      <w:proofErr w:type="spellStart"/>
      <w:r>
        <w:rPr>
          <w:b/>
          <w:sz w:val="24"/>
          <w:szCs w:val="24"/>
        </w:rPr>
        <w:t>Tsefalen</w:t>
      </w:r>
      <w:proofErr w:type="spellEnd"/>
      <w:r>
        <w:rPr>
          <w:b/>
          <w:sz w:val="24"/>
          <w:szCs w:val="24"/>
        </w:rPr>
        <w:t>, filmovertrukne tabletter</w:t>
      </w:r>
    </w:p>
    <w:p w:rsidR="00B70E7E" w:rsidRPr="00DF32BE" w:rsidRDefault="00B70E7E" w:rsidP="00B70E7E">
      <w:pPr>
        <w:tabs>
          <w:tab w:val="left" w:pos="8222"/>
        </w:tabs>
        <w:jc w:val="both"/>
        <w:rPr>
          <w:sz w:val="24"/>
          <w:szCs w:val="24"/>
        </w:rPr>
      </w:pPr>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D.SP.NR</w:t>
      </w:r>
    </w:p>
    <w:p w:rsidR="00B70E7E" w:rsidRPr="00A018FB" w:rsidRDefault="00B70E7E" w:rsidP="00B70E7E">
      <w:pPr>
        <w:ind w:left="851"/>
        <w:jc w:val="both"/>
        <w:rPr>
          <w:sz w:val="24"/>
          <w:szCs w:val="24"/>
        </w:rPr>
      </w:pPr>
      <w:r w:rsidRPr="00A018FB">
        <w:rPr>
          <w:sz w:val="24"/>
          <w:szCs w:val="24"/>
        </w:rPr>
        <w:t>27962</w:t>
      </w:r>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VETERINÆRLÆGEMIDLETS NAVN</w:t>
      </w:r>
    </w:p>
    <w:p w:rsidR="00B70E7E" w:rsidRPr="00A018FB" w:rsidRDefault="00B70E7E" w:rsidP="00B70E7E">
      <w:pPr>
        <w:ind w:left="851"/>
        <w:jc w:val="both"/>
        <w:rPr>
          <w:sz w:val="24"/>
          <w:szCs w:val="24"/>
        </w:rPr>
      </w:pPr>
      <w:proofErr w:type="spellStart"/>
      <w:r w:rsidRPr="00A018FB">
        <w:rPr>
          <w:sz w:val="24"/>
          <w:szCs w:val="24"/>
        </w:rPr>
        <w:t>Tsefalen</w:t>
      </w:r>
      <w:proofErr w:type="spellEnd"/>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KVALITATIV OG KVANTITATIV SAMMENSÆTNING</w:t>
      </w:r>
    </w:p>
    <w:p w:rsidR="00B70E7E" w:rsidRPr="00A018FB" w:rsidRDefault="00B70E7E" w:rsidP="00B70E7E">
      <w:pPr>
        <w:ind w:left="851"/>
        <w:jc w:val="both"/>
        <w:rPr>
          <w:sz w:val="24"/>
          <w:szCs w:val="24"/>
        </w:rPr>
      </w:pPr>
      <w:r w:rsidRPr="00A018FB">
        <w:rPr>
          <w:sz w:val="24"/>
          <w:szCs w:val="24"/>
        </w:rPr>
        <w:t>Hver filmovertrukket tablet indeholder:</w:t>
      </w:r>
    </w:p>
    <w:p w:rsidR="00B70E7E" w:rsidRPr="00A018FB" w:rsidRDefault="00B70E7E" w:rsidP="00B70E7E">
      <w:pPr>
        <w:ind w:left="851" w:hanging="851"/>
        <w:jc w:val="both"/>
        <w:rPr>
          <w:b/>
          <w:sz w:val="24"/>
          <w:szCs w:val="24"/>
        </w:rPr>
      </w:pPr>
    </w:p>
    <w:p w:rsidR="00B70E7E" w:rsidRPr="00A018FB" w:rsidRDefault="00B70E7E" w:rsidP="00B70E7E">
      <w:pPr>
        <w:ind w:left="851"/>
        <w:jc w:val="both"/>
        <w:rPr>
          <w:b/>
          <w:sz w:val="24"/>
          <w:szCs w:val="24"/>
        </w:rPr>
      </w:pPr>
      <w:r w:rsidRPr="00A018FB">
        <w:rPr>
          <w:b/>
          <w:sz w:val="24"/>
          <w:szCs w:val="24"/>
        </w:rPr>
        <w:t>Aktivt stof:</w:t>
      </w:r>
    </w:p>
    <w:p w:rsidR="00B70E7E" w:rsidRPr="00A018FB" w:rsidRDefault="00B70E7E" w:rsidP="00B70E7E">
      <w:pPr>
        <w:ind w:left="851"/>
        <w:jc w:val="both"/>
        <w:rPr>
          <w:sz w:val="24"/>
          <w:szCs w:val="24"/>
        </w:rPr>
      </w:pPr>
      <w:proofErr w:type="spellStart"/>
      <w:r w:rsidRPr="00A018FB">
        <w:rPr>
          <w:sz w:val="24"/>
          <w:szCs w:val="24"/>
        </w:rPr>
        <w:t>Cefalexin</w:t>
      </w:r>
      <w:proofErr w:type="spellEnd"/>
      <w:r w:rsidRPr="00A018FB">
        <w:rPr>
          <w:sz w:val="24"/>
          <w:szCs w:val="24"/>
        </w:rPr>
        <w:t xml:space="preserve"> (som </w:t>
      </w:r>
      <w:proofErr w:type="spellStart"/>
      <w:r w:rsidRPr="00A018FB">
        <w:rPr>
          <w:sz w:val="24"/>
          <w:szCs w:val="24"/>
        </w:rPr>
        <w:t>cefalexin</w:t>
      </w:r>
      <w:proofErr w:type="spellEnd"/>
      <w:r w:rsidRPr="00A018FB">
        <w:rPr>
          <w:sz w:val="24"/>
          <w:szCs w:val="24"/>
        </w:rPr>
        <w:t xml:space="preserve"> monohydrat)</w:t>
      </w:r>
      <w:r w:rsidRPr="00A018FB">
        <w:rPr>
          <w:sz w:val="24"/>
          <w:szCs w:val="24"/>
        </w:rPr>
        <w:tab/>
        <w:t>500 eller 1000 mg</w:t>
      </w:r>
    </w:p>
    <w:p w:rsidR="00B70E7E" w:rsidRPr="00A018FB" w:rsidRDefault="00B70E7E" w:rsidP="00B70E7E">
      <w:pPr>
        <w:ind w:left="851" w:hanging="851"/>
        <w:jc w:val="both"/>
        <w:rPr>
          <w:sz w:val="24"/>
          <w:szCs w:val="24"/>
        </w:rPr>
      </w:pPr>
    </w:p>
    <w:p w:rsidR="00B70E7E" w:rsidRPr="00A018FB" w:rsidRDefault="00B70E7E" w:rsidP="00B70E7E">
      <w:pPr>
        <w:ind w:left="851"/>
        <w:rPr>
          <w:sz w:val="24"/>
          <w:szCs w:val="24"/>
        </w:rPr>
      </w:pPr>
      <w:r w:rsidRPr="00A018FB">
        <w:rPr>
          <w:sz w:val="24"/>
          <w:szCs w:val="24"/>
        </w:rPr>
        <w:t>Alle hjælpestoffer er anført under pkt. 6.1</w:t>
      </w:r>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LÆGEMIDDELFORM</w:t>
      </w:r>
    </w:p>
    <w:p w:rsidR="00B70E7E" w:rsidRPr="00A018FB" w:rsidRDefault="00B70E7E" w:rsidP="00B70E7E">
      <w:pPr>
        <w:ind w:left="851"/>
        <w:rPr>
          <w:sz w:val="24"/>
          <w:szCs w:val="24"/>
          <w:lang w:val="en-GB"/>
        </w:rPr>
      </w:pPr>
      <w:proofErr w:type="spellStart"/>
      <w:r w:rsidRPr="00A018FB">
        <w:rPr>
          <w:sz w:val="24"/>
          <w:szCs w:val="24"/>
          <w:lang w:val="en-GB"/>
        </w:rPr>
        <w:t>Filmove</w:t>
      </w:r>
      <w:r>
        <w:rPr>
          <w:sz w:val="24"/>
          <w:szCs w:val="24"/>
          <w:lang w:val="en-GB"/>
        </w:rPr>
        <w:t>r</w:t>
      </w:r>
      <w:r w:rsidRPr="00A018FB">
        <w:rPr>
          <w:sz w:val="24"/>
          <w:szCs w:val="24"/>
          <w:lang w:val="en-GB"/>
        </w:rPr>
        <w:t>trukne</w:t>
      </w:r>
      <w:proofErr w:type="spellEnd"/>
      <w:r w:rsidRPr="00A018FB">
        <w:rPr>
          <w:sz w:val="24"/>
          <w:szCs w:val="24"/>
          <w:lang w:val="en-GB"/>
        </w:rPr>
        <w:t xml:space="preserve"> </w:t>
      </w:r>
      <w:proofErr w:type="spellStart"/>
      <w:r w:rsidRPr="00A018FB">
        <w:rPr>
          <w:sz w:val="24"/>
          <w:szCs w:val="24"/>
          <w:lang w:val="en-GB"/>
        </w:rPr>
        <w:t>tabletter</w:t>
      </w:r>
      <w:proofErr w:type="spellEnd"/>
      <w:r w:rsidRPr="00A018FB">
        <w:rPr>
          <w:sz w:val="24"/>
          <w:szCs w:val="24"/>
          <w:lang w:val="en-GB"/>
        </w:rPr>
        <w:t>.</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 xml:space="preserve">Orangefarvede, aflange filmovertrukne tabletter med en delekærv på den ene side. </w:t>
      </w:r>
    </w:p>
    <w:p w:rsidR="00B70E7E" w:rsidRPr="00A018FB" w:rsidRDefault="00B70E7E" w:rsidP="00B70E7E">
      <w:pPr>
        <w:ind w:left="851"/>
        <w:rPr>
          <w:sz w:val="24"/>
          <w:szCs w:val="24"/>
        </w:rPr>
      </w:pPr>
      <w:proofErr w:type="spellStart"/>
      <w:r w:rsidRPr="00A018FB">
        <w:rPr>
          <w:sz w:val="24"/>
          <w:szCs w:val="24"/>
        </w:rPr>
        <w:t>Tsefalen</w:t>
      </w:r>
      <w:proofErr w:type="spellEnd"/>
      <w:r w:rsidRPr="00A018FB">
        <w:rPr>
          <w:sz w:val="24"/>
          <w:szCs w:val="24"/>
        </w:rPr>
        <w:t xml:space="preserve"> 500 mg: Præget med GP4 på den anden side. </w:t>
      </w:r>
    </w:p>
    <w:p w:rsidR="00B70E7E" w:rsidRPr="00A018FB" w:rsidRDefault="00B70E7E" w:rsidP="00B70E7E">
      <w:pPr>
        <w:ind w:left="851"/>
        <w:rPr>
          <w:sz w:val="24"/>
          <w:szCs w:val="24"/>
        </w:rPr>
      </w:pPr>
      <w:proofErr w:type="spellStart"/>
      <w:r w:rsidRPr="00A018FB">
        <w:rPr>
          <w:sz w:val="24"/>
          <w:szCs w:val="24"/>
        </w:rPr>
        <w:t>Tsefalen</w:t>
      </w:r>
      <w:proofErr w:type="spellEnd"/>
      <w:r w:rsidRPr="00A018FB">
        <w:rPr>
          <w:sz w:val="24"/>
          <w:szCs w:val="24"/>
        </w:rPr>
        <w:t xml:space="preserve"> 1000 mg: Præget med U60 på den anden side.</w:t>
      </w:r>
    </w:p>
    <w:p w:rsidR="00B70E7E" w:rsidRPr="00A018FB" w:rsidRDefault="00B70E7E" w:rsidP="00B70E7E">
      <w:pPr>
        <w:ind w:left="851"/>
        <w:rPr>
          <w:sz w:val="24"/>
          <w:szCs w:val="24"/>
        </w:rPr>
      </w:pPr>
      <w:r w:rsidRPr="00A018FB">
        <w:rPr>
          <w:sz w:val="24"/>
          <w:szCs w:val="24"/>
        </w:rPr>
        <w:t>Tabletterne kan deles i to lige store dele.</w:t>
      </w:r>
    </w:p>
    <w:p w:rsidR="00B70E7E" w:rsidRPr="00A018FB" w:rsidRDefault="00B70E7E" w:rsidP="00B70E7E">
      <w:pPr>
        <w:ind w:left="851" w:hanging="851"/>
        <w:jc w:val="both"/>
        <w:rPr>
          <w:sz w:val="24"/>
          <w:szCs w:val="24"/>
        </w:rPr>
      </w:pPr>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KLINISKE OPLYSNINGER</w:t>
      </w:r>
    </w:p>
    <w:p w:rsidR="00B70E7E" w:rsidRPr="00A018FB" w:rsidRDefault="00B70E7E" w:rsidP="00B70E7E">
      <w:pPr>
        <w:ind w:left="851" w:hanging="851"/>
        <w:jc w:val="both"/>
        <w:rPr>
          <w:sz w:val="24"/>
          <w:szCs w:val="24"/>
        </w:rPr>
      </w:pPr>
    </w:p>
    <w:p w:rsidR="00B70E7E" w:rsidRPr="00A018FB" w:rsidRDefault="00B70E7E" w:rsidP="00B70E7E">
      <w:pPr>
        <w:ind w:left="851" w:hanging="851"/>
        <w:rPr>
          <w:b/>
          <w:sz w:val="24"/>
          <w:szCs w:val="24"/>
          <w:u w:val="single"/>
        </w:rPr>
      </w:pPr>
      <w:r w:rsidRPr="00A018FB">
        <w:rPr>
          <w:b/>
          <w:sz w:val="24"/>
          <w:szCs w:val="24"/>
        </w:rPr>
        <w:t>4.1</w:t>
      </w:r>
      <w:r w:rsidRPr="00A018FB">
        <w:rPr>
          <w:b/>
          <w:sz w:val="24"/>
          <w:szCs w:val="24"/>
        </w:rPr>
        <w:tab/>
        <w:t>Dyrearter</w:t>
      </w:r>
    </w:p>
    <w:p w:rsidR="00B70E7E" w:rsidRPr="00A018FB" w:rsidRDefault="00B70E7E" w:rsidP="00B70E7E">
      <w:pPr>
        <w:ind w:left="851"/>
        <w:jc w:val="both"/>
        <w:rPr>
          <w:sz w:val="24"/>
          <w:szCs w:val="24"/>
          <w:lang w:val="en-GB"/>
        </w:rPr>
      </w:pPr>
      <w:r w:rsidRPr="00A018FB">
        <w:rPr>
          <w:sz w:val="24"/>
          <w:szCs w:val="24"/>
          <w:lang w:val="en-GB"/>
        </w:rPr>
        <w:t>Hund.</w:t>
      </w:r>
    </w:p>
    <w:p w:rsidR="00B70E7E" w:rsidRPr="00A018FB" w:rsidRDefault="00B70E7E" w:rsidP="00B70E7E">
      <w:pPr>
        <w:ind w:left="851" w:hanging="851"/>
        <w:jc w:val="both"/>
        <w:rPr>
          <w:sz w:val="24"/>
          <w:szCs w:val="24"/>
        </w:rPr>
      </w:pPr>
    </w:p>
    <w:p w:rsidR="00B70E7E" w:rsidRPr="00A018FB" w:rsidRDefault="00B70E7E" w:rsidP="00B70E7E">
      <w:pPr>
        <w:pStyle w:val="Sidehoved"/>
        <w:numPr>
          <w:ilvl w:val="1"/>
          <w:numId w:val="2"/>
        </w:numPr>
        <w:tabs>
          <w:tab w:val="clear" w:pos="855"/>
          <w:tab w:val="clear" w:pos="4819"/>
          <w:tab w:val="clear" w:pos="9638"/>
        </w:tabs>
        <w:ind w:left="851" w:hanging="851"/>
        <w:rPr>
          <w:b/>
          <w:szCs w:val="24"/>
        </w:rPr>
      </w:pPr>
      <w:r w:rsidRPr="00A018FB">
        <w:rPr>
          <w:b/>
          <w:szCs w:val="24"/>
        </w:rPr>
        <w:t>Terapeutiske indikationer</w:t>
      </w:r>
    </w:p>
    <w:p w:rsidR="00B70E7E" w:rsidRPr="00A018FB" w:rsidRDefault="00B70E7E" w:rsidP="00B70E7E">
      <w:pPr>
        <w:ind w:left="851"/>
        <w:rPr>
          <w:sz w:val="24"/>
          <w:szCs w:val="24"/>
        </w:rPr>
      </w:pPr>
      <w:r w:rsidRPr="00A018FB">
        <w:rPr>
          <w:sz w:val="24"/>
          <w:szCs w:val="24"/>
        </w:rPr>
        <w:t xml:space="preserve">Til behandling af infektioner i luftvejene, det urogenitale system og huden, lokaliserede infektioner i bløddelsvæv og </w:t>
      </w:r>
      <w:proofErr w:type="spellStart"/>
      <w:r w:rsidRPr="00A018FB">
        <w:rPr>
          <w:sz w:val="24"/>
          <w:szCs w:val="24"/>
        </w:rPr>
        <w:t>gastrointestinale</w:t>
      </w:r>
      <w:proofErr w:type="spellEnd"/>
      <w:r w:rsidRPr="00A018FB">
        <w:rPr>
          <w:sz w:val="24"/>
          <w:szCs w:val="24"/>
        </w:rPr>
        <w:t xml:space="preserve"> infektioner, forårsaget af </w:t>
      </w:r>
      <w:proofErr w:type="spellStart"/>
      <w:r w:rsidRPr="00A018FB">
        <w:rPr>
          <w:sz w:val="24"/>
          <w:szCs w:val="24"/>
        </w:rPr>
        <w:t>cefalexinfølsomme</w:t>
      </w:r>
      <w:proofErr w:type="spellEnd"/>
      <w:r w:rsidRPr="00A018FB">
        <w:rPr>
          <w:sz w:val="24"/>
          <w:szCs w:val="24"/>
        </w:rPr>
        <w:t xml:space="preserve"> bakterier.</w:t>
      </w:r>
    </w:p>
    <w:p w:rsidR="00B70E7E" w:rsidRDefault="00B70E7E" w:rsidP="00B70E7E">
      <w:pPr>
        <w:rPr>
          <w:sz w:val="24"/>
          <w:szCs w:val="24"/>
          <w:lang w:eastAsia="da-DK"/>
        </w:rPr>
      </w:pPr>
      <w:r>
        <w:rPr>
          <w:szCs w:val="24"/>
        </w:rPr>
        <w:br w:type="page"/>
      </w:r>
    </w:p>
    <w:p w:rsidR="00B70E7E" w:rsidRPr="00A018FB" w:rsidRDefault="00B70E7E" w:rsidP="00B70E7E">
      <w:pPr>
        <w:pStyle w:val="Sidehoved"/>
        <w:tabs>
          <w:tab w:val="clear" w:pos="4819"/>
          <w:tab w:val="clear" w:pos="9638"/>
        </w:tabs>
        <w:ind w:left="851" w:hanging="851"/>
        <w:jc w:val="both"/>
        <w:rPr>
          <w:szCs w:val="24"/>
        </w:rPr>
      </w:pPr>
    </w:p>
    <w:p w:rsidR="00B70E7E" w:rsidRPr="00A018FB" w:rsidRDefault="00B70E7E" w:rsidP="00B70E7E">
      <w:pPr>
        <w:pStyle w:val="Sidehoved"/>
        <w:tabs>
          <w:tab w:val="clear" w:pos="4819"/>
          <w:tab w:val="clear" w:pos="9638"/>
        </w:tabs>
        <w:ind w:left="851" w:hanging="851"/>
        <w:rPr>
          <w:b/>
          <w:szCs w:val="24"/>
        </w:rPr>
      </w:pPr>
      <w:r w:rsidRPr="00A018FB">
        <w:rPr>
          <w:b/>
          <w:szCs w:val="24"/>
        </w:rPr>
        <w:t>4.3</w:t>
      </w:r>
      <w:r w:rsidRPr="00A018FB">
        <w:rPr>
          <w:b/>
          <w:szCs w:val="24"/>
        </w:rPr>
        <w:tab/>
        <w:t>Kontraindikationer</w:t>
      </w:r>
    </w:p>
    <w:p w:rsidR="00B70E7E" w:rsidRPr="00126CFF" w:rsidRDefault="00B70E7E" w:rsidP="00B70E7E">
      <w:pPr>
        <w:pStyle w:val="Sidehoved"/>
        <w:ind w:left="851"/>
        <w:rPr>
          <w:iCs/>
          <w:szCs w:val="24"/>
        </w:rPr>
      </w:pPr>
      <w:r w:rsidRPr="00126CFF">
        <w:rPr>
          <w:iCs/>
          <w:szCs w:val="24"/>
        </w:rPr>
        <w:t xml:space="preserve">Bør ikke anvendes i tilfælde af kendt overfølsomhed over for det aktive stof, over for andre </w:t>
      </w:r>
      <w:proofErr w:type="spellStart"/>
      <w:r w:rsidRPr="00126CFF">
        <w:rPr>
          <w:iCs/>
          <w:szCs w:val="24"/>
        </w:rPr>
        <w:t>cephalosporiner</w:t>
      </w:r>
      <w:proofErr w:type="spellEnd"/>
      <w:r w:rsidRPr="00126CFF">
        <w:rPr>
          <w:iCs/>
          <w:szCs w:val="24"/>
        </w:rPr>
        <w:t>, over for andre substanser i ß-</w:t>
      </w:r>
      <w:proofErr w:type="spellStart"/>
      <w:r w:rsidRPr="00126CFF">
        <w:rPr>
          <w:iCs/>
          <w:szCs w:val="24"/>
        </w:rPr>
        <w:t>lactam</w:t>
      </w:r>
      <w:proofErr w:type="spellEnd"/>
      <w:r w:rsidRPr="00126CFF">
        <w:rPr>
          <w:iCs/>
          <w:szCs w:val="24"/>
        </w:rPr>
        <w:t>-gruppen eller et eller flere af hjælpestofferne.</w:t>
      </w:r>
    </w:p>
    <w:p w:rsidR="00B70E7E" w:rsidRPr="00126CFF" w:rsidRDefault="00B70E7E" w:rsidP="00B70E7E">
      <w:pPr>
        <w:pStyle w:val="Sidehoved"/>
        <w:ind w:left="851"/>
        <w:rPr>
          <w:iCs/>
          <w:szCs w:val="24"/>
          <w:lang w:val="it-IT"/>
        </w:rPr>
      </w:pPr>
      <w:r w:rsidRPr="00126CFF">
        <w:rPr>
          <w:iCs/>
          <w:szCs w:val="24"/>
        </w:rPr>
        <w:t>Bør ikke anvendes til kaniner</w:t>
      </w:r>
      <w:r w:rsidRPr="00126CFF">
        <w:rPr>
          <w:iCs/>
          <w:szCs w:val="24"/>
          <w:lang w:val="it-IT"/>
        </w:rPr>
        <w:t>, løbemus, marsvin og hamstere.</w:t>
      </w:r>
    </w:p>
    <w:p w:rsidR="00B70E7E" w:rsidRPr="00A018FB" w:rsidRDefault="00B70E7E" w:rsidP="00B70E7E">
      <w:pPr>
        <w:pStyle w:val="Sidehoved"/>
        <w:tabs>
          <w:tab w:val="clear" w:pos="4819"/>
          <w:tab w:val="clear" w:pos="9638"/>
        </w:tabs>
        <w:ind w:left="851" w:hanging="851"/>
        <w:jc w:val="both"/>
        <w:rPr>
          <w:szCs w:val="24"/>
        </w:rPr>
      </w:pPr>
    </w:p>
    <w:p w:rsidR="00B70E7E" w:rsidRPr="00A018FB" w:rsidRDefault="00B70E7E" w:rsidP="00B70E7E">
      <w:pPr>
        <w:ind w:left="851" w:hanging="851"/>
        <w:rPr>
          <w:b/>
          <w:sz w:val="24"/>
          <w:szCs w:val="24"/>
        </w:rPr>
      </w:pPr>
      <w:r w:rsidRPr="00A018FB">
        <w:rPr>
          <w:b/>
          <w:sz w:val="24"/>
          <w:szCs w:val="24"/>
        </w:rPr>
        <w:t>4.4</w:t>
      </w:r>
      <w:r w:rsidRPr="00A018FB">
        <w:rPr>
          <w:b/>
          <w:sz w:val="24"/>
          <w:szCs w:val="24"/>
        </w:rPr>
        <w:tab/>
        <w:t>Særlige advarsler</w:t>
      </w:r>
    </w:p>
    <w:p w:rsidR="00B70E7E" w:rsidRPr="00A018FB" w:rsidRDefault="00B70E7E" w:rsidP="00B70E7E">
      <w:pPr>
        <w:ind w:left="851" w:hanging="851"/>
        <w:rPr>
          <w:sz w:val="24"/>
          <w:szCs w:val="24"/>
        </w:rPr>
      </w:pPr>
      <w:r w:rsidRPr="00A018FB">
        <w:rPr>
          <w:sz w:val="24"/>
          <w:szCs w:val="24"/>
        </w:rPr>
        <w:tab/>
        <w:t>Ingen.</w:t>
      </w:r>
    </w:p>
    <w:p w:rsidR="00B70E7E" w:rsidRPr="00A018FB" w:rsidRDefault="00B70E7E" w:rsidP="00B70E7E">
      <w:pPr>
        <w:pStyle w:val="Sidehoved"/>
        <w:tabs>
          <w:tab w:val="clear" w:pos="4819"/>
          <w:tab w:val="clear" w:pos="9638"/>
        </w:tabs>
        <w:ind w:left="851" w:hanging="851"/>
        <w:jc w:val="both"/>
        <w:rPr>
          <w:szCs w:val="24"/>
        </w:rPr>
      </w:pPr>
    </w:p>
    <w:p w:rsidR="00B70E7E" w:rsidRPr="00A018FB" w:rsidRDefault="00B70E7E" w:rsidP="00B70E7E">
      <w:pPr>
        <w:ind w:left="851" w:hanging="851"/>
        <w:rPr>
          <w:b/>
          <w:sz w:val="24"/>
          <w:szCs w:val="24"/>
        </w:rPr>
      </w:pPr>
      <w:r w:rsidRPr="00A018FB">
        <w:rPr>
          <w:b/>
          <w:sz w:val="24"/>
          <w:szCs w:val="24"/>
        </w:rPr>
        <w:t>4.5</w:t>
      </w:r>
      <w:r w:rsidRPr="00A018FB">
        <w:rPr>
          <w:b/>
          <w:sz w:val="24"/>
          <w:szCs w:val="24"/>
        </w:rPr>
        <w:tab/>
        <w:t>Særlige forsigtighedsregler vedrørende brugen</w:t>
      </w:r>
    </w:p>
    <w:p w:rsidR="00B70E7E" w:rsidRPr="00A018FB" w:rsidRDefault="00B70E7E" w:rsidP="00B70E7E">
      <w:pPr>
        <w:ind w:left="851" w:hanging="851"/>
        <w:rPr>
          <w:b/>
          <w:sz w:val="24"/>
          <w:szCs w:val="24"/>
        </w:rPr>
      </w:pPr>
      <w:r w:rsidRPr="00A018FB">
        <w:rPr>
          <w:b/>
          <w:sz w:val="24"/>
          <w:szCs w:val="24"/>
        </w:rPr>
        <w:tab/>
      </w:r>
    </w:p>
    <w:p w:rsidR="00B70E7E" w:rsidRPr="00A018FB" w:rsidRDefault="00B70E7E" w:rsidP="00B70E7E">
      <w:pPr>
        <w:ind w:left="851" w:hanging="851"/>
        <w:rPr>
          <w:b/>
          <w:sz w:val="24"/>
          <w:szCs w:val="24"/>
        </w:rPr>
      </w:pPr>
      <w:r w:rsidRPr="00A018FB">
        <w:rPr>
          <w:b/>
          <w:sz w:val="24"/>
          <w:szCs w:val="24"/>
        </w:rPr>
        <w:tab/>
        <w:t>Særlige forsigtighedsregler for dyret</w:t>
      </w:r>
    </w:p>
    <w:p w:rsidR="00B70E7E" w:rsidRPr="00A018FB" w:rsidRDefault="00B70E7E" w:rsidP="00B70E7E">
      <w:pPr>
        <w:ind w:left="851" w:hanging="851"/>
        <w:rPr>
          <w:sz w:val="24"/>
          <w:szCs w:val="24"/>
        </w:rPr>
      </w:pPr>
      <w:r w:rsidRPr="00A018FB">
        <w:rPr>
          <w:sz w:val="24"/>
          <w:szCs w:val="24"/>
        </w:rPr>
        <w:tab/>
        <w:t>Hvor det er muligt bør anvendelsen af produktet være baseret på følsomhedsbestemmelse af bakterierne isoleret fra dyret, og officielle og lokale antimikrobielle politikker skal tages i betragtning.</w:t>
      </w:r>
    </w:p>
    <w:p w:rsidR="00B70E7E" w:rsidRPr="00A018FB" w:rsidRDefault="00B70E7E" w:rsidP="00B70E7E">
      <w:pPr>
        <w:ind w:left="851" w:hanging="851"/>
        <w:rPr>
          <w:sz w:val="24"/>
          <w:szCs w:val="24"/>
        </w:rPr>
      </w:pPr>
    </w:p>
    <w:p w:rsidR="00B70E7E" w:rsidRPr="00126CFF" w:rsidRDefault="00B70E7E" w:rsidP="00B70E7E">
      <w:pPr>
        <w:ind w:left="851"/>
        <w:rPr>
          <w:sz w:val="24"/>
          <w:szCs w:val="24"/>
        </w:rPr>
      </w:pPr>
      <w:r w:rsidRPr="00126CFF">
        <w:rPr>
          <w:sz w:val="24"/>
          <w:szCs w:val="24"/>
          <w:lang w:val="it-IT"/>
        </w:rPr>
        <w:t xml:space="preserve">Afvigelse fra instruktionerne givet i produktresumeet ved brug af produktet, kan øge prævalensen af bakterier, der er resistente over for </w:t>
      </w:r>
      <w:proofErr w:type="spellStart"/>
      <w:r w:rsidRPr="00126CFF">
        <w:rPr>
          <w:sz w:val="24"/>
          <w:szCs w:val="24"/>
        </w:rPr>
        <w:t>cefalexin</w:t>
      </w:r>
      <w:proofErr w:type="spellEnd"/>
      <w:r w:rsidRPr="00126CFF">
        <w:rPr>
          <w:sz w:val="24"/>
          <w:szCs w:val="24"/>
        </w:rPr>
        <w:t xml:space="preserve"> og kan også nedsætte effektiviteten af andre </w:t>
      </w:r>
      <w:r w:rsidRPr="00126CFF">
        <w:rPr>
          <w:sz w:val="24"/>
          <w:szCs w:val="24"/>
          <w:lang w:val="it-IT"/>
        </w:rPr>
        <w:t>beta-lactam</w:t>
      </w:r>
      <w:r w:rsidRPr="00126CFF">
        <w:rPr>
          <w:sz w:val="24"/>
          <w:szCs w:val="24"/>
        </w:rPr>
        <w:t xml:space="preserve"> antimikrobielle behandlinger, grundet muligheden for krydsresistens. Derfor må afvigelse fra instruktionerne kun forekomme i henhold til en </w:t>
      </w:r>
      <w:proofErr w:type="spellStart"/>
      <w:r w:rsidRPr="00126CFF">
        <w:rPr>
          <w:sz w:val="24"/>
          <w:szCs w:val="24"/>
        </w:rPr>
        <w:t>risk</w:t>
      </w:r>
      <w:proofErr w:type="spellEnd"/>
      <w:r w:rsidRPr="00126CFF">
        <w:rPr>
          <w:sz w:val="24"/>
          <w:szCs w:val="24"/>
        </w:rPr>
        <w:t xml:space="preserve">/benefit vurdering af den ansvarlige dyrelæge. </w:t>
      </w:r>
    </w:p>
    <w:p w:rsidR="00B70E7E" w:rsidRPr="00A018FB" w:rsidRDefault="00B70E7E" w:rsidP="00B70E7E">
      <w:pPr>
        <w:ind w:left="851"/>
        <w:rPr>
          <w:sz w:val="24"/>
          <w:szCs w:val="24"/>
        </w:rPr>
      </w:pPr>
    </w:p>
    <w:p w:rsidR="00B70E7E" w:rsidRPr="00A018FB" w:rsidRDefault="00B70E7E" w:rsidP="00B70E7E">
      <w:pPr>
        <w:ind w:left="851"/>
        <w:rPr>
          <w:sz w:val="24"/>
          <w:szCs w:val="24"/>
        </w:rPr>
      </w:pPr>
      <w:r w:rsidRPr="00A018FB">
        <w:rPr>
          <w:sz w:val="24"/>
          <w:szCs w:val="24"/>
        </w:rPr>
        <w:t xml:space="preserve">Må ikke indgives i tilfælde af kendt resistens over for </w:t>
      </w:r>
      <w:proofErr w:type="spellStart"/>
      <w:r w:rsidRPr="00A018FB">
        <w:rPr>
          <w:sz w:val="24"/>
          <w:szCs w:val="24"/>
        </w:rPr>
        <w:t>cephalosporin</w:t>
      </w:r>
      <w:proofErr w:type="spellEnd"/>
      <w:r w:rsidRPr="00A018FB">
        <w:rPr>
          <w:sz w:val="24"/>
          <w:szCs w:val="24"/>
        </w:rPr>
        <w:t xml:space="preserve"> og penicillin.</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 xml:space="preserve">Som med andre antibiotika, der hovedsagelig udskilles via nyrerne, kan der forekomme systemisk akkumulering, når nyrefunktionen er nedsat. I tilfælde af kendt nyreinsufficiens bør dosis nedsættes og antimikrobielle midler, der er kendte for at være </w:t>
      </w:r>
      <w:proofErr w:type="spellStart"/>
      <w:r w:rsidRPr="00A018FB">
        <w:rPr>
          <w:sz w:val="24"/>
          <w:szCs w:val="24"/>
        </w:rPr>
        <w:t>nefrotoksiske</w:t>
      </w:r>
      <w:proofErr w:type="spellEnd"/>
      <w:r w:rsidRPr="00A018FB">
        <w:rPr>
          <w:sz w:val="24"/>
          <w:szCs w:val="24"/>
        </w:rPr>
        <w:t>, bør ikke indgives samtidigt.</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sz w:val="24"/>
          <w:szCs w:val="24"/>
        </w:rPr>
        <w:tab/>
      </w:r>
      <w:r w:rsidRPr="00A018FB">
        <w:rPr>
          <w:b/>
          <w:sz w:val="24"/>
          <w:szCs w:val="24"/>
        </w:rPr>
        <w:t>Særlige forsigtighedsregler for personer, der administrerer lægemidlet</w:t>
      </w:r>
    </w:p>
    <w:p w:rsidR="00B70E7E" w:rsidRPr="00A018FB" w:rsidRDefault="00B70E7E" w:rsidP="00B70E7E">
      <w:pPr>
        <w:ind w:left="851" w:hanging="851"/>
        <w:rPr>
          <w:sz w:val="24"/>
          <w:szCs w:val="24"/>
        </w:rPr>
      </w:pPr>
      <w:r w:rsidRPr="00A018FB">
        <w:rPr>
          <w:sz w:val="24"/>
          <w:szCs w:val="24"/>
        </w:rPr>
        <w:tab/>
        <w:t xml:space="preserve">Penicilliner og </w:t>
      </w:r>
      <w:proofErr w:type="spellStart"/>
      <w:r w:rsidRPr="00A018FB">
        <w:rPr>
          <w:sz w:val="24"/>
          <w:szCs w:val="24"/>
        </w:rPr>
        <w:t>cephalosporiner</w:t>
      </w:r>
      <w:proofErr w:type="spellEnd"/>
      <w:r w:rsidRPr="00A018FB">
        <w:rPr>
          <w:sz w:val="24"/>
          <w:szCs w:val="24"/>
        </w:rPr>
        <w:t xml:space="preserve"> kan medføre overfølsomhed (allergi) efter injektion, inhalation, indtagelse eller hudkontakt. Overfølsomhed over for penicillin kan lede til krydsreaktioner med </w:t>
      </w:r>
      <w:proofErr w:type="spellStart"/>
      <w:r w:rsidRPr="00A018FB">
        <w:rPr>
          <w:sz w:val="24"/>
          <w:szCs w:val="24"/>
        </w:rPr>
        <w:t>cephalosporin</w:t>
      </w:r>
      <w:proofErr w:type="spellEnd"/>
      <w:r w:rsidRPr="00A018FB">
        <w:rPr>
          <w:sz w:val="24"/>
          <w:szCs w:val="24"/>
        </w:rPr>
        <w:t xml:space="preserve"> og vice versa. Allergiske reaktioner over for disse substanser kan lejlighedsvis være alvorlige. Håndter ikke dette veterinære lægemiddel, hvis du ved, at du er overfølsom, eller hvis du er blevet tilrådet ikke at komme i kontakt med sådanne substanser.</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Håndter dette veterinære lægemiddel meget forsigtigt for at undgå eksponering, idet alle anbefalede forsigtighedsregler tages i betragtning. Hvis du udvikler symptomer efter eksponering, såsom hududslæt, bør du søge lægehjælp og vise lægen denne advarsel. Hævelse af ansigtet, læberne eller øjnene eller vejrtrækningsbesvær er mere alvorlige symptomer og kræver øjeblikkelig lægehjælp.</w:t>
      </w:r>
    </w:p>
    <w:p w:rsidR="00B70E7E" w:rsidRPr="00A018FB" w:rsidRDefault="00B70E7E" w:rsidP="00B70E7E">
      <w:pPr>
        <w:ind w:left="851" w:hanging="851"/>
        <w:rPr>
          <w:sz w:val="24"/>
          <w:szCs w:val="24"/>
        </w:rPr>
      </w:pPr>
    </w:p>
    <w:p w:rsidR="00B70E7E" w:rsidRPr="00126CFF" w:rsidRDefault="00B70E7E" w:rsidP="00B70E7E">
      <w:pPr>
        <w:ind w:left="851"/>
        <w:rPr>
          <w:sz w:val="24"/>
          <w:szCs w:val="24"/>
        </w:rPr>
      </w:pPr>
      <w:r w:rsidRPr="00126CFF">
        <w:rPr>
          <w:sz w:val="24"/>
          <w:szCs w:val="24"/>
        </w:rPr>
        <w:t>I tilfælde af indtagelse ved hændeligt uheld skal der straks søges lægehjælp, og indlægssedlen eller etiketten bør vises til lægen.</w:t>
      </w:r>
    </w:p>
    <w:p w:rsidR="00B70E7E" w:rsidRPr="00A018FB" w:rsidRDefault="00B70E7E" w:rsidP="00B70E7E">
      <w:pPr>
        <w:ind w:left="851" w:hanging="851"/>
        <w:rPr>
          <w:sz w:val="24"/>
          <w:szCs w:val="24"/>
        </w:rPr>
      </w:pPr>
    </w:p>
    <w:p w:rsidR="00B70E7E" w:rsidRDefault="00B70E7E" w:rsidP="00B70E7E">
      <w:pPr>
        <w:ind w:left="851"/>
        <w:rPr>
          <w:sz w:val="24"/>
          <w:szCs w:val="24"/>
        </w:rPr>
      </w:pPr>
      <w:r w:rsidRPr="00A018FB">
        <w:rPr>
          <w:sz w:val="24"/>
          <w:szCs w:val="24"/>
        </w:rPr>
        <w:t>Vask hænderne efter anvendelsen.</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sz w:val="24"/>
          <w:szCs w:val="24"/>
        </w:rPr>
        <w:tab/>
      </w:r>
      <w:r w:rsidRPr="00A018FB">
        <w:rPr>
          <w:b/>
          <w:sz w:val="24"/>
          <w:szCs w:val="24"/>
        </w:rPr>
        <w:t>Andre forsigtighedsregler</w:t>
      </w:r>
    </w:p>
    <w:p w:rsidR="00B70E7E" w:rsidRPr="00A018FB" w:rsidRDefault="00B70E7E" w:rsidP="00B70E7E">
      <w:pPr>
        <w:ind w:left="851" w:hanging="851"/>
        <w:rPr>
          <w:sz w:val="24"/>
          <w:szCs w:val="24"/>
        </w:rPr>
      </w:pPr>
      <w:r w:rsidRPr="00A018FB">
        <w:rPr>
          <w:sz w:val="24"/>
          <w:szCs w:val="24"/>
        </w:rPr>
        <w:tab/>
        <w:t>-</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4.6</w:t>
      </w:r>
      <w:r w:rsidRPr="00A018FB">
        <w:rPr>
          <w:b/>
          <w:sz w:val="24"/>
          <w:szCs w:val="24"/>
        </w:rPr>
        <w:tab/>
        <w:t>Bivirkninger</w:t>
      </w:r>
    </w:p>
    <w:p w:rsidR="00B70E7E" w:rsidRPr="00126CFF" w:rsidRDefault="00B70E7E" w:rsidP="00B70E7E">
      <w:pPr>
        <w:ind w:left="851" w:hanging="851"/>
        <w:rPr>
          <w:sz w:val="24"/>
          <w:szCs w:val="24"/>
        </w:rPr>
      </w:pPr>
      <w:r w:rsidRPr="00A018FB">
        <w:rPr>
          <w:sz w:val="24"/>
          <w:szCs w:val="24"/>
        </w:rPr>
        <w:tab/>
      </w:r>
      <w:r w:rsidRPr="00126CFF">
        <w:rPr>
          <w:sz w:val="24"/>
          <w:szCs w:val="24"/>
        </w:rPr>
        <w:t>I meget sjældne tilfælde kan der forekomme kvalme, opkastning og/eller diarré efter administration af produktet.</w:t>
      </w:r>
    </w:p>
    <w:p w:rsidR="00B70E7E" w:rsidRPr="00126CFF" w:rsidRDefault="00B70E7E" w:rsidP="00B70E7E">
      <w:pPr>
        <w:ind w:left="851" w:hanging="851"/>
        <w:rPr>
          <w:sz w:val="24"/>
          <w:szCs w:val="24"/>
        </w:rPr>
      </w:pPr>
    </w:p>
    <w:p w:rsidR="00B70E7E" w:rsidRPr="00126CFF" w:rsidRDefault="00B70E7E" w:rsidP="00B70E7E">
      <w:pPr>
        <w:ind w:left="851"/>
        <w:rPr>
          <w:sz w:val="24"/>
          <w:szCs w:val="24"/>
        </w:rPr>
      </w:pPr>
      <w:r w:rsidRPr="00126CFF">
        <w:rPr>
          <w:sz w:val="24"/>
          <w:szCs w:val="24"/>
        </w:rPr>
        <w:t>I sjældne tilfælde kan der forekomme overfølsomhed. I tilfælde af overfølsomhedsreaktioner, bør behandlingen seponeres.</w:t>
      </w:r>
    </w:p>
    <w:p w:rsidR="00B70E7E" w:rsidRPr="00126CFF" w:rsidRDefault="00B70E7E" w:rsidP="00B70E7E">
      <w:pPr>
        <w:ind w:left="851" w:hanging="851"/>
        <w:rPr>
          <w:sz w:val="24"/>
          <w:szCs w:val="24"/>
        </w:rPr>
      </w:pPr>
    </w:p>
    <w:p w:rsidR="00B70E7E" w:rsidRPr="00126CFF" w:rsidRDefault="00B70E7E" w:rsidP="00B70E7E">
      <w:pPr>
        <w:ind w:left="1702" w:hanging="851"/>
        <w:rPr>
          <w:sz w:val="24"/>
          <w:szCs w:val="24"/>
        </w:rPr>
      </w:pPr>
      <w:r w:rsidRPr="00126CFF">
        <w:rPr>
          <w:sz w:val="24"/>
          <w:szCs w:val="24"/>
        </w:rPr>
        <w:t>Hyppigheden af bivirkninger er defineret som:</w:t>
      </w:r>
    </w:p>
    <w:p w:rsidR="00B70E7E" w:rsidRPr="00126CFF" w:rsidRDefault="00B70E7E" w:rsidP="00B70E7E">
      <w:pPr>
        <w:pStyle w:val="Listeafsnit"/>
        <w:numPr>
          <w:ilvl w:val="0"/>
          <w:numId w:val="5"/>
        </w:numPr>
        <w:rPr>
          <w:sz w:val="24"/>
          <w:szCs w:val="24"/>
        </w:rPr>
      </w:pPr>
      <w:r w:rsidRPr="00126CFF">
        <w:rPr>
          <w:sz w:val="24"/>
          <w:szCs w:val="24"/>
        </w:rPr>
        <w:t>Meget almindelig (flere end 1 ud af 10 behandlede dyr, der viser bivirkninger i løbet af en behandling)</w:t>
      </w:r>
    </w:p>
    <w:p w:rsidR="00B70E7E" w:rsidRPr="00126CFF" w:rsidRDefault="00B70E7E" w:rsidP="00B70E7E">
      <w:pPr>
        <w:pStyle w:val="Listeafsnit"/>
        <w:numPr>
          <w:ilvl w:val="0"/>
          <w:numId w:val="5"/>
        </w:numPr>
        <w:rPr>
          <w:sz w:val="24"/>
          <w:szCs w:val="24"/>
        </w:rPr>
      </w:pPr>
      <w:r w:rsidRPr="00126CFF">
        <w:rPr>
          <w:sz w:val="24"/>
          <w:szCs w:val="24"/>
        </w:rPr>
        <w:t>Almindelige (flere end 1, men færre end 10 dyr af 100 behandlede dyr)</w:t>
      </w:r>
    </w:p>
    <w:p w:rsidR="00B70E7E" w:rsidRPr="00126CFF" w:rsidRDefault="00B70E7E" w:rsidP="00B70E7E">
      <w:pPr>
        <w:pStyle w:val="Listeafsnit"/>
        <w:numPr>
          <w:ilvl w:val="0"/>
          <w:numId w:val="5"/>
        </w:numPr>
        <w:rPr>
          <w:sz w:val="24"/>
          <w:szCs w:val="24"/>
        </w:rPr>
      </w:pPr>
      <w:r w:rsidRPr="00126CFF">
        <w:rPr>
          <w:sz w:val="24"/>
          <w:szCs w:val="24"/>
        </w:rPr>
        <w:t>Ikke almindelige (flere end 1, men færre end 10 dyr af 1.000 behandlede dyr)</w:t>
      </w:r>
    </w:p>
    <w:p w:rsidR="00B70E7E" w:rsidRPr="00126CFF" w:rsidRDefault="00B70E7E" w:rsidP="00B70E7E">
      <w:pPr>
        <w:pStyle w:val="Listeafsnit"/>
        <w:numPr>
          <w:ilvl w:val="0"/>
          <w:numId w:val="5"/>
        </w:numPr>
        <w:rPr>
          <w:sz w:val="24"/>
          <w:szCs w:val="24"/>
        </w:rPr>
      </w:pPr>
      <w:r w:rsidRPr="00126CFF">
        <w:rPr>
          <w:sz w:val="24"/>
          <w:szCs w:val="24"/>
        </w:rPr>
        <w:t>Sjældne (flere end 1, men færre end 10 dyr ud af 10.000 behandlede dyr)</w:t>
      </w:r>
    </w:p>
    <w:p w:rsidR="00B70E7E" w:rsidRPr="00126CFF" w:rsidRDefault="00B70E7E" w:rsidP="00B70E7E">
      <w:pPr>
        <w:pStyle w:val="Listeafsnit"/>
        <w:numPr>
          <w:ilvl w:val="0"/>
          <w:numId w:val="5"/>
        </w:numPr>
        <w:rPr>
          <w:sz w:val="24"/>
          <w:szCs w:val="24"/>
        </w:rPr>
      </w:pPr>
      <w:r w:rsidRPr="00126CFF">
        <w:rPr>
          <w:sz w:val="24"/>
          <w:szCs w:val="24"/>
        </w:rPr>
        <w:t>Meget sjælden (færre end 1 dyr ud af 10.000 behandlede dyr, herunder isolerede rapporter).</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4.7</w:t>
      </w:r>
      <w:r w:rsidRPr="00A018FB">
        <w:rPr>
          <w:b/>
          <w:sz w:val="24"/>
          <w:szCs w:val="24"/>
        </w:rPr>
        <w:tab/>
        <w:t>Drægtighed, diegivning eller æglægning</w:t>
      </w:r>
    </w:p>
    <w:p w:rsidR="00B70E7E" w:rsidRPr="00A018FB" w:rsidRDefault="00B70E7E" w:rsidP="00B70E7E">
      <w:pPr>
        <w:ind w:left="851" w:hanging="851"/>
        <w:rPr>
          <w:sz w:val="24"/>
          <w:szCs w:val="24"/>
        </w:rPr>
      </w:pPr>
      <w:r w:rsidRPr="00A018FB">
        <w:rPr>
          <w:sz w:val="24"/>
          <w:szCs w:val="24"/>
        </w:rPr>
        <w:tab/>
      </w:r>
      <w:r w:rsidRPr="000F5B90">
        <w:rPr>
          <w:sz w:val="24"/>
          <w:szCs w:val="24"/>
        </w:rPr>
        <w:t xml:space="preserve">Laboratorieundersøgelser af rotter og mus har ikke afsløret </w:t>
      </w:r>
      <w:proofErr w:type="spellStart"/>
      <w:r w:rsidRPr="000F5B90">
        <w:rPr>
          <w:sz w:val="24"/>
          <w:szCs w:val="24"/>
        </w:rPr>
        <w:t>teratogene</w:t>
      </w:r>
      <w:proofErr w:type="spellEnd"/>
      <w:r w:rsidRPr="000F5B90">
        <w:rPr>
          <w:sz w:val="24"/>
          <w:szCs w:val="24"/>
        </w:rPr>
        <w:t xml:space="preserve"> virkninger, </w:t>
      </w:r>
      <w:proofErr w:type="spellStart"/>
      <w:r w:rsidRPr="000F5B90">
        <w:rPr>
          <w:sz w:val="24"/>
          <w:szCs w:val="24"/>
        </w:rPr>
        <w:t>føtal</w:t>
      </w:r>
      <w:proofErr w:type="spellEnd"/>
      <w:r w:rsidRPr="000F5B90">
        <w:rPr>
          <w:sz w:val="24"/>
          <w:szCs w:val="24"/>
        </w:rPr>
        <w:t xml:space="preserve"> toksicitet eller </w:t>
      </w:r>
      <w:proofErr w:type="spellStart"/>
      <w:r w:rsidRPr="000F5B90">
        <w:rPr>
          <w:sz w:val="24"/>
          <w:szCs w:val="24"/>
        </w:rPr>
        <w:t>maternel</w:t>
      </w:r>
      <w:proofErr w:type="spellEnd"/>
      <w:r w:rsidRPr="000F5B90">
        <w:rPr>
          <w:sz w:val="24"/>
          <w:szCs w:val="24"/>
        </w:rPr>
        <w:t xml:space="preserve"> toksicitet.</w:t>
      </w:r>
    </w:p>
    <w:p w:rsidR="00B70E7E" w:rsidRPr="00A018FB" w:rsidRDefault="00B70E7E" w:rsidP="00B70E7E">
      <w:pPr>
        <w:ind w:left="851" w:hanging="851"/>
        <w:rPr>
          <w:sz w:val="24"/>
          <w:szCs w:val="24"/>
        </w:rPr>
      </w:pPr>
    </w:p>
    <w:p w:rsidR="00B70E7E" w:rsidRDefault="00B70E7E" w:rsidP="00B70E7E">
      <w:pPr>
        <w:ind w:left="851"/>
        <w:rPr>
          <w:sz w:val="24"/>
          <w:szCs w:val="24"/>
        </w:rPr>
      </w:pPr>
      <w:r w:rsidRPr="000F5B90">
        <w:rPr>
          <w:sz w:val="24"/>
          <w:szCs w:val="24"/>
        </w:rPr>
        <w:t>Lægemidlets sikkerhed under drægtighed og laktation er ikke fastlagt. Må kun anvendes i overensstemmelse med den ansvarlige dyrlæges vurdering af benefit-</w:t>
      </w:r>
      <w:proofErr w:type="spellStart"/>
      <w:r w:rsidRPr="000F5B90">
        <w:rPr>
          <w:sz w:val="24"/>
          <w:szCs w:val="24"/>
        </w:rPr>
        <w:t>risk</w:t>
      </w:r>
      <w:proofErr w:type="spellEnd"/>
      <w:r w:rsidRPr="000F5B90">
        <w:rPr>
          <w:sz w:val="24"/>
          <w:szCs w:val="24"/>
        </w:rPr>
        <w:t xml:space="preserve"> forholdet</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4.8</w:t>
      </w:r>
      <w:r w:rsidRPr="00A018FB">
        <w:rPr>
          <w:b/>
          <w:sz w:val="24"/>
          <w:szCs w:val="24"/>
        </w:rPr>
        <w:tab/>
        <w:t>Interaktion med andre lægemidler og andre former for interaktion</w:t>
      </w:r>
    </w:p>
    <w:p w:rsidR="00B70E7E" w:rsidRPr="00A018FB" w:rsidRDefault="00B70E7E" w:rsidP="00B70E7E">
      <w:pPr>
        <w:ind w:left="851" w:hanging="851"/>
        <w:rPr>
          <w:iCs/>
          <w:sz w:val="24"/>
          <w:szCs w:val="24"/>
        </w:rPr>
      </w:pPr>
      <w:r w:rsidRPr="00A018FB">
        <w:rPr>
          <w:sz w:val="24"/>
          <w:szCs w:val="24"/>
        </w:rPr>
        <w:tab/>
      </w:r>
      <w:r w:rsidRPr="00A018FB">
        <w:rPr>
          <w:iCs/>
          <w:sz w:val="24"/>
          <w:szCs w:val="24"/>
        </w:rPr>
        <w:t xml:space="preserve">For at kunne sikre effektivitet, bør dette veterinære lægemiddel ikke anvendes i kombination med </w:t>
      </w:r>
      <w:proofErr w:type="spellStart"/>
      <w:r w:rsidRPr="00A018FB">
        <w:rPr>
          <w:iCs/>
          <w:sz w:val="24"/>
          <w:szCs w:val="24"/>
        </w:rPr>
        <w:t>bakteriostatiske</w:t>
      </w:r>
      <w:proofErr w:type="spellEnd"/>
      <w:r w:rsidRPr="00A018FB">
        <w:rPr>
          <w:iCs/>
          <w:sz w:val="24"/>
          <w:szCs w:val="24"/>
        </w:rPr>
        <w:t xml:space="preserve"> antibiotika.</w:t>
      </w:r>
    </w:p>
    <w:p w:rsidR="00B70E7E" w:rsidRDefault="00B70E7E" w:rsidP="00B70E7E">
      <w:pPr>
        <w:ind w:left="851"/>
        <w:rPr>
          <w:iCs/>
          <w:szCs w:val="22"/>
        </w:rPr>
      </w:pPr>
      <w:r>
        <w:rPr>
          <w:iCs/>
          <w:szCs w:val="22"/>
        </w:rPr>
        <w:t xml:space="preserve">Samtidig anvendelse af første generation </w:t>
      </w:r>
      <w:proofErr w:type="spellStart"/>
      <w:r>
        <w:rPr>
          <w:iCs/>
          <w:szCs w:val="22"/>
        </w:rPr>
        <w:t>cephalosporiner</w:t>
      </w:r>
      <w:proofErr w:type="spellEnd"/>
      <w:r>
        <w:rPr>
          <w:iCs/>
          <w:szCs w:val="22"/>
        </w:rPr>
        <w:t xml:space="preserve"> med polypeptid antibiotika, </w:t>
      </w:r>
      <w:proofErr w:type="spellStart"/>
      <w:r>
        <w:rPr>
          <w:iCs/>
          <w:szCs w:val="22"/>
        </w:rPr>
        <w:t>aminoglycosider</w:t>
      </w:r>
      <w:proofErr w:type="spellEnd"/>
      <w:r>
        <w:rPr>
          <w:iCs/>
          <w:szCs w:val="22"/>
        </w:rPr>
        <w:t xml:space="preserve"> eller nogle </w:t>
      </w:r>
      <w:proofErr w:type="spellStart"/>
      <w:r>
        <w:rPr>
          <w:iCs/>
          <w:szCs w:val="22"/>
        </w:rPr>
        <w:t>diuretika</w:t>
      </w:r>
      <w:proofErr w:type="spellEnd"/>
      <w:r>
        <w:rPr>
          <w:iCs/>
          <w:szCs w:val="22"/>
        </w:rPr>
        <w:t xml:space="preserve">, såsom </w:t>
      </w:r>
      <w:proofErr w:type="spellStart"/>
      <w:r>
        <w:rPr>
          <w:iCs/>
          <w:szCs w:val="22"/>
        </w:rPr>
        <w:t>furosemid</w:t>
      </w:r>
      <w:proofErr w:type="spellEnd"/>
      <w:r>
        <w:rPr>
          <w:iCs/>
          <w:szCs w:val="22"/>
        </w:rPr>
        <w:t xml:space="preserve">, kan forstærke risikoen for </w:t>
      </w:r>
      <w:proofErr w:type="spellStart"/>
      <w:r>
        <w:rPr>
          <w:iCs/>
          <w:szCs w:val="22"/>
        </w:rPr>
        <w:t>nefrotoksicitet</w:t>
      </w:r>
      <w:proofErr w:type="spellEnd"/>
      <w:r>
        <w:rPr>
          <w:iCs/>
          <w:szCs w:val="22"/>
        </w:rPr>
        <w:t>.</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4.9</w:t>
      </w:r>
      <w:r w:rsidRPr="00A018FB">
        <w:rPr>
          <w:b/>
          <w:sz w:val="24"/>
          <w:szCs w:val="24"/>
        </w:rPr>
        <w:tab/>
        <w:t>Dosering og indgivelsesmåde</w:t>
      </w:r>
    </w:p>
    <w:p w:rsidR="00B70E7E" w:rsidRPr="00A018FB" w:rsidRDefault="00B70E7E" w:rsidP="00B70E7E">
      <w:pPr>
        <w:ind w:left="851" w:hanging="851"/>
        <w:rPr>
          <w:sz w:val="24"/>
          <w:szCs w:val="24"/>
        </w:rPr>
      </w:pPr>
      <w:r w:rsidRPr="00A018FB">
        <w:rPr>
          <w:sz w:val="24"/>
          <w:szCs w:val="24"/>
        </w:rPr>
        <w:tab/>
        <w:t>Oral anvendelse.</w:t>
      </w:r>
    </w:p>
    <w:p w:rsidR="00B70E7E" w:rsidRDefault="00B70E7E" w:rsidP="00B70E7E">
      <w:pPr>
        <w:ind w:left="851"/>
        <w:rPr>
          <w:sz w:val="24"/>
          <w:szCs w:val="24"/>
        </w:rPr>
      </w:pPr>
    </w:p>
    <w:p w:rsidR="00B70E7E" w:rsidRDefault="00B70E7E" w:rsidP="00B70E7E">
      <w:pPr>
        <w:ind w:left="851"/>
        <w:rPr>
          <w:sz w:val="24"/>
          <w:szCs w:val="24"/>
        </w:rPr>
      </w:pPr>
      <w:r>
        <w:rPr>
          <w:sz w:val="24"/>
          <w:szCs w:val="24"/>
        </w:rPr>
        <w:t>500 mg:</w:t>
      </w:r>
    </w:p>
    <w:p w:rsidR="00B70E7E" w:rsidRDefault="00B70E7E" w:rsidP="00B70E7E">
      <w:pPr>
        <w:ind w:left="851"/>
      </w:pPr>
      <w:r>
        <w:t xml:space="preserve">Den anbefalede dosis er 15 mg </w:t>
      </w:r>
      <w:proofErr w:type="spellStart"/>
      <w:r>
        <w:t>cefalexin</w:t>
      </w:r>
      <w:proofErr w:type="spellEnd"/>
      <w:r>
        <w:t xml:space="preserve"> per kg legemsvægt to gange daglig (dvs. svarende til 1 tablet to gange daglig for en hund, der vejer 33 kg). Ved svære eller akutte tilstande kan dosis fordobles til 30 mg/kg to gange daglig.</w:t>
      </w:r>
    </w:p>
    <w:p w:rsidR="00B70E7E" w:rsidRDefault="00B70E7E" w:rsidP="00B70E7E">
      <w:pPr>
        <w:ind w:left="851"/>
      </w:pPr>
    </w:p>
    <w:p w:rsidR="00B70E7E" w:rsidRDefault="00B70E7E" w:rsidP="00B70E7E">
      <w:pPr>
        <w:ind w:left="851"/>
      </w:pPr>
      <w:r>
        <w:t>1000 mg.</w:t>
      </w:r>
    </w:p>
    <w:p w:rsidR="00B70E7E" w:rsidRPr="00F41B0E" w:rsidRDefault="00B70E7E" w:rsidP="00B70E7E">
      <w:pPr>
        <w:ind w:left="851"/>
      </w:pPr>
      <w:r w:rsidRPr="00F41B0E">
        <w:t xml:space="preserve">Den anbefalede dosis er 15 mg </w:t>
      </w:r>
      <w:proofErr w:type="spellStart"/>
      <w:r w:rsidRPr="00F41B0E">
        <w:t>cefalexin</w:t>
      </w:r>
      <w:proofErr w:type="spellEnd"/>
      <w:r w:rsidRPr="00F41B0E">
        <w:t xml:space="preserve"> per kg legemsvægt to gange daglig</w:t>
      </w:r>
      <w:r>
        <w:t xml:space="preserve"> </w:t>
      </w:r>
      <w:r w:rsidRPr="00F41B0E">
        <w:t>(dvs. svarende til en halv tablet to gange daglig for en hund, der vejer 66 kg).</w:t>
      </w:r>
      <w:r>
        <w:t xml:space="preserve"> V</w:t>
      </w:r>
      <w:r w:rsidRPr="00F41B0E">
        <w:t>ed svære eller akutte tilstande kan dosis fordobles til 30 mg/kg to gange daglig.</w:t>
      </w:r>
    </w:p>
    <w:p w:rsidR="00B70E7E" w:rsidRDefault="00B70E7E" w:rsidP="00B70E7E">
      <w:pPr>
        <w:ind w:left="851"/>
      </w:pPr>
    </w:p>
    <w:p w:rsidR="00B70E7E" w:rsidRDefault="00B70E7E" w:rsidP="00B70E7E">
      <w:pPr>
        <w:rPr>
          <w:sz w:val="24"/>
          <w:szCs w:val="24"/>
        </w:rPr>
      </w:pPr>
      <w:r>
        <w:rPr>
          <w:sz w:val="24"/>
          <w:szCs w:val="24"/>
        </w:rPr>
        <w:br w:type="page"/>
      </w:r>
    </w:p>
    <w:p w:rsidR="00B70E7E" w:rsidRPr="00A018FB" w:rsidRDefault="00B70E7E" w:rsidP="00B70E7E">
      <w:pPr>
        <w:ind w:left="851"/>
        <w:rPr>
          <w:sz w:val="24"/>
          <w:szCs w:val="24"/>
        </w:rPr>
      </w:pPr>
      <w:r w:rsidRPr="00A018FB">
        <w:rPr>
          <w:sz w:val="24"/>
          <w:szCs w:val="24"/>
        </w:rPr>
        <w:lastRenderedPageBreak/>
        <w:t>Følgende er en vejledning for anvendelsen af produktet:</w:t>
      </w:r>
    </w:p>
    <w:p w:rsidR="00B70E7E" w:rsidRPr="00A018FB" w:rsidRDefault="00B70E7E" w:rsidP="00B70E7E">
      <w:pPr>
        <w:ind w:left="851" w:hanging="851"/>
        <w:rPr>
          <w:sz w:val="24"/>
          <w:szCs w:val="24"/>
        </w:rPr>
      </w:pPr>
    </w:p>
    <w:p w:rsidR="00B70E7E" w:rsidRPr="00A018FB" w:rsidRDefault="00B70E7E" w:rsidP="00B70E7E">
      <w:pPr>
        <w:ind w:left="851"/>
        <w:rPr>
          <w:sz w:val="24"/>
          <w:szCs w:val="24"/>
          <w:u w:val="single"/>
        </w:rPr>
      </w:pPr>
      <w:proofErr w:type="spellStart"/>
      <w:r w:rsidRPr="00A018FB">
        <w:rPr>
          <w:sz w:val="24"/>
          <w:szCs w:val="24"/>
          <w:u w:val="single"/>
        </w:rPr>
        <w:t>Tsefalen</w:t>
      </w:r>
      <w:proofErr w:type="spellEnd"/>
      <w:r w:rsidRPr="00A018FB">
        <w:rPr>
          <w:sz w:val="24"/>
          <w:szCs w:val="24"/>
          <w:u w:val="single"/>
        </w:rPr>
        <w:t xml:space="preserve"> 500 mg</w:t>
      </w:r>
    </w:p>
    <w:p w:rsidR="00B70E7E" w:rsidRDefault="00B70E7E" w:rsidP="00B70E7E">
      <w:pPr>
        <w:ind w:left="851" w:hanging="851"/>
        <w:rPr>
          <w:sz w:val="24"/>
          <w:szCs w:val="24"/>
          <w:u w:val="single"/>
        </w:rPr>
      </w:pPr>
    </w:p>
    <w:tbl>
      <w:tblPr>
        <w:tblW w:w="0" w:type="auto"/>
        <w:tblInd w:w="936" w:type="dxa"/>
        <w:tblLayout w:type="fixed"/>
        <w:tblCellMar>
          <w:left w:w="0" w:type="dxa"/>
          <w:right w:w="0" w:type="dxa"/>
        </w:tblCellMar>
        <w:tblLook w:val="04A0" w:firstRow="1" w:lastRow="0" w:firstColumn="1" w:lastColumn="0" w:noHBand="0" w:noVBand="1"/>
      </w:tblPr>
      <w:tblGrid>
        <w:gridCol w:w="2092"/>
        <w:gridCol w:w="2091"/>
        <w:gridCol w:w="2091"/>
      </w:tblGrid>
      <w:tr w:rsidR="00B70E7E" w:rsidTr="00AB5E79">
        <w:trPr>
          <w:trHeight w:val="300"/>
        </w:trPr>
        <w:tc>
          <w:tcPr>
            <w:tcW w:w="2092" w:type="dxa"/>
            <w:noWrap/>
            <w:tcMar>
              <w:top w:w="0" w:type="dxa"/>
              <w:left w:w="108" w:type="dxa"/>
              <w:bottom w:w="0" w:type="dxa"/>
              <w:right w:w="108" w:type="dxa"/>
            </w:tcMar>
            <w:vAlign w:val="center"/>
            <w:hideMark/>
          </w:tcPr>
          <w:p w:rsidR="00B70E7E" w:rsidRDefault="00B70E7E" w:rsidP="00AB5E79">
            <w:pPr>
              <w:rPr>
                <w:sz w:val="20"/>
                <w:lang w:eastAsia="da-DK"/>
              </w:rPr>
            </w:pPr>
          </w:p>
        </w:tc>
        <w:tc>
          <w:tcPr>
            <w:tcW w:w="2091" w:type="dxa"/>
            <w:noWrap/>
            <w:tcMar>
              <w:top w:w="0" w:type="dxa"/>
              <w:left w:w="108" w:type="dxa"/>
              <w:bottom w:w="0" w:type="dxa"/>
              <w:right w:w="108" w:type="dxa"/>
            </w:tcMar>
            <w:vAlign w:val="center"/>
            <w:hideMark/>
          </w:tcPr>
          <w:p w:rsidR="00B70E7E" w:rsidRDefault="00B70E7E" w:rsidP="00AB5E79">
            <w:pPr>
              <w:rPr>
                <w:rFonts w:ascii="Tms Rmn" w:hAnsi="Tms Rmn"/>
                <w:sz w:val="20"/>
                <w:lang w:eastAsia="da-DK"/>
              </w:rPr>
            </w:pPr>
          </w:p>
        </w:tc>
        <w:tc>
          <w:tcPr>
            <w:tcW w:w="2091" w:type="dxa"/>
          </w:tcPr>
          <w:p w:rsidR="00B70E7E" w:rsidRDefault="00B70E7E" w:rsidP="00AB5E79">
            <w:pPr>
              <w:rPr>
                <w:sz w:val="20"/>
                <w:lang w:val="it-IT" w:eastAsia="en-GB"/>
              </w:rPr>
            </w:pPr>
          </w:p>
        </w:tc>
      </w:tr>
      <w:tr w:rsidR="00B70E7E" w:rsidTr="00AB5E79">
        <w:trPr>
          <w:trHeight w:val="1392"/>
        </w:trPr>
        <w:tc>
          <w:tcPr>
            <w:tcW w:w="2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b/>
                <w:bCs/>
                <w:color w:val="000000"/>
                <w:sz w:val="22"/>
              </w:rPr>
            </w:pPr>
            <w:r>
              <w:rPr>
                <w:b/>
                <w:bCs/>
                <w:color w:val="000000"/>
              </w:rPr>
              <w:t>Legemsvægt</w:t>
            </w:r>
          </w:p>
          <w:p w:rsidR="00B70E7E" w:rsidRDefault="00B70E7E" w:rsidP="00AB5E79">
            <w:pPr>
              <w:jc w:val="center"/>
              <w:rPr>
                <w:rFonts w:eastAsia="Calibri"/>
                <w:b/>
                <w:bCs/>
                <w:color w:val="000000"/>
                <w:szCs w:val="22"/>
              </w:rPr>
            </w:pPr>
            <w:r>
              <w:rPr>
                <w:b/>
                <w:bCs/>
                <w:color w:val="000000"/>
              </w:rPr>
              <w:t>min. kg</w:t>
            </w:r>
          </w:p>
        </w:tc>
        <w:tc>
          <w:tcPr>
            <w:tcW w:w="209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b/>
                <w:bCs/>
                <w:color w:val="000000"/>
              </w:rPr>
            </w:pPr>
            <w:r>
              <w:rPr>
                <w:b/>
                <w:bCs/>
                <w:color w:val="000000"/>
              </w:rPr>
              <w:t>Legemsvægt</w:t>
            </w:r>
          </w:p>
          <w:p w:rsidR="00B70E7E" w:rsidRDefault="00B70E7E" w:rsidP="00AB5E79">
            <w:pPr>
              <w:jc w:val="center"/>
              <w:rPr>
                <w:rFonts w:eastAsia="Calibri"/>
                <w:b/>
                <w:bCs/>
                <w:color w:val="000000"/>
                <w:szCs w:val="22"/>
              </w:rPr>
            </w:pPr>
            <w:r>
              <w:rPr>
                <w:b/>
                <w:bCs/>
                <w:color w:val="000000"/>
              </w:rPr>
              <w:t>maks. kg</w:t>
            </w:r>
          </w:p>
        </w:tc>
        <w:tc>
          <w:tcPr>
            <w:tcW w:w="2091" w:type="dxa"/>
            <w:tcBorders>
              <w:top w:val="single" w:sz="8" w:space="0" w:color="auto"/>
              <w:left w:val="nil"/>
              <w:bottom w:val="single" w:sz="8" w:space="0" w:color="auto"/>
              <w:right w:val="single" w:sz="8" w:space="0" w:color="auto"/>
            </w:tcBorders>
            <w:vAlign w:val="center"/>
            <w:hideMark/>
          </w:tcPr>
          <w:p w:rsidR="00B70E7E" w:rsidRDefault="00B70E7E" w:rsidP="00AB5E79">
            <w:pPr>
              <w:jc w:val="center"/>
              <w:rPr>
                <w:b/>
                <w:bCs/>
                <w:color w:val="000000"/>
                <w:lang w:val="en-US"/>
              </w:rPr>
            </w:pPr>
            <w:proofErr w:type="spellStart"/>
            <w:r>
              <w:rPr>
                <w:b/>
                <w:bCs/>
                <w:color w:val="000000"/>
                <w:lang w:val="en-US"/>
              </w:rPr>
              <w:t>Antal</w:t>
            </w:r>
            <w:proofErr w:type="spellEnd"/>
            <w:r>
              <w:rPr>
                <w:b/>
                <w:bCs/>
                <w:color w:val="000000"/>
                <w:lang w:val="en-US"/>
              </w:rPr>
              <w:t xml:space="preserve"> </w:t>
            </w:r>
            <w:proofErr w:type="spellStart"/>
            <w:r>
              <w:rPr>
                <w:b/>
                <w:bCs/>
                <w:color w:val="000000"/>
                <w:lang w:val="en-US"/>
              </w:rPr>
              <w:t>tabletter</w:t>
            </w:r>
            <w:proofErr w:type="spellEnd"/>
          </w:p>
          <w:p w:rsidR="00B70E7E" w:rsidRDefault="00B70E7E" w:rsidP="00AB5E79">
            <w:pPr>
              <w:jc w:val="center"/>
              <w:rPr>
                <w:b/>
                <w:bCs/>
                <w:color w:val="000000"/>
                <w:lang w:val="en-US"/>
              </w:rPr>
            </w:pPr>
            <w:r>
              <w:rPr>
                <w:b/>
                <w:bCs/>
                <w:color w:val="000000"/>
                <w:lang w:val="en-US"/>
              </w:rPr>
              <w:t xml:space="preserve">pr. </w:t>
            </w:r>
            <w:proofErr w:type="spellStart"/>
            <w:r>
              <w:rPr>
                <w:b/>
                <w:bCs/>
                <w:color w:val="000000"/>
                <w:lang w:val="en-US"/>
              </w:rPr>
              <w:t>dosis</w:t>
            </w:r>
            <w:proofErr w:type="spellEnd"/>
            <w:r>
              <w:rPr>
                <w:b/>
                <w:bCs/>
                <w:color w:val="000000"/>
                <w:lang w:val="en-US"/>
              </w:rPr>
              <w:t>*</w:t>
            </w:r>
          </w:p>
        </w:tc>
      </w:tr>
      <w:tr w:rsidR="00B70E7E" w:rsidTr="00AB5E79">
        <w:trPr>
          <w:trHeight w:val="300"/>
        </w:trPr>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lang w:val="it-IT"/>
              </w:rPr>
            </w:pPr>
            <w:r>
              <w:rPr>
                <w:color w:val="000000"/>
              </w:rPr>
              <w:t>10.0</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16.5</w:t>
            </w:r>
          </w:p>
        </w:tc>
        <w:tc>
          <w:tcPr>
            <w:tcW w:w="2091" w:type="dxa"/>
            <w:tcBorders>
              <w:top w:val="nil"/>
              <w:left w:val="nil"/>
              <w:bottom w:val="single" w:sz="8" w:space="0" w:color="auto"/>
              <w:right w:val="single" w:sz="8" w:space="0" w:color="auto"/>
            </w:tcBorders>
            <w:vAlign w:val="center"/>
            <w:hideMark/>
          </w:tcPr>
          <w:p w:rsidR="00B70E7E" w:rsidRDefault="00B70E7E" w:rsidP="00AB5E79">
            <w:pPr>
              <w:jc w:val="center"/>
              <w:rPr>
                <w:color w:val="000000"/>
                <w:lang w:eastAsia="en-GB"/>
              </w:rPr>
            </w:pPr>
            <w:r>
              <w:rPr>
                <w:color w:val="000000"/>
              </w:rPr>
              <w:t>0.5</w:t>
            </w:r>
          </w:p>
        </w:tc>
      </w:tr>
      <w:tr w:rsidR="00B70E7E" w:rsidTr="00AB5E79">
        <w:trPr>
          <w:trHeight w:val="300"/>
        </w:trPr>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16.6</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33.0</w:t>
            </w:r>
          </w:p>
        </w:tc>
        <w:tc>
          <w:tcPr>
            <w:tcW w:w="2091" w:type="dxa"/>
            <w:tcBorders>
              <w:top w:val="nil"/>
              <w:left w:val="nil"/>
              <w:bottom w:val="single" w:sz="8" w:space="0" w:color="auto"/>
              <w:right w:val="single" w:sz="8" w:space="0" w:color="auto"/>
            </w:tcBorders>
            <w:vAlign w:val="center"/>
            <w:hideMark/>
          </w:tcPr>
          <w:p w:rsidR="00B70E7E" w:rsidRDefault="00B70E7E" w:rsidP="00AB5E79">
            <w:pPr>
              <w:jc w:val="center"/>
              <w:rPr>
                <w:color w:val="000000"/>
                <w:lang w:eastAsia="en-GB"/>
              </w:rPr>
            </w:pPr>
            <w:r>
              <w:rPr>
                <w:color w:val="000000"/>
              </w:rPr>
              <w:t>1</w:t>
            </w:r>
          </w:p>
        </w:tc>
      </w:tr>
      <w:tr w:rsidR="00B70E7E" w:rsidTr="00AB5E79">
        <w:trPr>
          <w:trHeight w:val="300"/>
        </w:trPr>
        <w:tc>
          <w:tcPr>
            <w:tcW w:w="2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33.1</w:t>
            </w:r>
          </w:p>
        </w:tc>
        <w:tc>
          <w:tcPr>
            <w:tcW w:w="209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40.0</w:t>
            </w:r>
          </w:p>
        </w:tc>
        <w:tc>
          <w:tcPr>
            <w:tcW w:w="2091" w:type="dxa"/>
            <w:tcBorders>
              <w:top w:val="nil"/>
              <w:left w:val="nil"/>
              <w:bottom w:val="single" w:sz="8" w:space="0" w:color="auto"/>
              <w:right w:val="single" w:sz="8" w:space="0" w:color="auto"/>
            </w:tcBorders>
            <w:vAlign w:val="center"/>
            <w:hideMark/>
          </w:tcPr>
          <w:p w:rsidR="00B70E7E" w:rsidRDefault="00B70E7E" w:rsidP="00AB5E79">
            <w:pPr>
              <w:jc w:val="center"/>
              <w:rPr>
                <w:color w:val="000000"/>
              </w:rPr>
            </w:pPr>
            <w:r>
              <w:rPr>
                <w:color w:val="000000"/>
              </w:rPr>
              <w:t>1.5</w:t>
            </w:r>
          </w:p>
        </w:tc>
      </w:tr>
      <w:tr w:rsidR="00B70E7E" w:rsidTr="00AB5E79">
        <w:trPr>
          <w:gridAfter w:val="1"/>
          <w:wAfter w:w="2091" w:type="dxa"/>
          <w:trHeight w:val="288"/>
        </w:trPr>
        <w:tc>
          <w:tcPr>
            <w:tcW w:w="2092" w:type="dxa"/>
          </w:tcPr>
          <w:p w:rsidR="00B70E7E" w:rsidRDefault="00B70E7E" w:rsidP="00AB5E79">
            <w:pPr>
              <w:rPr>
                <w:i/>
                <w:iCs/>
                <w:color w:val="000000"/>
              </w:rPr>
            </w:pPr>
          </w:p>
        </w:tc>
        <w:tc>
          <w:tcPr>
            <w:tcW w:w="2091" w:type="dxa"/>
          </w:tcPr>
          <w:p w:rsidR="00B70E7E" w:rsidRDefault="00B70E7E" w:rsidP="00AB5E79">
            <w:pPr>
              <w:ind w:left="-2111"/>
              <w:rPr>
                <w:i/>
                <w:iCs/>
                <w:color w:val="000000"/>
              </w:rPr>
            </w:pPr>
          </w:p>
        </w:tc>
      </w:tr>
    </w:tbl>
    <w:p w:rsidR="00B70E7E" w:rsidRDefault="00B70E7E" w:rsidP="00B70E7E">
      <w:pPr>
        <w:pStyle w:val="Brdtekstindrykning"/>
        <w:spacing w:after="0"/>
        <w:ind w:left="0"/>
        <w:rPr>
          <w:color w:val="000000"/>
        </w:rPr>
      </w:pPr>
    </w:p>
    <w:p w:rsidR="00B70E7E" w:rsidRDefault="00B70E7E" w:rsidP="00B70E7E">
      <w:pPr>
        <w:pStyle w:val="Brdtekstindrykning"/>
        <w:tabs>
          <w:tab w:val="left" w:pos="851"/>
        </w:tabs>
        <w:spacing w:after="0"/>
        <w:ind w:left="0"/>
        <w:rPr>
          <w:i/>
          <w:color w:val="000000"/>
        </w:rPr>
      </w:pPr>
      <w:r>
        <w:rPr>
          <w:color w:val="000000"/>
        </w:rPr>
        <w:tab/>
      </w:r>
      <w:r>
        <w:rPr>
          <w:color w:val="000000"/>
        </w:rPr>
        <w:tab/>
        <w:t xml:space="preserve">* </w:t>
      </w:r>
      <w:r>
        <w:rPr>
          <w:i/>
          <w:color w:val="000000"/>
        </w:rPr>
        <w:t>Dosis kan gives to gange daglig</w:t>
      </w:r>
    </w:p>
    <w:p w:rsidR="00B70E7E" w:rsidRPr="00A018FB" w:rsidRDefault="00B70E7E" w:rsidP="00B70E7E">
      <w:pPr>
        <w:ind w:left="851" w:hanging="851"/>
        <w:rPr>
          <w:sz w:val="24"/>
          <w:szCs w:val="24"/>
        </w:rPr>
      </w:pPr>
    </w:p>
    <w:p w:rsidR="00B70E7E" w:rsidRPr="00A018FB" w:rsidRDefault="00B70E7E" w:rsidP="00B70E7E">
      <w:pPr>
        <w:ind w:left="851"/>
        <w:rPr>
          <w:sz w:val="24"/>
          <w:szCs w:val="24"/>
          <w:u w:val="single"/>
        </w:rPr>
      </w:pPr>
      <w:proofErr w:type="spellStart"/>
      <w:r w:rsidRPr="00A018FB">
        <w:rPr>
          <w:sz w:val="24"/>
          <w:szCs w:val="24"/>
          <w:u w:val="single"/>
        </w:rPr>
        <w:t>Tsefalen</w:t>
      </w:r>
      <w:proofErr w:type="spellEnd"/>
      <w:r w:rsidRPr="00A018FB">
        <w:rPr>
          <w:sz w:val="24"/>
          <w:szCs w:val="24"/>
          <w:u w:val="single"/>
        </w:rPr>
        <w:t xml:space="preserve"> 1000 mg</w:t>
      </w:r>
    </w:p>
    <w:p w:rsidR="00B70E7E" w:rsidRDefault="00B70E7E" w:rsidP="00B70E7E">
      <w:pPr>
        <w:ind w:left="851" w:hanging="851"/>
        <w:rPr>
          <w:sz w:val="24"/>
          <w:szCs w:val="24"/>
        </w:rPr>
      </w:pPr>
    </w:p>
    <w:tbl>
      <w:tblPr>
        <w:tblpPr w:leftFromText="141" w:rightFromText="141" w:vertAnchor="text" w:horzAnchor="page" w:tblpX="1921" w:tblpY="59"/>
        <w:tblW w:w="4659" w:type="dxa"/>
        <w:tblCellMar>
          <w:left w:w="0" w:type="dxa"/>
          <w:right w:w="0" w:type="dxa"/>
        </w:tblCellMar>
        <w:tblLook w:val="04A0" w:firstRow="1" w:lastRow="0" w:firstColumn="1" w:lastColumn="0" w:noHBand="0" w:noVBand="1"/>
      </w:tblPr>
      <w:tblGrid>
        <w:gridCol w:w="1463"/>
        <w:gridCol w:w="1463"/>
        <w:gridCol w:w="1733"/>
      </w:tblGrid>
      <w:tr w:rsidR="00B70E7E" w:rsidTr="00AB5E79">
        <w:trPr>
          <w:trHeight w:val="300"/>
        </w:trPr>
        <w:tc>
          <w:tcPr>
            <w:tcW w:w="1463" w:type="dxa"/>
            <w:noWrap/>
            <w:tcMar>
              <w:top w:w="0" w:type="dxa"/>
              <w:left w:w="108" w:type="dxa"/>
              <w:bottom w:w="0" w:type="dxa"/>
              <w:right w:w="108" w:type="dxa"/>
            </w:tcMar>
            <w:vAlign w:val="center"/>
            <w:hideMark/>
          </w:tcPr>
          <w:p w:rsidR="00B70E7E" w:rsidRDefault="00B70E7E" w:rsidP="00AB5E79"/>
        </w:tc>
        <w:tc>
          <w:tcPr>
            <w:tcW w:w="1463" w:type="dxa"/>
            <w:noWrap/>
            <w:tcMar>
              <w:top w:w="0" w:type="dxa"/>
              <w:left w:w="108" w:type="dxa"/>
              <w:bottom w:w="0" w:type="dxa"/>
              <w:right w:w="108" w:type="dxa"/>
            </w:tcMar>
            <w:vAlign w:val="center"/>
            <w:hideMark/>
          </w:tcPr>
          <w:p w:rsidR="00B70E7E" w:rsidRDefault="00B70E7E" w:rsidP="00AB5E79">
            <w:pPr>
              <w:rPr>
                <w:rFonts w:ascii="Tms Rmn" w:hAnsi="Tms Rmn"/>
                <w:sz w:val="20"/>
                <w:lang w:eastAsia="da-DK"/>
              </w:rPr>
            </w:pPr>
          </w:p>
        </w:tc>
        <w:tc>
          <w:tcPr>
            <w:tcW w:w="1733" w:type="dxa"/>
            <w:noWrap/>
            <w:tcMar>
              <w:top w:w="0" w:type="dxa"/>
              <w:left w:w="108" w:type="dxa"/>
              <w:bottom w:w="0" w:type="dxa"/>
              <w:right w:w="108" w:type="dxa"/>
            </w:tcMar>
            <w:vAlign w:val="bottom"/>
            <w:hideMark/>
          </w:tcPr>
          <w:p w:rsidR="00B70E7E" w:rsidRDefault="00B70E7E" w:rsidP="00AB5E79">
            <w:pPr>
              <w:rPr>
                <w:rFonts w:ascii="Tms Rmn" w:hAnsi="Tms Rmn"/>
                <w:sz w:val="20"/>
                <w:lang w:eastAsia="da-DK"/>
              </w:rPr>
            </w:pPr>
          </w:p>
        </w:tc>
      </w:tr>
      <w:tr w:rsidR="00B70E7E" w:rsidTr="00AB5E79">
        <w:trPr>
          <w:trHeight w:val="1392"/>
        </w:trPr>
        <w:tc>
          <w:tcPr>
            <w:tcW w:w="14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b/>
                <w:bCs/>
                <w:color w:val="000000"/>
                <w:sz w:val="22"/>
                <w:lang w:val="it-IT" w:eastAsia="en-GB"/>
              </w:rPr>
            </w:pPr>
            <w:r>
              <w:rPr>
                <w:b/>
                <w:bCs/>
                <w:color w:val="000000"/>
              </w:rPr>
              <w:t>Legemsvægt</w:t>
            </w:r>
          </w:p>
          <w:p w:rsidR="00B70E7E" w:rsidRDefault="00B70E7E" w:rsidP="00AB5E79">
            <w:pPr>
              <w:jc w:val="center"/>
              <w:rPr>
                <w:rFonts w:eastAsia="Calibri"/>
                <w:b/>
                <w:bCs/>
                <w:color w:val="000000"/>
                <w:szCs w:val="22"/>
              </w:rPr>
            </w:pPr>
            <w:r>
              <w:rPr>
                <w:b/>
                <w:bCs/>
                <w:color w:val="000000"/>
              </w:rPr>
              <w:t>min. kg</w:t>
            </w:r>
          </w:p>
        </w:tc>
        <w:tc>
          <w:tcPr>
            <w:tcW w:w="14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b/>
                <w:bCs/>
                <w:color w:val="000000"/>
              </w:rPr>
            </w:pPr>
            <w:r>
              <w:rPr>
                <w:b/>
                <w:bCs/>
                <w:color w:val="000000"/>
              </w:rPr>
              <w:t>Legemsvægt</w:t>
            </w:r>
          </w:p>
          <w:p w:rsidR="00B70E7E" w:rsidRDefault="00B70E7E" w:rsidP="00AB5E79">
            <w:pPr>
              <w:jc w:val="center"/>
              <w:rPr>
                <w:rFonts w:eastAsia="Calibri"/>
                <w:b/>
                <w:bCs/>
                <w:color w:val="000000"/>
                <w:szCs w:val="22"/>
              </w:rPr>
            </w:pPr>
            <w:r>
              <w:rPr>
                <w:b/>
                <w:bCs/>
                <w:color w:val="000000"/>
              </w:rPr>
              <w:t>maks. kg</w:t>
            </w:r>
          </w:p>
        </w:tc>
        <w:tc>
          <w:tcPr>
            <w:tcW w:w="17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b/>
                <w:bCs/>
                <w:color w:val="000000"/>
                <w:lang w:val="en-US"/>
              </w:rPr>
            </w:pPr>
            <w:proofErr w:type="spellStart"/>
            <w:r>
              <w:rPr>
                <w:b/>
                <w:bCs/>
                <w:color w:val="000000"/>
                <w:lang w:val="en-US"/>
              </w:rPr>
              <w:t>Antal</w:t>
            </w:r>
            <w:proofErr w:type="spellEnd"/>
            <w:r>
              <w:rPr>
                <w:b/>
                <w:bCs/>
                <w:color w:val="000000"/>
                <w:lang w:val="en-US"/>
              </w:rPr>
              <w:t xml:space="preserve"> </w:t>
            </w:r>
            <w:proofErr w:type="spellStart"/>
            <w:r>
              <w:rPr>
                <w:b/>
                <w:bCs/>
                <w:color w:val="000000"/>
                <w:lang w:val="en-US"/>
              </w:rPr>
              <w:t>tabletter</w:t>
            </w:r>
            <w:proofErr w:type="spellEnd"/>
          </w:p>
          <w:p w:rsidR="00B70E7E" w:rsidRDefault="00B70E7E" w:rsidP="00AB5E79">
            <w:pPr>
              <w:jc w:val="center"/>
              <w:rPr>
                <w:rFonts w:eastAsia="Calibri"/>
                <w:b/>
                <w:bCs/>
                <w:color w:val="000000"/>
                <w:szCs w:val="22"/>
                <w:lang w:val="en-US"/>
              </w:rPr>
            </w:pPr>
            <w:r>
              <w:rPr>
                <w:b/>
                <w:bCs/>
                <w:color w:val="000000"/>
                <w:lang w:val="en-US"/>
              </w:rPr>
              <w:t xml:space="preserve">pr. </w:t>
            </w:r>
            <w:proofErr w:type="spellStart"/>
            <w:r>
              <w:rPr>
                <w:b/>
                <w:bCs/>
                <w:color w:val="000000"/>
                <w:lang w:val="en-US"/>
              </w:rPr>
              <w:t>dosis</w:t>
            </w:r>
            <w:proofErr w:type="spellEnd"/>
            <w:r>
              <w:rPr>
                <w:b/>
                <w:bCs/>
                <w:color w:val="000000"/>
                <w:lang w:val="en-US"/>
              </w:rPr>
              <w:t>*</w:t>
            </w:r>
          </w:p>
        </w:tc>
      </w:tr>
      <w:tr w:rsidR="00B70E7E" w:rsidTr="00AB5E79">
        <w:trPr>
          <w:trHeight w:val="300"/>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lang w:val="en-US"/>
              </w:rPr>
            </w:pPr>
            <w:r>
              <w:rPr>
                <w:color w:val="000000"/>
                <w:lang w:val="en-US"/>
              </w:rPr>
              <w:t>41.0</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lang w:val="it-IT"/>
              </w:rPr>
            </w:pPr>
            <w:r>
              <w:rPr>
                <w:color w:val="000000"/>
              </w:rPr>
              <w:t>66.0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1</w:t>
            </w:r>
          </w:p>
        </w:tc>
      </w:tr>
      <w:tr w:rsidR="00B70E7E" w:rsidTr="00AB5E79">
        <w:trPr>
          <w:trHeight w:val="300"/>
        </w:trPr>
        <w:tc>
          <w:tcPr>
            <w:tcW w:w="14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66.1</w:t>
            </w:r>
          </w:p>
        </w:tc>
        <w:tc>
          <w:tcPr>
            <w:tcW w:w="146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80.0</w:t>
            </w:r>
          </w:p>
        </w:tc>
        <w:tc>
          <w:tcPr>
            <w:tcW w:w="17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70E7E" w:rsidRDefault="00B70E7E" w:rsidP="00AB5E79">
            <w:pPr>
              <w:jc w:val="center"/>
              <w:rPr>
                <w:rFonts w:eastAsia="Calibri"/>
                <w:color w:val="000000"/>
                <w:szCs w:val="22"/>
              </w:rPr>
            </w:pPr>
            <w:r>
              <w:rPr>
                <w:color w:val="000000"/>
              </w:rPr>
              <w:t>1.5</w:t>
            </w:r>
          </w:p>
        </w:tc>
      </w:tr>
    </w:tbl>
    <w:p w:rsidR="00B70E7E" w:rsidRDefault="00B70E7E" w:rsidP="00B70E7E">
      <w:pPr>
        <w:tabs>
          <w:tab w:val="left" w:pos="1304"/>
        </w:tabs>
        <w:ind w:left="567" w:hanging="567"/>
        <w:rPr>
          <w:sz w:val="22"/>
          <w:lang w:eastAsia="en-GB"/>
        </w:rPr>
      </w:pPr>
    </w:p>
    <w:p w:rsidR="00B70E7E" w:rsidRDefault="00B70E7E" w:rsidP="00B70E7E">
      <w:pPr>
        <w:tabs>
          <w:tab w:val="left" w:pos="1304"/>
        </w:tabs>
        <w:ind w:left="567" w:hanging="567"/>
        <w:rPr>
          <w:sz w:val="22"/>
          <w:lang w:eastAsia="en-GB"/>
        </w:rPr>
      </w:pPr>
    </w:p>
    <w:p w:rsidR="00B70E7E" w:rsidRDefault="00B70E7E" w:rsidP="00B70E7E">
      <w:pPr>
        <w:tabs>
          <w:tab w:val="left" w:pos="1304"/>
        </w:tabs>
        <w:ind w:left="567" w:hanging="567"/>
      </w:pPr>
    </w:p>
    <w:p w:rsidR="00B70E7E" w:rsidRDefault="00B70E7E" w:rsidP="00B70E7E">
      <w:pPr>
        <w:tabs>
          <w:tab w:val="left" w:pos="1304"/>
        </w:tabs>
      </w:pPr>
    </w:p>
    <w:p w:rsidR="00B70E7E" w:rsidRDefault="00B70E7E" w:rsidP="00B70E7E">
      <w:pPr>
        <w:tabs>
          <w:tab w:val="left" w:pos="1304"/>
        </w:tabs>
      </w:pPr>
    </w:p>
    <w:p w:rsidR="00B70E7E" w:rsidRDefault="00B70E7E" w:rsidP="00B70E7E">
      <w:pPr>
        <w:tabs>
          <w:tab w:val="left" w:pos="1304"/>
        </w:tabs>
      </w:pPr>
    </w:p>
    <w:p w:rsidR="00B70E7E" w:rsidRDefault="00B70E7E" w:rsidP="00B70E7E">
      <w:pPr>
        <w:tabs>
          <w:tab w:val="left" w:pos="1304"/>
        </w:tabs>
      </w:pPr>
    </w:p>
    <w:p w:rsidR="00B70E7E" w:rsidRDefault="00B70E7E" w:rsidP="00B70E7E">
      <w:pPr>
        <w:tabs>
          <w:tab w:val="left" w:pos="1304"/>
        </w:tabs>
      </w:pPr>
    </w:p>
    <w:p w:rsidR="00B70E7E" w:rsidRDefault="00B70E7E" w:rsidP="00B70E7E">
      <w:pPr>
        <w:tabs>
          <w:tab w:val="left" w:pos="1304"/>
        </w:tabs>
      </w:pPr>
    </w:p>
    <w:p w:rsidR="00B70E7E" w:rsidRDefault="00B70E7E" w:rsidP="00B70E7E">
      <w:pPr>
        <w:tabs>
          <w:tab w:val="left" w:pos="1304"/>
        </w:tabs>
      </w:pPr>
    </w:p>
    <w:p w:rsidR="00B70E7E" w:rsidRDefault="00B70E7E" w:rsidP="00B70E7E">
      <w:pPr>
        <w:tabs>
          <w:tab w:val="left" w:pos="851"/>
          <w:tab w:val="left" w:pos="1304"/>
        </w:tabs>
        <w:rPr>
          <w:i/>
        </w:rPr>
      </w:pPr>
      <w:r>
        <w:tab/>
        <w:t xml:space="preserve">* </w:t>
      </w:r>
      <w:r>
        <w:rPr>
          <w:i/>
        </w:rPr>
        <w:t>Dosis kan gives to gange daglig</w:t>
      </w:r>
    </w:p>
    <w:p w:rsidR="00B70E7E" w:rsidRDefault="00B70E7E" w:rsidP="00B70E7E">
      <w:pPr>
        <w:tabs>
          <w:tab w:val="left" w:pos="1304"/>
        </w:tabs>
      </w:pPr>
    </w:p>
    <w:p w:rsidR="00B70E7E" w:rsidRPr="00A018FB" w:rsidRDefault="00B70E7E" w:rsidP="00B70E7E">
      <w:pPr>
        <w:ind w:left="851"/>
        <w:rPr>
          <w:sz w:val="24"/>
          <w:szCs w:val="24"/>
        </w:rPr>
      </w:pPr>
      <w:r w:rsidRPr="00A018FB">
        <w:rPr>
          <w:sz w:val="24"/>
          <w:szCs w:val="24"/>
        </w:rPr>
        <w:t xml:space="preserve">Dyr, der vejer mere end </w:t>
      </w:r>
      <w:r>
        <w:rPr>
          <w:sz w:val="24"/>
          <w:szCs w:val="24"/>
        </w:rPr>
        <w:t>8</w:t>
      </w:r>
      <w:r w:rsidRPr="00A018FB">
        <w:rPr>
          <w:sz w:val="24"/>
          <w:szCs w:val="24"/>
        </w:rPr>
        <w:t>1 kg kropsvægt, bør indgives en passende kombination af tabletter i henhold til kropsvægten.</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 xml:space="preserve">Produktet skal indgives i mindst 5 dage. </w:t>
      </w:r>
    </w:p>
    <w:p w:rsidR="00B70E7E" w:rsidRPr="00A018FB" w:rsidRDefault="00B70E7E" w:rsidP="00B70E7E">
      <w:pPr>
        <w:numPr>
          <w:ilvl w:val="0"/>
          <w:numId w:val="4"/>
        </w:numPr>
        <w:tabs>
          <w:tab w:val="clear" w:pos="720"/>
        </w:tabs>
        <w:ind w:left="1276" w:hanging="425"/>
        <w:rPr>
          <w:sz w:val="24"/>
          <w:szCs w:val="24"/>
        </w:rPr>
      </w:pPr>
      <w:r w:rsidRPr="00A018FB">
        <w:rPr>
          <w:sz w:val="24"/>
          <w:szCs w:val="24"/>
        </w:rPr>
        <w:t>14 dage i tilfælde af urinvejsinfektion,</w:t>
      </w:r>
    </w:p>
    <w:p w:rsidR="00B70E7E" w:rsidRPr="00A018FB" w:rsidRDefault="00B70E7E" w:rsidP="00B70E7E">
      <w:pPr>
        <w:numPr>
          <w:ilvl w:val="0"/>
          <w:numId w:val="4"/>
        </w:numPr>
        <w:tabs>
          <w:tab w:val="clear" w:pos="720"/>
        </w:tabs>
        <w:ind w:left="1276" w:hanging="425"/>
        <w:rPr>
          <w:sz w:val="24"/>
          <w:szCs w:val="24"/>
        </w:rPr>
      </w:pPr>
      <w:r w:rsidRPr="00A018FB">
        <w:rPr>
          <w:sz w:val="24"/>
          <w:szCs w:val="24"/>
        </w:rPr>
        <w:t xml:space="preserve">Mindst 15 dage i tilfælde af overfladisk infektiøs </w:t>
      </w:r>
      <w:proofErr w:type="spellStart"/>
      <w:r w:rsidRPr="00A018FB">
        <w:rPr>
          <w:sz w:val="24"/>
          <w:szCs w:val="24"/>
        </w:rPr>
        <w:t>dermatitis</w:t>
      </w:r>
      <w:proofErr w:type="spellEnd"/>
      <w:r w:rsidRPr="00A018FB">
        <w:rPr>
          <w:sz w:val="24"/>
          <w:szCs w:val="24"/>
        </w:rPr>
        <w:t>,</w:t>
      </w:r>
    </w:p>
    <w:p w:rsidR="00B70E7E" w:rsidRPr="00A018FB" w:rsidRDefault="00B70E7E" w:rsidP="00B70E7E">
      <w:pPr>
        <w:numPr>
          <w:ilvl w:val="0"/>
          <w:numId w:val="4"/>
        </w:numPr>
        <w:tabs>
          <w:tab w:val="clear" w:pos="720"/>
        </w:tabs>
        <w:ind w:left="1276" w:hanging="425"/>
        <w:rPr>
          <w:sz w:val="24"/>
          <w:szCs w:val="24"/>
        </w:rPr>
      </w:pPr>
      <w:r w:rsidRPr="00A018FB">
        <w:rPr>
          <w:sz w:val="24"/>
          <w:szCs w:val="24"/>
        </w:rPr>
        <w:t xml:space="preserve">Mindst 28 dage i tilfælde af dyb infektiøs </w:t>
      </w:r>
      <w:proofErr w:type="spellStart"/>
      <w:r w:rsidRPr="00A018FB">
        <w:rPr>
          <w:sz w:val="24"/>
          <w:szCs w:val="24"/>
        </w:rPr>
        <w:t>dermatitis</w:t>
      </w:r>
      <w:proofErr w:type="spellEnd"/>
      <w:r w:rsidRPr="00A018FB">
        <w:rPr>
          <w:sz w:val="24"/>
          <w:szCs w:val="24"/>
        </w:rPr>
        <w:t>.</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 xml:space="preserve">Enhver øgning i dosis eller behandlingsvarighed bør ske i henhold til den ansvarlige dyrlæges vurdering af </w:t>
      </w:r>
      <w:proofErr w:type="spellStart"/>
      <w:r w:rsidRPr="00A018FB">
        <w:rPr>
          <w:sz w:val="24"/>
          <w:szCs w:val="24"/>
        </w:rPr>
        <w:t>risk</w:t>
      </w:r>
      <w:proofErr w:type="spellEnd"/>
      <w:r w:rsidRPr="00A018FB">
        <w:rPr>
          <w:sz w:val="24"/>
          <w:szCs w:val="24"/>
        </w:rPr>
        <w:t xml:space="preserve">-benefit (f.eks. kronisk </w:t>
      </w:r>
      <w:proofErr w:type="spellStart"/>
      <w:r w:rsidRPr="00A018FB">
        <w:rPr>
          <w:sz w:val="24"/>
          <w:szCs w:val="24"/>
        </w:rPr>
        <w:t>pyoderma</w:t>
      </w:r>
      <w:proofErr w:type="spellEnd"/>
      <w:r w:rsidRPr="00A018FB">
        <w:rPr>
          <w:sz w:val="24"/>
          <w:szCs w:val="24"/>
        </w:rPr>
        <w:t>).</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For at sikre en korrekt dosering bør kropsvægten bestemmes så nøjagtigt som muligt for at undgå underdosering.</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Det veterinære lægemiddel kan gives som hele tabletter, eller kan om nødvendigt knuses og tilsættes maden.</w:t>
      </w:r>
    </w:p>
    <w:p w:rsidR="00B70E7E" w:rsidRDefault="00B70E7E" w:rsidP="00B70E7E">
      <w:pPr>
        <w:rPr>
          <w:sz w:val="24"/>
          <w:szCs w:val="24"/>
        </w:rPr>
      </w:pPr>
      <w:r>
        <w:rPr>
          <w:sz w:val="24"/>
          <w:szCs w:val="24"/>
        </w:rPr>
        <w:br w:type="page"/>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4.10</w:t>
      </w:r>
      <w:r w:rsidRPr="00A018FB">
        <w:rPr>
          <w:b/>
          <w:sz w:val="24"/>
          <w:szCs w:val="24"/>
        </w:rPr>
        <w:tab/>
        <w:t>Overdosering</w:t>
      </w:r>
    </w:p>
    <w:p w:rsidR="00B70E7E" w:rsidRPr="00A018FB" w:rsidRDefault="00B70E7E" w:rsidP="00B70E7E">
      <w:pPr>
        <w:ind w:left="851" w:hanging="851"/>
        <w:rPr>
          <w:sz w:val="24"/>
          <w:szCs w:val="24"/>
        </w:rPr>
      </w:pPr>
      <w:r w:rsidRPr="00A018FB">
        <w:rPr>
          <w:sz w:val="24"/>
          <w:szCs w:val="24"/>
        </w:rPr>
        <w:tab/>
        <w:t xml:space="preserve">Vedrørende akut toksicitet, er der blevet registreret en LD50 &gt; 0,5 g/kg efter oral administration hos hunde. Administrationen af </w:t>
      </w:r>
      <w:proofErr w:type="spellStart"/>
      <w:r w:rsidRPr="00A018FB">
        <w:rPr>
          <w:sz w:val="24"/>
          <w:szCs w:val="24"/>
        </w:rPr>
        <w:t>cefalexin</w:t>
      </w:r>
      <w:proofErr w:type="spellEnd"/>
      <w:r w:rsidRPr="00A018FB">
        <w:rPr>
          <w:sz w:val="24"/>
          <w:szCs w:val="24"/>
        </w:rPr>
        <w:t>, ved adskillige gange den anbefalede dosisrate, har vist sig ikke at frembringe nogen alvorlige bivirkninger.</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4.11</w:t>
      </w:r>
      <w:r w:rsidRPr="00A018FB">
        <w:rPr>
          <w:b/>
          <w:sz w:val="24"/>
          <w:szCs w:val="24"/>
        </w:rPr>
        <w:tab/>
        <w:t>Tilbageholdelsestid</w:t>
      </w:r>
    </w:p>
    <w:p w:rsidR="00B70E7E" w:rsidRPr="00A018FB" w:rsidRDefault="00B70E7E" w:rsidP="00B70E7E">
      <w:pPr>
        <w:ind w:left="851" w:hanging="851"/>
        <w:rPr>
          <w:sz w:val="24"/>
          <w:szCs w:val="24"/>
        </w:rPr>
      </w:pPr>
      <w:r w:rsidRPr="00A018FB">
        <w:rPr>
          <w:sz w:val="24"/>
          <w:szCs w:val="24"/>
        </w:rPr>
        <w:tab/>
        <w:t>Ikke relevant.</w:t>
      </w:r>
    </w:p>
    <w:p w:rsidR="00B70E7E" w:rsidRPr="00A018FB" w:rsidRDefault="00B70E7E" w:rsidP="00B70E7E">
      <w:pPr>
        <w:pStyle w:val="Sidehoved"/>
        <w:tabs>
          <w:tab w:val="clear" w:pos="4819"/>
          <w:tab w:val="clear" w:pos="9638"/>
        </w:tabs>
        <w:ind w:left="851" w:hanging="851"/>
        <w:jc w:val="both"/>
        <w:rPr>
          <w:szCs w:val="24"/>
        </w:rPr>
      </w:pPr>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FARMAKOLOGISKE EGENSKABER</w:t>
      </w:r>
    </w:p>
    <w:p w:rsidR="00B70E7E" w:rsidRPr="00A018FB" w:rsidRDefault="00B70E7E" w:rsidP="00B70E7E">
      <w:pPr>
        <w:ind w:left="851"/>
        <w:rPr>
          <w:color w:val="000000"/>
          <w:sz w:val="24"/>
          <w:szCs w:val="24"/>
        </w:rPr>
      </w:pPr>
      <w:proofErr w:type="spellStart"/>
      <w:r w:rsidRPr="00A018FB">
        <w:rPr>
          <w:sz w:val="24"/>
          <w:szCs w:val="24"/>
        </w:rPr>
        <w:t>Farmakoterapeutisk</w:t>
      </w:r>
      <w:proofErr w:type="spellEnd"/>
      <w:r w:rsidRPr="00A018FB">
        <w:rPr>
          <w:sz w:val="24"/>
          <w:szCs w:val="24"/>
        </w:rPr>
        <w:t xml:space="preserve"> klassifikation:</w:t>
      </w:r>
      <w:r w:rsidRPr="00A018FB">
        <w:rPr>
          <w:color w:val="000000"/>
          <w:sz w:val="24"/>
          <w:szCs w:val="24"/>
        </w:rPr>
        <w:t xml:space="preserve"> Andre beta-</w:t>
      </w:r>
      <w:proofErr w:type="spellStart"/>
      <w:r w:rsidRPr="00A018FB">
        <w:rPr>
          <w:color w:val="000000"/>
          <w:sz w:val="24"/>
          <w:szCs w:val="24"/>
        </w:rPr>
        <w:t>lactam</w:t>
      </w:r>
      <w:proofErr w:type="spellEnd"/>
      <w:r w:rsidRPr="00A018FB">
        <w:rPr>
          <w:color w:val="000000"/>
          <w:sz w:val="24"/>
          <w:szCs w:val="24"/>
        </w:rPr>
        <w:t xml:space="preserve"> </w:t>
      </w:r>
      <w:proofErr w:type="spellStart"/>
      <w:r w:rsidRPr="00A018FB">
        <w:rPr>
          <w:color w:val="000000"/>
          <w:sz w:val="24"/>
          <w:szCs w:val="24"/>
        </w:rPr>
        <w:t>antibakterica</w:t>
      </w:r>
      <w:proofErr w:type="spellEnd"/>
      <w:r w:rsidRPr="00A018FB">
        <w:rPr>
          <w:color w:val="000000"/>
          <w:sz w:val="24"/>
          <w:szCs w:val="24"/>
        </w:rPr>
        <w:t xml:space="preserve">. </w:t>
      </w:r>
      <w:proofErr w:type="spellStart"/>
      <w:r w:rsidRPr="00A018FB">
        <w:rPr>
          <w:color w:val="000000"/>
          <w:sz w:val="24"/>
          <w:szCs w:val="24"/>
        </w:rPr>
        <w:t>Cephalosporiner</w:t>
      </w:r>
      <w:proofErr w:type="spellEnd"/>
      <w:r w:rsidRPr="00A018FB">
        <w:rPr>
          <w:color w:val="000000"/>
          <w:sz w:val="24"/>
          <w:szCs w:val="24"/>
        </w:rPr>
        <w:t>, 1. generation.</w:t>
      </w:r>
    </w:p>
    <w:p w:rsidR="00B70E7E" w:rsidRPr="00A018FB" w:rsidRDefault="00B70E7E" w:rsidP="00B70E7E">
      <w:pPr>
        <w:ind w:left="851"/>
        <w:rPr>
          <w:sz w:val="24"/>
          <w:szCs w:val="24"/>
        </w:rPr>
      </w:pPr>
      <w:proofErr w:type="spellStart"/>
      <w:r w:rsidRPr="00A018FB">
        <w:rPr>
          <w:sz w:val="24"/>
          <w:szCs w:val="24"/>
        </w:rPr>
        <w:t>ATCvet</w:t>
      </w:r>
      <w:proofErr w:type="spellEnd"/>
      <w:r w:rsidRPr="00A018FB">
        <w:rPr>
          <w:sz w:val="24"/>
          <w:szCs w:val="24"/>
        </w:rPr>
        <w:t xml:space="preserve">-kode: </w:t>
      </w:r>
      <w:r w:rsidRPr="00A018FB">
        <w:rPr>
          <w:color w:val="000000"/>
          <w:sz w:val="24"/>
          <w:szCs w:val="24"/>
        </w:rPr>
        <w:t>QJ01DB01</w:t>
      </w:r>
    </w:p>
    <w:p w:rsidR="00B70E7E" w:rsidRPr="00A018FB" w:rsidRDefault="00B70E7E" w:rsidP="00B70E7E">
      <w:pPr>
        <w:ind w:left="851" w:hanging="851"/>
        <w:jc w:val="both"/>
        <w:rPr>
          <w:sz w:val="24"/>
          <w:szCs w:val="24"/>
        </w:rPr>
      </w:pPr>
    </w:p>
    <w:p w:rsidR="00B70E7E" w:rsidRPr="00A018FB" w:rsidRDefault="00B70E7E" w:rsidP="00B70E7E">
      <w:pPr>
        <w:ind w:left="851" w:hanging="851"/>
        <w:rPr>
          <w:b/>
          <w:sz w:val="24"/>
          <w:szCs w:val="24"/>
        </w:rPr>
      </w:pPr>
      <w:r w:rsidRPr="00A018FB">
        <w:rPr>
          <w:b/>
          <w:sz w:val="24"/>
          <w:szCs w:val="24"/>
        </w:rPr>
        <w:t>5.1</w:t>
      </w:r>
      <w:r w:rsidRPr="00A018FB">
        <w:rPr>
          <w:b/>
          <w:sz w:val="24"/>
          <w:szCs w:val="24"/>
        </w:rPr>
        <w:tab/>
      </w:r>
      <w:proofErr w:type="spellStart"/>
      <w:r w:rsidRPr="00A018FB">
        <w:rPr>
          <w:b/>
          <w:sz w:val="24"/>
          <w:szCs w:val="24"/>
        </w:rPr>
        <w:t>Farmakodynamiske</w:t>
      </w:r>
      <w:proofErr w:type="spellEnd"/>
      <w:r w:rsidRPr="00A018FB">
        <w:rPr>
          <w:b/>
          <w:sz w:val="24"/>
          <w:szCs w:val="24"/>
        </w:rPr>
        <w:t xml:space="preserve"> egenskaber</w:t>
      </w:r>
    </w:p>
    <w:p w:rsidR="00B70E7E" w:rsidRPr="00A018FB" w:rsidRDefault="00B70E7E" w:rsidP="00B70E7E">
      <w:pPr>
        <w:ind w:left="851" w:hanging="851"/>
        <w:rPr>
          <w:sz w:val="24"/>
          <w:szCs w:val="24"/>
        </w:rPr>
      </w:pPr>
      <w:r w:rsidRPr="00A018FB">
        <w:rPr>
          <w:sz w:val="24"/>
          <w:szCs w:val="24"/>
        </w:rPr>
        <w:tab/>
      </w:r>
      <w:proofErr w:type="spellStart"/>
      <w:r w:rsidRPr="00A018FB">
        <w:rPr>
          <w:sz w:val="24"/>
          <w:szCs w:val="24"/>
        </w:rPr>
        <w:t>Cefalexin</w:t>
      </w:r>
      <w:proofErr w:type="spellEnd"/>
      <w:r w:rsidRPr="00A018FB">
        <w:rPr>
          <w:sz w:val="24"/>
          <w:szCs w:val="24"/>
        </w:rPr>
        <w:t xml:space="preserve"> er et bredspektret </w:t>
      </w:r>
      <w:proofErr w:type="spellStart"/>
      <w:r w:rsidRPr="00A018FB">
        <w:rPr>
          <w:sz w:val="24"/>
          <w:szCs w:val="24"/>
        </w:rPr>
        <w:t>cephalosporin</w:t>
      </w:r>
      <w:proofErr w:type="spellEnd"/>
      <w:r w:rsidRPr="00A018FB">
        <w:rPr>
          <w:sz w:val="24"/>
          <w:szCs w:val="24"/>
        </w:rPr>
        <w:t xml:space="preserve"> antibiotikum med baktericid aktivitet mod en lang række </w:t>
      </w:r>
      <w:proofErr w:type="spellStart"/>
      <w:r w:rsidRPr="00A018FB">
        <w:rPr>
          <w:sz w:val="24"/>
          <w:szCs w:val="24"/>
        </w:rPr>
        <w:t>Gram-positive</w:t>
      </w:r>
      <w:proofErr w:type="spellEnd"/>
      <w:r w:rsidRPr="00A018FB">
        <w:rPr>
          <w:sz w:val="24"/>
          <w:szCs w:val="24"/>
        </w:rPr>
        <w:t xml:space="preserve"> og </w:t>
      </w:r>
      <w:proofErr w:type="spellStart"/>
      <w:r w:rsidRPr="00A018FB">
        <w:rPr>
          <w:sz w:val="24"/>
          <w:szCs w:val="24"/>
        </w:rPr>
        <w:t>Gram-negative</w:t>
      </w:r>
      <w:proofErr w:type="spellEnd"/>
      <w:r w:rsidRPr="00A018FB">
        <w:rPr>
          <w:sz w:val="24"/>
          <w:szCs w:val="24"/>
        </w:rPr>
        <w:t xml:space="preserve"> bakterier.</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proofErr w:type="spellStart"/>
      <w:r w:rsidRPr="00A018FB">
        <w:rPr>
          <w:sz w:val="24"/>
          <w:szCs w:val="24"/>
        </w:rPr>
        <w:t>Cefalexin</w:t>
      </w:r>
      <w:proofErr w:type="spellEnd"/>
      <w:r w:rsidRPr="00A018FB">
        <w:rPr>
          <w:sz w:val="24"/>
          <w:szCs w:val="24"/>
        </w:rPr>
        <w:t xml:space="preserve"> er et </w:t>
      </w:r>
      <w:proofErr w:type="spellStart"/>
      <w:r w:rsidRPr="00A018FB">
        <w:rPr>
          <w:sz w:val="24"/>
          <w:szCs w:val="24"/>
        </w:rPr>
        <w:t>semi</w:t>
      </w:r>
      <w:proofErr w:type="spellEnd"/>
      <w:r w:rsidRPr="00A018FB">
        <w:rPr>
          <w:sz w:val="24"/>
          <w:szCs w:val="24"/>
        </w:rPr>
        <w:t xml:space="preserve">-syntetisk, baktericidt, </w:t>
      </w:r>
      <w:proofErr w:type="spellStart"/>
      <w:r w:rsidRPr="00A018FB">
        <w:rPr>
          <w:sz w:val="24"/>
          <w:szCs w:val="24"/>
        </w:rPr>
        <w:t>bredsprektret</w:t>
      </w:r>
      <w:proofErr w:type="spellEnd"/>
      <w:r w:rsidRPr="00A018FB">
        <w:rPr>
          <w:sz w:val="24"/>
          <w:szCs w:val="24"/>
        </w:rPr>
        <w:t xml:space="preserve"> antibiotikum, der hører til gruppen af </w:t>
      </w:r>
      <w:proofErr w:type="spellStart"/>
      <w:r w:rsidRPr="00A018FB">
        <w:rPr>
          <w:sz w:val="24"/>
          <w:szCs w:val="24"/>
        </w:rPr>
        <w:t>cephalosporiner</w:t>
      </w:r>
      <w:proofErr w:type="spellEnd"/>
      <w:r w:rsidRPr="00A018FB">
        <w:rPr>
          <w:sz w:val="24"/>
          <w:szCs w:val="24"/>
        </w:rPr>
        <w:t xml:space="preserve">, der virker ved </w:t>
      </w:r>
      <w:proofErr w:type="spellStart"/>
      <w:r w:rsidRPr="00A018FB">
        <w:rPr>
          <w:sz w:val="24"/>
          <w:szCs w:val="24"/>
        </w:rPr>
        <w:t>interferering</w:t>
      </w:r>
      <w:proofErr w:type="spellEnd"/>
      <w:r w:rsidRPr="00A018FB">
        <w:rPr>
          <w:sz w:val="24"/>
          <w:szCs w:val="24"/>
        </w:rPr>
        <w:t xml:space="preserve"> med bakteriens </w:t>
      </w:r>
      <w:proofErr w:type="spellStart"/>
      <w:r w:rsidRPr="00A018FB">
        <w:rPr>
          <w:sz w:val="24"/>
          <w:szCs w:val="24"/>
        </w:rPr>
        <w:t>cellevægdannelse</w:t>
      </w:r>
      <w:proofErr w:type="spellEnd"/>
      <w:r w:rsidRPr="00A018FB">
        <w:rPr>
          <w:sz w:val="24"/>
          <w:szCs w:val="24"/>
        </w:rPr>
        <w:t>. Denne baktericide aktivitet medieres ved lægemiddelbinding til bakterielle enzymer, der kaldes penicillin-bindende proteiner (</w:t>
      </w:r>
      <w:proofErr w:type="spellStart"/>
      <w:r w:rsidRPr="00A018FB">
        <w:rPr>
          <w:sz w:val="24"/>
          <w:szCs w:val="24"/>
        </w:rPr>
        <w:t>PBP’er</w:t>
      </w:r>
      <w:proofErr w:type="spellEnd"/>
      <w:r w:rsidRPr="00A018FB">
        <w:rPr>
          <w:sz w:val="24"/>
          <w:szCs w:val="24"/>
        </w:rPr>
        <w:t xml:space="preserve">). Sådanne enzymer er lokaliseret på den indre membran af cellevæggen og deres </w:t>
      </w:r>
      <w:proofErr w:type="spellStart"/>
      <w:r w:rsidRPr="00A018FB">
        <w:rPr>
          <w:sz w:val="24"/>
          <w:szCs w:val="24"/>
        </w:rPr>
        <w:t>transpeptidase</w:t>
      </w:r>
      <w:proofErr w:type="spellEnd"/>
      <w:r w:rsidRPr="00A018FB">
        <w:rPr>
          <w:sz w:val="24"/>
          <w:szCs w:val="24"/>
        </w:rPr>
        <w:t xml:space="preserve">-aktivitet er påkrævet ved de terminale trin i samlingen af denne væsentlige struktur i bakteriecellen. Inaktivering af </w:t>
      </w:r>
      <w:proofErr w:type="spellStart"/>
      <w:r w:rsidRPr="00A018FB">
        <w:rPr>
          <w:sz w:val="24"/>
          <w:szCs w:val="24"/>
        </w:rPr>
        <w:t>PBP’er</w:t>
      </w:r>
      <w:proofErr w:type="spellEnd"/>
      <w:r w:rsidRPr="00A018FB">
        <w:rPr>
          <w:sz w:val="24"/>
          <w:szCs w:val="24"/>
        </w:rPr>
        <w:t xml:space="preserve"> interfererer med krydskobling af </w:t>
      </w:r>
      <w:proofErr w:type="spellStart"/>
      <w:r w:rsidRPr="00A018FB">
        <w:rPr>
          <w:sz w:val="24"/>
          <w:szCs w:val="24"/>
        </w:rPr>
        <w:t>peptidoglycankæder</w:t>
      </w:r>
      <w:proofErr w:type="spellEnd"/>
      <w:r w:rsidRPr="00A018FB">
        <w:rPr>
          <w:sz w:val="24"/>
          <w:szCs w:val="24"/>
        </w:rPr>
        <w:t xml:space="preserve">, der er nødvendige for bakteriecellevæggens styrke og stivhed. Den baktericide virkning af </w:t>
      </w:r>
      <w:proofErr w:type="spellStart"/>
      <w:r w:rsidRPr="00A018FB">
        <w:rPr>
          <w:sz w:val="24"/>
          <w:szCs w:val="24"/>
        </w:rPr>
        <w:t>cefalexin</w:t>
      </w:r>
      <w:proofErr w:type="spellEnd"/>
      <w:r w:rsidRPr="00A018FB">
        <w:rPr>
          <w:sz w:val="24"/>
          <w:szCs w:val="24"/>
        </w:rPr>
        <w:t xml:space="preserve"> er hovedsagelig "tidsafhængig".</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proofErr w:type="spellStart"/>
      <w:r w:rsidRPr="00A018FB">
        <w:rPr>
          <w:sz w:val="24"/>
          <w:szCs w:val="24"/>
        </w:rPr>
        <w:t>Cefalexin</w:t>
      </w:r>
      <w:proofErr w:type="spellEnd"/>
      <w:r w:rsidRPr="00A018FB">
        <w:rPr>
          <w:sz w:val="24"/>
          <w:szCs w:val="24"/>
        </w:rPr>
        <w:t xml:space="preserve"> er resistent over for virkningen af penicillinase fra stafylokokker og er derfor aktiv mod stammerne af </w:t>
      </w:r>
      <w:proofErr w:type="spellStart"/>
      <w:r w:rsidRPr="00A018FB">
        <w:rPr>
          <w:i/>
          <w:sz w:val="24"/>
          <w:szCs w:val="24"/>
        </w:rPr>
        <w:t>Staphylococcus</w:t>
      </w:r>
      <w:proofErr w:type="spellEnd"/>
      <w:r w:rsidRPr="00A018FB">
        <w:rPr>
          <w:i/>
          <w:sz w:val="24"/>
          <w:szCs w:val="24"/>
        </w:rPr>
        <w:t xml:space="preserve"> aureus, </w:t>
      </w:r>
      <w:r w:rsidRPr="00A018FB">
        <w:rPr>
          <w:sz w:val="24"/>
          <w:szCs w:val="24"/>
        </w:rPr>
        <w:t xml:space="preserve">der ikke er følsomme for penicillin (eller relaterede antibiotika, såsom </w:t>
      </w:r>
      <w:proofErr w:type="spellStart"/>
      <w:r w:rsidRPr="00A018FB">
        <w:rPr>
          <w:sz w:val="24"/>
          <w:szCs w:val="24"/>
        </w:rPr>
        <w:t>ampicillin</w:t>
      </w:r>
      <w:proofErr w:type="spellEnd"/>
      <w:r w:rsidRPr="00A018FB">
        <w:rPr>
          <w:sz w:val="24"/>
          <w:szCs w:val="24"/>
        </w:rPr>
        <w:t xml:space="preserve"> eller </w:t>
      </w:r>
      <w:proofErr w:type="spellStart"/>
      <w:r w:rsidRPr="00A018FB">
        <w:rPr>
          <w:sz w:val="24"/>
          <w:szCs w:val="24"/>
        </w:rPr>
        <w:t>amoxycillin</w:t>
      </w:r>
      <w:proofErr w:type="spellEnd"/>
      <w:r w:rsidRPr="00A018FB">
        <w:rPr>
          <w:sz w:val="24"/>
          <w:szCs w:val="24"/>
        </w:rPr>
        <w:t>), på grund af produktion af penicillinase.</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proofErr w:type="spellStart"/>
      <w:r w:rsidRPr="00A018FB">
        <w:rPr>
          <w:sz w:val="24"/>
          <w:szCs w:val="24"/>
        </w:rPr>
        <w:t>Cefalexin</w:t>
      </w:r>
      <w:proofErr w:type="spellEnd"/>
      <w:r w:rsidRPr="00A018FB">
        <w:rPr>
          <w:sz w:val="24"/>
          <w:szCs w:val="24"/>
        </w:rPr>
        <w:t xml:space="preserve"> er også aktiv mod størsteparten af </w:t>
      </w:r>
      <w:proofErr w:type="spellStart"/>
      <w:r w:rsidRPr="00A018FB">
        <w:rPr>
          <w:sz w:val="24"/>
          <w:szCs w:val="24"/>
        </w:rPr>
        <w:t>ampicillin</w:t>
      </w:r>
      <w:proofErr w:type="spellEnd"/>
      <w:r w:rsidRPr="00A018FB">
        <w:rPr>
          <w:sz w:val="24"/>
          <w:szCs w:val="24"/>
        </w:rPr>
        <w:t xml:space="preserve">-resistente </w:t>
      </w:r>
      <w:proofErr w:type="spellStart"/>
      <w:proofErr w:type="gramStart"/>
      <w:r w:rsidRPr="00A018FB">
        <w:rPr>
          <w:i/>
          <w:sz w:val="24"/>
          <w:szCs w:val="24"/>
        </w:rPr>
        <w:t>E.coli</w:t>
      </w:r>
      <w:proofErr w:type="spellEnd"/>
      <w:proofErr w:type="gramEnd"/>
      <w:r w:rsidRPr="00A018FB">
        <w:rPr>
          <w:sz w:val="24"/>
          <w:szCs w:val="24"/>
        </w:rPr>
        <w:t>.</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 xml:space="preserve">De følgende mikroorganismer har vist sig at være følsomme over for </w:t>
      </w:r>
      <w:proofErr w:type="spellStart"/>
      <w:r w:rsidRPr="00A018FB">
        <w:rPr>
          <w:sz w:val="24"/>
          <w:szCs w:val="24"/>
        </w:rPr>
        <w:t>Cefalexin</w:t>
      </w:r>
      <w:proofErr w:type="spellEnd"/>
      <w:r w:rsidRPr="00A018FB">
        <w:rPr>
          <w:sz w:val="24"/>
          <w:szCs w:val="24"/>
        </w:rPr>
        <w:t xml:space="preserve"> </w:t>
      </w:r>
      <w:r w:rsidRPr="00A018FB">
        <w:rPr>
          <w:i/>
          <w:sz w:val="24"/>
          <w:szCs w:val="24"/>
        </w:rPr>
        <w:t xml:space="preserve">in </w:t>
      </w:r>
      <w:proofErr w:type="spellStart"/>
      <w:r w:rsidRPr="00A018FB">
        <w:rPr>
          <w:i/>
          <w:sz w:val="24"/>
          <w:szCs w:val="24"/>
        </w:rPr>
        <w:t>vitro</w:t>
      </w:r>
      <w:proofErr w:type="spellEnd"/>
      <w:r w:rsidRPr="00A018FB">
        <w:rPr>
          <w:sz w:val="24"/>
          <w:szCs w:val="24"/>
        </w:rPr>
        <w:t xml:space="preserve">: </w:t>
      </w:r>
      <w:proofErr w:type="spellStart"/>
      <w:r w:rsidRPr="00A018FB">
        <w:rPr>
          <w:i/>
          <w:sz w:val="24"/>
          <w:szCs w:val="24"/>
        </w:rPr>
        <w:t>C</w:t>
      </w:r>
      <w:r w:rsidRPr="00A018FB">
        <w:rPr>
          <w:i/>
          <w:iCs/>
          <w:sz w:val="24"/>
          <w:szCs w:val="24"/>
        </w:rPr>
        <w:t>orynebacterium</w:t>
      </w:r>
      <w:proofErr w:type="spellEnd"/>
      <w:r w:rsidRPr="00A018FB">
        <w:rPr>
          <w:sz w:val="24"/>
          <w:szCs w:val="24"/>
        </w:rPr>
        <w:t xml:space="preserve"> </w:t>
      </w:r>
      <w:proofErr w:type="spellStart"/>
      <w:r w:rsidRPr="00A018FB">
        <w:rPr>
          <w:sz w:val="24"/>
          <w:szCs w:val="24"/>
        </w:rPr>
        <w:t>spp</w:t>
      </w:r>
      <w:proofErr w:type="spellEnd"/>
      <w:r w:rsidRPr="00A018FB">
        <w:rPr>
          <w:sz w:val="24"/>
          <w:szCs w:val="24"/>
        </w:rPr>
        <w:t xml:space="preserve">, </w:t>
      </w:r>
      <w:proofErr w:type="spellStart"/>
      <w:r w:rsidRPr="00A018FB">
        <w:rPr>
          <w:i/>
          <w:iCs/>
          <w:sz w:val="24"/>
          <w:szCs w:val="24"/>
        </w:rPr>
        <w:t>Staphylococcus</w:t>
      </w:r>
      <w:proofErr w:type="spellEnd"/>
      <w:r w:rsidRPr="00A018FB">
        <w:rPr>
          <w:sz w:val="24"/>
          <w:szCs w:val="24"/>
        </w:rPr>
        <w:t xml:space="preserve"> </w:t>
      </w:r>
      <w:proofErr w:type="spellStart"/>
      <w:r w:rsidRPr="00A018FB">
        <w:rPr>
          <w:sz w:val="24"/>
          <w:szCs w:val="24"/>
        </w:rPr>
        <w:t>spp</w:t>
      </w:r>
      <w:proofErr w:type="spellEnd"/>
      <w:r w:rsidRPr="00A018FB">
        <w:rPr>
          <w:sz w:val="24"/>
          <w:szCs w:val="24"/>
        </w:rPr>
        <w:t xml:space="preserve"> (inklusive penicillin-resistente stammer), </w:t>
      </w:r>
      <w:proofErr w:type="spellStart"/>
      <w:r w:rsidRPr="00A018FB">
        <w:rPr>
          <w:i/>
          <w:iCs/>
          <w:sz w:val="24"/>
          <w:szCs w:val="24"/>
        </w:rPr>
        <w:t>Streptococcus</w:t>
      </w:r>
      <w:proofErr w:type="spellEnd"/>
      <w:r w:rsidRPr="00A018FB">
        <w:rPr>
          <w:sz w:val="24"/>
          <w:szCs w:val="24"/>
        </w:rPr>
        <w:t xml:space="preserve"> </w:t>
      </w:r>
      <w:proofErr w:type="spellStart"/>
      <w:r w:rsidRPr="00A018FB">
        <w:rPr>
          <w:sz w:val="24"/>
          <w:szCs w:val="24"/>
        </w:rPr>
        <w:t>spp</w:t>
      </w:r>
      <w:proofErr w:type="spellEnd"/>
      <w:r w:rsidRPr="00A018FB">
        <w:rPr>
          <w:sz w:val="24"/>
          <w:szCs w:val="24"/>
        </w:rPr>
        <w:t xml:space="preserve">, </w:t>
      </w:r>
      <w:r w:rsidRPr="00A018FB">
        <w:rPr>
          <w:i/>
          <w:iCs/>
          <w:sz w:val="24"/>
          <w:szCs w:val="24"/>
        </w:rPr>
        <w:t>Escherichia</w:t>
      </w:r>
      <w:r w:rsidRPr="00A018FB">
        <w:rPr>
          <w:sz w:val="24"/>
          <w:szCs w:val="24"/>
        </w:rPr>
        <w:t xml:space="preserve"> </w:t>
      </w:r>
      <w:r w:rsidRPr="00A018FB">
        <w:rPr>
          <w:i/>
          <w:iCs/>
          <w:sz w:val="24"/>
          <w:szCs w:val="24"/>
        </w:rPr>
        <w:t>coli</w:t>
      </w:r>
      <w:r w:rsidRPr="00A018FB">
        <w:rPr>
          <w:sz w:val="24"/>
          <w:szCs w:val="24"/>
        </w:rPr>
        <w:t xml:space="preserve">, </w:t>
      </w:r>
      <w:proofErr w:type="spellStart"/>
      <w:r w:rsidRPr="00A018FB">
        <w:rPr>
          <w:i/>
          <w:iCs/>
          <w:sz w:val="24"/>
          <w:szCs w:val="24"/>
        </w:rPr>
        <w:t>Moraxella</w:t>
      </w:r>
      <w:proofErr w:type="spellEnd"/>
      <w:r w:rsidRPr="00A018FB">
        <w:rPr>
          <w:sz w:val="24"/>
          <w:szCs w:val="24"/>
        </w:rPr>
        <w:t xml:space="preserve"> </w:t>
      </w:r>
      <w:proofErr w:type="spellStart"/>
      <w:r w:rsidRPr="00A018FB">
        <w:rPr>
          <w:sz w:val="24"/>
          <w:szCs w:val="24"/>
        </w:rPr>
        <w:t>spp</w:t>
      </w:r>
      <w:proofErr w:type="spellEnd"/>
      <w:r w:rsidRPr="00A018FB">
        <w:rPr>
          <w:sz w:val="24"/>
          <w:szCs w:val="24"/>
        </w:rPr>
        <w:t xml:space="preserve">, </w:t>
      </w:r>
      <w:proofErr w:type="spellStart"/>
      <w:r w:rsidRPr="00A018FB">
        <w:rPr>
          <w:i/>
          <w:iCs/>
          <w:sz w:val="24"/>
          <w:szCs w:val="24"/>
        </w:rPr>
        <w:t>Pasteurella</w:t>
      </w:r>
      <w:proofErr w:type="spellEnd"/>
      <w:r w:rsidRPr="00A018FB">
        <w:rPr>
          <w:i/>
          <w:iCs/>
          <w:sz w:val="24"/>
          <w:szCs w:val="24"/>
        </w:rPr>
        <w:t xml:space="preserve"> </w:t>
      </w:r>
      <w:proofErr w:type="spellStart"/>
      <w:r w:rsidRPr="00A018FB">
        <w:rPr>
          <w:i/>
          <w:iCs/>
          <w:sz w:val="24"/>
          <w:szCs w:val="24"/>
        </w:rPr>
        <w:t>multocida</w:t>
      </w:r>
      <w:proofErr w:type="spellEnd"/>
      <w:r w:rsidRPr="00A018FB">
        <w:rPr>
          <w:sz w:val="24"/>
          <w:szCs w:val="24"/>
        </w:rPr>
        <w:t>.</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 xml:space="preserve">MIC-data indsamlet for </w:t>
      </w:r>
      <w:proofErr w:type="spellStart"/>
      <w:r w:rsidRPr="00A018FB">
        <w:rPr>
          <w:sz w:val="24"/>
          <w:szCs w:val="24"/>
        </w:rPr>
        <w:t>cefalexin</w:t>
      </w:r>
      <w:proofErr w:type="spellEnd"/>
      <w:r w:rsidRPr="00A018FB">
        <w:rPr>
          <w:sz w:val="24"/>
          <w:szCs w:val="24"/>
        </w:rPr>
        <w:t xml:space="preserve"> i </w:t>
      </w:r>
      <w:proofErr w:type="spellStart"/>
      <w:r w:rsidRPr="00A018FB">
        <w:rPr>
          <w:sz w:val="24"/>
          <w:szCs w:val="24"/>
        </w:rPr>
        <w:t>hundeisolater</w:t>
      </w:r>
      <w:proofErr w:type="spellEnd"/>
      <w:r w:rsidRPr="00A018FB">
        <w:rPr>
          <w:sz w:val="24"/>
          <w:szCs w:val="24"/>
        </w:rPr>
        <w:t xml:space="preserve"> fra Den Europæiske Union (EU) (Stegmann </w:t>
      </w:r>
      <w:r w:rsidRPr="00A018FB">
        <w:rPr>
          <w:i/>
          <w:sz w:val="24"/>
          <w:szCs w:val="24"/>
        </w:rPr>
        <w:t>et al</w:t>
      </w:r>
      <w:r w:rsidRPr="00A018FB">
        <w:rPr>
          <w:sz w:val="24"/>
          <w:szCs w:val="24"/>
        </w:rPr>
        <w:t>. 2006)</w:t>
      </w:r>
    </w:p>
    <w:p w:rsidR="00B70E7E" w:rsidRDefault="00B70E7E" w:rsidP="00B70E7E">
      <w:pPr>
        <w:rPr>
          <w:sz w:val="24"/>
          <w:szCs w:val="24"/>
        </w:rPr>
      </w:pPr>
      <w:r>
        <w:rPr>
          <w:sz w:val="24"/>
          <w:szCs w:val="24"/>
        </w:rPr>
        <w:br w:type="page"/>
      </w:r>
    </w:p>
    <w:p w:rsidR="00B70E7E" w:rsidRPr="00A018FB" w:rsidRDefault="00B70E7E" w:rsidP="00B70E7E">
      <w:pPr>
        <w:ind w:left="851" w:hanging="851"/>
        <w:rPr>
          <w:sz w:val="24"/>
          <w:szCs w:val="24"/>
        </w:rPr>
      </w:pPr>
    </w:p>
    <w:tbl>
      <w:tblPr>
        <w:tblW w:w="0" w:type="auto"/>
        <w:jc w:val="center"/>
        <w:tblLayout w:type="fixed"/>
        <w:tblLook w:val="04A0" w:firstRow="1" w:lastRow="0" w:firstColumn="1" w:lastColumn="0" w:noHBand="0" w:noVBand="1"/>
      </w:tblPr>
      <w:tblGrid>
        <w:gridCol w:w="4175"/>
        <w:gridCol w:w="1621"/>
        <w:gridCol w:w="993"/>
        <w:gridCol w:w="992"/>
      </w:tblGrid>
      <w:tr w:rsidR="00B70E7E" w:rsidRPr="00A018FB" w:rsidTr="00AB5E79">
        <w:trPr>
          <w:cantSplit/>
          <w:trHeight w:val="235"/>
          <w:jc w:val="center"/>
        </w:trPr>
        <w:tc>
          <w:tcPr>
            <w:tcW w:w="4175" w:type="dxa"/>
            <w:tcBorders>
              <w:top w:val="single" w:sz="12" w:space="0" w:color="auto"/>
              <w:left w:val="single" w:sz="6" w:space="0" w:color="auto"/>
              <w:bottom w:val="single" w:sz="6" w:space="0" w:color="auto"/>
              <w:right w:val="single" w:sz="6" w:space="0" w:color="auto"/>
            </w:tcBorders>
            <w:hideMark/>
          </w:tcPr>
          <w:p w:rsidR="00B70E7E" w:rsidRPr="00A018FB" w:rsidRDefault="00B70E7E" w:rsidP="00AB5E79">
            <w:pPr>
              <w:rPr>
                <w:b/>
                <w:sz w:val="24"/>
                <w:szCs w:val="24"/>
                <w:lang w:val="en-GB"/>
              </w:rPr>
            </w:pPr>
            <w:proofErr w:type="spellStart"/>
            <w:r w:rsidRPr="00A018FB">
              <w:rPr>
                <w:b/>
                <w:sz w:val="24"/>
                <w:szCs w:val="24"/>
                <w:lang w:val="en-GB"/>
              </w:rPr>
              <w:t>Bakteriearter</w:t>
            </w:r>
            <w:proofErr w:type="spellEnd"/>
            <w:r w:rsidRPr="00A018FB">
              <w:rPr>
                <w:b/>
                <w:sz w:val="24"/>
                <w:szCs w:val="24"/>
                <w:lang w:val="en-GB"/>
              </w:rPr>
              <w:t>/-</w:t>
            </w:r>
            <w:proofErr w:type="spellStart"/>
            <w:r w:rsidRPr="00A018FB">
              <w:rPr>
                <w:b/>
                <w:sz w:val="24"/>
                <w:szCs w:val="24"/>
                <w:lang w:val="en-GB"/>
              </w:rPr>
              <w:t>gruppe</w:t>
            </w:r>
            <w:proofErr w:type="spellEnd"/>
            <w:r w:rsidRPr="00A018FB">
              <w:rPr>
                <w:b/>
                <w:sz w:val="24"/>
                <w:szCs w:val="24"/>
                <w:lang w:val="en-GB"/>
              </w:rPr>
              <w:t xml:space="preserve"> </w:t>
            </w:r>
            <w:proofErr w:type="spellStart"/>
            <w:r w:rsidRPr="00A018FB">
              <w:rPr>
                <w:b/>
                <w:sz w:val="24"/>
                <w:szCs w:val="24"/>
                <w:lang w:val="en-GB"/>
              </w:rPr>
              <w:t>og</w:t>
            </w:r>
            <w:proofErr w:type="spellEnd"/>
            <w:r w:rsidRPr="00A018FB">
              <w:rPr>
                <w:b/>
                <w:sz w:val="24"/>
                <w:szCs w:val="24"/>
                <w:lang w:val="en-GB"/>
              </w:rPr>
              <w:t xml:space="preserve"> </w:t>
            </w:r>
            <w:proofErr w:type="spellStart"/>
            <w:r w:rsidRPr="00A018FB">
              <w:rPr>
                <w:b/>
                <w:sz w:val="24"/>
                <w:szCs w:val="24"/>
                <w:lang w:val="en-GB"/>
              </w:rPr>
              <w:t>oprindelse</w:t>
            </w:r>
            <w:proofErr w:type="spellEnd"/>
          </w:p>
        </w:tc>
        <w:tc>
          <w:tcPr>
            <w:tcW w:w="1621" w:type="dxa"/>
            <w:tcBorders>
              <w:top w:val="single" w:sz="12" w:space="0" w:color="auto"/>
              <w:left w:val="single" w:sz="6" w:space="0" w:color="auto"/>
              <w:bottom w:val="single" w:sz="6" w:space="0" w:color="auto"/>
              <w:right w:val="single" w:sz="6" w:space="0" w:color="auto"/>
            </w:tcBorders>
            <w:hideMark/>
          </w:tcPr>
          <w:p w:rsidR="00B70E7E" w:rsidRPr="00A018FB" w:rsidRDefault="00B70E7E" w:rsidP="00AB5E79">
            <w:pPr>
              <w:rPr>
                <w:b/>
                <w:sz w:val="24"/>
                <w:szCs w:val="24"/>
              </w:rPr>
            </w:pPr>
            <w:r w:rsidRPr="00A018FB">
              <w:rPr>
                <w:b/>
                <w:sz w:val="24"/>
                <w:szCs w:val="24"/>
              </w:rPr>
              <w:t>Antal</w:t>
            </w:r>
            <w:r>
              <w:rPr>
                <w:b/>
                <w:sz w:val="24"/>
                <w:szCs w:val="24"/>
              </w:rPr>
              <w:t xml:space="preserve"> </w:t>
            </w:r>
            <w:proofErr w:type="spellStart"/>
            <w:r w:rsidRPr="00A018FB">
              <w:rPr>
                <w:b/>
                <w:sz w:val="24"/>
                <w:szCs w:val="24"/>
              </w:rPr>
              <w:t>isolater</w:t>
            </w:r>
            <w:proofErr w:type="spellEnd"/>
          </w:p>
        </w:tc>
        <w:tc>
          <w:tcPr>
            <w:tcW w:w="993" w:type="dxa"/>
            <w:tcBorders>
              <w:top w:val="single" w:sz="12" w:space="0" w:color="auto"/>
              <w:left w:val="single" w:sz="6" w:space="0" w:color="auto"/>
              <w:bottom w:val="single" w:sz="6" w:space="0" w:color="auto"/>
              <w:right w:val="single" w:sz="6" w:space="0" w:color="auto"/>
            </w:tcBorders>
            <w:hideMark/>
          </w:tcPr>
          <w:p w:rsidR="00B70E7E" w:rsidRPr="00A018FB" w:rsidRDefault="00B70E7E" w:rsidP="00AB5E79">
            <w:pPr>
              <w:rPr>
                <w:b/>
                <w:sz w:val="24"/>
                <w:szCs w:val="24"/>
              </w:rPr>
            </w:pPr>
            <w:r w:rsidRPr="00A018FB">
              <w:rPr>
                <w:b/>
                <w:sz w:val="24"/>
                <w:szCs w:val="24"/>
              </w:rPr>
              <w:t>MIC50</w:t>
            </w:r>
          </w:p>
        </w:tc>
        <w:tc>
          <w:tcPr>
            <w:tcW w:w="992" w:type="dxa"/>
            <w:tcBorders>
              <w:top w:val="single" w:sz="12" w:space="0" w:color="auto"/>
              <w:left w:val="single" w:sz="6" w:space="0" w:color="auto"/>
              <w:bottom w:val="single" w:sz="6" w:space="0" w:color="auto"/>
              <w:right w:val="single" w:sz="6" w:space="0" w:color="auto"/>
            </w:tcBorders>
            <w:hideMark/>
          </w:tcPr>
          <w:p w:rsidR="00B70E7E" w:rsidRPr="00A018FB" w:rsidRDefault="00B70E7E" w:rsidP="00AB5E79">
            <w:pPr>
              <w:rPr>
                <w:b/>
                <w:sz w:val="24"/>
                <w:szCs w:val="24"/>
              </w:rPr>
            </w:pPr>
            <w:r w:rsidRPr="00A018FB">
              <w:rPr>
                <w:b/>
                <w:sz w:val="24"/>
                <w:szCs w:val="24"/>
              </w:rPr>
              <w:t>MIC90</w:t>
            </w:r>
          </w:p>
        </w:tc>
      </w:tr>
      <w:tr w:rsidR="00B70E7E" w:rsidRPr="00A018FB" w:rsidTr="00AB5E79">
        <w:trPr>
          <w:cantSplit/>
          <w:trHeight w:val="283"/>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i/>
                <w:sz w:val="24"/>
                <w:szCs w:val="24"/>
              </w:rPr>
              <w:t>Staphyloccoccus</w:t>
            </w:r>
            <w:proofErr w:type="spellEnd"/>
            <w:r w:rsidRPr="00A018FB">
              <w:rPr>
                <w:i/>
                <w:sz w:val="24"/>
                <w:szCs w:val="24"/>
              </w:rPr>
              <w:t xml:space="preserve"> </w:t>
            </w:r>
            <w:proofErr w:type="spellStart"/>
            <w:r w:rsidRPr="00A018FB">
              <w:rPr>
                <w:i/>
                <w:sz w:val="24"/>
                <w:szCs w:val="24"/>
              </w:rPr>
              <w:t>pseudintermedius</w:t>
            </w:r>
            <w:proofErr w:type="spellEnd"/>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270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i/>
                <w:sz w:val="24"/>
                <w:szCs w:val="24"/>
              </w:rPr>
              <w:t>Staphyloccoccus</w:t>
            </w:r>
            <w:proofErr w:type="spellEnd"/>
            <w:r w:rsidRPr="00A018FB">
              <w:rPr>
                <w:i/>
                <w:sz w:val="24"/>
                <w:szCs w:val="24"/>
              </w:rPr>
              <w:t xml:space="preserve"> aureus</w:t>
            </w:r>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36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8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sz w:val="24"/>
                <w:szCs w:val="24"/>
              </w:rPr>
              <w:t>Koagulase</w:t>
            </w:r>
            <w:proofErr w:type="spellEnd"/>
            <w:r w:rsidRPr="00A018FB">
              <w:rPr>
                <w:sz w:val="24"/>
                <w:szCs w:val="24"/>
              </w:rPr>
              <w:t xml:space="preserve">-negative stafylokokker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21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8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sz w:val="24"/>
                <w:szCs w:val="24"/>
              </w:rPr>
              <w:t>Koagulase</w:t>
            </w:r>
            <w:proofErr w:type="spellEnd"/>
            <w:r w:rsidRPr="00A018FB">
              <w:rPr>
                <w:sz w:val="24"/>
                <w:szCs w:val="24"/>
              </w:rPr>
              <w:t xml:space="preserve">-positive stafylokokker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24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β-</w:t>
            </w:r>
            <w:proofErr w:type="spellStart"/>
            <w:r w:rsidRPr="00A018FB">
              <w:rPr>
                <w:sz w:val="24"/>
                <w:szCs w:val="24"/>
              </w:rPr>
              <w:t>hæmolytiske</w:t>
            </w:r>
            <w:proofErr w:type="spellEnd"/>
            <w:r w:rsidRPr="00A018FB">
              <w:rPr>
                <w:sz w:val="24"/>
                <w:szCs w:val="24"/>
              </w:rPr>
              <w:t xml:space="preserve"> streptokokker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86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&lt;0,5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i/>
                <w:sz w:val="24"/>
                <w:szCs w:val="24"/>
              </w:rPr>
              <w:t>Enterococcus</w:t>
            </w:r>
            <w:proofErr w:type="spellEnd"/>
            <w:r w:rsidRPr="00A018FB">
              <w:rPr>
                <w:i/>
                <w:sz w:val="24"/>
                <w:szCs w:val="24"/>
              </w:rPr>
              <w:t xml:space="preserve"> </w:t>
            </w:r>
            <w:proofErr w:type="spellStart"/>
            <w:r w:rsidRPr="00A018FB">
              <w:rPr>
                <w:i/>
                <w:sz w:val="24"/>
                <w:szCs w:val="24"/>
              </w:rPr>
              <w:t>spp</w:t>
            </w:r>
            <w:proofErr w:type="spellEnd"/>
            <w:r w:rsidRPr="00A018FB">
              <w:rPr>
                <w:i/>
                <w:sz w:val="24"/>
                <w:szCs w:val="24"/>
              </w:rPr>
              <w:t>.</w:t>
            </w:r>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331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&gt;64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&gt;64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i/>
                <w:sz w:val="24"/>
                <w:szCs w:val="24"/>
              </w:rPr>
              <w:t>Pasteurella</w:t>
            </w:r>
            <w:proofErr w:type="spellEnd"/>
            <w:r w:rsidRPr="00A018FB">
              <w:rPr>
                <w:i/>
                <w:sz w:val="24"/>
                <w:szCs w:val="24"/>
              </w:rPr>
              <w:t xml:space="preserve"> </w:t>
            </w:r>
            <w:proofErr w:type="spellStart"/>
            <w:r w:rsidRPr="00A018FB">
              <w:rPr>
                <w:i/>
                <w:sz w:val="24"/>
                <w:szCs w:val="24"/>
              </w:rPr>
              <w:t>multocida</w:t>
            </w:r>
            <w:proofErr w:type="spellEnd"/>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193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4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4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i/>
                <w:sz w:val="24"/>
                <w:szCs w:val="24"/>
              </w:rPr>
              <w:t>Escherichia</w:t>
            </w:r>
            <w:r w:rsidRPr="00A018FB">
              <w:rPr>
                <w:sz w:val="24"/>
                <w:szCs w:val="24"/>
              </w:rPr>
              <w:t xml:space="preserve"> </w:t>
            </w:r>
            <w:r w:rsidRPr="00A018FB">
              <w:rPr>
                <w:i/>
                <w:sz w:val="24"/>
                <w:szCs w:val="24"/>
              </w:rPr>
              <w:t>coli</w:t>
            </w:r>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260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8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16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i/>
                <w:sz w:val="24"/>
                <w:szCs w:val="24"/>
              </w:rPr>
              <w:t xml:space="preserve">Proteus </w:t>
            </w:r>
            <w:proofErr w:type="spellStart"/>
            <w:r w:rsidRPr="00A018FB">
              <w:rPr>
                <w:i/>
                <w:sz w:val="24"/>
                <w:szCs w:val="24"/>
              </w:rPr>
              <w:t>spp</w:t>
            </w:r>
            <w:proofErr w:type="spellEnd"/>
            <w:r w:rsidRPr="00A018FB">
              <w:rPr>
                <w:i/>
                <w:sz w:val="24"/>
                <w:szCs w:val="24"/>
              </w:rPr>
              <w:t>.</w:t>
            </w:r>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71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16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16 </w:t>
            </w:r>
          </w:p>
        </w:tc>
      </w:tr>
      <w:tr w:rsidR="00B70E7E" w:rsidRPr="00A018FB" w:rsidTr="00AB5E79">
        <w:trPr>
          <w:cantSplit/>
          <w:trHeight w:val="268"/>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i/>
                <w:sz w:val="24"/>
                <w:szCs w:val="24"/>
              </w:rPr>
              <w:t>Klebsiella</w:t>
            </w:r>
            <w:proofErr w:type="spellEnd"/>
            <w:r w:rsidRPr="00A018FB">
              <w:rPr>
                <w:i/>
                <w:sz w:val="24"/>
                <w:szCs w:val="24"/>
              </w:rPr>
              <w:t xml:space="preserve"> </w:t>
            </w:r>
            <w:proofErr w:type="spellStart"/>
            <w:r w:rsidRPr="00A018FB">
              <w:rPr>
                <w:i/>
                <w:sz w:val="24"/>
                <w:szCs w:val="24"/>
              </w:rPr>
              <w:t>spp</w:t>
            </w:r>
            <w:proofErr w:type="spellEnd"/>
            <w:r w:rsidRPr="00A018FB">
              <w:rPr>
                <w:i/>
                <w:sz w:val="24"/>
                <w:szCs w:val="24"/>
              </w:rPr>
              <w:t>.</w:t>
            </w:r>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11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4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4 </w:t>
            </w:r>
          </w:p>
        </w:tc>
      </w:tr>
      <w:tr w:rsidR="00B70E7E" w:rsidRPr="00A018FB" w:rsidTr="00AB5E79">
        <w:trPr>
          <w:cantSplit/>
          <w:trHeight w:val="270"/>
          <w:jc w:val="center"/>
        </w:trPr>
        <w:tc>
          <w:tcPr>
            <w:tcW w:w="4175"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proofErr w:type="spellStart"/>
            <w:r w:rsidRPr="00A018FB">
              <w:rPr>
                <w:i/>
                <w:sz w:val="24"/>
                <w:szCs w:val="24"/>
              </w:rPr>
              <w:t>Enterobacter</w:t>
            </w:r>
            <w:proofErr w:type="spellEnd"/>
            <w:r w:rsidRPr="00A018FB">
              <w:rPr>
                <w:i/>
                <w:sz w:val="24"/>
                <w:szCs w:val="24"/>
              </w:rPr>
              <w:t xml:space="preserve"> </w:t>
            </w:r>
            <w:proofErr w:type="spellStart"/>
            <w:r w:rsidRPr="00A018FB">
              <w:rPr>
                <w:i/>
                <w:sz w:val="24"/>
                <w:szCs w:val="24"/>
              </w:rPr>
              <w:t>spp</w:t>
            </w:r>
            <w:proofErr w:type="spellEnd"/>
            <w:r w:rsidRPr="00A018FB">
              <w:rPr>
                <w:i/>
                <w:sz w:val="24"/>
                <w:szCs w:val="24"/>
              </w:rPr>
              <w:t>.</w:t>
            </w:r>
            <w:r w:rsidRPr="00A018FB">
              <w:rPr>
                <w:sz w:val="24"/>
                <w:szCs w:val="24"/>
              </w:rPr>
              <w:t xml:space="preserve"> (EU) </w:t>
            </w:r>
          </w:p>
        </w:tc>
        <w:tc>
          <w:tcPr>
            <w:tcW w:w="1621"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39 </w:t>
            </w:r>
          </w:p>
        </w:tc>
        <w:tc>
          <w:tcPr>
            <w:tcW w:w="993"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8 </w:t>
            </w:r>
          </w:p>
        </w:tc>
        <w:tc>
          <w:tcPr>
            <w:tcW w:w="992" w:type="dxa"/>
            <w:tcBorders>
              <w:top w:val="single" w:sz="6" w:space="0" w:color="auto"/>
              <w:left w:val="single" w:sz="6" w:space="0" w:color="auto"/>
              <w:bottom w:val="single" w:sz="6" w:space="0" w:color="auto"/>
              <w:right w:val="single" w:sz="6" w:space="0" w:color="auto"/>
            </w:tcBorders>
            <w:hideMark/>
          </w:tcPr>
          <w:p w:rsidR="00B70E7E" w:rsidRPr="00A018FB" w:rsidRDefault="00B70E7E" w:rsidP="00AB5E79">
            <w:pPr>
              <w:rPr>
                <w:sz w:val="24"/>
                <w:szCs w:val="24"/>
              </w:rPr>
            </w:pPr>
            <w:r w:rsidRPr="00A018FB">
              <w:rPr>
                <w:sz w:val="24"/>
                <w:szCs w:val="24"/>
              </w:rPr>
              <w:t xml:space="preserve">&gt;64 </w:t>
            </w:r>
          </w:p>
        </w:tc>
      </w:tr>
    </w:tbl>
    <w:p w:rsidR="00B70E7E" w:rsidRPr="00A018FB" w:rsidRDefault="00B70E7E" w:rsidP="00B70E7E">
      <w:pPr>
        <w:ind w:left="851" w:hanging="851"/>
        <w:rPr>
          <w:sz w:val="24"/>
          <w:szCs w:val="24"/>
        </w:rPr>
      </w:pPr>
    </w:p>
    <w:p w:rsidR="00B70E7E" w:rsidRPr="00A018FB" w:rsidRDefault="00B70E7E" w:rsidP="00B70E7E">
      <w:pPr>
        <w:ind w:left="851"/>
        <w:rPr>
          <w:iCs/>
          <w:sz w:val="24"/>
          <w:szCs w:val="24"/>
        </w:rPr>
      </w:pPr>
      <w:r w:rsidRPr="00A018FB">
        <w:rPr>
          <w:iCs/>
          <w:sz w:val="24"/>
          <w:szCs w:val="24"/>
        </w:rPr>
        <w:t xml:space="preserve">De tre grundlæggende mekanismer for resistens over for </w:t>
      </w:r>
      <w:proofErr w:type="spellStart"/>
      <w:r w:rsidRPr="00A018FB">
        <w:rPr>
          <w:iCs/>
          <w:sz w:val="24"/>
          <w:szCs w:val="24"/>
        </w:rPr>
        <w:t>cephalosporiner</w:t>
      </w:r>
      <w:proofErr w:type="spellEnd"/>
      <w:r w:rsidRPr="00A018FB">
        <w:rPr>
          <w:iCs/>
          <w:sz w:val="24"/>
          <w:szCs w:val="24"/>
        </w:rPr>
        <w:t xml:space="preserve"> resulterer fra nedsat permeabilitet, enzymatisk inaktivering eller fravær af specifikke, penicillin-bindende proteiner.</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5.2</w:t>
      </w:r>
      <w:r w:rsidRPr="00A018FB">
        <w:rPr>
          <w:b/>
          <w:sz w:val="24"/>
          <w:szCs w:val="24"/>
        </w:rPr>
        <w:tab/>
      </w:r>
      <w:proofErr w:type="spellStart"/>
      <w:r w:rsidRPr="00A018FB">
        <w:rPr>
          <w:b/>
          <w:sz w:val="24"/>
          <w:szCs w:val="24"/>
        </w:rPr>
        <w:t>Farmakokinetiske</w:t>
      </w:r>
      <w:proofErr w:type="spellEnd"/>
      <w:r w:rsidRPr="00A018FB">
        <w:rPr>
          <w:b/>
          <w:sz w:val="24"/>
          <w:szCs w:val="24"/>
        </w:rPr>
        <w:t xml:space="preserve"> egenskaber</w:t>
      </w:r>
    </w:p>
    <w:p w:rsidR="00B70E7E" w:rsidRPr="00A018FB" w:rsidRDefault="00B70E7E" w:rsidP="00B70E7E">
      <w:pPr>
        <w:ind w:left="851" w:hanging="851"/>
        <w:rPr>
          <w:sz w:val="24"/>
          <w:szCs w:val="24"/>
        </w:rPr>
      </w:pPr>
      <w:r w:rsidRPr="00A018FB">
        <w:rPr>
          <w:sz w:val="24"/>
          <w:szCs w:val="24"/>
        </w:rPr>
        <w:tab/>
      </w:r>
      <w:proofErr w:type="spellStart"/>
      <w:r w:rsidRPr="00A018FB">
        <w:rPr>
          <w:sz w:val="24"/>
          <w:szCs w:val="24"/>
        </w:rPr>
        <w:t>Cefalexin</w:t>
      </w:r>
      <w:proofErr w:type="spellEnd"/>
      <w:r w:rsidRPr="00A018FB">
        <w:rPr>
          <w:sz w:val="24"/>
          <w:szCs w:val="24"/>
        </w:rPr>
        <w:t xml:space="preserve"> absorberes hurtigt og næsten fuldstændigt i mave-tarm-kanalen efter oral administration. </w:t>
      </w:r>
      <w:proofErr w:type="spellStart"/>
      <w:r w:rsidRPr="00A018FB">
        <w:rPr>
          <w:sz w:val="24"/>
          <w:szCs w:val="24"/>
        </w:rPr>
        <w:t>Cefalexin</w:t>
      </w:r>
      <w:proofErr w:type="spellEnd"/>
      <w:r w:rsidRPr="00A018FB">
        <w:rPr>
          <w:sz w:val="24"/>
          <w:szCs w:val="24"/>
        </w:rPr>
        <w:t xml:space="preserve"> bindes i begrænset udstrækning (10-20 %) til plasmaproteiner. Efter oral administration af 15 mg/kg som tabletter, nås peak blodkoncentration (</w:t>
      </w:r>
      <w:proofErr w:type="spellStart"/>
      <w:r w:rsidRPr="00A018FB">
        <w:rPr>
          <w:sz w:val="24"/>
          <w:szCs w:val="24"/>
        </w:rPr>
        <w:t>Cmax</w:t>
      </w:r>
      <w:proofErr w:type="spellEnd"/>
      <w:r w:rsidRPr="00A018FB">
        <w:rPr>
          <w:sz w:val="24"/>
          <w:szCs w:val="24"/>
        </w:rPr>
        <w:t xml:space="preserve">=15 </w:t>
      </w:r>
      <w:r w:rsidRPr="00A018FB">
        <w:rPr>
          <w:sz w:val="24"/>
          <w:szCs w:val="24"/>
          <w:lang w:val="en-GB"/>
        </w:rPr>
        <w:t>μ</w:t>
      </w:r>
      <w:r w:rsidRPr="00A018FB">
        <w:rPr>
          <w:sz w:val="24"/>
          <w:szCs w:val="24"/>
        </w:rPr>
        <w:t>g/ml) sædvanligvis efter mellem 1 og 2 timer (</w:t>
      </w:r>
      <w:proofErr w:type="spellStart"/>
      <w:r w:rsidRPr="00A018FB">
        <w:rPr>
          <w:sz w:val="24"/>
          <w:szCs w:val="24"/>
        </w:rPr>
        <w:t>Tmax</w:t>
      </w:r>
      <w:proofErr w:type="spellEnd"/>
      <w:r w:rsidRPr="00A018FB">
        <w:rPr>
          <w:sz w:val="24"/>
          <w:szCs w:val="24"/>
        </w:rPr>
        <w:t>=90 min).</w:t>
      </w:r>
    </w:p>
    <w:p w:rsidR="00B70E7E" w:rsidRPr="00A018FB" w:rsidRDefault="00B70E7E" w:rsidP="00B70E7E">
      <w:pPr>
        <w:ind w:left="851"/>
        <w:rPr>
          <w:sz w:val="24"/>
          <w:szCs w:val="24"/>
        </w:rPr>
      </w:pPr>
      <w:r w:rsidRPr="00A018FB">
        <w:rPr>
          <w:sz w:val="24"/>
          <w:szCs w:val="24"/>
        </w:rPr>
        <w:t xml:space="preserve">Biotilgængeligheden er nær ved 100% af den indgivne dosis (AUC 6279 </w:t>
      </w:r>
      <w:r w:rsidRPr="00A018FB">
        <w:rPr>
          <w:sz w:val="24"/>
          <w:szCs w:val="24"/>
          <w:lang w:val="en-GB"/>
        </w:rPr>
        <w:t>μ</w:t>
      </w:r>
      <w:r w:rsidRPr="00A018FB">
        <w:rPr>
          <w:sz w:val="24"/>
          <w:szCs w:val="24"/>
        </w:rPr>
        <w:t xml:space="preserve">g min/ml). </w:t>
      </w:r>
      <w:proofErr w:type="spellStart"/>
      <w:r w:rsidRPr="00A018FB">
        <w:rPr>
          <w:sz w:val="24"/>
          <w:szCs w:val="24"/>
        </w:rPr>
        <w:t>Cefalexin</w:t>
      </w:r>
      <w:proofErr w:type="spellEnd"/>
      <w:r w:rsidRPr="00A018FB">
        <w:rPr>
          <w:sz w:val="24"/>
          <w:szCs w:val="24"/>
        </w:rPr>
        <w:t xml:space="preserve"> gennemgår ikke biotransformationsprocesser, der er af </w:t>
      </w:r>
      <w:proofErr w:type="spellStart"/>
      <w:r w:rsidRPr="00A018FB">
        <w:rPr>
          <w:sz w:val="24"/>
          <w:szCs w:val="24"/>
        </w:rPr>
        <w:t>farmakokinetisk</w:t>
      </w:r>
      <w:proofErr w:type="spellEnd"/>
      <w:r w:rsidRPr="00A018FB">
        <w:rPr>
          <w:sz w:val="24"/>
          <w:szCs w:val="24"/>
        </w:rPr>
        <w:t xml:space="preserve"> signifikans.</w:t>
      </w:r>
    </w:p>
    <w:p w:rsidR="00B70E7E" w:rsidRPr="00A018FB" w:rsidRDefault="00B70E7E" w:rsidP="00B70E7E">
      <w:pPr>
        <w:ind w:left="851"/>
        <w:rPr>
          <w:sz w:val="24"/>
          <w:szCs w:val="24"/>
        </w:rPr>
      </w:pPr>
      <w:r w:rsidRPr="00A018FB">
        <w:rPr>
          <w:sz w:val="24"/>
          <w:szCs w:val="24"/>
        </w:rPr>
        <w:t xml:space="preserve">Eliminationshalveringstiden for </w:t>
      </w:r>
      <w:proofErr w:type="spellStart"/>
      <w:r w:rsidRPr="00A018FB">
        <w:rPr>
          <w:sz w:val="24"/>
          <w:szCs w:val="24"/>
        </w:rPr>
        <w:t>cefalexin</w:t>
      </w:r>
      <w:proofErr w:type="spellEnd"/>
      <w:r w:rsidRPr="00A018FB">
        <w:rPr>
          <w:sz w:val="24"/>
          <w:szCs w:val="24"/>
        </w:rPr>
        <w:t xml:space="preserve"> er omkring 1,5 timer (t1/2 = 90 min.).</w:t>
      </w:r>
    </w:p>
    <w:p w:rsidR="00B70E7E" w:rsidRPr="00A018FB" w:rsidRDefault="00B70E7E" w:rsidP="00B70E7E">
      <w:pPr>
        <w:ind w:left="851"/>
        <w:rPr>
          <w:sz w:val="24"/>
          <w:szCs w:val="24"/>
        </w:rPr>
      </w:pPr>
      <w:r w:rsidRPr="00A018FB">
        <w:rPr>
          <w:sz w:val="24"/>
          <w:szCs w:val="24"/>
        </w:rPr>
        <w:t xml:space="preserve">Eliminationen af den mikrobiologisk aktive form er næsten udelukkende via nyrerne ved </w:t>
      </w:r>
      <w:proofErr w:type="spellStart"/>
      <w:r w:rsidRPr="00A018FB">
        <w:rPr>
          <w:sz w:val="24"/>
          <w:szCs w:val="24"/>
        </w:rPr>
        <w:t>tubulær</w:t>
      </w:r>
      <w:proofErr w:type="spellEnd"/>
      <w:r w:rsidRPr="00A018FB">
        <w:rPr>
          <w:sz w:val="24"/>
          <w:szCs w:val="24"/>
        </w:rPr>
        <w:t xml:space="preserve"> </w:t>
      </w:r>
      <w:proofErr w:type="spellStart"/>
      <w:r w:rsidRPr="00A018FB">
        <w:rPr>
          <w:sz w:val="24"/>
          <w:szCs w:val="24"/>
        </w:rPr>
        <w:t>ekskretion</w:t>
      </w:r>
      <w:proofErr w:type="spellEnd"/>
      <w:r w:rsidRPr="00A018FB">
        <w:rPr>
          <w:sz w:val="24"/>
          <w:szCs w:val="24"/>
        </w:rPr>
        <w:t xml:space="preserve"> og </w:t>
      </w:r>
      <w:proofErr w:type="spellStart"/>
      <w:r w:rsidRPr="00A018FB">
        <w:rPr>
          <w:sz w:val="24"/>
          <w:szCs w:val="24"/>
        </w:rPr>
        <w:t>glomerulær</w:t>
      </w:r>
      <w:proofErr w:type="spellEnd"/>
      <w:r w:rsidRPr="00A018FB">
        <w:rPr>
          <w:sz w:val="24"/>
          <w:szCs w:val="24"/>
        </w:rPr>
        <w:t xml:space="preserve"> filtration.</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5.3</w:t>
      </w:r>
      <w:r w:rsidRPr="00A018FB">
        <w:rPr>
          <w:b/>
          <w:sz w:val="24"/>
          <w:szCs w:val="24"/>
        </w:rPr>
        <w:tab/>
        <w:t>Miljømæssige forhold</w:t>
      </w:r>
    </w:p>
    <w:p w:rsidR="00B70E7E" w:rsidRPr="00A018FB" w:rsidRDefault="00B70E7E" w:rsidP="00B70E7E">
      <w:pPr>
        <w:ind w:left="851"/>
        <w:rPr>
          <w:sz w:val="24"/>
          <w:szCs w:val="24"/>
          <w:lang w:val="es-ES"/>
        </w:rPr>
      </w:pPr>
      <w:r w:rsidRPr="00A018FB">
        <w:rPr>
          <w:sz w:val="24"/>
          <w:szCs w:val="24"/>
        </w:rPr>
        <w:t>-</w:t>
      </w:r>
    </w:p>
    <w:p w:rsidR="00B70E7E" w:rsidRPr="00A018FB" w:rsidRDefault="00B70E7E" w:rsidP="00B70E7E">
      <w:pPr>
        <w:ind w:left="851" w:hanging="851"/>
        <w:rPr>
          <w:sz w:val="24"/>
          <w:szCs w:val="24"/>
        </w:rPr>
      </w:pPr>
    </w:p>
    <w:p w:rsidR="00B70E7E" w:rsidRPr="00A018FB" w:rsidRDefault="00B70E7E" w:rsidP="00B70E7E">
      <w:pPr>
        <w:ind w:left="851" w:hanging="851"/>
        <w:jc w:val="both"/>
        <w:rPr>
          <w:sz w:val="24"/>
          <w:szCs w:val="24"/>
        </w:rPr>
      </w:pPr>
    </w:p>
    <w:p w:rsidR="00B70E7E" w:rsidRPr="00A018FB" w:rsidRDefault="00B70E7E" w:rsidP="00B70E7E">
      <w:pPr>
        <w:numPr>
          <w:ilvl w:val="0"/>
          <w:numId w:val="1"/>
        </w:numPr>
        <w:tabs>
          <w:tab w:val="clear" w:pos="855"/>
        </w:tabs>
        <w:ind w:left="851" w:hanging="851"/>
        <w:rPr>
          <w:b/>
          <w:sz w:val="24"/>
          <w:szCs w:val="24"/>
        </w:rPr>
      </w:pPr>
      <w:r w:rsidRPr="00A018FB">
        <w:rPr>
          <w:b/>
          <w:sz w:val="24"/>
          <w:szCs w:val="24"/>
        </w:rPr>
        <w:t>FARMACEUTISKE OPLYSNINGER</w:t>
      </w:r>
    </w:p>
    <w:p w:rsidR="00B70E7E" w:rsidRPr="00A018FB" w:rsidRDefault="00B70E7E" w:rsidP="00B70E7E">
      <w:pPr>
        <w:ind w:left="851" w:hanging="851"/>
        <w:rPr>
          <w:sz w:val="24"/>
          <w:szCs w:val="24"/>
        </w:rPr>
      </w:pPr>
    </w:p>
    <w:p w:rsidR="00B70E7E" w:rsidRPr="00A018FB" w:rsidRDefault="00B70E7E" w:rsidP="00B70E7E">
      <w:pPr>
        <w:numPr>
          <w:ilvl w:val="1"/>
          <w:numId w:val="1"/>
        </w:numPr>
        <w:tabs>
          <w:tab w:val="clear" w:pos="855"/>
        </w:tabs>
        <w:ind w:left="851" w:hanging="851"/>
        <w:rPr>
          <w:b/>
          <w:sz w:val="24"/>
          <w:szCs w:val="24"/>
        </w:rPr>
      </w:pPr>
      <w:r w:rsidRPr="00A018FB">
        <w:rPr>
          <w:b/>
          <w:sz w:val="24"/>
          <w:szCs w:val="24"/>
        </w:rPr>
        <w:t>Hjælpestoffer</w:t>
      </w:r>
    </w:p>
    <w:p w:rsidR="00B70E7E" w:rsidRPr="00A018FB" w:rsidRDefault="00B70E7E" w:rsidP="00B70E7E">
      <w:pPr>
        <w:ind w:left="851" w:hanging="851"/>
        <w:rPr>
          <w:sz w:val="24"/>
          <w:szCs w:val="24"/>
          <w:lang w:val="es-ES"/>
        </w:rPr>
      </w:pPr>
      <w:r w:rsidRPr="00A018FB">
        <w:rPr>
          <w:sz w:val="24"/>
          <w:szCs w:val="24"/>
        </w:rPr>
        <w:tab/>
      </w:r>
      <w:r w:rsidRPr="00A018FB">
        <w:rPr>
          <w:sz w:val="24"/>
          <w:szCs w:val="24"/>
          <w:lang w:val="es-ES"/>
        </w:rPr>
        <w:t>Titandioxid (E171)</w:t>
      </w:r>
    </w:p>
    <w:p w:rsidR="00B70E7E" w:rsidRPr="00A018FB" w:rsidRDefault="00B70E7E" w:rsidP="00B70E7E">
      <w:pPr>
        <w:ind w:left="851"/>
        <w:rPr>
          <w:sz w:val="24"/>
          <w:szCs w:val="24"/>
          <w:lang w:val="es-ES"/>
        </w:rPr>
      </w:pPr>
      <w:r w:rsidRPr="00A018FB">
        <w:rPr>
          <w:sz w:val="24"/>
          <w:szCs w:val="24"/>
          <w:lang w:val="es-ES"/>
        </w:rPr>
        <w:t>Jernoxid gul (E172)</w:t>
      </w:r>
    </w:p>
    <w:p w:rsidR="00B70E7E" w:rsidRPr="00A018FB" w:rsidRDefault="00B70E7E" w:rsidP="00B70E7E">
      <w:pPr>
        <w:ind w:left="851"/>
        <w:rPr>
          <w:sz w:val="24"/>
          <w:szCs w:val="24"/>
          <w:lang w:val="en-US"/>
        </w:rPr>
      </w:pPr>
      <w:r w:rsidRPr="00A018FB">
        <w:rPr>
          <w:sz w:val="24"/>
          <w:szCs w:val="24"/>
          <w:lang w:val="es-ES"/>
        </w:rPr>
        <w:t>Jernoxid rød (E172)</w:t>
      </w:r>
    </w:p>
    <w:p w:rsidR="00B70E7E" w:rsidRPr="00160EE5" w:rsidRDefault="00B70E7E" w:rsidP="00B70E7E">
      <w:pPr>
        <w:ind w:left="851"/>
        <w:rPr>
          <w:sz w:val="24"/>
          <w:szCs w:val="24"/>
          <w:lang w:val="en-US"/>
        </w:rPr>
      </w:pPr>
      <w:r w:rsidRPr="00160EE5">
        <w:rPr>
          <w:sz w:val="24"/>
          <w:szCs w:val="24"/>
          <w:lang w:val="en-US"/>
        </w:rPr>
        <w:t>Povidone K-90</w:t>
      </w:r>
    </w:p>
    <w:p w:rsidR="00B70E7E" w:rsidRPr="00A018FB" w:rsidRDefault="00B70E7E" w:rsidP="00B70E7E">
      <w:pPr>
        <w:ind w:left="851"/>
        <w:rPr>
          <w:sz w:val="24"/>
          <w:szCs w:val="24"/>
          <w:lang w:val="en-US"/>
        </w:rPr>
      </w:pPr>
      <w:proofErr w:type="spellStart"/>
      <w:r w:rsidRPr="00A018FB">
        <w:rPr>
          <w:sz w:val="24"/>
          <w:szCs w:val="24"/>
          <w:lang w:val="en-US"/>
        </w:rPr>
        <w:t>Natriumstivelsesglycolat</w:t>
      </w:r>
      <w:proofErr w:type="spellEnd"/>
      <w:r w:rsidRPr="00A018FB">
        <w:rPr>
          <w:sz w:val="24"/>
          <w:szCs w:val="24"/>
          <w:lang w:val="en-US"/>
        </w:rPr>
        <w:t xml:space="preserve"> Type A</w:t>
      </w:r>
    </w:p>
    <w:p w:rsidR="00B70E7E" w:rsidRPr="00A018FB" w:rsidRDefault="00B70E7E" w:rsidP="00B70E7E">
      <w:pPr>
        <w:ind w:left="851"/>
        <w:rPr>
          <w:sz w:val="24"/>
          <w:szCs w:val="24"/>
          <w:lang w:val="en-GB"/>
        </w:rPr>
      </w:pPr>
      <w:r w:rsidRPr="00A018FB">
        <w:rPr>
          <w:sz w:val="24"/>
          <w:szCs w:val="24"/>
        </w:rPr>
        <w:t>Magnesium</w:t>
      </w:r>
      <w:proofErr w:type="spellStart"/>
      <w:r w:rsidRPr="00A018FB">
        <w:rPr>
          <w:sz w:val="24"/>
          <w:szCs w:val="24"/>
          <w:lang w:val="en-GB"/>
        </w:rPr>
        <w:t>stearat</w:t>
      </w:r>
      <w:proofErr w:type="spellEnd"/>
    </w:p>
    <w:p w:rsidR="00B70E7E" w:rsidRPr="00A018FB" w:rsidRDefault="00B70E7E" w:rsidP="00B70E7E">
      <w:pPr>
        <w:ind w:left="851"/>
        <w:rPr>
          <w:sz w:val="24"/>
          <w:szCs w:val="24"/>
          <w:lang w:val="en-GB"/>
        </w:rPr>
      </w:pPr>
      <w:r w:rsidRPr="00A018FB">
        <w:rPr>
          <w:sz w:val="24"/>
          <w:szCs w:val="24"/>
          <w:lang w:val="en-GB"/>
        </w:rPr>
        <w:t>Glycerol</w:t>
      </w:r>
    </w:p>
    <w:p w:rsidR="00B70E7E" w:rsidRPr="00A018FB" w:rsidRDefault="00B70E7E" w:rsidP="00B70E7E">
      <w:pPr>
        <w:ind w:left="851"/>
        <w:rPr>
          <w:sz w:val="24"/>
          <w:szCs w:val="24"/>
          <w:lang w:val="es-ES"/>
        </w:rPr>
      </w:pPr>
      <w:r w:rsidRPr="00A018FB">
        <w:rPr>
          <w:sz w:val="24"/>
          <w:szCs w:val="24"/>
          <w:lang w:val="es-ES"/>
        </w:rPr>
        <w:t>Talkum</w:t>
      </w:r>
    </w:p>
    <w:p w:rsidR="00B70E7E" w:rsidRPr="00A018FB" w:rsidRDefault="00B70E7E" w:rsidP="00B70E7E">
      <w:pPr>
        <w:ind w:left="851"/>
        <w:rPr>
          <w:sz w:val="24"/>
          <w:szCs w:val="24"/>
          <w:lang w:val="es-ES"/>
        </w:rPr>
      </w:pPr>
      <w:r w:rsidRPr="00A018FB">
        <w:rPr>
          <w:sz w:val="24"/>
          <w:szCs w:val="24"/>
          <w:lang w:val="es-ES"/>
        </w:rPr>
        <w:t>Hypromellose</w:t>
      </w:r>
    </w:p>
    <w:p w:rsidR="00B70E7E" w:rsidRPr="00A018FB" w:rsidRDefault="00B70E7E" w:rsidP="00B70E7E">
      <w:pPr>
        <w:ind w:left="851" w:hanging="851"/>
        <w:rPr>
          <w:sz w:val="24"/>
          <w:szCs w:val="24"/>
        </w:rPr>
      </w:pPr>
    </w:p>
    <w:p w:rsidR="00B70E7E" w:rsidRPr="00A018FB" w:rsidRDefault="00B70E7E" w:rsidP="00B70E7E">
      <w:pPr>
        <w:numPr>
          <w:ilvl w:val="1"/>
          <w:numId w:val="1"/>
        </w:numPr>
        <w:tabs>
          <w:tab w:val="clear" w:pos="855"/>
        </w:tabs>
        <w:ind w:left="851" w:hanging="851"/>
        <w:rPr>
          <w:b/>
          <w:sz w:val="24"/>
          <w:szCs w:val="24"/>
        </w:rPr>
      </w:pPr>
      <w:r w:rsidRPr="00A018FB">
        <w:rPr>
          <w:b/>
          <w:sz w:val="24"/>
          <w:szCs w:val="24"/>
        </w:rPr>
        <w:t>Uforligeligheder</w:t>
      </w:r>
    </w:p>
    <w:p w:rsidR="00B70E7E" w:rsidRPr="00A018FB" w:rsidRDefault="00B70E7E" w:rsidP="00B70E7E">
      <w:pPr>
        <w:ind w:left="851" w:hanging="851"/>
        <w:rPr>
          <w:sz w:val="24"/>
          <w:szCs w:val="24"/>
        </w:rPr>
      </w:pPr>
      <w:r w:rsidRPr="00A018FB">
        <w:rPr>
          <w:sz w:val="24"/>
          <w:szCs w:val="24"/>
        </w:rPr>
        <w:tab/>
        <w:t>Ingen kendte.</w:t>
      </w:r>
    </w:p>
    <w:p w:rsidR="00B70E7E" w:rsidRPr="00A018FB" w:rsidRDefault="00B70E7E" w:rsidP="00B70E7E">
      <w:pPr>
        <w:ind w:left="851" w:hanging="851"/>
        <w:rPr>
          <w:sz w:val="24"/>
          <w:szCs w:val="24"/>
        </w:rPr>
      </w:pPr>
    </w:p>
    <w:p w:rsidR="00B70E7E" w:rsidRPr="00A018FB" w:rsidRDefault="00B70E7E" w:rsidP="00B70E7E">
      <w:pPr>
        <w:numPr>
          <w:ilvl w:val="1"/>
          <w:numId w:val="1"/>
        </w:numPr>
        <w:tabs>
          <w:tab w:val="clear" w:pos="855"/>
        </w:tabs>
        <w:ind w:left="851" w:hanging="851"/>
        <w:rPr>
          <w:b/>
          <w:sz w:val="24"/>
          <w:szCs w:val="24"/>
        </w:rPr>
      </w:pPr>
      <w:r w:rsidRPr="00A018FB">
        <w:rPr>
          <w:b/>
          <w:sz w:val="24"/>
          <w:szCs w:val="24"/>
        </w:rPr>
        <w:lastRenderedPageBreak/>
        <w:t>Opbevaringstid</w:t>
      </w:r>
    </w:p>
    <w:p w:rsidR="00B70E7E" w:rsidRPr="00A018FB" w:rsidRDefault="00B70E7E" w:rsidP="00B70E7E">
      <w:pPr>
        <w:ind w:left="851" w:hanging="851"/>
        <w:rPr>
          <w:sz w:val="24"/>
          <w:szCs w:val="24"/>
        </w:rPr>
      </w:pPr>
      <w:r w:rsidRPr="00A018FB">
        <w:rPr>
          <w:sz w:val="24"/>
          <w:szCs w:val="24"/>
        </w:rPr>
        <w:tab/>
        <w:t>I salgspakning: 3 år</w:t>
      </w:r>
    </w:p>
    <w:p w:rsidR="00B70E7E" w:rsidRPr="00A018FB" w:rsidRDefault="00B70E7E" w:rsidP="00B70E7E">
      <w:pPr>
        <w:ind w:left="851"/>
        <w:rPr>
          <w:sz w:val="24"/>
          <w:szCs w:val="24"/>
        </w:rPr>
      </w:pPr>
      <w:r w:rsidRPr="00A018FB">
        <w:rPr>
          <w:sz w:val="24"/>
          <w:szCs w:val="24"/>
        </w:rPr>
        <w:t>Efter deling af tabletten i to: 48 timer</w:t>
      </w:r>
    </w:p>
    <w:p w:rsidR="00B70E7E" w:rsidRPr="00A018FB" w:rsidRDefault="00B70E7E" w:rsidP="00B70E7E">
      <w:pPr>
        <w:ind w:left="851" w:hanging="851"/>
        <w:rPr>
          <w:sz w:val="24"/>
          <w:szCs w:val="24"/>
        </w:rPr>
      </w:pPr>
    </w:p>
    <w:p w:rsidR="00B70E7E" w:rsidRPr="00A018FB" w:rsidRDefault="00B70E7E" w:rsidP="00B70E7E">
      <w:pPr>
        <w:numPr>
          <w:ilvl w:val="1"/>
          <w:numId w:val="1"/>
        </w:numPr>
        <w:tabs>
          <w:tab w:val="clear" w:pos="855"/>
        </w:tabs>
        <w:ind w:left="851" w:hanging="851"/>
        <w:rPr>
          <w:b/>
          <w:sz w:val="24"/>
          <w:szCs w:val="24"/>
        </w:rPr>
      </w:pPr>
      <w:r w:rsidRPr="00A018FB">
        <w:rPr>
          <w:b/>
          <w:sz w:val="24"/>
          <w:szCs w:val="24"/>
        </w:rPr>
        <w:t>Særlige opbevaringsforhold</w:t>
      </w:r>
    </w:p>
    <w:p w:rsidR="00B70E7E" w:rsidRPr="00A018FB" w:rsidRDefault="00B70E7E" w:rsidP="00B70E7E">
      <w:pPr>
        <w:ind w:left="851" w:hanging="851"/>
        <w:rPr>
          <w:sz w:val="24"/>
          <w:szCs w:val="24"/>
        </w:rPr>
      </w:pPr>
      <w:r w:rsidRPr="00A018FB">
        <w:rPr>
          <w:sz w:val="24"/>
          <w:szCs w:val="24"/>
        </w:rPr>
        <w:tab/>
        <w:t>Dette veterinærlægemiddel kræver ingen særlige forholdsregler vedrørende opbevaringen.</w:t>
      </w:r>
    </w:p>
    <w:p w:rsidR="00B70E7E" w:rsidRPr="00A018FB" w:rsidRDefault="00B70E7E" w:rsidP="00B70E7E">
      <w:pPr>
        <w:ind w:left="851"/>
        <w:rPr>
          <w:sz w:val="24"/>
          <w:szCs w:val="24"/>
        </w:rPr>
      </w:pPr>
      <w:r w:rsidRPr="00A018FB">
        <w:rPr>
          <w:sz w:val="24"/>
          <w:szCs w:val="24"/>
        </w:rPr>
        <w:t xml:space="preserve">Læg enhver </w:t>
      </w:r>
      <w:r>
        <w:rPr>
          <w:sz w:val="24"/>
          <w:szCs w:val="24"/>
        </w:rPr>
        <w:t xml:space="preserve">halveret </w:t>
      </w:r>
      <w:r w:rsidRPr="00A018FB">
        <w:rPr>
          <w:sz w:val="24"/>
          <w:szCs w:val="24"/>
        </w:rPr>
        <w:t xml:space="preserve">tablet tilbage i blisterpakningen. </w:t>
      </w:r>
    </w:p>
    <w:p w:rsidR="00B70E7E" w:rsidRPr="00A018FB" w:rsidRDefault="00B70E7E" w:rsidP="00B70E7E">
      <w:pPr>
        <w:ind w:left="851" w:hanging="851"/>
        <w:rPr>
          <w:sz w:val="24"/>
          <w:szCs w:val="24"/>
        </w:rPr>
      </w:pPr>
    </w:p>
    <w:p w:rsidR="00B70E7E" w:rsidRPr="006D6CE3" w:rsidRDefault="00B70E7E" w:rsidP="00B70E7E">
      <w:pPr>
        <w:numPr>
          <w:ilvl w:val="1"/>
          <w:numId w:val="1"/>
        </w:numPr>
        <w:tabs>
          <w:tab w:val="clear" w:pos="855"/>
        </w:tabs>
        <w:ind w:left="851" w:hanging="851"/>
        <w:rPr>
          <w:b/>
          <w:sz w:val="24"/>
          <w:szCs w:val="24"/>
        </w:rPr>
      </w:pPr>
      <w:r w:rsidRPr="00A018FB">
        <w:rPr>
          <w:b/>
          <w:sz w:val="24"/>
          <w:szCs w:val="24"/>
        </w:rPr>
        <w:t>Emballage</w:t>
      </w:r>
    </w:p>
    <w:p w:rsidR="00B70E7E" w:rsidRPr="00A018FB" w:rsidRDefault="00B70E7E" w:rsidP="00B70E7E">
      <w:pPr>
        <w:ind w:left="851" w:hanging="851"/>
        <w:rPr>
          <w:sz w:val="24"/>
          <w:szCs w:val="24"/>
          <w:u w:val="single"/>
        </w:rPr>
      </w:pPr>
      <w:r w:rsidRPr="00A018FB">
        <w:rPr>
          <w:sz w:val="24"/>
          <w:szCs w:val="24"/>
        </w:rPr>
        <w:tab/>
      </w:r>
      <w:proofErr w:type="spellStart"/>
      <w:r w:rsidRPr="00A018FB">
        <w:rPr>
          <w:sz w:val="24"/>
          <w:szCs w:val="24"/>
          <w:u w:val="single"/>
        </w:rPr>
        <w:t>Tsefalen</w:t>
      </w:r>
      <w:proofErr w:type="spellEnd"/>
      <w:r w:rsidRPr="00A018FB">
        <w:rPr>
          <w:sz w:val="24"/>
          <w:szCs w:val="24"/>
          <w:u w:val="single"/>
        </w:rPr>
        <w:t xml:space="preserve"> 500 mg</w:t>
      </w:r>
    </w:p>
    <w:p w:rsidR="00B70E7E" w:rsidRDefault="00B70E7E" w:rsidP="00B70E7E">
      <w:pPr>
        <w:ind w:left="851"/>
        <w:rPr>
          <w:sz w:val="24"/>
          <w:szCs w:val="24"/>
        </w:rPr>
      </w:pPr>
      <w:r w:rsidRPr="00A018FB">
        <w:rPr>
          <w:sz w:val="24"/>
          <w:szCs w:val="24"/>
        </w:rPr>
        <w:t xml:space="preserve">Kartonæske indeholdende 1 </w:t>
      </w:r>
      <w:proofErr w:type="gramStart"/>
      <w:r w:rsidRPr="00A018FB">
        <w:rPr>
          <w:sz w:val="24"/>
          <w:szCs w:val="24"/>
        </w:rPr>
        <w:t>PVC/aluminium blisterpakning</w:t>
      </w:r>
      <w:proofErr w:type="gramEnd"/>
      <w:r w:rsidRPr="00A018FB">
        <w:rPr>
          <w:sz w:val="24"/>
          <w:szCs w:val="24"/>
        </w:rPr>
        <w:t xml:space="preserve"> med 12 tabletter.</w:t>
      </w:r>
    </w:p>
    <w:p w:rsidR="00B70E7E" w:rsidRDefault="00B70E7E" w:rsidP="00B70E7E">
      <w:pPr>
        <w:ind w:left="851"/>
        <w:rPr>
          <w:sz w:val="24"/>
          <w:szCs w:val="24"/>
        </w:rPr>
      </w:pPr>
      <w:r>
        <w:rPr>
          <w:sz w:val="24"/>
          <w:szCs w:val="24"/>
        </w:rPr>
        <w:t>Kartonæske indeholdende 3</w:t>
      </w:r>
      <w:r w:rsidRPr="00A018FB">
        <w:rPr>
          <w:sz w:val="24"/>
          <w:szCs w:val="24"/>
        </w:rPr>
        <w:t xml:space="preserve"> </w:t>
      </w:r>
      <w:proofErr w:type="gramStart"/>
      <w:r w:rsidRPr="00A018FB">
        <w:rPr>
          <w:sz w:val="24"/>
          <w:szCs w:val="24"/>
        </w:rPr>
        <w:t>PVC/aluminium blisterpakninge</w:t>
      </w:r>
      <w:r>
        <w:rPr>
          <w:sz w:val="24"/>
          <w:szCs w:val="24"/>
        </w:rPr>
        <w:t>r</w:t>
      </w:r>
      <w:proofErr w:type="gramEnd"/>
      <w:r>
        <w:rPr>
          <w:sz w:val="24"/>
          <w:szCs w:val="24"/>
        </w:rPr>
        <w:t xml:space="preserve"> med 12 tabletter, med </w:t>
      </w:r>
      <w:proofErr w:type="spellStart"/>
      <w:r>
        <w:rPr>
          <w:sz w:val="24"/>
          <w:szCs w:val="24"/>
        </w:rPr>
        <w:t>ialt</w:t>
      </w:r>
      <w:proofErr w:type="spellEnd"/>
      <w:r>
        <w:rPr>
          <w:sz w:val="24"/>
          <w:szCs w:val="24"/>
        </w:rPr>
        <w:t xml:space="preserve"> 36</w:t>
      </w:r>
      <w:r w:rsidRPr="00A018FB">
        <w:rPr>
          <w:sz w:val="24"/>
          <w:szCs w:val="24"/>
        </w:rPr>
        <w:t xml:space="preserve"> tabletter.</w:t>
      </w:r>
    </w:p>
    <w:p w:rsidR="00B70E7E" w:rsidRPr="00A018FB" w:rsidRDefault="00B70E7E" w:rsidP="00B70E7E">
      <w:pPr>
        <w:ind w:left="851"/>
        <w:rPr>
          <w:sz w:val="24"/>
          <w:szCs w:val="24"/>
        </w:rPr>
      </w:pPr>
    </w:p>
    <w:p w:rsidR="00B70E7E" w:rsidRPr="00A018FB" w:rsidRDefault="00B70E7E" w:rsidP="00B70E7E">
      <w:pPr>
        <w:ind w:left="851"/>
        <w:rPr>
          <w:sz w:val="24"/>
          <w:szCs w:val="24"/>
        </w:rPr>
      </w:pPr>
      <w:r w:rsidRPr="00A018FB">
        <w:rPr>
          <w:sz w:val="24"/>
          <w:szCs w:val="24"/>
        </w:rPr>
        <w:t xml:space="preserve">Kartonæske indeholdende 9 </w:t>
      </w:r>
      <w:proofErr w:type="gramStart"/>
      <w:r w:rsidRPr="00A018FB">
        <w:rPr>
          <w:sz w:val="24"/>
          <w:szCs w:val="24"/>
        </w:rPr>
        <w:t>PVC/aluminium blisterpakninger</w:t>
      </w:r>
      <w:proofErr w:type="gramEnd"/>
      <w:r w:rsidRPr="00A018FB">
        <w:rPr>
          <w:sz w:val="24"/>
          <w:szCs w:val="24"/>
        </w:rPr>
        <w:t xml:space="preserve"> med 12 tabletter, med </w:t>
      </w:r>
      <w:proofErr w:type="spellStart"/>
      <w:r w:rsidRPr="00A018FB">
        <w:rPr>
          <w:sz w:val="24"/>
          <w:szCs w:val="24"/>
        </w:rPr>
        <w:t>ialt</w:t>
      </w:r>
      <w:proofErr w:type="spellEnd"/>
      <w:r w:rsidRPr="00A018FB">
        <w:rPr>
          <w:sz w:val="24"/>
          <w:szCs w:val="24"/>
        </w:rPr>
        <w:t xml:space="preserve"> 108 tabletter.</w:t>
      </w:r>
    </w:p>
    <w:p w:rsidR="00B70E7E" w:rsidRPr="00A018FB" w:rsidRDefault="00B70E7E" w:rsidP="00B70E7E">
      <w:pPr>
        <w:ind w:left="851" w:hanging="851"/>
        <w:rPr>
          <w:sz w:val="24"/>
          <w:szCs w:val="24"/>
        </w:rPr>
      </w:pPr>
    </w:p>
    <w:p w:rsidR="00B70E7E" w:rsidRPr="00A018FB" w:rsidRDefault="00B70E7E" w:rsidP="00B70E7E">
      <w:pPr>
        <w:ind w:left="851"/>
        <w:rPr>
          <w:sz w:val="24"/>
          <w:szCs w:val="24"/>
          <w:u w:val="single"/>
        </w:rPr>
      </w:pPr>
      <w:proofErr w:type="spellStart"/>
      <w:r w:rsidRPr="00A018FB">
        <w:rPr>
          <w:sz w:val="24"/>
          <w:szCs w:val="24"/>
          <w:u w:val="single"/>
        </w:rPr>
        <w:t>Tsefalen</w:t>
      </w:r>
      <w:proofErr w:type="spellEnd"/>
      <w:r w:rsidRPr="00A018FB">
        <w:rPr>
          <w:sz w:val="24"/>
          <w:szCs w:val="24"/>
          <w:u w:val="single"/>
        </w:rPr>
        <w:t xml:space="preserve"> 1000 mg</w:t>
      </w:r>
    </w:p>
    <w:p w:rsidR="00B70E7E" w:rsidRDefault="00B70E7E" w:rsidP="00B70E7E">
      <w:pPr>
        <w:ind w:left="851"/>
        <w:rPr>
          <w:sz w:val="24"/>
          <w:szCs w:val="24"/>
        </w:rPr>
      </w:pPr>
      <w:r w:rsidRPr="00A018FB">
        <w:rPr>
          <w:sz w:val="24"/>
          <w:szCs w:val="24"/>
        </w:rPr>
        <w:t xml:space="preserve">Kartonæske indeholdende 1 </w:t>
      </w:r>
      <w:proofErr w:type="gramStart"/>
      <w:r w:rsidRPr="00A018FB">
        <w:rPr>
          <w:sz w:val="24"/>
          <w:szCs w:val="24"/>
        </w:rPr>
        <w:t>PVC/aluminium blisterpakning</w:t>
      </w:r>
      <w:proofErr w:type="gramEnd"/>
      <w:r w:rsidRPr="00A018FB">
        <w:rPr>
          <w:sz w:val="24"/>
          <w:szCs w:val="24"/>
        </w:rPr>
        <w:t xml:space="preserve"> med 8 tabletter.</w:t>
      </w:r>
    </w:p>
    <w:p w:rsidR="00B70E7E" w:rsidRDefault="00B70E7E" w:rsidP="00B70E7E">
      <w:pPr>
        <w:ind w:left="851"/>
        <w:rPr>
          <w:sz w:val="24"/>
          <w:szCs w:val="24"/>
        </w:rPr>
      </w:pPr>
      <w:r>
        <w:rPr>
          <w:sz w:val="24"/>
          <w:szCs w:val="24"/>
        </w:rPr>
        <w:t>Kartonæske indeholdende 4</w:t>
      </w:r>
      <w:r w:rsidRPr="00A018FB">
        <w:rPr>
          <w:sz w:val="24"/>
          <w:szCs w:val="24"/>
        </w:rPr>
        <w:t xml:space="preserve"> </w:t>
      </w:r>
      <w:proofErr w:type="gramStart"/>
      <w:r w:rsidRPr="00A018FB">
        <w:rPr>
          <w:sz w:val="24"/>
          <w:szCs w:val="24"/>
        </w:rPr>
        <w:t>PVC/aluminium blisterpakning</w:t>
      </w:r>
      <w:r>
        <w:rPr>
          <w:sz w:val="24"/>
          <w:szCs w:val="24"/>
        </w:rPr>
        <w:t>er</w:t>
      </w:r>
      <w:proofErr w:type="gramEnd"/>
      <w:r>
        <w:rPr>
          <w:sz w:val="24"/>
          <w:szCs w:val="24"/>
        </w:rPr>
        <w:t xml:space="preserve"> med 8 tabletter, med </w:t>
      </w:r>
      <w:proofErr w:type="spellStart"/>
      <w:r>
        <w:rPr>
          <w:sz w:val="24"/>
          <w:szCs w:val="24"/>
        </w:rPr>
        <w:t>ialt</w:t>
      </w:r>
      <w:proofErr w:type="spellEnd"/>
      <w:r>
        <w:rPr>
          <w:sz w:val="24"/>
          <w:szCs w:val="24"/>
        </w:rPr>
        <w:t xml:space="preserve"> 32</w:t>
      </w:r>
      <w:r w:rsidRPr="00A018FB">
        <w:rPr>
          <w:sz w:val="24"/>
          <w:szCs w:val="24"/>
        </w:rPr>
        <w:t xml:space="preserve"> tabletter.</w:t>
      </w:r>
    </w:p>
    <w:p w:rsidR="00B70E7E" w:rsidRPr="00A018FB" w:rsidRDefault="00B70E7E" w:rsidP="00B70E7E">
      <w:pPr>
        <w:ind w:left="851"/>
        <w:rPr>
          <w:sz w:val="24"/>
          <w:szCs w:val="24"/>
        </w:rPr>
      </w:pPr>
    </w:p>
    <w:p w:rsidR="00B70E7E" w:rsidRPr="00A018FB" w:rsidRDefault="00B70E7E" w:rsidP="00B70E7E">
      <w:pPr>
        <w:ind w:left="851"/>
        <w:rPr>
          <w:sz w:val="24"/>
          <w:szCs w:val="24"/>
        </w:rPr>
      </w:pPr>
      <w:r w:rsidRPr="00A018FB">
        <w:rPr>
          <w:sz w:val="24"/>
          <w:szCs w:val="24"/>
        </w:rPr>
        <w:t xml:space="preserve">Kartonæske indeholdende13 </w:t>
      </w:r>
      <w:proofErr w:type="gramStart"/>
      <w:r w:rsidRPr="00A018FB">
        <w:rPr>
          <w:sz w:val="24"/>
          <w:szCs w:val="24"/>
        </w:rPr>
        <w:t>PVC/aluminium blisterpakninger</w:t>
      </w:r>
      <w:proofErr w:type="gramEnd"/>
      <w:r w:rsidRPr="00A018FB">
        <w:rPr>
          <w:sz w:val="24"/>
          <w:szCs w:val="24"/>
        </w:rPr>
        <w:t xml:space="preserve"> med 8 tabletter, med </w:t>
      </w:r>
      <w:proofErr w:type="spellStart"/>
      <w:r w:rsidRPr="00A018FB">
        <w:rPr>
          <w:sz w:val="24"/>
          <w:szCs w:val="24"/>
        </w:rPr>
        <w:t>ialt</w:t>
      </w:r>
      <w:proofErr w:type="spellEnd"/>
      <w:r w:rsidRPr="00A018FB">
        <w:rPr>
          <w:sz w:val="24"/>
          <w:szCs w:val="24"/>
        </w:rPr>
        <w:t xml:space="preserve"> 104 tabletter.</w:t>
      </w:r>
    </w:p>
    <w:p w:rsidR="00B70E7E" w:rsidRPr="00A018FB" w:rsidRDefault="00B70E7E" w:rsidP="00B70E7E">
      <w:pPr>
        <w:ind w:left="851" w:hanging="851"/>
        <w:rPr>
          <w:sz w:val="24"/>
          <w:szCs w:val="24"/>
        </w:rPr>
      </w:pPr>
    </w:p>
    <w:p w:rsidR="00B70E7E" w:rsidRPr="00A018FB" w:rsidRDefault="00B70E7E" w:rsidP="00B70E7E">
      <w:pPr>
        <w:ind w:left="851"/>
        <w:rPr>
          <w:sz w:val="24"/>
          <w:szCs w:val="24"/>
        </w:rPr>
      </w:pPr>
      <w:r w:rsidRPr="00A018FB">
        <w:rPr>
          <w:sz w:val="24"/>
          <w:szCs w:val="24"/>
        </w:rPr>
        <w:t>Ikke alle pakningsstørrelser er nødvendigvis markedsført.</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6.6</w:t>
      </w:r>
      <w:r w:rsidRPr="00A018FB">
        <w:rPr>
          <w:b/>
          <w:sz w:val="24"/>
          <w:szCs w:val="24"/>
        </w:rPr>
        <w:tab/>
        <w:t>Særlige forholdsregler ved bortskaffelse af rester af lægemidlet eller affald</w:t>
      </w:r>
    </w:p>
    <w:p w:rsidR="00B70E7E" w:rsidRPr="00A018FB" w:rsidRDefault="00B70E7E" w:rsidP="00B70E7E">
      <w:pPr>
        <w:ind w:left="851" w:hanging="851"/>
        <w:rPr>
          <w:sz w:val="24"/>
          <w:szCs w:val="24"/>
        </w:rPr>
      </w:pPr>
      <w:r w:rsidRPr="00A018FB">
        <w:rPr>
          <w:sz w:val="24"/>
          <w:szCs w:val="24"/>
        </w:rPr>
        <w:tab/>
        <w:t>Ikke anvendte veterinære lægemidler samt affald herfra bør destrueres i henhold til lokale retningslinjer.</w:t>
      </w:r>
    </w:p>
    <w:p w:rsidR="00B70E7E" w:rsidRPr="00A018FB" w:rsidRDefault="00B70E7E" w:rsidP="00B70E7E">
      <w:pPr>
        <w:ind w:left="851" w:hanging="851"/>
        <w:rPr>
          <w:b/>
          <w:sz w:val="24"/>
          <w:szCs w:val="24"/>
        </w:rPr>
      </w:pPr>
    </w:p>
    <w:p w:rsidR="00B70E7E" w:rsidRPr="00A018FB" w:rsidRDefault="00B70E7E" w:rsidP="00B70E7E">
      <w:pPr>
        <w:ind w:left="851" w:hanging="851"/>
        <w:rPr>
          <w:b/>
          <w:sz w:val="24"/>
          <w:szCs w:val="24"/>
        </w:rPr>
      </w:pPr>
      <w:r w:rsidRPr="00A018FB">
        <w:rPr>
          <w:b/>
          <w:sz w:val="24"/>
          <w:szCs w:val="24"/>
        </w:rPr>
        <w:t>7.</w:t>
      </w:r>
      <w:r w:rsidRPr="00A018FB">
        <w:rPr>
          <w:b/>
          <w:sz w:val="24"/>
          <w:szCs w:val="24"/>
        </w:rPr>
        <w:tab/>
        <w:t>INDEHAVER AF MARKEDSFØRINGSTILLADELSEN</w:t>
      </w:r>
    </w:p>
    <w:p w:rsidR="00B70E7E" w:rsidRPr="00F17C2B" w:rsidRDefault="00B70E7E" w:rsidP="00B70E7E">
      <w:pPr>
        <w:ind w:left="851" w:hanging="851"/>
        <w:rPr>
          <w:sz w:val="24"/>
          <w:szCs w:val="24"/>
          <w:lang w:val="en-US"/>
        </w:rPr>
      </w:pPr>
      <w:r w:rsidRPr="00A018FB">
        <w:rPr>
          <w:sz w:val="24"/>
          <w:szCs w:val="24"/>
        </w:rPr>
        <w:tab/>
      </w:r>
      <w:r w:rsidR="00F17C2B" w:rsidRPr="00F17C2B">
        <w:rPr>
          <w:sz w:val="24"/>
          <w:szCs w:val="24"/>
          <w:lang w:val="en-US"/>
        </w:rPr>
        <w:t>NEXTMUNE Italy S.R.L.</w:t>
      </w:r>
      <w:bookmarkStart w:id="0" w:name="_GoBack"/>
      <w:bookmarkEnd w:id="0"/>
    </w:p>
    <w:p w:rsidR="00B70E7E" w:rsidRPr="00826F16" w:rsidRDefault="00B70E7E" w:rsidP="00B70E7E">
      <w:pPr>
        <w:ind w:left="851"/>
        <w:rPr>
          <w:sz w:val="24"/>
          <w:szCs w:val="24"/>
        </w:rPr>
      </w:pPr>
      <w:r w:rsidRPr="00826F16">
        <w:rPr>
          <w:sz w:val="24"/>
          <w:szCs w:val="24"/>
        </w:rPr>
        <w:t xml:space="preserve">Via G.B. </w:t>
      </w:r>
      <w:proofErr w:type="spellStart"/>
      <w:r w:rsidRPr="00826F16">
        <w:rPr>
          <w:sz w:val="24"/>
          <w:szCs w:val="24"/>
        </w:rPr>
        <w:t>Benzoni</w:t>
      </w:r>
      <w:proofErr w:type="spellEnd"/>
      <w:r w:rsidRPr="00826F16">
        <w:rPr>
          <w:sz w:val="24"/>
          <w:szCs w:val="24"/>
        </w:rPr>
        <w:t>, 50</w:t>
      </w:r>
    </w:p>
    <w:p w:rsidR="00B70E7E" w:rsidRPr="00A018FB" w:rsidRDefault="00B70E7E" w:rsidP="00B70E7E">
      <w:pPr>
        <w:ind w:left="851"/>
        <w:rPr>
          <w:sz w:val="24"/>
          <w:szCs w:val="24"/>
        </w:rPr>
      </w:pPr>
      <w:r w:rsidRPr="00A018FB">
        <w:rPr>
          <w:sz w:val="24"/>
          <w:szCs w:val="24"/>
        </w:rPr>
        <w:t xml:space="preserve">26020 Palazzo </w:t>
      </w:r>
      <w:proofErr w:type="spellStart"/>
      <w:r w:rsidRPr="00A018FB">
        <w:rPr>
          <w:sz w:val="24"/>
          <w:szCs w:val="24"/>
        </w:rPr>
        <w:t>Pignano</w:t>
      </w:r>
      <w:proofErr w:type="spellEnd"/>
      <w:r w:rsidRPr="00A018FB">
        <w:rPr>
          <w:sz w:val="24"/>
          <w:szCs w:val="24"/>
        </w:rPr>
        <w:t xml:space="preserve"> – </w:t>
      </w:r>
      <w:proofErr w:type="spellStart"/>
      <w:r w:rsidRPr="00A018FB">
        <w:rPr>
          <w:sz w:val="24"/>
          <w:szCs w:val="24"/>
        </w:rPr>
        <w:t>Cremona</w:t>
      </w:r>
      <w:proofErr w:type="spellEnd"/>
    </w:p>
    <w:p w:rsidR="00B70E7E" w:rsidRPr="00A018FB" w:rsidRDefault="00B70E7E" w:rsidP="00B70E7E">
      <w:pPr>
        <w:ind w:left="851"/>
        <w:rPr>
          <w:sz w:val="24"/>
          <w:szCs w:val="24"/>
        </w:rPr>
      </w:pPr>
      <w:r w:rsidRPr="00A018FB">
        <w:rPr>
          <w:sz w:val="24"/>
          <w:szCs w:val="24"/>
        </w:rPr>
        <w:t>Italien</w:t>
      </w:r>
    </w:p>
    <w:p w:rsidR="00B70E7E" w:rsidRPr="00A018FB" w:rsidRDefault="00B70E7E" w:rsidP="00B70E7E">
      <w:pPr>
        <w:ind w:left="851" w:hanging="851"/>
        <w:rPr>
          <w:sz w:val="24"/>
          <w:szCs w:val="24"/>
        </w:rPr>
      </w:pPr>
    </w:p>
    <w:p w:rsidR="00B70E7E" w:rsidRPr="00A018FB" w:rsidRDefault="00B70E7E" w:rsidP="00B70E7E">
      <w:pPr>
        <w:numPr>
          <w:ilvl w:val="0"/>
          <w:numId w:val="3"/>
        </w:numPr>
        <w:tabs>
          <w:tab w:val="clear" w:pos="360"/>
        </w:tabs>
        <w:ind w:left="851" w:hanging="851"/>
        <w:rPr>
          <w:b/>
          <w:sz w:val="24"/>
          <w:szCs w:val="24"/>
        </w:rPr>
      </w:pPr>
      <w:r w:rsidRPr="00A018FB">
        <w:rPr>
          <w:b/>
          <w:sz w:val="24"/>
          <w:szCs w:val="24"/>
        </w:rPr>
        <w:t>MARKEDSFØRINGSTILLADELSESNUMMER (NUMRE)</w:t>
      </w:r>
    </w:p>
    <w:p w:rsidR="00B70E7E" w:rsidRPr="00A018FB" w:rsidRDefault="00B70E7E" w:rsidP="00B70E7E">
      <w:pPr>
        <w:ind w:left="851" w:hanging="851"/>
        <w:rPr>
          <w:sz w:val="24"/>
          <w:szCs w:val="24"/>
        </w:rPr>
      </w:pPr>
      <w:r w:rsidRPr="00A018FB">
        <w:rPr>
          <w:sz w:val="24"/>
          <w:szCs w:val="24"/>
        </w:rPr>
        <w:tab/>
        <w:t xml:space="preserve">500 mg: </w:t>
      </w:r>
      <w:r>
        <w:rPr>
          <w:sz w:val="24"/>
          <w:szCs w:val="24"/>
        </w:rPr>
        <w:tab/>
      </w:r>
      <w:r w:rsidRPr="00A018FB">
        <w:rPr>
          <w:sz w:val="24"/>
          <w:szCs w:val="24"/>
        </w:rPr>
        <w:t>49263</w:t>
      </w:r>
    </w:p>
    <w:p w:rsidR="00B70E7E" w:rsidRPr="00A018FB" w:rsidRDefault="00B70E7E" w:rsidP="00B70E7E">
      <w:pPr>
        <w:ind w:left="851" w:hanging="851"/>
        <w:rPr>
          <w:sz w:val="24"/>
          <w:szCs w:val="24"/>
        </w:rPr>
      </w:pPr>
      <w:r w:rsidRPr="00A018FB">
        <w:rPr>
          <w:sz w:val="24"/>
          <w:szCs w:val="24"/>
        </w:rPr>
        <w:tab/>
        <w:t xml:space="preserve">1000 mg: </w:t>
      </w:r>
      <w:r>
        <w:rPr>
          <w:sz w:val="24"/>
          <w:szCs w:val="24"/>
        </w:rPr>
        <w:tab/>
      </w:r>
      <w:r w:rsidRPr="00A018FB">
        <w:rPr>
          <w:sz w:val="24"/>
          <w:szCs w:val="24"/>
        </w:rPr>
        <w:t>49264</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9.</w:t>
      </w:r>
      <w:r w:rsidRPr="00A018FB">
        <w:rPr>
          <w:b/>
          <w:sz w:val="24"/>
          <w:szCs w:val="24"/>
        </w:rPr>
        <w:tab/>
        <w:t>DATO FOR FØRSTE MARKEDSFØRINGSTILLADELSE</w:t>
      </w:r>
    </w:p>
    <w:p w:rsidR="00B70E7E" w:rsidRPr="00A018FB" w:rsidRDefault="00B70E7E" w:rsidP="00B70E7E">
      <w:pPr>
        <w:ind w:left="851" w:hanging="851"/>
        <w:rPr>
          <w:sz w:val="24"/>
          <w:szCs w:val="24"/>
        </w:rPr>
      </w:pPr>
      <w:r w:rsidRPr="00A018FB">
        <w:rPr>
          <w:sz w:val="24"/>
          <w:szCs w:val="24"/>
        </w:rPr>
        <w:tab/>
        <w:t>26. juli 2012</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10.</w:t>
      </w:r>
      <w:r w:rsidRPr="00A018FB">
        <w:rPr>
          <w:b/>
          <w:sz w:val="24"/>
          <w:szCs w:val="24"/>
        </w:rPr>
        <w:tab/>
        <w:t>DATO FOR ÆNDRING AF TEKSTEN</w:t>
      </w:r>
    </w:p>
    <w:p w:rsidR="00B70E7E" w:rsidRPr="00A018FB" w:rsidRDefault="00B70E7E" w:rsidP="00B70E7E">
      <w:pPr>
        <w:ind w:left="851" w:hanging="851"/>
        <w:rPr>
          <w:sz w:val="24"/>
          <w:szCs w:val="24"/>
        </w:rPr>
      </w:pPr>
      <w:r w:rsidRPr="00A018FB">
        <w:rPr>
          <w:sz w:val="24"/>
          <w:szCs w:val="24"/>
        </w:rPr>
        <w:tab/>
      </w:r>
      <w:r w:rsidR="00F17C2B">
        <w:rPr>
          <w:sz w:val="24"/>
          <w:szCs w:val="24"/>
        </w:rPr>
        <w:t>2</w:t>
      </w:r>
      <w:r>
        <w:rPr>
          <w:sz w:val="24"/>
          <w:szCs w:val="24"/>
        </w:rPr>
        <w:t xml:space="preserve">. </w:t>
      </w:r>
      <w:r w:rsidR="00F17C2B">
        <w:rPr>
          <w:sz w:val="24"/>
          <w:szCs w:val="24"/>
        </w:rPr>
        <w:t>april</w:t>
      </w:r>
      <w:r>
        <w:rPr>
          <w:sz w:val="24"/>
          <w:szCs w:val="24"/>
        </w:rPr>
        <w:t xml:space="preserve"> 20</w:t>
      </w:r>
      <w:r w:rsidR="00F17C2B">
        <w:rPr>
          <w:sz w:val="24"/>
          <w:szCs w:val="24"/>
        </w:rPr>
        <w:t>24</w:t>
      </w:r>
    </w:p>
    <w:p w:rsidR="00B70E7E" w:rsidRPr="00A018FB" w:rsidRDefault="00B70E7E" w:rsidP="00B70E7E">
      <w:pPr>
        <w:ind w:left="851" w:hanging="851"/>
        <w:rPr>
          <w:sz w:val="24"/>
          <w:szCs w:val="24"/>
        </w:rPr>
      </w:pPr>
    </w:p>
    <w:p w:rsidR="00B70E7E" w:rsidRPr="00A018FB" w:rsidRDefault="00B70E7E" w:rsidP="00B70E7E">
      <w:pPr>
        <w:ind w:left="851" w:hanging="851"/>
        <w:rPr>
          <w:b/>
          <w:sz w:val="24"/>
          <w:szCs w:val="24"/>
        </w:rPr>
      </w:pPr>
      <w:r w:rsidRPr="00A018FB">
        <w:rPr>
          <w:b/>
          <w:sz w:val="24"/>
          <w:szCs w:val="24"/>
        </w:rPr>
        <w:t>11.</w:t>
      </w:r>
      <w:r w:rsidRPr="00A018FB">
        <w:rPr>
          <w:b/>
          <w:sz w:val="24"/>
          <w:szCs w:val="24"/>
        </w:rPr>
        <w:tab/>
        <w:t>UDLEVERINGSBESTEMMELSE</w:t>
      </w:r>
    </w:p>
    <w:p w:rsidR="00B70E7E" w:rsidRPr="00A018FB" w:rsidRDefault="00B70E7E" w:rsidP="00B70E7E">
      <w:pPr>
        <w:pStyle w:val="Sidehoved"/>
        <w:tabs>
          <w:tab w:val="clear" w:pos="4819"/>
          <w:tab w:val="clear" w:pos="9638"/>
        </w:tabs>
        <w:ind w:left="851" w:hanging="851"/>
        <w:rPr>
          <w:szCs w:val="24"/>
        </w:rPr>
      </w:pPr>
      <w:r w:rsidRPr="00A018FB">
        <w:rPr>
          <w:szCs w:val="24"/>
        </w:rPr>
        <w:tab/>
        <w:t>B</w:t>
      </w:r>
    </w:p>
    <w:p w:rsidR="00B70E7E" w:rsidRPr="00AD5834" w:rsidRDefault="00B70E7E" w:rsidP="00B70E7E"/>
    <w:p w:rsidR="0003527F" w:rsidRPr="00B70E7E" w:rsidRDefault="0003527F" w:rsidP="00B70E7E"/>
    <w:sectPr w:rsidR="0003527F" w:rsidRPr="00B70E7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0E7E" w:rsidRDefault="00B70E7E">
      <w:r>
        <w:separator/>
      </w:r>
    </w:p>
  </w:endnote>
  <w:endnote w:type="continuationSeparator" w:id="0">
    <w:p w:rsidR="00B70E7E" w:rsidRDefault="00B70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B9506D">
    <w:pPr>
      <w:pStyle w:val="Sidefod"/>
      <w:tabs>
        <w:tab w:val="clear" w:pos="4819"/>
        <w:tab w:val="left" w:pos="8647"/>
      </w:tabs>
      <w:rPr>
        <w:i/>
        <w:sz w:val="18"/>
      </w:rPr>
    </w:pPr>
    <w:proofErr w:type="spellStart"/>
    <w:r w:rsidRPr="00B9506D">
      <w:rPr>
        <w:i/>
        <w:snapToGrid w:val="0"/>
        <w:sz w:val="18"/>
      </w:rPr>
      <w:t>Tsefalen</w:t>
    </w:r>
    <w:proofErr w:type="spellEnd"/>
    <w:r w:rsidRPr="00B9506D">
      <w:rPr>
        <w:i/>
        <w:snapToGrid w:val="0"/>
        <w:sz w:val="18"/>
      </w:rPr>
      <w:t>, filmovertrukne tabletter 500 mg og 1000 mg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70E7E">
      <w:rPr>
        <w:i/>
        <w:noProof/>
        <w:snapToGrid w:val="0"/>
        <w:sz w:val="18"/>
      </w:rPr>
      <w:t>Dokument791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0E7E" w:rsidRDefault="00B70E7E">
      <w:r>
        <w:separator/>
      </w:r>
    </w:p>
  </w:footnote>
  <w:footnote w:type="continuationSeparator" w:id="0">
    <w:p w:rsidR="00B70E7E" w:rsidRDefault="00B70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730A2"/>
    <w:multiLevelType w:val="hybridMultilevel"/>
    <w:tmpl w:val="5B482C30"/>
    <w:lvl w:ilvl="0" w:tplc="1DF6CF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0AF7039"/>
    <w:multiLevelType w:val="hybridMultilevel"/>
    <w:tmpl w:val="18FE33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E7E"/>
    <w:rsid w:val="0003527F"/>
    <w:rsid w:val="00065C7D"/>
    <w:rsid w:val="000C6CD4"/>
    <w:rsid w:val="001577E4"/>
    <w:rsid w:val="001858CA"/>
    <w:rsid w:val="001C4AEF"/>
    <w:rsid w:val="001D3CC5"/>
    <w:rsid w:val="00322BDE"/>
    <w:rsid w:val="00406EE7"/>
    <w:rsid w:val="00407013"/>
    <w:rsid w:val="00431E08"/>
    <w:rsid w:val="004379E8"/>
    <w:rsid w:val="004A62CC"/>
    <w:rsid w:val="00565A74"/>
    <w:rsid w:val="005B0036"/>
    <w:rsid w:val="005F5831"/>
    <w:rsid w:val="00662012"/>
    <w:rsid w:val="00666B01"/>
    <w:rsid w:val="006B1539"/>
    <w:rsid w:val="006D4B41"/>
    <w:rsid w:val="006F5621"/>
    <w:rsid w:val="007E2A00"/>
    <w:rsid w:val="008010F2"/>
    <w:rsid w:val="00891AE8"/>
    <w:rsid w:val="008F45A2"/>
    <w:rsid w:val="009202AE"/>
    <w:rsid w:val="00932676"/>
    <w:rsid w:val="009D66C6"/>
    <w:rsid w:val="00A862E2"/>
    <w:rsid w:val="00A96525"/>
    <w:rsid w:val="00AE29E5"/>
    <w:rsid w:val="00AE5757"/>
    <w:rsid w:val="00B25EB8"/>
    <w:rsid w:val="00B70E7E"/>
    <w:rsid w:val="00B9506D"/>
    <w:rsid w:val="00BC634B"/>
    <w:rsid w:val="00BF2AE0"/>
    <w:rsid w:val="00C479BF"/>
    <w:rsid w:val="00D567AA"/>
    <w:rsid w:val="00DD6D71"/>
    <w:rsid w:val="00DF32BE"/>
    <w:rsid w:val="00DF7363"/>
    <w:rsid w:val="00E14F0A"/>
    <w:rsid w:val="00E252AA"/>
    <w:rsid w:val="00EB5778"/>
    <w:rsid w:val="00EE5253"/>
    <w:rsid w:val="00F17C2B"/>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B4694B"/>
  <w15:chartTrackingRefBased/>
  <w15:docId w15:val="{33581BE3-F56A-4EF7-B639-70050EDE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70E7E"/>
    <w:pPr>
      <w:ind w:left="720"/>
      <w:contextualSpacing/>
    </w:pPr>
  </w:style>
  <w:style w:type="paragraph" w:styleId="Brdtekstindrykning">
    <w:name w:val="Body Text Indent"/>
    <w:basedOn w:val="Normal"/>
    <w:link w:val="BrdtekstindrykningTegn"/>
    <w:semiHidden/>
    <w:unhideWhenUsed/>
    <w:rsid w:val="00B70E7E"/>
    <w:pPr>
      <w:tabs>
        <w:tab w:val="left" w:pos="567"/>
      </w:tabs>
      <w:spacing w:after="120" w:line="260" w:lineRule="exact"/>
      <w:ind w:left="360"/>
    </w:pPr>
    <w:rPr>
      <w:sz w:val="22"/>
      <w:lang w:val="it-IT" w:eastAsia="en-GB"/>
    </w:rPr>
  </w:style>
  <w:style w:type="character" w:customStyle="1" w:styleId="BrdtekstindrykningTegn">
    <w:name w:val="Brødtekstindrykning Tegn"/>
    <w:basedOn w:val="Standardskrifttypeiafsnit"/>
    <w:link w:val="Brdtekstindrykning"/>
    <w:semiHidden/>
    <w:rsid w:val="00B70E7E"/>
    <w:rPr>
      <w:sz w:val="22"/>
      <w:lang w:val="it-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1556</Words>
  <Characters>10601</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2023022126_x000d_
Skift af MAH fra I.C.F. Srl Industria Chimica Fine</dc:description>
  <cp:lastModifiedBy>Marianne Ott Jensen</cp:lastModifiedBy>
  <cp:revision>4</cp:revision>
  <dcterms:created xsi:type="dcterms:W3CDTF">2024-03-27T10:05:00Z</dcterms:created>
  <dcterms:modified xsi:type="dcterms:W3CDTF">2024-03-27T10:08:00Z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