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4864D" w14:textId="77777777" w:rsidR="005B0036" w:rsidRPr="00912F18" w:rsidRDefault="005B0036" w:rsidP="005B0036">
      <w:pPr>
        <w:rPr>
          <w:sz w:val="24"/>
          <w:szCs w:val="24"/>
        </w:rPr>
      </w:pPr>
      <w:r w:rsidRPr="00912F18">
        <w:rPr>
          <w:noProof/>
          <w:sz w:val="24"/>
          <w:szCs w:val="24"/>
          <w:lang w:eastAsia="da-DK"/>
        </w:rPr>
        <w:drawing>
          <wp:inline distT="0" distB="0" distL="0" distR="0" wp14:anchorId="67F09483" wp14:editId="137E5D67">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4C6D107" w14:textId="77777777" w:rsidR="00C479BF" w:rsidRPr="00912F18" w:rsidRDefault="00C479BF" w:rsidP="005B0036">
      <w:pPr>
        <w:rPr>
          <w:sz w:val="24"/>
          <w:szCs w:val="24"/>
        </w:rPr>
      </w:pPr>
    </w:p>
    <w:p w14:paraId="0A4E01FE" w14:textId="2DD29D25" w:rsidR="005B0036" w:rsidRPr="00912F18" w:rsidRDefault="005B0036" w:rsidP="005B0036">
      <w:pPr>
        <w:tabs>
          <w:tab w:val="right" w:pos="9356"/>
        </w:tabs>
        <w:rPr>
          <w:b/>
          <w:sz w:val="24"/>
          <w:szCs w:val="24"/>
        </w:rPr>
      </w:pPr>
      <w:r w:rsidRPr="00912F18">
        <w:rPr>
          <w:b/>
          <w:sz w:val="24"/>
          <w:szCs w:val="24"/>
        </w:rPr>
        <w:tab/>
      </w:r>
      <w:r w:rsidR="00CF72C6">
        <w:rPr>
          <w:b/>
          <w:sz w:val="24"/>
          <w:szCs w:val="24"/>
        </w:rPr>
        <w:t>8. juni 2023</w:t>
      </w:r>
    </w:p>
    <w:p w14:paraId="7166E10F" w14:textId="4E09D623" w:rsidR="00912F18" w:rsidRDefault="00912F18" w:rsidP="005B0036">
      <w:pPr>
        <w:rPr>
          <w:sz w:val="24"/>
          <w:szCs w:val="24"/>
        </w:rPr>
      </w:pPr>
    </w:p>
    <w:p w14:paraId="6A68EA8F" w14:textId="77777777" w:rsidR="00A23A50" w:rsidRPr="00912F18" w:rsidRDefault="00A23A50" w:rsidP="005B0036">
      <w:pPr>
        <w:rPr>
          <w:sz w:val="24"/>
          <w:szCs w:val="24"/>
        </w:rPr>
      </w:pPr>
    </w:p>
    <w:p w14:paraId="0C5AE5C8" w14:textId="77777777" w:rsidR="005B0036" w:rsidRPr="00912F18" w:rsidRDefault="005B0036" w:rsidP="005B0036">
      <w:pPr>
        <w:tabs>
          <w:tab w:val="left" w:pos="8222"/>
        </w:tabs>
        <w:jc w:val="center"/>
        <w:rPr>
          <w:b/>
          <w:sz w:val="24"/>
          <w:szCs w:val="24"/>
        </w:rPr>
      </w:pPr>
      <w:r w:rsidRPr="00912F18">
        <w:rPr>
          <w:b/>
          <w:sz w:val="24"/>
          <w:szCs w:val="24"/>
        </w:rPr>
        <w:t>PRODUKTRESUMÉ</w:t>
      </w:r>
    </w:p>
    <w:p w14:paraId="162DD9B0" w14:textId="77777777" w:rsidR="005B0036" w:rsidRPr="00912F18" w:rsidRDefault="005B0036" w:rsidP="005B0036">
      <w:pPr>
        <w:tabs>
          <w:tab w:val="left" w:pos="8222"/>
        </w:tabs>
        <w:jc w:val="center"/>
        <w:rPr>
          <w:b/>
          <w:sz w:val="24"/>
          <w:szCs w:val="24"/>
        </w:rPr>
      </w:pPr>
    </w:p>
    <w:p w14:paraId="7804F8F8" w14:textId="77777777" w:rsidR="005B0036" w:rsidRPr="00912F18" w:rsidRDefault="005B0036" w:rsidP="005B0036">
      <w:pPr>
        <w:tabs>
          <w:tab w:val="left" w:pos="8222"/>
        </w:tabs>
        <w:jc w:val="center"/>
        <w:rPr>
          <w:b/>
          <w:sz w:val="24"/>
          <w:szCs w:val="24"/>
        </w:rPr>
      </w:pPr>
      <w:r w:rsidRPr="00912F18">
        <w:rPr>
          <w:b/>
          <w:sz w:val="24"/>
          <w:szCs w:val="24"/>
        </w:rPr>
        <w:t>for</w:t>
      </w:r>
    </w:p>
    <w:p w14:paraId="71D03F99" w14:textId="77777777" w:rsidR="005B0036" w:rsidRPr="00912F18" w:rsidRDefault="005B0036" w:rsidP="005B0036">
      <w:pPr>
        <w:tabs>
          <w:tab w:val="left" w:pos="8222"/>
        </w:tabs>
        <w:jc w:val="center"/>
        <w:rPr>
          <w:b/>
          <w:sz w:val="24"/>
          <w:szCs w:val="24"/>
        </w:rPr>
      </w:pPr>
    </w:p>
    <w:p w14:paraId="5D24B403" w14:textId="5CB80CEB" w:rsidR="005B0036" w:rsidRPr="00912F18" w:rsidRDefault="00277274" w:rsidP="005B0036">
      <w:pPr>
        <w:tabs>
          <w:tab w:val="left" w:pos="8222"/>
        </w:tabs>
        <w:jc w:val="center"/>
        <w:rPr>
          <w:b/>
          <w:sz w:val="24"/>
          <w:szCs w:val="24"/>
        </w:rPr>
      </w:pPr>
      <w:r w:rsidRPr="00912F18">
        <w:rPr>
          <w:b/>
          <w:sz w:val="24"/>
          <w:szCs w:val="24"/>
        </w:rPr>
        <w:t>Tullavis, injektionsvæske, opløsning 25 mg/ml</w:t>
      </w:r>
    </w:p>
    <w:p w14:paraId="641AB26D" w14:textId="77777777" w:rsidR="005B0036" w:rsidRPr="00912F18" w:rsidRDefault="005B0036" w:rsidP="005B0036">
      <w:pPr>
        <w:tabs>
          <w:tab w:val="left" w:pos="8222"/>
        </w:tabs>
        <w:jc w:val="both"/>
        <w:rPr>
          <w:sz w:val="24"/>
          <w:szCs w:val="24"/>
        </w:rPr>
      </w:pPr>
    </w:p>
    <w:p w14:paraId="6F3BE98B" w14:textId="77777777" w:rsidR="005B0036" w:rsidRPr="00912F18" w:rsidRDefault="005B0036" w:rsidP="005B0036">
      <w:pPr>
        <w:tabs>
          <w:tab w:val="left" w:pos="8222"/>
        </w:tabs>
        <w:jc w:val="both"/>
        <w:rPr>
          <w:sz w:val="24"/>
          <w:szCs w:val="24"/>
        </w:rPr>
      </w:pPr>
    </w:p>
    <w:p w14:paraId="687B738D" w14:textId="77777777" w:rsidR="005B0036" w:rsidRPr="00912F18" w:rsidRDefault="005B0036" w:rsidP="005B0036">
      <w:pPr>
        <w:tabs>
          <w:tab w:val="left" w:pos="8222"/>
        </w:tabs>
        <w:ind w:left="851" w:hanging="851"/>
        <w:rPr>
          <w:b/>
          <w:sz w:val="24"/>
          <w:szCs w:val="24"/>
        </w:rPr>
      </w:pPr>
      <w:r w:rsidRPr="00912F18">
        <w:rPr>
          <w:b/>
          <w:sz w:val="24"/>
          <w:szCs w:val="24"/>
        </w:rPr>
        <w:t>0.</w:t>
      </w:r>
      <w:r w:rsidRPr="00912F18">
        <w:rPr>
          <w:b/>
          <w:sz w:val="24"/>
          <w:szCs w:val="24"/>
        </w:rPr>
        <w:tab/>
        <w:t>D.SP.NR.</w:t>
      </w:r>
    </w:p>
    <w:p w14:paraId="630CE461" w14:textId="07028E4C" w:rsidR="005B0036" w:rsidRPr="00912F18" w:rsidRDefault="00277274" w:rsidP="005B0036">
      <w:pPr>
        <w:tabs>
          <w:tab w:val="left" w:pos="8222"/>
        </w:tabs>
        <w:ind w:left="851"/>
        <w:rPr>
          <w:sz w:val="24"/>
          <w:szCs w:val="24"/>
        </w:rPr>
      </w:pPr>
      <w:r w:rsidRPr="00912F18">
        <w:rPr>
          <w:sz w:val="24"/>
          <w:szCs w:val="24"/>
        </w:rPr>
        <w:t>31756</w:t>
      </w:r>
    </w:p>
    <w:p w14:paraId="00A23642" w14:textId="77777777" w:rsidR="005B0036" w:rsidRPr="00912F18" w:rsidRDefault="005B0036" w:rsidP="005B0036">
      <w:pPr>
        <w:tabs>
          <w:tab w:val="left" w:pos="8222"/>
        </w:tabs>
        <w:ind w:left="851"/>
        <w:rPr>
          <w:sz w:val="24"/>
          <w:szCs w:val="24"/>
        </w:rPr>
      </w:pPr>
    </w:p>
    <w:p w14:paraId="6A082D5C" w14:textId="77777777" w:rsidR="005B0036" w:rsidRPr="00912F18" w:rsidRDefault="005B0036" w:rsidP="005B0036">
      <w:pPr>
        <w:tabs>
          <w:tab w:val="left" w:pos="8222"/>
        </w:tabs>
        <w:ind w:left="851" w:hanging="851"/>
        <w:rPr>
          <w:b/>
          <w:sz w:val="24"/>
          <w:szCs w:val="24"/>
        </w:rPr>
      </w:pPr>
      <w:r w:rsidRPr="00912F18">
        <w:rPr>
          <w:b/>
          <w:sz w:val="24"/>
          <w:szCs w:val="24"/>
        </w:rPr>
        <w:t>1.</w:t>
      </w:r>
      <w:r w:rsidRPr="00912F18">
        <w:rPr>
          <w:b/>
          <w:sz w:val="24"/>
          <w:szCs w:val="24"/>
        </w:rPr>
        <w:tab/>
        <w:t>VETERINÆRLÆGEMIDLETS NAVN</w:t>
      </w:r>
    </w:p>
    <w:p w14:paraId="56C102C8" w14:textId="0886D7DF" w:rsidR="005B0036" w:rsidRPr="00912F18" w:rsidRDefault="00277274" w:rsidP="005B0036">
      <w:pPr>
        <w:tabs>
          <w:tab w:val="left" w:pos="8222"/>
        </w:tabs>
        <w:ind w:left="851"/>
        <w:rPr>
          <w:sz w:val="24"/>
          <w:szCs w:val="24"/>
        </w:rPr>
      </w:pPr>
      <w:r w:rsidRPr="00912F18">
        <w:rPr>
          <w:sz w:val="24"/>
          <w:szCs w:val="24"/>
        </w:rPr>
        <w:t>Tullavis</w:t>
      </w:r>
    </w:p>
    <w:p w14:paraId="45948839" w14:textId="77777777" w:rsidR="005B0036" w:rsidRPr="00912F18" w:rsidRDefault="005B0036" w:rsidP="005B0036">
      <w:pPr>
        <w:tabs>
          <w:tab w:val="left" w:pos="8222"/>
        </w:tabs>
        <w:ind w:left="851"/>
        <w:rPr>
          <w:sz w:val="24"/>
          <w:szCs w:val="24"/>
        </w:rPr>
      </w:pPr>
    </w:p>
    <w:p w14:paraId="6E3ADD2D" w14:textId="77777777" w:rsidR="005B0036" w:rsidRPr="00912F18" w:rsidRDefault="005B0036" w:rsidP="005B0036">
      <w:pPr>
        <w:tabs>
          <w:tab w:val="left" w:pos="8222"/>
        </w:tabs>
        <w:ind w:left="851" w:hanging="851"/>
        <w:rPr>
          <w:b/>
          <w:sz w:val="24"/>
          <w:szCs w:val="24"/>
        </w:rPr>
      </w:pPr>
      <w:r w:rsidRPr="00912F18">
        <w:rPr>
          <w:b/>
          <w:sz w:val="24"/>
          <w:szCs w:val="24"/>
        </w:rPr>
        <w:t>2.</w:t>
      </w:r>
      <w:r w:rsidRPr="00912F18">
        <w:rPr>
          <w:b/>
          <w:sz w:val="24"/>
          <w:szCs w:val="24"/>
        </w:rPr>
        <w:tab/>
        <w:t>KVALITATIV OG KVANTITATIV SAMMENSÆTNING</w:t>
      </w:r>
    </w:p>
    <w:p w14:paraId="645FCE20" w14:textId="77777777" w:rsidR="00263169" w:rsidRPr="00912F18" w:rsidRDefault="00263169" w:rsidP="00BA5DD7">
      <w:pPr>
        <w:ind w:left="851" w:right="7"/>
        <w:rPr>
          <w:sz w:val="24"/>
          <w:szCs w:val="24"/>
        </w:rPr>
      </w:pPr>
      <w:r w:rsidRPr="00912F18">
        <w:rPr>
          <w:sz w:val="24"/>
          <w:szCs w:val="24"/>
        </w:rPr>
        <w:t xml:space="preserve">Hver ml indeholder: </w:t>
      </w:r>
    </w:p>
    <w:p w14:paraId="4A738C79" w14:textId="77777777" w:rsidR="00263169" w:rsidRPr="00912F18" w:rsidRDefault="00263169" w:rsidP="00BA5DD7">
      <w:pPr>
        <w:spacing w:line="259" w:lineRule="auto"/>
        <w:ind w:left="851"/>
        <w:rPr>
          <w:sz w:val="24"/>
          <w:szCs w:val="24"/>
        </w:rPr>
      </w:pPr>
      <w:r w:rsidRPr="00912F18">
        <w:rPr>
          <w:sz w:val="24"/>
          <w:szCs w:val="24"/>
        </w:rPr>
        <w:t xml:space="preserve"> </w:t>
      </w:r>
    </w:p>
    <w:p w14:paraId="4DE0D88B" w14:textId="77777777" w:rsidR="00263169" w:rsidRPr="00912F18" w:rsidRDefault="00263169" w:rsidP="00BA5DD7">
      <w:pPr>
        <w:spacing w:after="11"/>
        <w:ind w:left="851"/>
        <w:rPr>
          <w:sz w:val="24"/>
          <w:szCs w:val="24"/>
        </w:rPr>
      </w:pPr>
      <w:r w:rsidRPr="00912F18">
        <w:rPr>
          <w:b/>
          <w:sz w:val="24"/>
          <w:szCs w:val="24"/>
        </w:rPr>
        <w:t xml:space="preserve">Aktivt stof: </w:t>
      </w:r>
    </w:p>
    <w:p w14:paraId="45E03D7D" w14:textId="77777777" w:rsidR="00263169" w:rsidRPr="00912F18" w:rsidRDefault="00263169" w:rsidP="00BA5DD7">
      <w:pPr>
        <w:ind w:left="851" w:right="7"/>
        <w:rPr>
          <w:sz w:val="24"/>
          <w:szCs w:val="24"/>
        </w:rPr>
      </w:pPr>
      <w:proofErr w:type="spellStart"/>
      <w:r w:rsidRPr="00912F18">
        <w:rPr>
          <w:sz w:val="24"/>
          <w:szCs w:val="24"/>
        </w:rPr>
        <w:t>Tulathromycin</w:t>
      </w:r>
      <w:proofErr w:type="spellEnd"/>
      <w:r w:rsidRPr="00912F18">
        <w:rPr>
          <w:sz w:val="24"/>
          <w:szCs w:val="24"/>
        </w:rPr>
        <w:t xml:space="preserve"> 25 mg </w:t>
      </w:r>
    </w:p>
    <w:p w14:paraId="46A3BAF4" w14:textId="77777777" w:rsidR="00263169" w:rsidRPr="00912F18" w:rsidRDefault="00263169" w:rsidP="00BA5DD7">
      <w:pPr>
        <w:spacing w:line="259" w:lineRule="auto"/>
        <w:ind w:left="851"/>
        <w:rPr>
          <w:sz w:val="24"/>
          <w:szCs w:val="24"/>
        </w:rPr>
      </w:pPr>
      <w:r w:rsidRPr="00912F18">
        <w:rPr>
          <w:sz w:val="24"/>
          <w:szCs w:val="24"/>
        </w:rPr>
        <w:t xml:space="preserve"> </w:t>
      </w:r>
    </w:p>
    <w:p w14:paraId="1247F49E" w14:textId="77777777" w:rsidR="00263169" w:rsidRPr="00912F18" w:rsidRDefault="00263169" w:rsidP="00BA5DD7">
      <w:pPr>
        <w:spacing w:after="11"/>
        <w:ind w:left="851"/>
        <w:rPr>
          <w:sz w:val="24"/>
          <w:szCs w:val="24"/>
        </w:rPr>
      </w:pPr>
      <w:r w:rsidRPr="00912F18">
        <w:rPr>
          <w:b/>
          <w:sz w:val="24"/>
          <w:szCs w:val="24"/>
        </w:rPr>
        <w:t xml:space="preserve">Hjælpestof: </w:t>
      </w:r>
    </w:p>
    <w:p w14:paraId="6D7FF9EF" w14:textId="77777777" w:rsidR="00263169" w:rsidRPr="00912F18" w:rsidRDefault="00263169" w:rsidP="00BA5DD7">
      <w:pPr>
        <w:ind w:left="851" w:right="7"/>
        <w:rPr>
          <w:sz w:val="24"/>
          <w:szCs w:val="24"/>
        </w:rPr>
      </w:pPr>
      <w:proofErr w:type="spellStart"/>
      <w:r w:rsidRPr="00912F18">
        <w:rPr>
          <w:sz w:val="24"/>
          <w:szCs w:val="24"/>
        </w:rPr>
        <w:t>Monothioglycerol</w:t>
      </w:r>
      <w:proofErr w:type="spellEnd"/>
      <w:r w:rsidRPr="00912F18">
        <w:rPr>
          <w:sz w:val="24"/>
          <w:szCs w:val="24"/>
        </w:rPr>
        <w:t xml:space="preserve"> 5 mg </w:t>
      </w:r>
    </w:p>
    <w:p w14:paraId="61A429ED" w14:textId="77777777" w:rsidR="00263169" w:rsidRPr="00912F18" w:rsidRDefault="00263169" w:rsidP="00BA5DD7">
      <w:pPr>
        <w:spacing w:line="259" w:lineRule="auto"/>
        <w:ind w:left="851"/>
        <w:rPr>
          <w:sz w:val="24"/>
          <w:szCs w:val="24"/>
        </w:rPr>
      </w:pPr>
      <w:r w:rsidRPr="00912F18">
        <w:rPr>
          <w:sz w:val="24"/>
          <w:szCs w:val="24"/>
        </w:rPr>
        <w:t xml:space="preserve"> </w:t>
      </w:r>
    </w:p>
    <w:p w14:paraId="71E95CB6" w14:textId="77777777" w:rsidR="00263169" w:rsidRPr="00912F18" w:rsidRDefault="00263169" w:rsidP="00BA5DD7">
      <w:pPr>
        <w:ind w:left="851" w:right="7"/>
        <w:rPr>
          <w:sz w:val="24"/>
          <w:szCs w:val="24"/>
        </w:rPr>
      </w:pPr>
      <w:r w:rsidRPr="00912F18">
        <w:rPr>
          <w:sz w:val="24"/>
          <w:szCs w:val="24"/>
        </w:rPr>
        <w:t xml:space="preserve">Alle hjælpestoffer er anført under pkt. 6.1. </w:t>
      </w:r>
    </w:p>
    <w:p w14:paraId="44865686" w14:textId="77777777" w:rsidR="005B0036" w:rsidRPr="00912F18" w:rsidRDefault="005B0036" w:rsidP="005B0036">
      <w:pPr>
        <w:tabs>
          <w:tab w:val="left" w:pos="8222"/>
        </w:tabs>
        <w:ind w:left="851"/>
        <w:rPr>
          <w:sz w:val="24"/>
          <w:szCs w:val="24"/>
        </w:rPr>
      </w:pPr>
    </w:p>
    <w:p w14:paraId="70B22759" w14:textId="77777777" w:rsidR="005B0036" w:rsidRPr="00912F18" w:rsidRDefault="005B0036" w:rsidP="005B0036">
      <w:pPr>
        <w:tabs>
          <w:tab w:val="left" w:pos="8222"/>
        </w:tabs>
        <w:ind w:left="851" w:hanging="851"/>
        <w:rPr>
          <w:b/>
          <w:sz w:val="24"/>
          <w:szCs w:val="24"/>
        </w:rPr>
      </w:pPr>
      <w:r w:rsidRPr="00912F18">
        <w:rPr>
          <w:b/>
          <w:sz w:val="24"/>
          <w:szCs w:val="24"/>
        </w:rPr>
        <w:t>3.</w:t>
      </w:r>
      <w:r w:rsidRPr="00912F18">
        <w:rPr>
          <w:b/>
          <w:sz w:val="24"/>
          <w:szCs w:val="24"/>
        </w:rPr>
        <w:tab/>
        <w:t>LÆGEMIDDELFORM</w:t>
      </w:r>
    </w:p>
    <w:p w14:paraId="1460BF5B" w14:textId="7BA4458D" w:rsidR="00263169" w:rsidRPr="00912F18" w:rsidRDefault="00263169" w:rsidP="00095526">
      <w:pPr>
        <w:ind w:left="851" w:right="7"/>
        <w:rPr>
          <w:sz w:val="24"/>
          <w:szCs w:val="24"/>
        </w:rPr>
      </w:pPr>
      <w:r w:rsidRPr="00912F18">
        <w:rPr>
          <w:sz w:val="24"/>
          <w:szCs w:val="24"/>
        </w:rPr>
        <w:t xml:space="preserve">Injektionsvæske, opløsning </w:t>
      </w:r>
    </w:p>
    <w:p w14:paraId="5E99B569" w14:textId="13B156FC" w:rsidR="00263169" w:rsidRPr="00912F18" w:rsidRDefault="00263169" w:rsidP="00095526">
      <w:pPr>
        <w:spacing w:line="259" w:lineRule="auto"/>
        <w:ind w:left="851"/>
        <w:rPr>
          <w:sz w:val="24"/>
          <w:szCs w:val="24"/>
        </w:rPr>
      </w:pPr>
      <w:r w:rsidRPr="00912F18">
        <w:rPr>
          <w:sz w:val="24"/>
          <w:szCs w:val="24"/>
        </w:rPr>
        <w:t xml:space="preserve">Klar, farveløs til </w:t>
      </w:r>
      <w:r w:rsidR="00B22492">
        <w:rPr>
          <w:sz w:val="24"/>
          <w:szCs w:val="24"/>
        </w:rPr>
        <w:t>gullig</w:t>
      </w:r>
      <w:r w:rsidRPr="00912F18">
        <w:rPr>
          <w:sz w:val="24"/>
          <w:szCs w:val="24"/>
        </w:rPr>
        <w:t xml:space="preserve"> opløsning. </w:t>
      </w:r>
    </w:p>
    <w:p w14:paraId="73D827EA" w14:textId="77777777" w:rsidR="005B0036" w:rsidRPr="00912F18" w:rsidRDefault="005B0036" w:rsidP="005B0036">
      <w:pPr>
        <w:tabs>
          <w:tab w:val="left" w:pos="851"/>
          <w:tab w:val="left" w:pos="8222"/>
        </w:tabs>
        <w:ind w:left="851"/>
        <w:rPr>
          <w:sz w:val="24"/>
          <w:szCs w:val="24"/>
        </w:rPr>
      </w:pPr>
    </w:p>
    <w:p w14:paraId="46804427" w14:textId="77777777" w:rsidR="005B0036" w:rsidRPr="00912F18" w:rsidRDefault="005B0036" w:rsidP="005B0036">
      <w:pPr>
        <w:tabs>
          <w:tab w:val="left" w:pos="851"/>
          <w:tab w:val="left" w:pos="8222"/>
        </w:tabs>
        <w:ind w:left="851"/>
        <w:rPr>
          <w:sz w:val="24"/>
          <w:szCs w:val="24"/>
        </w:rPr>
      </w:pPr>
    </w:p>
    <w:p w14:paraId="41C367A8" w14:textId="77777777" w:rsidR="005B0036" w:rsidRPr="00912F18" w:rsidRDefault="005B0036" w:rsidP="005B0036">
      <w:pPr>
        <w:tabs>
          <w:tab w:val="left" w:pos="8222"/>
        </w:tabs>
        <w:ind w:left="851" w:hanging="851"/>
        <w:rPr>
          <w:b/>
          <w:sz w:val="24"/>
          <w:szCs w:val="24"/>
        </w:rPr>
      </w:pPr>
      <w:r w:rsidRPr="00912F18">
        <w:rPr>
          <w:b/>
          <w:sz w:val="24"/>
          <w:szCs w:val="24"/>
        </w:rPr>
        <w:t>4.</w:t>
      </w:r>
      <w:r w:rsidRPr="00912F18">
        <w:rPr>
          <w:b/>
          <w:sz w:val="24"/>
          <w:szCs w:val="24"/>
        </w:rPr>
        <w:tab/>
        <w:t>KLINISKE OPLYSNINGER</w:t>
      </w:r>
    </w:p>
    <w:p w14:paraId="006C698F" w14:textId="77777777" w:rsidR="005B0036" w:rsidRPr="00912F18" w:rsidRDefault="005B0036" w:rsidP="005B0036">
      <w:pPr>
        <w:tabs>
          <w:tab w:val="left" w:pos="851"/>
          <w:tab w:val="left" w:pos="8222"/>
        </w:tabs>
        <w:ind w:left="851"/>
        <w:rPr>
          <w:sz w:val="24"/>
          <w:szCs w:val="24"/>
        </w:rPr>
      </w:pPr>
    </w:p>
    <w:p w14:paraId="5A1A380A" w14:textId="77777777" w:rsidR="005B0036" w:rsidRPr="00912F18" w:rsidRDefault="005B0036" w:rsidP="005B0036">
      <w:pPr>
        <w:tabs>
          <w:tab w:val="left" w:pos="8222"/>
        </w:tabs>
        <w:ind w:left="851" w:hanging="851"/>
        <w:rPr>
          <w:b/>
          <w:sz w:val="24"/>
          <w:szCs w:val="24"/>
          <w:u w:val="single"/>
        </w:rPr>
      </w:pPr>
      <w:r w:rsidRPr="00912F18">
        <w:rPr>
          <w:b/>
          <w:sz w:val="24"/>
          <w:szCs w:val="24"/>
        </w:rPr>
        <w:t>4.1</w:t>
      </w:r>
      <w:r w:rsidRPr="00912F18">
        <w:rPr>
          <w:b/>
          <w:sz w:val="24"/>
          <w:szCs w:val="24"/>
        </w:rPr>
        <w:tab/>
        <w:t>Dyrearter</w:t>
      </w:r>
    </w:p>
    <w:p w14:paraId="6AA6A81F" w14:textId="77777777" w:rsidR="00263169" w:rsidRPr="00912F18" w:rsidRDefault="00263169" w:rsidP="00095526">
      <w:pPr>
        <w:ind w:left="851" w:right="7"/>
        <w:rPr>
          <w:sz w:val="24"/>
          <w:szCs w:val="24"/>
        </w:rPr>
      </w:pPr>
      <w:r w:rsidRPr="00912F18">
        <w:rPr>
          <w:sz w:val="24"/>
          <w:szCs w:val="24"/>
        </w:rPr>
        <w:t xml:space="preserve">Svin. </w:t>
      </w:r>
    </w:p>
    <w:p w14:paraId="71F7F1E9" w14:textId="77777777" w:rsidR="005B0036" w:rsidRPr="00912F18" w:rsidRDefault="005B0036" w:rsidP="005B0036">
      <w:pPr>
        <w:tabs>
          <w:tab w:val="left" w:pos="8222"/>
        </w:tabs>
        <w:ind w:left="851"/>
        <w:rPr>
          <w:sz w:val="24"/>
          <w:szCs w:val="24"/>
        </w:rPr>
      </w:pPr>
    </w:p>
    <w:p w14:paraId="50086903" w14:textId="77777777" w:rsidR="005B0036" w:rsidRPr="00912F18" w:rsidRDefault="005B0036" w:rsidP="005B0036">
      <w:pPr>
        <w:pStyle w:val="Sidehoved"/>
        <w:tabs>
          <w:tab w:val="clear" w:pos="4819"/>
          <w:tab w:val="left" w:pos="8222"/>
        </w:tabs>
        <w:ind w:left="851" w:hanging="851"/>
        <w:rPr>
          <w:b/>
          <w:szCs w:val="24"/>
        </w:rPr>
      </w:pPr>
      <w:r w:rsidRPr="00912F18">
        <w:rPr>
          <w:b/>
          <w:szCs w:val="24"/>
        </w:rPr>
        <w:t>4.2</w:t>
      </w:r>
      <w:r w:rsidRPr="00912F18">
        <w:rPr>
          <w:b/>
          <w:szCs w:val="24"/>
        </w:rPr>
        <w:tab/>
        <w:t>Terapeutiske indikationer</w:t>
      </w:r>
    </w:p>
    <w:p w14:paraId="1A3479B6" w14:textId="6E4FBA7E" w:rsidR="00AB2889" w:rsidRPr="00AB2889" w:rsidRDefault="00AB2889" w:rsidP="00AB2889">
      <w:pPr>
        <w:pStyle w:val="Sidehoved"/>
        <w:tabs>
          <w:tab w:val="left" w:pos="8222"/>
        </w:tabs>
        <w:ind w:left="851"/>
        <w:rPr>
          <w:szCs w:val="24"/>
        </w:rPr>
      </w:pPr>
      <w:r w:rsidRPr="00AB2889">
        <w:rPr>
          <w:szCs w:val="24"/>
        </w:rPr>
        <w:t xml:space="preserve">Behandling og </w:t>
      </w:r>
      <w:proofErr w:type="spellStart"/>
      <w:r w:rsidRPr="00AB2889">
        <w:rPr>
          <w:szCs w:val="24"/>
        </w:rPr>
        <w:t>metafylakse</w:t>
      </w:r>
      <w:proofErr w:type="spellEnd"/>
      <w:r w:rsidRPr="00AB2889">
        <w:rPr>
          <w:szCs w:val="24"/>
        </w:rPr>
        <w:t xml:space="preserve"> af luftvejsinfektioner hos svin (SRD) forårsaget af </w:t>
      </w:r>
      <w:proofErr w:type="spellStart"/>
      <w:r w:rsidRPr="00AB2889">
        <w:rPr>
          <w:szCs w:val="24"/>
        </w:rPr>
        <w:t>tulathromycin</w:t>
      </w:r>
      <w:proofErr w:type="spellEnd"/>
      <w:r w:rsidRPr="00AB2889">
        <w:rPr>
          <w:szCs w:val="24"/>
        </w:rPr>
        <w:t xml:space="preserve"> følsomme </w:t>
      </w:r>
      <w:proofErr w:type="spellStart"/>
      <w:r w:rsidRPr="00AB2889">
        <w:rPr>
          <w:i/>
          <w:szCs w:val="24"/>
        </w:rPr>
        <w:t>Actinobacillus</w:t>
      </w:r>
      <w:proofErr w:type="spellEnd"/>
      <w:r w:rsidRPr="00AB2889">
        <w:rPr>
          <w:i/>
          <w:szCs w:val="24"/>
        </w:rPr>
        <w:t xml:space="preserve"> </w:t>
      </w:r>
      <w:proofErr w:type="spellStart"/>
      <w:r w:rsidRPr="00AB2889">
        <w:rPr>
          <w:i/>
          <w:szCs w:val="24"/>
        </w:rPr>
        <w:t>pleuropneumoniae</w:t>
      </w:r>
      <w:proofErr w:type="spellEnd"/>
      <w:r w:rsidRPr="00AB2889">
        <w:rPr>
          <w:szCs w:val="24"/>
        </w:rPr>
        <w:t xml:space="preserve">, </w:t>
      </w:r>
      <w:proofErr w:type="spellStart"/>
      <w:r w:rsidRPr="00AB2889">
        <w:rPr>
          <w:i/>
          <w:szCs w:val="24"/>
        </w:rPr>
        <w:t>Pasteurella</w:t>
      </w:r>
      <w:proofErr w:type="spellEnd"/>
      <w:r w:rsidRPr="00AB2889">
        <w:rPr>
          <w:i/>
          <w:szCs w:val="24"/>
        </w:rPr>
        <w:t xml:space="preserve"> </w:t>
      </w:r>
      <w:proofErr w:type="spellStart"/>
      <w:r w:rsidRPr="00AB2889">
        <w:rPr>
          <w:i/>
          <w:szCs w:val="24"/>
        </w:rPr>
        <w:t>multocida</w:t>
      </w:r>
      <w:proofErr w:type="spellEnd"/>
      <w:r w:rsidRPr="00AB2889">
        <w:rPr>
          <w:szCs w:val="24"/>
        </w:rPr>
        <w:t xml:space="preserve">, </w:t>
      </w:r>
      <w:proofErr w:type="spellStart"/>
      <w:r w:rsidRPr="00AB2889">
        <w:rPr>
          <w:i/>
          <w:szCs w:val="24"/>
        </w:rPr>
        <w:t>Mycoplasma</w:t>
      </w:r>
      <w:proofErr w:type="spellEnd"/>
      <w:r w:rsidRPr="00AB2889">
        <w:rPr>
          <w:i/>
          <w:szCs w:val="24"/>
        </w:rPr>
        <w:t xml:space="preserve"> </w:t>
      </w:r>
      <w:proofErr w:type="spellStart"/>
      <w:r w:rsidRPr="00AB2889">
        <w:rPr>
          <w:i/>
          <w:szCs w:val="24"/>
        </w:rPr>
        <w:t>hyopneumoniae</w:t>
      </w:r>
      <w:proofErr w:type="spellEnd"/>
      <w:r w:rsidRPr="00AB2889">
        <w:rPr>
          <w:szCs w:val="24"/>
        </w:rPr>
        <w:t xml:space="preserve">, </w:t>
      </w:r>
      <w:proofErr w:type="spellStart"/>
      <w:r w:rsidRPr="00AB2889">
        <w:rPr>
          <w:i/>
          <w:szCs w:val="24"/>
        </w:rPr>
        <w:t>Haemophilus</w:t>
      </w:r>
      <w:proofErr w:type="spellEnd"/>
      <w:r w:rsidRPr="00AB2889">
        <w:rPr>
          <w:i/>
          <w:szCs w:val="24"/>
        </w:rPr>
        <w:t xml:space="preserve"> </w:t>
      </w:r>
      <w:proofErr w:type="spellStart"/>
      <w:r w:rsidRPr="00AB2889">
        <w:rPr>
          <w:i/>
          <w:szCs w:val="24"/>
        </w:rPr>
        <w:t>parasuis</w:t>
      </w:r>
      <w:proofErr w:type="spellEnd"/>
      <w:r w:rsidRPr="00AB2889">
        <w:rPr>
          <w:szCs w:val="24"/>
        </w:rPr>
        <w:t xml:space="preserve"> og </w:t>
      </w:r>
      <w:proofErr w:type="spellStart"/>
      <w:r w:rsidRPr="00AB2889">
        <w:rPr>
          <w:i/>
          <w:szCs w:val="24"/>
        </w:rPr>
        <w:t>Bordetella</w:t>
      </w:r>
      <w:proofErr w:type="spellEnd"/>
      <w:r w:rsidRPr="00AB2889">
        <w:rPr>
          <w:i/>
          <w:szCs w:val="24"/>
        </w:rPr>
        <w:t xml:space="preserve"> </w:t>
      </w:r>
      <w:proofErr w:type="spellStart"/>
      <w:r w:rsidRPr="00AB2889">
        <w:rPr>
          <w:i/>
          <w:szCs w:val="24"/>
        </w:rPr>
        <w:t>bronchiseptica</w:t>
      </w:r>
      <w:proofErr w:type="spellEnd"/>
      <w:r w:rsidRPr="00AB2889">
        <w:rPr>
          <w:szCs w:val="24"/>
        </w:rPr>
        <w:t xml:space="preserve">. Tilstedeværelse af sygdommen i gruppen skal være konstateret inden produktet anvendes. Produktet må kun anvendes til svin, som forventes at udvikle sygdommen inden for 2–3 dage. </w:t>
      </w:r>
    </w:p>
    <w:p w14:paraId="4A69D4C6" w14:textId="77777777" w:rsidR="005B0036" w:rsidRPr="00912F18" w:rsidRDefault="005B0036" w:rsidP="005B0036">
      <w:pPr>
        <w:pStyle w:val="Sidehoved"/>
        <w:tabs>
          <w:tab w:val="clear" w:pos="4819"/>
          <w:tab w:val="left" w:pos="8222"/>
        </w:tabs>
        <w:ind w:left="851"/>
        <w:rPr>
          <w:szCs w:val="24"/>
        </w:rPr>
      </w:pPr>
    </w:p>
    <w:p w14:paraId="59147C95" w14:textId="77777777" w:rsidR="005B0036" w:rsidRPr="00912F18" w:rsidRDefault="005B0036" w:rsidP="005B0036">
      <w:pPr>
        <w:pStyle w:val="Sidehoved"/>
        <w:tabs>
          <w:tab w:val="clear" w:pos="4819"/>
          <w:tab w:val="left" w:pos="851"/>
          <w:tab w:val="left" w:pos="8222"/>
        </w:tabs>
        <w:rPr>
          <w:b/>
          <w:szCs w:val="24"/>
        </w:rPr>
      </w:pPr>
      <w:r w:rsidRPr="00912F18">
        <w:rPr>
          <w:b/>
          <w:szCs w:val="24"/>
        </w:rPr>
        <w:lastRenderedPageBreak/>
        <w:t>4.3</w:t>
      </w:r>
      <w:r w:rsidRPr="00912F18">
        <w:rPr>
          <w:b/>
          <w:szCs w:val="24"/>
        </w:rPr>
        <w:tab/>
        <w:t>Kontraindikationer</w:t>
      </w:r>
    </w:p>
    <w:p w14:paraId="433D5CCB" w14:textId="33DEAF2C" w:rsidR="005B0036" w:rsidRDefault="00AB2889" w:rsidP="005B0036">
      <w:pPr>
        <w:pStyle w:val="Sidehoved"/>
        <w:tabs>
          <w:tab w:val="clear" w:pos="4819"/>
          <w:tab w:val="left" w:pos="8222"/>
        </w:tabs>
        <w:ind w:left="851"/>
      </w:pPr>
      <w:bookmarkStart w:id="0" w:name="_Hlk46823574"/>
      <w:r w:rsidRPr="00EA4153">
        <w:t xml:space="preserve">Bør ikke anvendes i tilfælde af overfølsomhed over for antibiotika af </w:t>
      </w:r>
      <w:proofErr w:type="spellStart"/>
      <w:r w:rsidRPr="00EA4153">
        <w:t>macrolid</w:t>
      </w:r>
      <w:proofErr w:type="spellEnd"/>
      <w:r w:rsidRPr="00EA4153">
        <w:t xml:space="preserve"> gruppen eller over for</w:t>
      </w:r>
      <w:r>
        <w:t xml:space="preserve"> </w:t>
      </w:r>
      <w:r w:rsidRPr="00EA4153">
        <w:t>et eller flere af hjælpestofferne.</w:t>
      </w:r>
      <w:bookmarkEnd w:id="0"/>
    </w:p>
    <w:p w14:paraId="00F2F145" w14:textId="77777777" w:rsidR="00AB2889" w:rsidRPr="00912F18" w:rsidRDefault="00AB2889" w:rsidP="005B0036">
      <w:pPr>
        <w:pStyle w:val="Sidehoved"/>
        <w:tabs>
          <w:tab w:val="clear" w:pos="4819"/>
          <w:tab w:val="left" w:pos="8222"/>
        </w:tabs>
        <w:ind w:left="851"/>
        <w:rPr>
          <w:szCs w:val="24"/>
        </w:rPr>
      </w:pPr>
    </w:p>
    <w:p w14:paraId="241DB0C4" w14:textId="77777777" w:rsidR="005B0036" w:rsidRPr="00912F18" w:rsidRDefault="005B0036" w:rsidP="005B0036">
      <w:pPr>
        <w:tabs>
          <w:tab w:val="left" w:pos="851"/>
          <w:tab w:val="left" w:pos="8222"/>
        </w:tabs>
        <w:rPr>
          <w:b/>
          <w:sz w:val="24"/>
          <w:szCs w:val="24"/>
        </w:rPr>
      </w:pPr>
      <w:r w:rsidRPr="00912F18">
        <w:rPr>
          <w:b/>
          <w:sz w:val="24"/>
          <w:szCs w:val="24"/>
        </w:rPr>
        <w:t>4.4</w:t>
      </w:r>
      <w:r w:rsidRPr="00912F18">
        <w:rPr>
          <w:b/>
          <w:sz w:val="24"/>
          <w:szCs w:val="24"/>
        </w:rPr>
        <w:tab/>
        <w:t>Særlige advarsler</w:t>
      </w:r>
    </w:p>
    <w:p w14:paraId="3F28442E" w14:textId="77777777" w:rsidR="00AB2889" w:rsidRPr="00AB2889" w:rsidRDefault="00AB2889" w:rsidP="00AB2889">
      <w:pPr>
        <w:ind w:left="851" w:right="7"/>
        <w:rPr>
          <w:sz w:val="24"/>
          <w:szCs w:val="24"/>
        </w:rPr>
      </w:pPr>
      <w:r w:rsidRPr="00AB2889">
        <w:rPr>
          <w:sz w:val="24"/>
          <w:szCs w:val="24"/>
        </w:rPr>
        <w:t>Krydsresistens med andre makrolider forekommer. Må ikke administreres samtidig med</w:t>
      </w:r>
    </w:p>
    <w:p w14:paraId="60854F3A" w14:textId="77CB042B" w:rsidR="00263169" w:rsidRPr="00912F18" w:rsidRDefault="00AB2889" w:rsidP="00AB2889">
      <w:pPr>
        <w:ind w:left="851" w:right="7"/>
        <w:rPr>
          <w:sz w:val="24"/>
          <w:szCs w:val="24"/>
        </w:rPr>
      </w:pPr>
      <w:r w:rsidRPr="00AB2889">
        <w:rPr>
          <w:sz w:val="24"/>
          <w:szCs w:val="24"/>
        </w:rPr>
        <w:t xml:space="preserve">antimikrobielle midler med samme virkningsmekanisme såsom makrolider og lincosamider. </w:t>
      </w:r>
      <w:r w:rsidR="00263169" w:rsidRPr="00912F18">
        <w:rPr>
          <w:sz w:val="24"/>
          <w:szCs w:val="24"/>
        </w:rPr>
        <w:t xml:space="preserve"> </w:t>
      </w:r>
    </w:p>
    <w:p w14:paraId="5096A525" w14:textId="77777777" w:rsidR="005B0036" w:rsidRPr="00912F18" w:rsidRDefault="005B0036" w:rsidP="005B0036">
      <w:pPr>
        <w:pStyle w:val="Sidehoved"/>
        <w:tabs>
          <w:tab w:val="clear" w:pos="4819"/>
          <w:tab w:val="left" w:pos="8222"/>
        </w:tabs>
        <w:ind w:left="851"/>
        <w:rPr>
          <w:szCs w:val="24"/>
        </w:rPr>
      </w:pPr>
    </w:p>
    <w:p w14:paraId="3E4A6DBC" w14:textId="77777777" w:rsidR="005B0036" w:rsidRPr="00912F18" w:rsidRDefault="005B0036" w:rsidP="005B0036">
      <w:pPr>
        <w:tabs>
          <w:tab w:val="left" w:pos="851"/>
          <w:tab w:val="left" w:pos="8222"/>
        </w:tabs>
        <w:rPr>
          <w:b/>
          <w:sz w:val="24"/>
          <w:szCs w:val="24"/>
        </w:rPr>
      </w:pPr>
      <w:r w:rsidRPr="00912F18">
        <w:rPr>
          <w:b/>
          <w:sz w:val="24"/>
          <w:szCs w:val="24"/>
        </w:rPr>
        <w:t>4.5</w:t>
      </w:r>
      <w:r w:rsidRPr="00912F18">
        <w:rPr>
          <w:b/>
          <w:sz w:val="24"/>
          <w:szCs w:val="24"/>
        </w:rPr>
        <w:tab/>
        <w:t>Særlige forsigtighedsregler vedrørende brugen</w:t>
      </w:r>
    </w:p>
    <w:p w14:paraId="48609159" w14:textId="77777777" w:rsidR="005B0036" w:rsidRPr="00912F18" w:rsidRDefault="005B0036" w:rsidP="005B0036">
      <w:pPr>
        <w:tabs>
          <w:tab w:val="left" w:pos="851"/>
          <w:tab w:val="left" w:pos="8222"/>
        </w:tabs>
        <w:ind w:left="851"/>
        <w:rPr>
          <w:sz w:val="24"/>
          <w:szCs w:val="24"/>
        </w:rPr>
      </w:pPr>
    </w:p>
    <w:p w14:paraId="3BB4EB2F" w14:textId="77777777" w:rsidR="005B0036" w:rsidRPr="00912F18" w:rsidRDefault="005B0036" w:rsidP="005B0036">
      <w:pPr>
        <w:tabs>
          <w:tab w:val="left" w:pos="851"/>
          <w:tab w:val="left" w:pos="8222"/>
        </w:tabs>
        <w:ind w:left="851"/>
        <w:rPr>
          <w:b/>
          <w:sz w:val="24"/>
          <w:szCs w:val="24"/>
        </w:rPr>
      </w:pPr>
      <w:r w:rsidRPr="00912F18">
        <w:rPr>
          <w:b/>
          <w:sz w:val="24"/>
          <w:szCs w:val="24"/>
        </w:rPr>
        <w:t>Særlige forsigtighedsregler for dyret</w:t>
      </w:r>
    </w:p>
    <w:p w14:paraId="70E0074B" w14:textId="77777777" w:rsidR="00263169" w:rsidRPr="00912F18" w:rsidRDefault="00263169" w:rsidP="00095526">
      <w:pPr>
        <w:ind w:left="851" w:right="7"/>
        <w:rPr>
          <w:sz w:val="24"/>
          <w:szCs w:val="24"/>
        </w:rPr>
      </w:pPr>
      <w:r w:rsidRPr="00912F18">
        <w:rPr>
          <w:sz w:val="24"/>
          <w:szCs w:val="24"/>
        </w:rPr>
        <w:t xml:space="preserve">Behandling skal baseres på følsomhedstest af bakterien isoleret fra dyret. Hvis det ikke er muligt, skal behandlingen baseres på lokal (regions- eller bedriftsniveau) epidemiologisk information om følsomhed hos målbakterierne. </w:t>
      </w:r>
    </w:p>
    <w:p w14:paraId="5D84B56A" w14:textId="77777777" w:rsidR="00263169" w:rsidRPr="00912F18" w:rsidRDefault="00263169" w:rsidP="00095526">
      <w:pPr>
        <w:ind w:left="851" w:right="7"/>
        <w:rPr>
          <w:sz w:val="24"/>
          <w:szCs w:val="24"/>
        </w:rPr>
      </w:pPr>
      <w:r w:rsidRPr="00912F18">
        <w:rPr>
          <w:sz w:val="24"/>
          <w:szCs w:val="24"/>
        </w:rPr>
        <w:t xml:space="preserve">Den officielle nationale og regionale politik om antimikrobielle midler skal tages i betragtning ved brugen af veterinærlægemidlet. </w:t>
      </w:r>
    </w:p>
    <w:p w14:paraId="4730965F" w14:textId="77777777" w:rsidR="00263169" w:rsidRPr="00912F18" w:rsidRDefault="00263169" w:rsidP="00095526">
      <w:pPr>
        <w:spacing w:line="259" w:lineRule="auto"/>
        <w:ind w:left="851"/>
        <w:rPr>
          <w:sz w:val="24"/>
          <w:szCs w:val="24"/>
        </w:rPr>
      </w:pPr>
      <w:r w:rsidRPr="00912F18">
        <w:rPr>
          <w:sz w:val="24"/>
          <w:szCs w:val="24"/>
        </w:rPr>
        <w:t xml:space="preserve"> </w:t>
      </w:r>
    </w:p>
    <w:p w14:paraId="364E1E09" w14:textId="77777777" w:rsidR="00AB2889" w:rsidRPr="008035A3" w:rsidRDefault="00AB2889" w:rsidP="00AB2889">
      <w:pPr>
        <w:ind w:left="851" w:right="7"/>
      </w:pPr>
      <w:r w:rsidRPr="008035A3">
        <w:t xml:space="preserve">Brug af produktet som afviger fra de instruktioner, som er anført i produktresumeet kan øge prævalensen af </w:t>
      </w:r>
      <w:proofErr w:type="spellStart"/>
      <w:r w:rsidRPr="008035A3">
        <w:t>tulathromycin</w:t>
      </w:r>
      <w:proofErr w:type="spellEnd"/>
      <w:r w:rsidRPr="008035A3">
        <w:t xml:space="preserve"> resistente bakterier og kan nedsætte effekten af behandling med andre </w:t>
      </w:r>
      <w:proofErr w:type="spellStart"/>
      <w:r w:rsidRPr="008035A3">
        <w:t>macrolider</w:t>
      </w:r>
      <w:proofErr w:type="spellEnd"/>
      <w:r w:rsidRPr="008035A3">
        <w:t xml:space="preserve">, </w:t>
      </w:r>
      <w:r w:rsidRPr="008C6207">
        <w:t>lincosamider og gruppe B-</w:t>
      </w:r>
      <w:proofErr w:type="spellStart"/>
      <w:r w:rsidRPr="008C6207">
        <w:t>streptogramin</w:t>
      </w:r>
      <w:proofErr w:type="spellEnd"/>
      <w:r>
        <w:t xml:space="preserve"> p</w:t>
      </w:r>
      <w:r w:rsidRPr="008C6207">
        <w:t>å</w:t>
      </w:r>
      <w:r>
        <w:t xml:space="preserve"> </w:t>
      </w:r>
      <w:r w:rsidRPr="008035A3">
        <w:t xml:space="preserve">grundet risiko for udvikling af krydsresistens. </w:t>
      </w:r>
    </w:p>
    <w:p w14:paraId="2B6309FA" w14:textId="387B848F" w:rsidR="005B0036" w:rsidRDefault="00AB2889" w:rsidP="00AB2889">
      <w:pPr>
        <w:tabs>
          <w:tab w:val="left" w:pos="851"/>
          <w:tab w:val="left" w:pos="8222"/>
        </w:tabs>
        <w:ind w:left="851"/>
      </w:pPr>
      <w:r w:rsidRPr="008035A3">
        <w:t>Hvis der forekommer en overfølsomhedsreaktion, skal der øjeblikkeligt gives passende behandling.</w:t>
      </w:r>
    </w:p>
    <w:p w14:paraId="759920D0" w14:textId="77777777" w:rsidR="00AB2889" w:rsidRPr="00912F18" w:rsidRDefault="00AB2889" w:rsidP="00AB2889">
      <w:pPr>
        <w:tabs>
          <w:tab w:val="left" w:pos="851"/>
          <w:tab w:val="left" w:pos="8222"/>
        </w:tabs>
        <w:ind w:left="851"/>
        <w:rPr>
          <w:sz w:val="24"/>
          <w:szCs w:val="24"/>
        </w:rPr>
      </w:pPr>
    </w:p>
    <w:p w14:paraId="11828361" w14:textId="77777777" w:rsidR="005B0036" w:rsidRPr="00912F18" w:rsidRDefault="005B0036" w:rsidP="005B0036">
      <w:pPr>
        <w:tabs>
          <w:tab w:val="left" w:pos="851"/>
          <w:tab w:val="left" w:pos="8222"/>
        </w:tabs>
        <w:ind w:left="851"/>
        <w:rPr>
          <w:b/>
          <w:sz w:val="24"/>
          <w:szCs w:val="24"/>
        </w:rPr>
      </w:pPr>
      <w:r w:rsidRPr="00912F18">
        <w:rPr>
          <w:b/>
          <w:sz w:val="24"/>
          <w:szCs w:val="24"/>
        </w:rPr>
        <w:t>Særlige forsigtighedsregler for personer, der administrerer lægemidlet</w:t>
      </w:r>
    </w:p>
    <w:p w14:paraId="3F439548" w14:textId="77777777" w:rsidR="00263169" w:rsidRPr="00912F18" w:rsidRDefault="00263169" w:rsidP="00095526">
      <w:pPr>
        <w:ind w:left="851" w:right="7"/>
        <w:rPr>
          <w:sz w:val="24"/>
          <w:szCs w:val="24"/>
        </w:rPr>
      </w:pPr>
      <w:proofErr w:type="spellStart"/>
      <w:r w:rsidRPr="00912F18">
        <w:rPr>
          <w:sz w:val="24"/>
          <w:szCs w:val="24"/>
        </w:rPr>
        <w:t>Tulathromycin</w:t>
      </w:r>
      <w:proofErr w:type="spellEnd"/>
      <w:r w:rsidRPr="00912F18">
        <w:rPr>
          <w:sz w:val="24"/>
          <w:szCs w:val="24"/>
        </w:rPr>
        <w:t xml:space="preserve"> er irriterende for øjnene. I tilfælde af kontakt med øjnene ved hændeligt uheld skal øjnene straks skylles i rent vand. </w:t>
      </w:r>
    </w:p>
    <w:p w14:paraId="1EC2CC91" w14:textId="77777777" w:rsidR="00263169" w:rsidRPr="00912F18" w:rsidRDefault="00263169" w:rsidP="00095526">
      <w:pPr>
        <w:spacing w:line="259" w:lineRule="auto"/>
        <w:ind w:left="851"/>
        <w:rPr>
          <w:sz w:val="24"/>
          <w:szCs w:val="24"/>
        </w:rPr>
      </w:pPr>
      <w:r w:rsidRPr="00912F18">
        <w:rPr>
          <w:sz w:val="24"/>
          <w:szCs w:val="24"/>
        </w:rPr>
        <w:t xml:space="preserve"> </w:t>
      </w:r>
    </w:p>
    <w:p w14:paraId="322E8F3F" w14:textId="77777777" w:rsidR="00263169" w:rsidRPr="00912F18" w:rsidRDefault="00263169" w:rsidP="00095526">
      <w:pPr>
        <w:ind w:left="851" w:right="7"/>
        <w:rPr>
          <w:sz w:val="24"/>
          <w:szCs w:val="24"/>
        </w:rPr>
      </w:pPr>
      <w:proofErr w:type="spellStart"/>
      <w:r w:rsidRPr="00912F18">
        <w:rPr>
          <w:sz w:val="24"/>
          <w:szCs w:val="24"/>
        </w:rPr>
        <w:t>Tulathromycin</w:t>
      </w:r>
      <w:proofErr w:type="spellEnd"/>
      <w:r w:rsidRPr="00912F18">
        <w:rPr>
          <w:sz w:val="24"/>
          <w:szCs w:val="24"/>
        </w:rPr>
        <w:t xml:space="preserve"> kan give sensibilisering ved hudkontakt. I tilfælde af kontakt med huden ved hændeligt uheld, bør det berørte område vaskes omgående med sæbe og vand. </w:t>
      </w:r>
    </w:p>
    <w:p w14:paraId="3F3A430C" w14:textId="77777777" w:rsidR="00263169" w:rsidRPr="00912F18" w:rsidRDefault="00263169" w:rsidP="00095526">
      <w:pPr>
        <w:spacing w:line="259" w:lineRule="auto"/>
        <w:ind w:left="851"/>
        <w:rPr>
          <w:sz w:val="24"/>
          <w:szCs w:val="24"/>
        </w:rPr>
      </w:pPr>
      <w:r w:rsidRPr="00912F18">
        <w:rPr>
          <w:sz w:val="24"/>
          <w:szCs w:val="24"/>
        </w:rPr>
        <w:t xml:space="preserve"> </w:t>
      </w:r>
    </w:p>
    <w:p w14:paraId="392AF110" w14:textId="77777777" w:rsidR="00263169" w:rsidRPr="00912F18" w:rsidRDefault="00263169" w:rsidP="00095526">
      <w:pPr>
        <w:ind w:left="851" w:right="7"/>
        <w:rPr>
          <w:sz w:val="24"/>
          <w:szCs w:val="24"/>
        </w:rPr>
      </w:pPr>
      <w:r w:rsidRPr="00912F18">
        <w:rPr>
          <w:sz w:val="24"/>
          <w:szCs w:val="24"/>
        </w:rPr>
        <w:t xml:space="preserve">Vask hænder efter brug. </w:t>
      </w:r>
    </w:p>
    <w:p w14:paraId="3F6EB426" w14:textId="77777777" w:rsidR="00263169" w:rsidRPr="00912F18" w:rsidRDefault="00263169" w:rsidP="00095526">
      <w:pPr>
        <w:spacing w:line="259" w:lineRule="auto"/>
        <w:ind w:left="851"/>
        <w:rPr>
          <w:sz w:val="24"/>
          <w:szCs w:val="24"/>
        </w:rPr>
      </w:pPr>
      <w:r w:rsidRPr="00912F18">
        <w:rPr>
          <w:sz w:val="24"/>
          <w:szCs w:val="24"/>
        </w:rPr>
        <w:t xml:space="preserve"> </w:t>
      </w:r>
    </w:p>
    <w:p w14:paraId="1501FEA2" w14:textId="77777777" w:rsidR="00263169" w:rsidRPr="00912F18" w:rsidRDefault="00263169" w:rsidP="00095526">
      <w:pPr>
        <w:ind w:left="851" w:right="7"/>
        <w:rPr>
          <w:sz w:val="24"/>
          <w:szCs w:val="24"/>
        </w:rPr>
      </w:pPr>
      <w:r w:rsidRPr="00912F18">
        <w:rPr>
          <w:sz w:val="24"/>
          <w:szCs w:val="24"/>
        </w:rPr>
        <w:t xml:space="preserve">I tilfælde af selvinjektion ved hændeligt uheld skal der straks søges lægehjælp, og indlægssedlen eller etiketten bør vises til lægen. </w:t>
      </w:r>
    </w:p>
    <w:p w14:paraId="58D3E63E" w14:textId="77777777" w:rsidR="005B0036" w:rsidRPr="00912F18" w:rsidRDefault="005B0036" w:rsidP="005B0036">
      <w:pPr>
        <w:tabs>
          <w:tab w:val="left" w:pos="851"/>
          <w:tab w:val="left" w:pos="8222"/>
        </w:tabs>
        <w:ind w:left="851"/>
        <w:rPr>
          <w:sz w:val="24"/>
          <w:szCs w:val="24"/>
        </w:rPr>
      </w:pPr>
    </w:p>
    <w:p w14:paraId="5434BE6D" w14:textId="77777777" w:rsidR="005B0036" w:rsidRPr="00912F18" w:rsidRDefault="005B0036" w:rsidP="005B0036">
      <w:pPr>
        <w:tabs>
          <w:tab w:val="left" w:pos="851"/>
          <w:tab w:val="left" w:pos="8222"/>
        </w:tabs>
        <w:ind w:left="851"/>
        <w:rPr>
          <w:b/>
          <w:sz w:val="24"/>
          <w:szCs w:val="24"/>
        </w:rPr>
      </w:pPr>
      <w:r w:rsidRPr="00912F18">
        <w:rPr>
          <w:b/>
          <w:sz w:val="24"/>
          <w:szCs w:val="24"/>
        </w:rPr>
        <w:t>Andre forsigtighedsregler</w:t>
      </w:r>
    </w:p>
    <w:p w14:paraId="067A36A4" w14:textId="7B1C9933" w:rsidR="005B0036" w:rsidRPr="00912F18" w:rsidRDefault="00263169" w:rsidP="005B0036">
      <w:pPr>
        <w:tabs>
          <w:tab w:val="left" w:pos="851"/>
          <w:tab w:val="left" w:pos="8222"/>
        </w:tabs>
        <w:ind w:left="851"/>
        <w:rPr>
          <w:sz w:val="24"/>
          <w:szCs w:val="24"/>
        </w:rPr>
      </w:pPr>
      <w:r w:rsidRPr="00912F18">
        <w:rPr>
          <w:sz w:val="24"/>
          <w:szCs w:val="24"/>
        </w:rPr>
        <w:t>-</w:t>
      </w:r>
    </w:p>
    <w:p w14:paraId="198ED94B" w14:textId="77777777" w:rsidR="005B0036" w:rsidRPr="00912F18" w:rsidRDefault="005B0036" w:rsidP="005B0036">
      <w:pPr>
        <w:tabs>
          <w:tab w:val="left" w:pos="851"/>
          <w:tab w:val="left" w:pos="8222"/>
        </w:tabs>
        <w:ind w:left="851"/>
        <w:rPr>
          <w:sz w:val="24"/>
          <w:szCs w:val="24"/>
        </w:rPr>
      </w:pPr>
    </w:p>
    <w:p w14:paraId="1832D011" w14:textId="77777777" w:rsidR="005B0036" w:rsidRPr="00912F18" w:rsidRDefault="005B0036" w:rsidP="005B0036">
      <w:pPr>
        <w:tabs>
          <w:tab w:val="left" w:pos="851"/>
          <w:tab w:val="left" w:pos="8222"/>
        </w:tabs>
        <w:rPr>
          <w:b/>
          <w:sz w:val="24"/>
          <w:szCs w:val="24"/>
        </w:rPr>
      </w:pPr>
      <w:r w:rsidRPr="00912F18">
        <w:rPr>
          <w:b/>
          <w:sz w:val="24"/>
          <w:szCs w:val="24"/>
        </w:rPr>
        <w:t>4.6</w:t>
      </w:r>
      <w:r w:rsidRPr="00912F18">
        <w:rPr>
          <w:b/>
          <w:sz w:val="24"/>
          <w:szCs w:val="24"/>
        </w:rPr>
        <w:tab/>
        <w:t>Bivirkninger</w:t>
      </w:r>
    </w:p>
    <w:p w14:paraId="70A89E66" w14:textId="3BAE3C1E" w:rsidR="00263169" w:rsidRPr="00912F18" w:rsidRDefault="00263169" w:rsidP="00095526">
      <w:pPr>
        <w:ind w:left="851" w:right="7"/>
        <w:rPr>
          <w:sz w:val="24"/>
          <w:szCs w:val="24"/>
        </w:rPr>
      </w:pPr>
      <w:proofErr w:type="spellStart"/>
      <w:r w:rsidRPr="00912F18">
        <w:rPr>
          <w:sz w:val="24"/>
          <w:szCs w:val="24"/>
        </w:rPr>
        <w:t>Patomorfologiske</w:t>
      </w:r>
      <w:proofErr w:type="spellEnd"/>
      <w:r w:rsidRPr="00912F18">
        <w:rPr>
          <w:sz w:val="24"/>
          <w:szCs w:val="24"/>
        </w:rPr>
        <w:t xml:space="preserve"> reaktioner på injektionsstedet (herunder reversible ændringer </w:t>
      </w:r>
      <w:r w:rsidR="00F44224">
        <w:rPr>
          <w:sz w:val="24"/>
          <w:szCs w:val="24"/>
        </w:rPr>
        <w:t>i blodophobning</w:t>
      </w:r>
      <w:r w:rsidRPr="00912F18">
        <w:rPr>
          <w:sz w:val="24"/>
          <w:szCs w:val="24"/>
        </w:rPr>
        <w:t xml:space="preserve">, ødemer, fibrose og blødninger) findes i omkring 30 dage efter injektion. </w:t>
      </w:r>
    </w:p>
    <w:p w14:paraId="65A7750A" w14:textId="77777777" w:rsidR="005B0036" w:rsidRPr="00912F18" w:rsidRDefault="005B0036" w:rsidP="005B0036">
      <w:pPr>
        <w:tabs>
          <w:tab w:val="left" w:pos="851"/>
          <w:tab w:val="left" w:pos="8222"/>
        </w:tabs>
        <w:ind w:left="851"/>
        <w:rPr>
          <w:sz w:val="24"/>
          <w:szCs w:val="24"/>
        </w:rPr>
      </w:pPr>
    </w:p>
    <w:p w14:paraId="6441DC45" w14:textId="77777777" w:rsidR="005B0036" w:rsidRPr="00912F18" w:rsidRDefault="005B0036" w:rsidP="005B0036">
      <w:pPr>
        <w:tabs>
          <w:tab w:val="left" w:pos="851"/>
          <w:tab w:val="left" w:pos="8222"/>
        </w:tabs>
        <w:rPr>
          <w:b/>
          <w:sz w:val="24"/>
          <w:szCs w:val="24"/>
        </w:rPr>
      </w:pPr>
      <w:r w:rsidRPr="00912F18">
        <w:rPr>
          <w:b/>
          <w:sz w:val="24"/>
          <w:szCs w:val="24"/>
        </w:rPr>
        <w:t>4.7</w:t>
      </w:r>
      <w:r w:rsidRPr="00912F18">
        <w:rPr>
          <w:b/>
          <w:sz w:val="24"/>
          <w:szCs w:val="24"/>
        </w:rPr>
        <w:tab/>
        <w:t>Drægtighed, diegivning eller æglægning</w:t>
      </w:r>
    </w:p>
    <w:p w14:paraId="17CC406A" w14:textId="4756A9E2" w:rsidR="00263169" w:rsidRPr="00912F18" w:rsidRDefault="00263169" w:rsidP="00095526">
      <w:pPr>
        <w:ind w:left="851" w:right="7"/>
        <w:rPr>
          <w:sz w:val="24"/>
          <w:szCs w:val="24"/>
        </w:rPr>
      </w:pPr>
      <w:r w:rsidRPr="00912F18">
        <w:rPr>
          <w:sz w:val="24"/>
          <w:szCs w:val="24"/>
        </w:rPr>
        <w:t xml:space="preserve">Laboratoriestudier med rotter og kaniner har ikke vist nogle </w:t>
      </w:r>
      <w:proofErr w:type="spellStart"/>
      <w:r w:rsidRPr="00912F18">
        <w:rPr>
          <w:sz w:val="24"/>
          <w:szCs w:val="24"/>
        </w:rPr>
        <w:t>teratogene</w:t>
      </w:r>
      <w:proofErr w:type="spellEnd"/>
      <w:r w:rsidRPr="00912F18">
        <w:rPr>
          <w:sz w:val="24"/>
          <w:szCs w:val="24"/>
        </w:rPr>
        <w:t xml:space="preserve">, </w:t>
      </w:r>
      <w:proofErr w:type="spellStart"/>
      <w:r w:rsidRPr="00912F18">
        <w:rPr>
          <w:sz w:val="24"/>
          <w:szCs w:val="24"/>
        </w:rPr>
        <w:t>føtotoxiske</w:t>
      </w:r>
      <w:proofErr w:type="spellEnd"/>
      <w:r w:rsidRPr="00912F18">
        <w:rPr>
          <w:sz w:val="24"/>
          <w:szCs w:val="24"/>
        </w:rPr>
        <w:t xml:space="preserve"> eller </w:t>
      </w:r>
      <w:proofErr w:type="spellStart"/>
      <w:r w:rsidRPr="00912F18">
        <w:rPr>
          <w:sz w:val="24"/>
          <w:szCs w:val="24"/>
        </w:rPr>
        <w:t>maternotoxiske</w:t>
      </w:r>
      <w:proofErr w:type="spellEnd"/>
      <w:r w:rsidRPr="00912F18">
        <w:rPr>
          <w:sz w:val="24"/>
          <w:szCs w:val="24"/>
        </w:rPr>
        <w:t xml:space="preserve"> egenskaber. Lægemidlets sikkerhed under drægtighed og laktation er ikke klarlagt. Må kun anvendes i overensstemmelse med den ansvarlige dyrlæges vurdering af benefit</w:t>
      </w:r>
      <w:r w:rsidR="00F44224">
        <w:rPr>
          <w:sz w:val="24"/>
          <w:szCs w:val="24"/>
        </w:rPr>
        <w:t>-</w:t>
      </w:r>
      <w:proofErr w:type="spellStart"/>
      <w:r w:rsidR="00F44224">
        <w:rPr>
          <w:sz w:val="24"/>
          <w:szCs w:val="24"/>
        </w:rPr>
        <w:t>risk</w:t>
      </w:r>
      <w:proofErr w:type="spellEnd"/>
      <w:r w:rsidR="00F44224">
        <w:rPr>
          <w:sz w:val="24"/>
          <w:szCs w:val="24"/>
        </w:rPr>
        <w:t xml:space="preserve"> </w:t>
      </w:r>
      <w:r w:rsidRPr="00912F18">
        <w:rPr>
          <w:sz w:val="24"/>
          <w:szCs w:val="24"/>
        </w:rPr>
        <w:t xml:space="preserve">forholdet. </w:t>
      </w:r>
    </w:p>
    <w:p w14:paraId="4DAC2286" w14:textId="43D3EC8C" w:rsidR="003354D2" w:rsidRDefault="003354D2">
      <w:pPr>
        <w:rPr>
          <w:sz w:val="24"/>
          <w:szCs w:val="24"/>
        </w:rPr>
      </w:pPr>
      <w:r>
        <w:rPr>
          <w:sz w:val="24"/>
          <w:szCs w:val="24"/>
        </w:rPr>
        <w:br w:type="page"/>
      </w:r>
    </w:p>
    <w:p w14:paraId="3426822A" w14:textId="77777777" w:rsidR="005B0036" w:rsidRPr="00912F18" w:rsidRDefault="005B0036" w:rsidP="005B0036">
      <w:pPr>
        <w:tabs>
          <w:tab w:val="left" w:pos="851"/>
          <w:tab w:val="left" w:pos="8222"/>
        </w:tabs>
        <w:ind w:left="851"/>
        <w:rPr>
          <w:sz w:val="24"/>
          <w:szCs w:val="24"/>
        </w:rPr>
      </w:pPr>
    </w:p>
    <w:p w14:paraId="4B078CD4" w14:textId="77777777" w:rsidR="005B0036" w:rsidRPr="00912F18" w:rsidRDefault="005B0036" w:rsidP="005B0036">
      <w:pPr>
        <w:tabs>
          <w:tab w:val="left" w:pos="851"/>
          <w:tab w:val="left" w:pos="8222"/>
        </w:tabs>
        <w:rPr>
          <w:b/>
          <w:sz w:val="24"/>
          <w:szCs w:val="24"/>
        </w:rPr>
      </w:pPr>
      <w:r w:rsidRPr="00912F18">
        <w:rPr>
          <w:b/>
          <w:sz w:val="24"/>
          <w:szCs w:val="24"/>
        </w:rPr>
        <w:t>4.8</w:t>
      </w:r>
      <w:r w:rsidRPr="00912F18">
        <w:rPr>
          <w:b/>
          <w:sz w:val="24"/>
          <w:szCs w:val="24"/>
        </w:rPr>
        <w:tab/>
        <w:t>Interaktion med andre lægemidler og andre former for interaktion</w:t>
      </w:r>
    </w:p>
    <w:p w14:paraId="03089E1A" w14:textId="77777777" w:rsidR="00AB2889" w:rsidRPr="00AB2889" w:rsidRDefault="00AB2889" w:rsidP="00AB2889">
      <w:pPr>
        <w:tabs>
          <w:tab w:val="left" w:pos="851"/>
          <w:tab w:val="left" w:pos="8222"/>
        </w:tabs>
        <w:ind w:left="851"/>
        <w:rPr>
          <w:sz w:val="24"/>
          <w:szCs w:val="24"/>
        </w:rPr>
      </w:pPr>
      <w:r w:rsidRPr="00AB2889">
        <w:rPr>
          <w:sz w:val="24"/>
          <w:szCs w:val="24"/>
        </w:rPr>
        <w:t>Ingen kendte.</w:t>
      </w:r>
    </w:p>
    <w:p w14:paraId="0B9858C8" w14:textId="77777777" w:rsidR="005B0036" w:rsidRPr="00912F18" w:rsidRDefault="005B0036" w:rsidP="005B0036">
      <w:pPr>
        <w:tabs>
          <w:tab w:val="left" w:pos="851"/>
          <w:tab w:val="left" w:pos="8222"/>
        </w:tabs>
        <w:ind w:left="851"/>
        <w:rPr>
          <w:sz w:val="24"/>
          <w:szCs w:val="24"/>
        </w:rPr>
      </w:pPr>
    </w:p>
    <w:p w14:paraId="6E92B1EB" w14:textId="77777777" w:rsidR="005B0036" w:rsidRPr="00912F18" w:rsidRDefault="005B0036" w:rsidP="005B0036">
      <w:pPr>
        <w:tabs>
          <w:tab w:val="left" w:pos="851"/>
          <w:tab w:val="left" w:pos="8222"/>
        </w:tabs>
        <w:rPr>
          <w:b/>
          <w:sz w:val="24"/>
          <w:szCs w:val="24"/>
        </w:rPr>
      </w:pPr>
      <w:r w:rsidRPr="00912F18">
        <w:rPr>
          <w:b/>
          <w:sz w:val="24"/>
          <w:szCs w:val="24"/>
        </w:rPr>
        <w:t>4.9</w:t>
      </w:r>
      <w:r w:rsidRPr="00912F18">
        <w:rPr>
          <w:b/>
          <w:sz w:val="24"/>
          <w:szCs w:val="24"/>
        </w:rPr>
        <w:tab/>
        <w:t>Dosering og indgivelsesmåde</w:t>
      </w:r>
    </w:p>
    <w:p w14:paraId="152E11AC" w14:textId="77777777" w:rsidR="007B4D9D" w:rsidRPr="007B4D9D" w:rsidRDefault="007B4D9D" w:rsidP="007B4D9D">
      <w:pPr>
        <w:tabs>
          <w:tab w:val="left" w:pos="851"/>
          <w:tab w:val="left" w:pos="8222"/>
        </w:tabs>
        <w:ind w:left="851"/>
        <w:rPr>
          <w:sz w:val="24"/>
          <w:szCs w:val="24"/>
        </w:rPr>
      </w:pPr>
      <w:r w:rsidRPr="007B4D9D">
        <w:rPr>
          <w:sz w:val="24"/>
          <w:szCs w:val="24"/>
        </w:rPr>
        <w:t xml:space="preserve">Intramuskulær anvendelse. </w:t>
      </w:r>
    </w:p>
    <w:p w14:paraId="2368A04B" w14:textId="77777777" w:rsidR="007B4D9D" w:rsidRPr="007B4D9D" w:rsidRDefault="007B4D9D" w:rsidP="007B4D9D">
      <w:pPr>
        <w:tabs>
          <w:tab w:val="left" w:pos="851"/>
          <w:tab w:val="left" w:pos="8222"/>
        </w:tabs>
        <w:ind w:left="851"/>
        <w:rPr>
          <w:sz w:val="24"/>
          <w:szCs w:val="24"/>
        </w:rPr>
      </w:pPr>
    </w:p>
    <w:p w14:paraId="7FDA288C" w14:textId="77777777" w:rsidR="007B4D9D" w:rsidRPr="007B4D9D" w:rsidRDefault="007B4D9D" w:rsidP="007B4D9D">
      <w:pPr>
        <w:tabs>
          <w:tab w:val="left" w:pos="851"/>
          <w:tab w:val="left" w:pos="8222"/>
        </w:tabs>
        <w:ind w:left="851"/>
        <w:rPr>
          <w:sz w:val="24"/>
          <w:szCs w:val="24"/>
        </w:rPr>
      </w:pPr>
      <w:r w:rsidRPr="007B4D9D">
        <w:rPr>
          <w:sz w:val="24"/>
          <w:szCs w:val="24"/>
        </w:rPr>
        <w:t xml:space="preserve">En enkelt intramuskulær injektion med 2,5 mg </w:t>
      </w:r>
      <w:proofErr w:type="spellStart"/>
      <w:r w:rsidRPr="007B4D9D">
        <w:rPr>
          <w:sz w:val="24"/>
          <w:szCs w:val="24"/>
        </w:rPr>
        <w:t>tulathromycin</w:t>
      </w:r>
      <w:proofErr w:type="spellEnd"/>
      <w:r w:rsidRPr="007B4D9D">
        <w:rPr>
          <w:sz w:val="24"/>
          <w:szCs w:val="24"/>
        </w:rPr>
        <w:t xml:space="preserve">/kg legemsvægt (svarende til 1 ml/10 kg legemsvægt) i nakkemusklen. </w:t>
      </w:r>
    </w:p>
    <w:p w14:paraId="6F5271C0" w14:textId="77777777" w:rsidR="007B4D9D" w:rsidRPr="007B4D9D" w:rsidRDefault="007B4D9D" w:rsidP="007B4D9D">
      <w:pPr>
        <w:tabs>
          <w:tab w:val="left" w:pos="851"/>
          <w:tab w:val="left" w:pos="8222"/>
        </w:tabs>
        <w:ind w:left="851"/>
        <w:rPr>
          <w:sz w:val="24"/>
          <w:szCs w:val="24"/>
        </w:rPr>
      </w:pPr>
      <w:r w:rsidRPr="007B4D9D">
        <w:rPr>
          <w:sz w:val="24"/>
          <w:szCs w:val="24"/>
        </w:rPr>
        <w:t xml:space="preserve"> </w:t>
      </w:r>
    </w:p>
    <w:p w14:paraId="48E2CC5C" w14:textId="77777777" w:rsidR="007B4D9D" w:rsidRPr="007B4D9D" w:rsidRDefault="007B4D9D" w:rsidP="007B4D9D">
      <w:pPr>
        <w:tabs>
          <w:tab w:val="left" w:pos="851"/>
          <w:tab w:val="left" w:pos="8222"/>
        </w:tabs>
        <w:ind w:left="851"/>
        <w:rPr>
          <w:sz w:val="24"/>
          <w:szCs w:val="24"/>
        </w:rPr>
      </w:pPr>
      <w:r w:rsidRPr="007B4D9D">
        <w:rPr>
          <w:sz w:val="24"/>
          <w:szCs w:val="24"/>
        </w:rPr>
        <w:t xml:space="preserve">Til behandling af svin over 40 kg legemsvægt deles dosen således at ikke mere end 4 ml bliver injiceret på samme sted. </w:t>
      </w:r>
    </w:p>
    <w:p w14:paraId="3FC6B7C5" w14:textId="77777777" w:rsidR="007B4D9D" w:rsidRPr="007B4D9D" w:rsidRDefault="007B4D9D" w:rsidP="007B4D9D">
      <w:pPr>
        <w:tabs>
          <w:tab w:val="left" w:pos="851"/>
          <w:tab w:val="left" w:pos="8222"/>
        </w:tabs>
        <w:ind w:left="851"/>
        <w:rPr>
          <w:sz w:val="24"/>
          <w:szCs w:val="24"/>
        </w:rPr>
      </w:pPr>
      <w:r w:rsidRPr="007B4D9D">
        <w:rPr>
          <w:sz w:val="24"/>
          <w:szCs w:val="24"/>
        </w:rPr>
        <w:t xml:space="preserve"> </w:t>
      </w:r>
    </w:p>
    <w:p w14:paraId="4584CBF2" w14:textId="3E33ACA1" w:rsidR="007B4D9D" w:rsidRPr="007B4D9D" w:rsidRDefault="007B4D9D" w:rsidP="007B4D9D">
      <w:pPr>
        <w:tabs>
          <w:tab w:val="left" w:pos="851"/>
          <w:tab w:val="left" w:pos="8222"/>
        </w:tabs>
        <w:ind w:left="851"/>
        <w:rPr>
          <w:sz w:val="24"/>
          <w:szCs w:val="24"/>
        </w:rPr>
      </w:pPr>
      <w:r w:rsidRPr="007B4D9D">
        <w:rPr>
          <w:sz w:val="24"/>
          <w:szCs w:val="24"/>
        </w:rPr>
        <w:t xml:space="preserve">For alle luftvejsinfektioner anbefales det at behandle dyrene i den tidlige fase af sygdomsforløbet og at vurdere virkningen indenfor 48 timer efter injektionen. Hvis de kliniske tegn på luftvejsinfektion fortsætter eller forværres, eller hvis der er tilbagefald, så bør der behandles med et andet antibiotikum og fortsættes hermed indtil de kliniske tegn er forsvundet. </w:t>
      </w:r>
    </w:p>
    <w:p w14:paraId="1290D26B" w14:textId="77777777" w:rsidR="007B4D9D" w:rsidRPr="007B4D9D" w:rsidRDefault="007B4D9D" w:rsidP="007B4D9D">
      <w:pPr>
        <w:tabs>
          <w:tab w:val="left" w:pos="851"/>
          <w:tab w:val="left" w:pos="8222"/>
        </w:tabs>
        <w:ind w:left="851"/>
        <w:rPr>
          <w:sz w:val="24"/>
          <w:szCs w:val="24"/>
        </w:rPr>
      </w:pPr>
      <w:r w:rsidRPr="007B4D9D">
        <w:rPr>
          <w:sz w:val="24"/>
          <w:szCs w:val="24"/>
        </w:rPr>
        <w:t xml:space="preserve"> </w:t>
      </w:r>
    </w:p>
    <w:p w14:paraId="58E4FBA2" w14:textId="77777777" w:rsidR="007B4D9D" w:rsidRPr="007B4D9D" w:rsidRDefault="007B4D9D" w:rsidP="007B4D9D">
      <w:pPr>
        <w:tabs>
          <w:tab w:val="left" w:pos="851"/>
          <w:tab w:val="left" w:pos="8222"/>
        </w:tabs>
        <w:ind w:left="851"/>
        <w:rPr>
          <w:sz w:val="24"/>
          <w:szCs w:val="24"/>
        </w:rPr>
      </w:pPr>
      <w:r w:rsidRPr="007B4D9D">
        <w:rPr>
          <w:sz w:val="24"/>
          <w:szCs w:val="24"/>
        </w:rPr>
        <w:t xml:space="preserve">For at sikre korrekt dosering skal legemsvægten bestemmes så præcist som muligt for at undgå underdosering. Det er sikkert at punktere proppen op til 100 gange.  </w:t>
      </w:r>
    </w:p>
    <w:p w14:paraId="6396487F" w14:textId="77777777" w:rsidR="007B4D9D" w:rsidRPr="007B4D9D" w:rsidRDefault="007B4D9D" w:rsidP="007B4D9D">
      <w:pPr>
        <w:tabs>
          <w:tab w:val="left" w:pos="851"/>
          <w:tab w:val="left" w:pos="8222"/>
        </w:tabs>
        <w:ind w:left="851"/>
        <w:rPr>
          <w:sz w:val="24"/>
          <w:szCs w:val="24"/>
        </w:rPr>
      </w:pPr>
      <w:r w:rsidRPr="007B4D9D">
        <w:rPr>
          <w:sz w:val="24"/>
          <w:szCs w:val="24"/>
        </w:rPr>
        <w:t xml:space="preserve">Det anbefales at benytte en aspirationskanyle eller automatsprøjte ved gentagne udtag fra beholder for at undgå overdreven gennemhulning af proppen. </w:t>
      </w:r>
    </w:p>
    <w:p w14:paraId="4C1EA19A" w14:textId="77777777" w:rsidR="005B0036" w:rsidRPr="00912F18" w:rsidRDefault="005B0036" w:rsidP="005B0036">
      <w:pPr>
        <w:tabs>
          <w:tab w:val="left" w:pos="851"/>
          <w:tab w:val="left" w:pos="8222"/>
        </w:tabs>
        <w:ind w:left="851"/>
        <w:rPr>
          <w:sz w:val="24"/>
          <w:szCs w:val="24"/>
        </w:rPr>
      </w:pPr>
    </w:p>
    <w:p w14:paraId="4E2A6550" w14:textId="77777777" w:rsidR="005B0036" w:rsidRPr="00912F18" w:rsidRDefault="005B0036" w:rsidP="005B0036">
      <w:pPr>
        <w:tabs>
          <w:tab w:val="left" w:pos="851"/>
          <w:tab w:val="left" w:pos="8222"/>
        </w:tabs>
        <w:rPr>
          <w:b/>
          <w:sz w:val="24"/>
          <w:szCs w:val="24"/>
        </w:rPr>
      </w:pPr>
      <w:r w:rsidRPr="00912F18">
        <w:rPr>
          <w:b/>
          <w:sz w:val="24"/>
          <w:szCs w:val="24"/>
        </w:rPr>
        <w:t>4.10</w:t>
      </w:r>
      <w:r w:rsidRPr="00912F18">
        <w:rPr>
          <w:b/>
          <w:sz w:val="24"/>
          <w:szCs w:val="24"/>
        </w:rPr>
        <w:tab/>
        <w:t>Overdosering</w:t>
      </w:r>
    </w:p>
    <w:p w14:paraId="5589E9BE" w14:textId="17AEC2E9" w:rsidR="00263169" w:rsidRPr="00912F18" w:rsidRDefault="00263169" w:rsidP="00095526">
      <w:pPr>
        <w:ind w:left="851" w:right="7"/>
        <w:rPr>
          <w:sz w:val="24"/>
          <w:szCs w:val="24"/>
        </w:rPr>
      </w:pPr>
      <w:r w:rsidRPr="00912F18">
        <w:rPr>
          <w:sz w:val="24"/>
          <w:szCs w:val="24"/>
        </w:rPr>
        <w:t xml:space="preserve">Hos unge svin der vejede ca. 10 kg, blev der efter indgift af tre eller fem gange den terapeutiske dosis observeret forbigående tegn på ubehag på injektionsstedet som inkluderede overdreven vokalisering og rastløshed. </w:t>
      </w:r>
      <w:proofErr w:type="spellStart"/>
      <w:r w:rsidRPr="00912F18">
        <w:rPr>
          <w:sz w:val="24"/>
          <w:szCs w:val="24"/>
        </w:rPr>
        <w:t>Halthed</w:t>
      </w:r>
      <w:proofErr w:type="spellEnd"/>
      <w:r w:rsidRPr="00912F18">
        <w:rPr>
          <w:sz w:val="24"/>
          <w:szCs w:val="24"/>
        </w:rPr>
        <w:t xml:space="preserve"> blev også observeret ved injektion i bagbenet. </w:t>
      </w:r>
    </w:p>
    <w:p w14:paraId="2CDB97AC" w14:textId="77777777" w:rsidR="005B0036" w:rsidRPr="00912F18" w:rsidRDefault="005B0036" w:rsidP="005B0036">
      <w:pPr>
        <w:tabs>
          <w:tab w:val="left" w:pos="851"/>
          <w:tab w:val="left" w:pos="8222"/>
        </w:tabs>
        <w:ind w:left="851"/>
        <w:rPr>
          <w:sz w:val="24"/>
          <w:szCs w:val="24"/>
        </w:rPr>
      </w:pPr>
    </w:p>
    <w:p w14:paraId="7F567AB8" w14:textId="77777777" w:rsidR="005B0036" w:rsidRPr="00912F18" w:rsidRDefault="005B0036" w:rsidP="005B0036">
      <w:pPr>
        <w:tabs>
          <w:tab w:val="left" w:pos="851"/>
          <w:tab w:val="left" w:pos="8222"/>
        </w:tabs>
        <w:rPr>
          <w:b/>
          <w:sz w:val="24"/>
          <w:szCs w:val="24"/>
        </w:rPr>
      </w:pPr>
      <w:r w:rsidRPr="00912F18">
        <w:rPr>
          <w:b/>
          <w:sz w:val="24"/>
          <w:szCs w:val="24"/>
        </w:rPr>
        <w:t>4.11</w:t>
      </w:r>
      <w:r w:rsidRPr="00912F18">
        <w:rPr>
          <w:b/>
          <w:sz w:val="24"/>
          <w:szCs w:val="24"/>
        </w:rPr>
        <w:tab/>
        <w:t>Tilbageholdelsestid</w:t>
      </w:r>
    </w:p>
    <w:p w14:paraId="4498B315" w14:textId="77777777" w:rsidR="00263169" w:rsidRPr="00912F18" w:rsidRDefault="00263169" w:rsidP="00095526">
      <w:pPr>
        <w:ind w:left="851" w:right="7"/>
        <w:rPr>
          <w:sz w:val="24"/>
          <w:szCs w:val="24"/>
        </w:rPr>
      </w:pPr>
      <w:r w:rsidRPr="00912F18">
        <w:rPr>
          <w:sz w:val="24"/>
          <w:szCs w:val="24"/>
        </w:rPr>
        <w:t xml:space="preserve">Slagtning: 13 dage. </w:t>
      </w:r>
    </w:p>
    <w:p w14:paraId="59815911" w14:textId="77777777" w:rsidR="005B0036" w:rsidRPr="00912F18" w:rsidRDefault="005B0036" w:rsidP="005B0036">
      <w:pPr>
        <w:pStyle w:val="Sidehoved"/>
        <w:tabs>
          <w:tab w:val="clear" w:pos="4819"/>
          <w:tab w:val="left" w:pos="8222"/>
        </w:tabs>
        <w:ind w:left="851"/>
        <w:rPr>
          <w:szCs w:val="24"/>
        </w:rPr>
      </w:pPr>
    </w:p>
    <w:p w14:paraId="5242BA57" w14:textId="77777777" w:rsidR="005B0036" w:rsidRPr="00912F18" w:rsidRDefault="005B0036" w:rsidP="005B0036">
      <w:pPr>
        <w:tabs>
          <w:tab w:val="left" w:pos="851"/>
          <w:tab w:val="left" w:pos="8222"/>
        </w:tabs>
        <w:ind w:left="851"/>
        <w:rPr>
          <w:sz w:val="24"/>
          <w:szCs w:val="24"/>
        </w:rPr>
      </w:pPr>
    </w:p>
    <w:p w14:paraId="64F37B49" w14:textId="175ABD42" w:rsidR="005B0036" w:rsidRPr="00564943" w:rsidRDefault="005B0036" w:rsidP="005B0036">
      <w:pPr>
        <w:tabs>
          <w:tab w:val="left" w:pos="8222"/>
        </w:tabs>
        <w:ind w:left="851" w:hanging="851"/>
        <w:rPr>
          <w:b/>
          <w:sz w:val="24"/>
          <w:szCs w:val="24"/>
        </w:rPr>
      </w:pPr>
      <w:r w:rsidRPr="00564943">
        <w:rPr>
          <w:b/>
          <w:sz w:val="24"/>
          <w:szCs w:val="24"/>
        </w:rPr>
        <w:t>5.</w:t>
      </w:r>
      <w:r w:rsidRPr="00564943">
        <w:rPr>
          <w:b/>
          <w:sz w:val="24"/>
          <w:szCs w:val="24"/>
        </w:rPr>
        <w:tab/>
        <w:t>FARMAKOLOGISKE EGENSKABER</w:t>
      </w:r>
    </w:p>
    <w:p w14:paraId="6BCD9DFF" w14:textId="77777777" w:rsidR="005B0036" w:rsidRPr="00564943" w:rsidRDefault="005B0036" w:rsidP="005B0036">
      <w:pPr>
        <w:tabs>
          <w:tab w:val="left" w:pos="8222"/>
        </w:tabs>
        <w:ind w:left="851"/>
        <w:rPr>
          <w:sz w:val="24"/>
          <w:szCs w:val="24"/>
        </w:rPr>
      </w:pPr>
    </w:p>
    <w:p w14:paraId="75CCC26E" w14:textId="5408315E" w:rsidR="00263169" w:rsidRPr="00564943" w:rsidRDefault="00263169" w:rsidP="00095526">
      <w:pPr>
        <w:ind w:left="851" w:right="1282"/>
        <w:rPr>
          <w:sz w:val="24"/>
          <w:szCs w:val="24"/>
        </w:rPr>
      </w:pPr>
      <w:proofErr w:type="spellStart"/>
      <w:r w:rsidRPr="00564943">
        <w:rPr>
          <w:sz w:val="24"/>
          <w:szCs w:val="24"/>
        </w:rPr>
        <w:t>Farmakoterapeutisk</w:t>
      </w:r>
      <w:proofErr w:type="spellEnd"/>
      <w:r w:rsidRPr="00564943">
        <w:rPr>
          <w:sz w:val="24"/>
          <w:szCs w:val="24"/>
        </w:rPr>
        <w:t xml:space="preserve"> gruppe: Antibakteri</w:t>
      </w:r>
      <w:r w:rsidR="0096130B">
        <w:rPr>
          <w:sz w:val="24"/>
          <w:szCs w:val="24"/>
        </w:rPr>
        <w:t xml:space="preserve">elle midler </w:t>
      </w:r>
      <w:r w:rsidRPr="00564943">
        <w:rPr>
          <w:sz w:val="24"/>
          <w:szCs w:val="24"/>
        </w:rPr>
        <w:t xml:space="preserve">til systemisk brug, </w:t>
      </w:r>
      <w:proofErr w:type="spellStart"/>
      <w:r w:rsidRPr="00564943">
        <w:rPr>
          <w:sz w:val="24"/>
          <w:szCs w:val="24"/>
        </w:rPr>
        <w:t>ma</w:t>
      </w:r>
      <w:r w:rsidR="00B92799">
        <w:rPr>
          <w:sz w:val="24"/>
          <w:szCs w:val="24"/>
        </w:rPr>
        <w:t>c</w:t>
      </w:r>
      <w:r w:rsidRPr="00564943">
        <w:rPr>
          <w:sz w:val="24"/>
          <w:szCs w:val="24"/>
        </w:rPr>
        <w:t>rolider</w:t>
      </w:r>
      <w:proofErr w:type="spellEnd"/>
      <w:r w:rsidRPr="00564943">
        <w:rPr>
          <w:sz w:val="24"/>
          <w:szCs w:val="24"/>
        </w:rPr>
        <w:t xml:space="preserve">. </w:t>
      </w:r>
      <w:proofErr w:type="spellStart"/>
      <w:r w:rsidRPr="00564943">
        <w:rPr>
          <w:sz w:val="24"/>
          <w:szCs w:val="24"/>
        </w:rPr>
        <w:t>ATCvet</w:t>
      </w:r>
      <w:proofErr w:type="spellEnd"/>
      <w:r w:rsidRPr="00564943">
        <w:rPr>
          <w:sz w:val="24"/>
          <w:szCs w:val="24"/>
        </w:rPr>
        <w:t>-kode: QJ</w:t>
      </w:r>
      <w:r w:rsidR="0096130B">
        <w:rPr>
          <w:sz w:val="24"/>
          <w:szCs w:val="24"/>
        </w:rPr>
        <w:t xml:space="preserve"> </w:t>
      </w:r>
      <w:r w:rsidRPr="00564943">
        <w:rPr>
          <w:sz w:val="24"/>
          <w:szCs w:val="24"/>
        </w:rPr>
        <w:t>01</w:t>
      </w:r>
      <w:r w:rsidR="0096130B">
        <w:rPr>
          <w:sz w:val="24"/>
          <w:szCs w:val="24"/>
        </w:rPr>
        <w:t xml:space="preserve"> </w:t>
      </w:r>
      <w:r w:rsidRPr="00564943">
        <w:rPr>
          <w:sz w:val="24"/>
          <w:szCs w:val="24"/>
        </w:rPr>
        <w:t>FA</w:t>
      </w:r>
      <w:r w:rsidR="0096130B">
        <w:rPr>
          <w:sz w:val="24"/>
          <w:szCs w:val="24"/>
        </w:rPr>
        <w:t xml:space="preserve"> </w:t>
      </w:r>
      <w:r w:rsidRPr="00564943">
        <w:rPr>
          <w:sz w:val="24"/>
          <w:szCs w:val="24"/>
        </w:rPr>
        <w:t xml:space="preserve">94. </w:t>
      </w:r>
    </w:p>
    <w:p w14:paraId="28E606B8" w14:textId="77777777" w:rsidR="005B0036" w:rsidRPr="00564943" w:rsidRDefault="005B0036" w:rsidP="005B0036">
      <w:pPr>
        <w:tabs>
          <w:tab w:val="left" w:pos="8222"/>
        </w:tabs>
        <w:ind w:left="851"/>
        <w:rPr>
          <w:sz w:val="24"/>
          <w:szCs w:val="24"/>
        </w:rPr>
      </w:pPr>
    </w:p>
    <w:p w14:paraId="1B9C8D6C" w14:textId="0F1B567C" w:rsidR="005B0036" w:rsidRPr="00564943" w:rsidRDefault="005B0036" w:rsidP="005B0036">
      <w:pPr>
        <w:tabs>
          <w:tab w:val="left" w:pos="851"/>
          <w:tab w:val="left" w:pos="8222"/>
        </w:tabs>
        <w:rPr>
          <w:b/>
          <w:sz w:val="24"/>
          <w:szCs w:val="24"/>
        </w:rPr>
      </w:pPr>
      <w:r w:rsidRPr="00564943">
        <w:rPr>
          <w:b/>
          <w:sz w:val="24"/>
          <w:szCs w:val="24"/>
        </w:rPr>
        <w:t>5.1</w:t>
      </w:r>
      <w:r w:rsidRPr="00564943">
        <w:rPr>
          <w:b/>
          <w:sz w:val="24"/>
          <w:szCs w:val="24"/>
        </w:rPr>
        <w:tab/>
      </w:r>
      <w:proofErr w:type="spellStart"/>
      <w:r w:rsidRPr="00564943">
        <w:rPr>
          <w:b/>
          <w:sz w:val="24"/>
          <w:szCs w:val="24"/>
        </w:rPr>
        <w:t>Farmakodynamiske</w:t>
      </w:r>
      <w:proofErr w:type="spellEnd"/>
      <w:r w:rsidRPr="00564943">
        <w:rPr>
          <w:b/>
          <w:sz w:val="24"/>
          <w:szCs w:val="24"/>
        </w:rPr>
        <w:t xml:space="preserve"> egenskaber</w:t>
      </w:r>
    </w:p>
    <w:p w14:paraId="1C2B234D" w14:textId="77777777" w:rsidR="007B4D9D" w:rsidRPr="007B4D9D" w:rsidRDefault="007B4D9D" w:rsidP="007B4D9D">
      <w:pPr>
        <w:tabs>
          <w:tab w:val="left" w:pos="851"/>
          <w:tab w:val="left" w:pos="8222"/>
        </w:tabs>
        <w:ind w:left="851"/>
        <w:rPr>
          <w:sz w:val="24"/>
          <w:szCs w:val="24"/>
        </w:rPr>
      </w:pPr>
      <w:proofErr w:type="spellStart"/>
      <w:r w:rsidRPr="007B4D9D">
        <w:rPr>
          <w:sz w:val="24"/>
          <w:szCs w:val="24"/>
        </w:rPr>
        <w:t>Tulathromycin</w:t>
      </w:r>
      <w:proofErr w:type="spellEnd"/>
      <w:r w:rsidRPr="007B4D9D">
        <w:rPr>
          <w:sz w:val="24"/>
          <w:szCs w:val="24"/>
        </w:rPr>
        <w:t xml:space="preserve"> er et semisyntetisk </w:t>
      </w:r>
      <w:proofErr w:type="spellStart"/>
      <w:r w:rsidRPr="007B4D9D">
        <w:rPr>
          <w:sz w:val="24"/>
          <w:szCs w:val="24"/>
        </w:rPr>
        <w:t>macrolidt</w:t>
      </w:r>
      <w:proofErr w:type="spellEnd"/>
      <w:r w:rsidRPr="007B4D9D">
        <w:rPr>
          <w:sz w:val="24"/>
          <w:szCs w:val="24"/>
        </w:rPr>
        <w:t xml:space="preserve"> antimikrobielt stof, som stammer fra et fermenteringsprodukt. Det adskiller sig fra mange andre </w:t>
      </w:r>
      <w:proofErr w:type="spellStart"/>
      <w:r w:rsidRPr="007B4D9D">
        <w:rPr>
          <w:sz w:val="24"/>
          <w:szCs w:val="24"/>
        </w:rPr>
        <w:t>macrolider</w:t>
      </w:r>
      <w:proofErr w:type="spellEnd"/>
      <w:r w:rsidRPr="007B4D9D">
        <w:rPr>
          <w:sz w:val="24"/>
          <w:szCs w:val="24"/>
        </w:rPr>
        <w:t xml:space="preserve"> ved den lange virkningstid som delvist skyldes stoffets tre aminogrupper. Derfor er det tildelt den kemiske undergruppebetegnelse </w:t>
      </w:r>
      <w:proofErr w:type="spellStart"/>
      <w:r w:rsidRPr="007B4D9D">
        <w:rPr>
          <w:sz w:val="24"/>
          <w:szCs w:val="24"/>
        </w:rPr>
        <w:t>triamilid</w:t>
      </w:r>
      <w:proofErr w:type="spellEnd"/>
      <w:r w:rsidRPr="007B4D9D">
        <w:rPr>
          <w:sz w:val="24"/>
          <w:szCs w:val="24"/>
        </w:rPr>
        <w:t xml:space="preserve">. </w:t>
      </w:r>
    </w:p>
    <w:p w14:paraId="3DF6115F" w14:textId="77777777" w:rsidR="007B4D9D" w:rsidRPr="007B4D9D" w:rsidRDefault="007B4D9D" w:rsidP="007B4D9D">
      <w:pPr>
        <w:tabs>
          <w:tab w:val="left" w:pos="851"/>
          <w:tab w:val="left" w:pos="8222"/>
        </w:tabs>
        <w:ind w:left="851"/>
        <w:rPr>
          <w:sz w:val="24"/>
          <w:szCs w:val="24"/>
        </w:rPr>
      </w:pPr>
      <w:proofErr w:type="spellStart"/>
      <w:r w:rsidRPr="007B4D9D">
        <w:rPr>
          <w:sz w:val="24"/>
          <w:szCs w:val="24"/>
        </w:rPr>
        <w:t>Macrolider</w:t>
      </w:r>
      <w:proofErr w:type="spellEnd"/>
      <w:r w:rsidRPr="007B4D9D">
        <w:rPr>
          <w:sz w:val="24"/>
          <w:szCs w:val="24"/>
        </w:rPr>
        <w:t xml:space="preserve"> er antibiotika med </w:t>
      </w:r>
      <w:proofErr w:type="spellStart"/>
      <w:r w:rsidRPr="007B4D9D">
        <w:rPr>
          <w:sz w:val="24"/>
          <w:szCs w:val="24"/>
        </w:rPr>
        <w:t>bakteriostatisk</w:t>
      </w:r>
      <w:proofErr w:type="spellEnd"/>
      <w:r w:rsidRPr="007B4D9D">
        <w:rPr>
          <w:sz w:val="24"/>
          <w:szCs w:val="24"/>
        </w:rPr>
        <w:t xml:space="preserve"> virkning som hæmmer vigtige proteinbiosynteser gennem selektiv binding til bakterielt ribosomalt RNA. De virker ved at stimulere spaltningen af </w:t>
      </w:r>
      <w:proofErr w:type="spellStart"/>
      <w:r w:rsidRPr="007B4D9D">
        <w:rPr>
          <w:sz w:val="24"/>
          <w:szCs w:val="24"/>
        </w:rPr>
        <w:t>peptidyl</w:t>
      </w:r>
      <w:proofErr w:type="spellEnd"/>
      <w:r w:rsidRPr="007B4D9D">
        <w:rPr>
          <w:sz w:val="24"/>
          <w:szCs w:val="24"/>
        </w:rPr>
        <w:t xml:space="preserve">-tRNA fra ribosomerne under translokationsprocessen. </w:t>
      </w:r>
    </w:p>
    <w:p w14:paraId="24053F88" w14:textId="77777777" w:rsidR="007B4D9D" w:rsidRPr="007B4D9D" w:rsidRDefault="007B4D9D" w:rsidP="007B4D9D">
      <w:pPr>
        <w:tabs>
          <w:tab w:val="left" w:pos="851"/>
          <w:tab w:val="left" w:pos="8222"/>
        </w:tabs>
        <w:ind w:left="851"/>
        <w:rPr>
          <w:sz w:val="24"/>
          <w:szCs w:val="24"/>
        </w:rPr>
      </w:pPr>
      <w:r w:rsidRPr="007B4D9D">
        <w:rPr>
          <w:sz w:val="24"/>
          <w:szCs w:val="24"/>
        </w:rPr>
        <w:t xml:space="preserve"> </w:t>
      </w:r>
    </w:p>
    <w:p w14:paraId="78630BF6" w14:textId="77777777" w:rsidR="007B4D9D" w:rsidRPr="007B4D9D" w:rsidRDefault="007B4D9D" w:rsidP="007B4D9D">
      <w:pPr>
        <w:tabs>
          <w:tab w:val="left" w:pos="851"/>
          <w:tab w:val="left" w:pos="8222"/>
        </w:tabs>
        <w:ind w:left="851"/>
        <w:rPr>
          <w:sz w:val="24"/>
          <w:szCs w:val="24"/>
        </w:rPr>
      </w:pPr>
      <w:proofErr w:type="spellStart"/>
      <w:r w:rsidRPr="007B4D9D">
        <w:rPr>
          <w:sz w:val="24"/>
          <w:szCs w:val="24"/>
        </w:rPr>
        <w:t>Tulathromycin</w:t>
      </w:r>
      <w:proofErr w:type="spellEnd"/>
      <w:r w:rsidRPr="007B4D9D">
        <w:rPr>
          <w:sz w:val="24"/>
          <w:szCs w:val="24"/>
        </w:rPr>
        <w:t xml:space="preserve"> er aktivt </w:t>
      </w:r>
      <w:r w:rsidRPr="007B4D9D">
        <w:rPr>
          <w:i/>
          <w:sz w:val="24"/>
          <w:szCs w:val="24"/>
        </w:rPr>
        <w:t xml:space="preserve">in </w:t>
      </w:r>
      <w:proofErr w:type="spellStart"/>
      <w:r w:rsidRPr="007B4D9D">
        <w:rPr>
          <w:i/>
          <w:sz w:val="24"/>
          <w:szCs w:val="24"/>
        </w:rPr>
        <w:t>vitro</w:t>
      </w:r>
      <w:proofErr w:type="spellEnd"/>
      <w:r w:rsidRPr="007B4D9D">
        <w:rPr>
          <w:sz w:val="24"/>
          <w:szCs w:val="24"/>
        </w:rPr>
        <w:t xml:space="preserve"> mod </w:t>
      </w:r>
      <w:proofErr w:type="spellStart"/>
      <w:r w:rsidRPr="007B4D9D">
        <w:rPr>
          <w:i/>
          <w:sz w:val="24"/>
          <w:szCs w:val="24"/>
        </w:rPr>
        <w:t>Actinobacillus</w:t>
      </w:r>
      <w:proofErr w:type="spellEnd"/>
      <w:r w:rsidRPr="007B4D9D">
        <w:rPr>
          <w:i/>
          <w:sz w:val="24"/>
          <w:szCs w:val="24"/>
        </w:rPr>
        <w:t xml:space="preserve"> </w:t>
      </w:r>
      <w:proofErr w:type="spellStart"/>
      <w:r w:rsidRPr="007B4D9D">
        <w:rPr>
          <w:i/>
          <w:sz w:val="24"/>
          <w:szCs w:val="24"/>
        </w:rPr>
        <w:t>pleuropneumoniae</w:t>
      </w:r>
      <w:proofErr w:type="spellEnd"/>
      <w:r w:rsidRPr="007B4D9D">
        <w:rPr>
          <w:sz w:val="24"/>
          <w:szCs w:val="24"/>
        </w:rPr>
        <w:t xml:space="preserve">, </w:t>
      </w:r>
      <w:proofErr w:type="spellStart"/>
      <w:r w:rsidRPr="007B4D9D">
        <w:rPr>
          <w:i/>
          <w:sz w:val="24"/>
          <w:szCs w:val="24"/>
        </w:rPr>
        <w:t>Pasteurella</w:t>
      </w:r>
      <w:proofErr w:type="spellEnd"/>
      <w:r w:rsidRPr="007B4D9D">
        <w:rPr>
          <w:i/>
          <w:sz w:val="24"/>
          <w:szCs w:val="24"/>
        </w:rPr>
        <w:t xml:space="preserve"> </w:t>
      </w:r>
      <w:proofErr w:type="spellStart"/>
      <w:r w:rsidRPr="007B4D9D">
        <w:rPr>
          <w:i/>
          <w:sz w:val="24"/>
          <w:szCs w:val="24"/>
        </w:rPr>
        <w:t>multocida</w:t>
      </w:r>
      <w:proofErr w:type="spellEnd"/>
      <w:r w:rsidRPr="007B4D9D">
        <w:rPr>
          <w:i/>
          <w:sz w:val="24"/>
          <w:szCs w:val="24"/>
        </w:rPr>
        <w:t xml:space="preserve">, </w:t>
      </w:r>
      <w:proofErr w:type="spellStart"/>
      <w:r w:rsidRPr="007B4D9D">
        <w:rPr>
          <w:i/>
          <w:sz w:val="24"/>
          <w:szCs w:val="24"/>
        </w:rPr>
        <w:t>Mycoplasma</w:t>
      </w:r>
      <w:proofErr w:type="spellEnd"/>
      <w:r w:rsidRPr="007B4D9D">
        <w:rPr>
          <w:i/>
          <w:sz w:val="24"/>
          <w:szCs w:val="24"/>
        </w:rPr>
        <w:t xml:space="preserve"> </w:t>
      </w:r>
      <w:proofErr w:type="spellStart"/>
      <w:r w:rsidRPr="007B4D9D">
        <w:rPr>
          <w:i/>
          <w:sz w:val="24"/>
          <w:szCs w:val="24"/>
        </w:rPr>
        <w:t>hyopneumoniae</w:t>
      </w:r>
      <w:proofErr w:type="spellEnd"/>
      <w:r w:rsidRPr="007B4D9D">
        <w:rPr>
          <w:sz w:val="24"/>
          <w:szCs w:val="24"/>
        </w:rPr>
        <w:t xml:space="preserve">, </w:t>
      </w:r>
      <w:proofErr w:type="spellStart"/>
      <w:r w:rsidRPr="007B4D9D">
        <w:rPr>
          <w:i/>
          <w:sz w:val="24"/>
          <w:szCs w:val="24"/>
        </w:rPr>
        <w:t>Haemophilus</w:t>
      </w:r>
      <w:proofErr w:type="spellEnd"/>
      <w:r w:rsidRPr="007B4D9D">
        <w:rPr>
          <w:i/>
          <w:sz w:val="24"/>
          <w:szCs w:val="24"/>
        </w:rPr>
        <w:t xml:space="preserve"> </w:t>
      </w:r>
      <w:proofErr w:type="spellStart"/>
      <w:r w:rsidRPr="007B4D9D">
        <w:rPr>
          <w:i/>
          <w:sz w:val="24"/>
          <w:szCs w:val="24"/>
        </w:rPr>
        <w:t>parasuis</w:t>
      </w:r>
      <w:proofErr w:type="spellEnd"/>
      <w:r w:rsidRPr="007B4D9D">
        <w:rPr>
          <w:sz w:val="24"/>
          <w:szCs w:val="24"/>
        </w:rPr>
        <w:t xml:space="preserve"> og </w:t>
      </w:r>
      <w:proofErr w:type="spellStart"/>
      <w:r w:rsidRPr="007B4D9D">
        <w:rPr>
          <w:i/>
          <w:sz w:val="24"/>
          <w:szCs w:val="24"/>
        </w:rPr>
        <w:t>Bordetella</w:t>
      </w:r>
      <w:proofErr w:type="spellEnd"/>
      <w:r w:rsidRPr="007B4D9D">
        <w:rPr>
          <w:i/>
          <w:sz w:val="24"/>
          <w:szCs w:val="24"/>
        </w:rPr>
        <w:t xml:space="preserve"> </w:t>
      </w:r>
      <w:proofErr w:type="spellStart"/>
      <w:r w:rsidRPr="007B4D9D">
        <w:rPr>
          <w:i/>
          <w:sz w:val="24"/>
          <w:szCs w:val="24"/>
        </w:rPr>
        <w:t>bronchiseptica</w:t>
      </w:r>
      <w:proofErr w:type="spellEnd"/>
      <w:r w:rsidRPr="007B4D9D">
        <w:rPr>
          <w:sz w:val="24"/>
          <w:szCs w:val="24"/>
        </w:rPr>
        <w:t xml:space="preserve"> de patogene bakterier, som oftest forårsager luftvejsinfektioner hos svin. </w:t>
      </w:r>
      <w:r w:rsidRPr="007B4D9D">
        <w:rPr>
          <w:sz w:val="24"/>
          <w:szCs w:val="24"/>
        </w:rPr>
        <w:lastRenderedPageBreak/>
        <w:t xml:space="preserve">Forhøjede værdier af den mindste hæmmende koncentration (MIC) er fundet i nogle </w:t>
      </w:r>
      <w:proofErr w:type="spellStart"/>
      <w:r w:rsidRPr="007B4D9D">
        <w:rPr>
          <w:sz w:val="24"/>
          <w:szCs w:val="24"/>
        </w:rPr>
        <w:t>isolater</w:t>
      </w:r>
      <w:proofErr w:type="spellEnd"/>
      <w:r w:rsidRPr="007B4D9D">
        <w:rPr>
          <w:sz w:val="24"/>
          <w:szCs w:val="24"/>
        </w:rPr>
        <w:t xml:space="preserve"> af </w:t>
      </w:r>
      <w:proofErr w:type="spellStart"/>
      <w:r w:rsidRPr="007B4D9D">
        <w:rPr>
          <w:i/>
          <w:sz w:val="24"/>
          <w:szCs w:val="24"/>
        </w:rPr>
        <w:t>Actinobacillus</w:t>
      </w:r>
      <w:proofErr w:type="spellEnd"/>
      <w:r w:rsidRPr="007B4D9D">
        <w:rPr>
          <w:i/>
          <w:sz w:val="24"/>
          <w:szCs w:val="24"/>
        </w:rPr>
        <w:t xml:space="preserve"> </w:t>
      </w:r>
      <w:proofErr w:type="spellStart"/>
      <w:r w:rsidRPr="007B4D9D">
        <w:rPr>
          <w:i/>
          <w:sz w:val="24"/>
          <w:szCs w:val="24"/>
        </w:rPr>
        <w:t>pleuropneumoniae</w:t>
      </w:r>
      <w:proofErr w:type="spellEnd"/>
      <w:r w:rsidRPr="007B4D9D">
        <w:rPr>
          <w:sz w:val="24"/>
          <w:szCs w:val="24"/>
        </w:rPr>
        <w:t xml:space="preserve">. </w:t>
      </w:r>
    </w:p>
    <w:p w14:paraId="39DFE22B" w14:textId="636D8D92" w:rsidR="007B4D9D" w:rsidRPr="007B4D9D" w:rsidRDefault="007B4D9D" w:rsidP="007B4D9D">
      <w:pPr>
        <w:tabs>
          <w:tab w:val="left" w:pos="851"/>
          <w:tab w:val="left" w:pos="8222"/>
        </w:tabs>
        <w:ind w:left="851"/>
        <w:rPr>
          <w:sz w:val="24"/>
          <w:szCs w:val="24"/>
        </w:rPr>
      </w:pPr>
      <w:bookmarkStart w:id="1" w:name="_Hlk94707402"/>
      <w:proofErr w:type="spellStart"/>
      <w:r w:rsidRPr="007B4D9D">
        <w:rPr>
          <w:sz w:val="24"/>
          <w:szCs w:val="24"/>
        </w:rPr>
        <w:t>Clinical</w:t>
      </w:r>
      <w:proofErr w:type="spellEnd"/>
      <w:r w:rsidRPr="007B4D9D">
        <w:rPr>
          <w:sz w:val="24"/>
          <w:szCs w:val="24"/>
        </w:rPr>
        <w:t xml:space="preserve"> and Laboratory Standards Institute (CLSI) har fastsat de kliniske grænseværdier for</w:t>
      </w:r>
      <w:r>
        <w:rPr>
          <w:sz w:val="24"/>
          <w:szCs w:val="24"/>
        </w:rPr>
        <w:t xml:space="preserve"> </w:t>
      </w:r>
      <w:proofErr w:type="spellStart"/>
      <w:r w:rsidRPr="007B4D9D">
        <w:rPr>
          <w:sz w:val="24"/>
          <w:szCs w:val="24"/>
        </w:rPr>
        <w:t>tulathromycin</w:t>
      </w:r>
      <w:proofErr w:type="spellEnd"/>
      <w:r w:rsidRPr="007B4D9D">
        <w:rPr>
          <w:sz w:val="24"/>
          <w:szCs w:val="24"/>
        </w:rPr>
        <w:t xml:space="preserve"> over for </w:t>
      </w:r>
      <w:r w:rsidRPr="007B4D9D">
        <w:rPr>
          <w:i/>
          <w:iCs/>
          <w:sz w:val="24"/>
          <w:szCs w:val="24"/>
        </w:rPr>
        <w:t xml:space="preserve">P. </w:t>
      </w:r>
      <w:proofErr w:type="spellStart"/>
      <w:r w:rsidRPr="007B4D9D">
        <w:rPr>
          <w:i/>
          <w:iCs/>
          <w:sz w:val="24"/>
          <w:szCs w:val="24"/>
        </w:rPr>
        <w:t>multocida</w:t>
      </w:r>
      <w:proofErr w:type="spellEnd"/>
      <w:r w:rsidRPr="007B4D9D">
        <w:rPr>
          <w:sz w:val="24"/>
          <w:szCs w:val="24"/>
        </w:rPr>
        <w:t xml:space="preserve"> og </w:t>
      </w:r>
      <w:r w:rsidRPr="007B4D9D">
        <w:rPr>
          <w:i/>
          <w:iCs/>
          <w:sz w:val="24"/>
          <w:szCs w:val="24"/>
        </w:rPr>
        <w:t xml:space="preserve">B. </w:t>
      </w:r>
      <w:proofErr w:type="spellStart"/>
      <w:r w:rsidRPr="007B4D9D">
        <w:rPr>
          <w:i/>
          <w:iCs/>
          <w:sz w:val="24"/>
          <w:szCs w:val="24"/>
        </w:rPr>
        <w:t>bronchiseptica</w:t>
      </w:r>
      <w:proofErr w:type="spellEnd"/>
      <w:r w:rsidRPr="007B4D9D">
        <w:rPr>
          <w:sz w:val="24"/>
          <w:szCs w:val="24"/>
        </w:rPr>
        <w:t xml:space="preserve">, der stammer fra luftvejene hos svin, som ≤16 </w:t>
      </w:r>
      <w:proofErr w:type="spellStart"/>
      <w:r w:rsidRPr="007B4D9D">
        <w:rPr>
          <w:sz w:val="24"/>
          <w:szCs w:val="24"/>
        </w:rPr>
        <w:t>μg</w:t>
      </w:r>
      <w:proofErr w:type="spellEnd"/>
      <w:r w:rsidRPr="007B4D9D">
        <w:rPr>
          <w:sz w:val="24"/>
          <w:szCs w:val="24"/>
        </w:rPr>
        <w:t xml:space="preserve">/ml følsom og ≥64 </w:t>
      </w:r>
      <w:proofErr w:type="spellStart"/>
      <w:r w:rsidRPr="007B4D9D">
        <w:rPr>
          <w:sz w:val="24"/>
          <w:szCs w:val="24"/>
        </w:rPr>
        <w:t>μg</w:t>
      </w:r>
      <w:proofErr w:type="spellEnd"/>
      <w:r w:rsidRPr="007B4D9D">
        <w:rPr>
          <w:sz w:val="24"/>
          <w:szCs w:val="24"/>
        </w:rPr>
        <w:t xml:space="preserve">/ml resistent. For </w:t>
      </w:r>
      <w:r w:rsidRPr="007B4D9D">
        <w:rPr>
          <w:i/>
          <w:iCs/>
          <w:sz w:val="24"/>
          <w:szCs w:val="24"/>
        </w:rPr>
        <w:t xml:space="preserve">A. </w:t>
      </w:r>
      <w:proofErr w:type="spellStart"/>
      <w:r w:rsidRPr="007B4D9D">
        <w:rPr>
          <w:i/>
          <w:iCs/>
          <w:sz w:val="24"/>
          <w:szCs w:val="24"/>
        </w:rPr>
        <w:t>pleuropneumoniae</w:t>
      </w:r>
      <w:proofErr w:type="spellEnd"/>
      <w:r w:rsidRPr="007B4D9D">
        <w:rPr>
          <w:sz w:val="24"/>
          <w:szCs w:val="24"/>
        </w:rPr>
        <w:t xml:space="preserve">, der stammer fra luftvejene hos svin, er grænseværdien for følsomhed sat til ≤64 </w:t>
      </w:r>
      <w:proofErr w:type="spellStart"/>
      <w:r w:rsidRPr="007B4D9D">
        <w:rPr>
          <w:sz w:val="24"/>
          <w:szCs w:val="24"/>
        </w:rPr>
        <w:t>μg</w:t>
      </w:r>
      <w:proofErr w:type="spellEnd"/>
      <w:r w:rsidRPr="007B4D9D">
        <w:rPr>
          <w:sz w:val="24"/>
          <w:szCs w:val="24"/>
        </w:rPr>
        <w:t xml:space="preserve">/ml. CLSI har også udgivet kliniske grænseværdier for </w:t>
      </w:r>
      <w:proofErr w:type="spellStart"/>
      <w:r w:rsidRPr="007B4D9D">
        <w:rPr>
          <w:sz w:val="24"/>
          <w:szCs w:val="24"/>
        </w:rPr>
        <w:t>tulathromycin</w:t>
      </w:r>
      <w:proofErr w:type="spellEnd"/>
      <w:r w:rsidRPr="007B4D9D">
        <w:rPr>
          <w:sz w:val="24"/>
          <w:szCs w:val="24"/>
        </w:rPr>
        <w:t xml:space="preserve"> baseret på en disk diffusionstestmetode (CLSI-</w:t>
      </w:r>
      <w:proofErr w:type="spellStart"/>
      <w:r w:rsidRPr="007B4D9D">
        <w:rPr>
          <w:sz w:val="24"/>
          <w:szCs w:val="24"/>
        </w:rPr>
        <w:t>dockument</w:t>
      </w:r>
      <w:proofErr w:type="spellEnd"/>
      <w:r w:rsidRPr="007B4D9D">
        <w:rPr>
          <w:sz w:val="24"/>
          <w:szCs w:val="24"/>
        </w:rPr>
        <w:t xml:space="preserve"> VET08, 4. udg., 2018). Der er ikke fastsat kliniske grænseværdier for H. </w:t>
      </w:r>
      <w:proofErr w:type="spellStart"/>
      <w:r w:rsidRPr="007B4D9D">
        <w:rPr>
          <w:sz w:val="24"/>
          <w:szCs w:val="24"/>
        </w:rPr>
        <w:t>parasuis</w:t>
      </w:r>
      <w:proofErr w:type="spellEnd"/>
      <w:r w:rsidRPr="007B4D9D">
        <w:rPr>
          <w:sz w:val="24"/>
          <w:szCs w:val="24"/>
        </w:rPr>
        <w:t xml:space="preserve">. Hverken EUCAST eller CLSI har udviklet standardmetoder for test af antibakterielle stoffer mod veterinære </w:t>
      </w:r>
      <w:proofErr w:type="spellStart"/>
      <w:r w:rsidRPr="007B4D9D">
        <w:rPr>
          <w:i/>
          <w:iCs/>
          <w:sz w:val="24"/>
          <w:szCs w:val="24"/>
        </w:rPr>
        <w:t>Mycoplasma</w:t>
      </w:r>
      <w:proofErr w:type="spellEnd"/>
      <w:r w:rsidRPr="007B4D9D">
        <w:rPr>
          <w:sz w:val="24"/>
          <w:szCs w:val="24"/>
        </w:rPr>
        <w:t xml:space="preserve"> arter, og derfor er der ikke</w:t>
      </w:r>
    </w:p>
    <w:p w14:paraId="5CF45918" w14:textId="77777777" w:rsidR="007B4D9D" w:rsidRPr="007B4D9D" w:rsidRDefault="007B4D9D" w:rsidP="007B4D9D">
      <w:pPr>
        <w:tabs>
          <w:tab w:val="left" w:pos="851"/>
          <w:tab w:val="left" w:pos="8222"/>
        </w:tabs>
        <w:ind w:left="851"/>
        <w:rPr>
          <w:sz w:val="24"/>
          <w:szCs w:val="24"/>
        </w:rPr>
      </w:pPr>
      <w:r w:rsidRPr="007B4D9D">
        <w:rPr>
          <w:sz w:val="24"/>
          <w:szCs w:val="24"/>
        </w:rPr>
        <w:t>fastsat nogen fortolkningskriterier.</w:t>
      </w:r>
    </w:p>
    <w:bookmarkEnd w:id="1"/>
    <w:p w14:paraId="250AE6E1" w14:textId="77777777" w:rsidR="007B4D9D" w:rsidRPr="007B4D9D" w:rsidRDefault="007B4D9D" w:rsidP="007B4D9D">
      <w:pPr>
        <w:tabs>
          <w:tab w:val="left" w:pos="851"/>
          <w:tab w:val="left" w:pos="8222"/>
        </w:tabs>
        <w:ind w:left="851"/>
        <w:rPr>
          <w:sz w:val="24"/>
          <w:szCs w:val="24"/>
        </w:rPr>
      </w:pPr>
      <w:r w:rsidRPr="007B4D9D">
        <w:rPr>
          <w:sz w:val="24"/>
          <w:szCs w:val="24"/>
        </w:rPr>
        <w:t xml:space="preserve"> </w:t>
      </w:r>
    </w:p>
    <w:p w14:paraId="2E481490" w14:textId="77777777" w:rsidR="007B4D9D" w:rsidRPr="007B4D9D" w:rsidRDefault="007B4D9D" w:rsidP="007B4D9D">
      <w:pPr>
        <w:tabs>
          <w:tab w:val="left" w:pos="851"/>
          <w:tab w:val="left" w:pos="8222"/>
        </w:tabs>
        <w:ind w:left="851"/>
        <w:rPr>
          <w:sz w:val="24"/>
          <w:szCs w:val="24"/>
        </w:rPr>
      </w:pPr>
      <w:proofErr w:type="spellStart"/>
      <w:r w:rsidRPr="007B4D9D">
        <w:rPr>
          <w:sz w:val="24"/>
          <w:szCs w:val="24"/>
        </w:rPr>
        <w:t>Macrolidresistens</w:t>
      </w:r>
      <w:proofErr w:type="spellEnd"/>
      <w:r w:rsidRPr="007B4D9D">
        <w:rPr>
          <w:sz w:val="24"/>
          <w:szCs w:val="24"/>
        </w:rPr>
        <w:t xml:space="preserve"> kan udvikles ved mutation i gener der koder for ribosomalt RNA (</w:t>
      </w:r>
      <w:proofErr w:type="spellStart"/>
      <w:r w:rsidRPr="007B4D9D">
        <w:rPr>
          <w:sz w:val="24"/>
          <w:szCs w:val="24"/>
        </w:rPr>
        <w:t>rRNA</w:t>
      </w:r>
      <w:proofErr w:type="spellEnd"/>
      <w:r w:rsidRPr="007B4D9D">
        <w:rPr>
          <w:sz w:val="24"/>
          <w:szCs w:val="24"/>
        </w:rPr>
        <w:t>) eller nogle ribosomale proteiner; ved enzymatisk modifikation (</w:t>
      </w:r>
      <w:proofErr w:type="spellStart"/>
      <w:r w:rsidRPr="007B4D9D">
        <w:rPr>
          <w:sz w:val="24"/>
          <w:szCs w:val="24"/>
        </w:rPr>
        <w:t>methylering</w:t>
      </w:r>
      <w:proofErr w:type="spellEnd"/>
      <w:r w:rsidRPr="007B4D9D">
        <w:rPr>
          <w:sz w:val="24"/>
          <w:szCs w:val="24"/>
        </w:rPr>
        <w:t xml:space="preserve">) af det specifikke 23S </w:t>
      </w:r>
      <w:proofErr w:type="spellStart"/>
      <w:r w:rsidRPr="007B4D9D">
        <w:rPr>
          <w:sz w:val="24"/>
          <w:szCs w:val="24"/>
        </w:rPr>
        <w:t>rRNA</w:t>
      </w:r>
      <w:proofErr w:type="spellEnd"/>
      <w:r w:rsidRPr="007B4D9D">
        <w:rPr>
          <w:sz w:val="24"/>
          <w:szCs w:val="24"/>
        </w:rPr>
        <w:t>, hvilket ofte giver anledning til krydsresistens med lincosamider og gruppe B-</w:t>
      </w:r>
      <w:proofErr w:type="spellStart"/>
      <w:r w:rsidRPr="007B4D9D">
        <w:rPr>
          <w:sz w:val="24"/>
          <w:szCs w:val="24"/>
        </w:rPr>
        <w:t>streptogramin</w:t>
      </w:r>
      <w:proofErr w:type="spellEnd"/>
      <w:r w:rsidRPr="007B4D9D">
        <w:rPr>
          <w:sz w:val="24"/>
          <w:szCs w:val="24"/>
        </w:rPr>
        <w:t xml:space="preserve"> (</w:t>
      </w:r>
      <w:proofErr w:type="gramStart"/>
      <w:r w:rsidRPr="007B4D9D">
        <w:rPr>
          <w:sz w:val="24"/>
          <w:szCs w:val="24"/>
        </w:rPr>
        <w:t>MLS</w:t>
      </w:r>
      <w:r w:rsidRPr="007B4D9D">
        <w:rPr>
          <w:sz w:val="24"/>
          <w:szCs w:val="24"/>
          <w:vertAlign w:val="subscript"/>
        </w:rPr>
        <w:t>B</w:t>
      </w:r>
      <w:r w:rsidRPr="007B4D9D">
        <w:rPr>
          <w:sz w:val="24"/>
          <w:szCs w:val="24"/>
        </w:rPr>
        <w:t xml:space="preserve"> resistens</w:t>
      </w:r>
      <w:proofErr w:type="gramEnd"/>
      <w:r w:rsidRPr="007B4D9D">
        <w:rPr>
          <w:sz w:val="24"/>
          <w:szCs w:val="24"/>
        </w:rPr>
        <w:t xml:space="preserve">); ved enzymatisk inaktivering eller ved </w:t>
      </w:r>
      <w:proofErr w:type="spellStart"/>
      <w:r w:rsidRPr="007B4D9D">
        <w:rPr>
          <w:sz w:val="24"/>
          <w:szCs w:val="24"/>
        </w:rPr>
        <w:t>efflux</w:t>
      </w:r>
      <w:proofErr w:type="spellEnd"/>
      <w:r w:rsidRPr="007B4D9D">
        <w:rPr>
          <w:sz w:val="24"/>
          <w:szCs w:val="24"/>
        </w:rPr>
        <w:t xml:space="preserve"> af </w:t>
      </w:r>
      <w:proofErr w:type="spellStart"/>
      <w:r w:rsidRPr="007B4D9D">
        <w:rPr>
          <w:sz w:val="24"/>
          <w:szCs w:val="24"/>
        </w:rPr>
        <w:t>macrolider</w:t>
      </w:r>
      <w:proofErr w:type="spellEnd"/>
      <w:r w:rsidRPr="007B4D9D">
        <w:rPr>
          <w:sz w:val="24"/>
          <w:szCs w:val="24"/>
        </w:rPr>
        <w:t>. MLS</w:t>
      </w:r>
      <w:r w:rsidRPr="007B4D9D">
        <w:rPr>
          <w:sz w:val="24"/>
          <w:szCs w:val="24"/>
          <w:vertAlign w:val="subscript"/>
        </w:rPr>
        <w:t>B</w:t>
      </w:r>
      <w:r w:rsidRPr="007B4D9D">
        <w:rPr>
          <w:sz w:val="24"/>
          <w:szCs w:val="24"/>
        </w:rPr>
        <w:t xml:space="preserve">-resistens kan være konstitutiv eller induktiv. Resistens kan være kromosomal eller plasmidkodet og kan blive overført i forbindelse med </w:t>
      </w:r>
      <w:proofErr w:type="spellStart"/>
      <w:r w:rsidRPr="007B4D9D">
        <w:rPr>
          <w:sz w:val="24"/>
          <w:szCs w:val="24"/>
        </w:rPr>
        <w:t>transposoner</w:t>
      </w:r>
      <w:proofErr w:type="spellEnd"/>
      <w:r w:rsidRPr="007B4D9D">
        <w:rPr>
          <w:sz w:val="24"/>
          <w:szCs w:val="24"/>
        </w:rPr>
        <w:t>, plasmider, integrerede og konjugerende elementer. Derudover forstærkes</w:t>
      </w:r>
    </w:p>
    <w:p w14:paraId="1E49B573" w14:textId="77777777" w:rsidR="007B4D9D" w:rsidRPr="007B4D9D" w:rsidRDefault="007B4D9D" w:rsidP="007B4D9D">
      <w:pPr>
        <w:tabs>
          <w:tab w:val="left" w:pos="851"/>
          <w:tab w:val="left" w:pos="8222"/>
        </w:tabs>
        <w:ind w:left="851"/>
        <w:rPr>
          <w:sz w:val="24"/>
          <w:szCs w:val="24"/>
        </w:rPr>
      </w:pPr>
      <w:proofErr w:type="spellStart"/>
      <w:r w:rsidRPr="007B4D9D">
        <w:rPr>
          <w:i/>
          <w:iCs/>
          <w:sz w:val="24"/>
          <w:szCs w:val="24"/>
        </w:rPr>
        <w:t>Mycoplasmas</w:t>
      </w:r>
      <w:proofErr w:type="spellEnd"/>
      <w:r w:rsidRPr="007B4D9D">
        <w:rPr>
          <w:sz w:val="24"/>
          <w:szCs w:val="24"/>
        </w:rPr>
        <w:t xml:space="preserve"> </w:t>
      </w:r>
      <w:proofErr w:type="spellStart"/>
      <w:r w:rsidRPr="007B4D9D">
        <w:rPr>
          <w:sz w:val="24"/>
          <w:szCs w:val="24"/>
        </w:rPr>
        <w:t>genomiske</w:t>
      </w:r>
      <w:proofErr w:type="spellEnd"/>
      <w:r w:rsidRPr="007B4D9D">
        <w:rPr>
          <w:sz w:val="24"/>
          <w:szCs w:val="24"/>
        </w:rPr>
        <w:t xml:space="preserve"> plasticitet af den horisontale overførsel af store kromosomale fragmenter. </w:t>
      </w:r>
    </w:p>
    <w:p w14:paraId="0CC2CE27" w14:textId="77777777" w:rsidR="007B4D9D" w:rsidRPr="007B4D9D" w:rsidRDefault="007B4D9D" w:rsidP="007B4D9D">
      <w:pPr>
        <w:tabs>
          <w:tab w:val="left" w:pos="851"/>
          <w:tab w:val="left" w:pos="8222"/>
        </w:tabs>
        <w:ind w:left="851"/>
        <w:rPr>
          <w:sz w:val="24"/>
          <w:szCs w:val="24"/>
        </w:rPr>
      </w:pPr>
      <w:r w:rsidRPr="007B4D9D">
        <w:rPr>
          <w:sz w:val="24"/>
          <w:szCs w:val="24"/>
        </w:rPr>
        <w:t xml:space="preserve"> </w:t>
      </w:r>
    </w:p>
    <w:p w14:paraId="36DEFCA1" w14:textId="2D9C9A16" w:rsidR="005B0036" w:rsidRDefault="007B4D9D" w:rsidP="007B4D9D">
      <w:pPr>
        <w:tabs>
          <w:tab w:val="left" w:pos="851"/>
          <w:tab w:val="left" w:pos="8222"/>
        </w:tabs>
        <w:ind w:left="851"/>
        <w:rPr>
          <w:sz w:val="24"/>
          <w:szCs w:val="24"/>
        </w:rPr>
      </w:pPr>
      <w:r w:rsidRPr="007B4D9D">
        <w:rPr>
          <w:sz w:val="24"/>
          <w:szCs w:val="24"/>
        </w:rPr>
        <w:t xml:space="preserve">Ud over de antimikrobielle egenskaber udviser </w:t>
      </w:r>
      <w:proofErr w:type="spellStart"/>
      <w:r w:rsidRPr="007B4D9D">
        <w:rPr>
          <w:sz w:val="24"/>
          <w:szCs w:val="24"/>
        </w:rPr>
        <w:t>tulathromycin</w:t>
      </w:r>
      <w:proofErr w:type="spellEnd"/>
      <w:r w:rsidRPr="007B4D9D">
        <w:rPr>
          <w:sz w:val="24"/>
          <w:szCs w:val="24"/>
        </w:rPr>
        <w:t xml:space="preserve"> immunmodulerende og antiinflammatoriske virkninger i eksperimentelle studier. I </w:t>
      </w:r>
      <w:proofErr w:type="spellStart"/>
      <w:r w:rsidRPr="007B4D9D">
        <w:rPr>
          <w:sz w:val="24"/>
          <w:szCs w:val="24"/>
        </w:rPr>
        <w:t>porcine</w:t>
      </w:r>
      <w:proofErr w:type="spellEnd"/>
      <w:r w:rsidRPr="007B4D9D">
        <w:rPr>
          <w:sz w:val="24"/>
          <w:szCs w:val="24"/>
        </w:rPr>
        <w:t xml:space="preserve"> </w:t>
      </w:r>
      <w:proofErr w:type="spellStart"/>
      <w:r w:rsidRPr="007B4D9D">
        <w:rPr>
          <w:sz w:val="24"/>
          <w:szCs w:val="24"/>
        </w:rPr>
        <w:t>polymorfonukleære</w:t>
      </w:r>
      <w:proofErr w:type="spellEnd"/>
      <w:r w:rsidRPr="007B4D9D">
        <w:rPr>
          <w:sz w:val="24"/>
          <w:szCs w:val="24"/>
        </w:rPr>
        <w:t xml:space="preserve"> celler (</w:t>
      </w:r>
      <w:proofErr w:type="spellStart"/>
      <w:r w:rsidRPr="007B4D9D">
        <w:rPr>
          <w:sz w:val="24"/>
          <w:szCs w:val="24"/>
        </w:rPr>
        <w:t>PMN’er</w:t>
      </w:r>
      <w:proofErr w:type="spellEnd"/>
      <w:r w:rsidRPr="007B4D9D">
        <w:rPr>
          <w:sz w:val="24"/>
          <w:szCs w:val="24"/>
        </w:rPr>
        <w:t xml:space="preserve">, </w:t>
      </w:r>
      <w:proofErr w:type="spellStart"/>
      <w:r w:rsidRPr="007B4D9D">
        <w:rPr>
          <w:sz w:val="24"/>
          <w:szCs w:val="24"/>
        </w:rPr>
        <w:t>neutrofiler</w:t>
      </w:r>
      <w:proofErr w:type="spellEnd"/>
      <w:r w:rsidRPr="007B4D9D">
        <w:rPr>
          <w:sz w:val="24"/>
          <w:szCs w:val="24"/>
        </w:rPr>
        <w:t xml:space="preserve">) fremmer </w:t>
      </w:r>
      <w:proofErr w:type="spellStart"/>
      <w:r w:rsidRPr="007B4D9D">
        <w:rPr>
          <w:sz w:val="24"/>
          <w:szCs w:val="24"/>
        </w:rPr>
        <w:t>tulathromycin</w:t>
      </w:r>
      <w:proofErr w:type="spellEnd"/>
      <w:r w:rsidRPr="007B4D9D">
        <w:rPr>
          <w:sz w:val="24"/>
          <w:szCs w:val="24"/>
        </w:rPr>
        <w:t xml:space="preserve"> </w:t>
      </w:r>
      <w:proofErr w:type="spellStart"/>
      <w:r w:rsidRPr="007B4D9D">
        <w:rPr>
          <w:sz w:val="24"/>
          <w:szCs w:val="24"/>
        </w:rPr>
        <w:t>apoptose</w:t>
      </w:r>
      <w:proofErr w:type="spellEnd"/>
      <w:r w:rsidRPr="007B4D9D">
        <w:rPr>
          <w:sz w:val="24"/>
          <w:szCs w:val="24"/>
        </w:rPr>
        <w:t xml:space="preserve"> (programmeret </w:t>
      </w:r>
      <w:proofErr w:type="spellStart"/>
      <w:r w:rsidRPr="007B4D9D">
        <w:rPr>
          <w:sz w:val="24"/>
          <w:szCs w:val="24"/>
        </w:rPr>
        <w:t>celledød</w:t>
      </w:r>
      <w:proofErr w:type="spellEnd"/>
      <w:r w:rsidRPr="007B4D9D">
        <w:rPr>
          <w:sz w:val="24"/>
          <w:szCs w:val="24"/>
        </w:rPr>
        <w:t xml:space="preserve">) og nedbrydning af </w:t>
      </w:r>
      <w:proofErr w:type="spellStart"/>
      <w:r w:rsidRPr="007B4D9D">
        <w:rPr>
          <w:sz w:val="24"/>
          <w:szCs w:val="24"/>
        </w:rPr>
        <w:t>apoptotiske</w:t>
      </w:r>
      <w:proofErr w:type="spellEnd"/>
      <w:r w:rsidRPr="007B4D9D">
        <w:rPr>
          <w:sz w:val="24"/>
          <w:szCs w:val="24"/>
        </w:rPr>
        <w:t xml:space="preserve"> celler af makrofager. Det nedsætter produktionen af de pro-inflammatoriske </w:t>
      </w:r>
      <w:proofErr w:type="spellStart"/>
      <w:r w:rsidRPr="007B4D9D">
        <w:rPr>
          <w:sz w:val="24"/>
          <w:szCs w:val="24"/>
        </w:rPr>
        <w:t>mediatorer</w:t>
      </w:r>
      <w:proofErr w:type="spellEnd"/>
      <w:r w:rsidRPr="007B4D9D">
        <w:rPr>
          <w:sz w:val="24"/>
          <w:szCs w:val="24"/>
        </w:rPr>
        <w:t xml:space="preserve"> </w:t>
      </w:r>
      <w:proofErr w:type="spellStart"/>
      <w:r w:rsidRPr="007B4D9D">
        <w:rPr>
          <w:sz w:val="24"/>
          <w:szCs w:val="24"/>
        </w:rPr>
        <w:t>leukotrien</w:t>
      </w:r>
      <w:proofErr w:type="spellEnd"/>
      <w:r w:rsidRPr="007B4D9D">
        <w:rPr>
          <w:sz w:val="24"/>
          <w:szCs w:val="24"/>
        </w:rPr>
        <w:t xml:space="preserve"> B4 og CXCL-8 og inducerer produktion af det antiinflammatoriske og pro-opløsende lipid </w:t>
      </w:r>
      <w:proofErr w:type="spellStart"/>
      <w:r w:rsidRPr="007B4D9D">
        <w:rPr>
          <w:sz w:val="24"/>
          <w:szCs w:val="24"/>
        </w:rPr>
        <w:t>lipoxin</w:t>
      </w:r>
      <w:proofErr w:type="spellEnd"/>
      <w:r w:rsidRPr="007B4D9D">
        <w:rPr>
          <w:sz w:val="24"/>
          <w:szCs w:val="24"/>
        </w:rPr>
        <w:t xml:space="preserve"> A4.</w:t>
      </w:r>
    </w:p>
    <w:p w14:paraId="6BD016EE" w14:textId="77777777" w:rsidR="007B4D9D" w:rsidRPr="00912F18" w:rsidRDefault="007B4D9D" w:rsidP="007B4D9D">
      <w:pPr>
        <w:tabs>
          <w:tab w:val="left" w:pos="851"/>
          <w:tab w:val="left" w:pos="8222"/>
        </w:tabs>
        <w:ind w:left="851"/>
        <w:rPr>
          <w:sz w:val="24"/>
          <w:szCs w:val="24"/>
        </w:rPr>
      </w:pPr>
    </w:p>
    <w:p w14:paraId="238E8521" w14:textId="77777777" w:rsidR="005B0036" w:rsidRPr="00912F18" w:rsidRDefault="005B0036" w:rsidP="005B0036">
      <w:pPr>
        <w:tabs>
          <w:tab w:val="left" w:pos="851"/>
          <w:tab w:val="left" w:pos="8222"/>
        </w:tabs>
        <w:rPr>
          <w:b/>
          <w:sz w:val="24"/>
          <w:szCs w:val="24"/>
        </w:rPr>
      </w:pPr>
      <w:r w:rsidRPr="00564943">
        <w:rPr>
          <w:b/>
          <w:sz w:val="24"/>
          <w:szCs w:val="24"/>
        </w:rPr>
        <w:t>5.2</w:t>
      </w:r>
      <w:r w:rsidRPr="00564943">
        <w:rPr>
          <w:b/>
          <w:sz w:val="24"/>
          <w:szCs w:val="24"/>
        </w:rPr>
        <w:tab/>
      </w:r>
      <w:proofErr w:type="spellStart"/>
      <w:r w:rsidRPr="00564943">
        <w:rPr>
          <w:b/>
          <w:sz w:val="24"/>
          <w:szCs w:val="24"/>
        </w:rPr>
        <w:t>Farmakokinetiske</w:t>
      </w:r>
      <w:proofErr w:type="spellEnd"/>
      <w:r w:rsidRPr="00564943">
        <w:rPr>
          <w:b/>
          <w:sz w:val="24"/>
          <w:szCs w:val="24"/>
        </w:rPr>
        <w:t xml:space="preserve"> egenskaber</w:t>
      </w:r>
    </w:p>
    <w:p w14:paraId="4D815FF4" w14:textId="43CC37E0" w:rsidR="00263169" w:rsidRPr="00912F18" w:rsidRDefault="00263169" w:rsidP="00095526">
      <w:pPr>
        <w:ind w:left="851" w:right="7"/>
        <w:rPr>
          <w:sz w:val="24"/>
          <w:szCs w:val="24"/>
        </w:rPr>
      </w:pPr>
      <w:r w:rsidRPr="00912F18">
        <w:rPr>
          <w:sz w:val="24"/>
          <w:szCs w:val="24"/>
        </w:rPr>
        <w:t xml:space="preserve">Hos svin, var den </w:t>
      </w:r>
      <w:proofErr w:type="spellStart"/>
      <w:r w:rsidRPr="00912F18">
        <w:rPr>
          <w:sz w:val="24"/>
          <w:szCs w:val="24"/>
        </w:rPr>
        <w:t>farmakokinetiske</w:t>
      </w:r>
      <w:proofErr w:type="spellEnd"/>
      <w:r w:rsidRPr="00912F18">
        <w:rPr>
          <w:sz w:val="24"/>
          <w:szCs w:val="24"/>
        </w:rPr>
        <w:t xml:space="preserve"> profil af </w:t>
      </w:r>
      <w:proofErr w:type="spellStart"/>
      <w:r w:rsidRPr="00912F18">
        <w:rPr>
          <w:sz w:val="24"/>
          <w:szCs w:val="24"/>
        </w:rPr>
        <w:t>tulathromycin</w:t>
      </w:r>
      <w:proofErr w:type="spellEnd"/>
      <w:r w:rsidRPr="00912F18">
        <w:rPr>
          <w:sz w:val="24"/>
          <w:szCs w:val="24"/>
        </w:rPr>
        <w:t xml:space="preserve"> efter en enkelt intramuskulær dosis på 2,5 mg pr. kg legemsvægt, karakteriseret ved hurtig og udtalt absorption efterfulgt af en høj fordeling og langsom udskillelse. Den maksimale plasmakoncentration (</w:t>
      </w:r>
      <w:proofErr w:type="spellStart"/>
      <w:r w:rsidRPr="00912F18">
        <w:rPr>
          <w:sz w:val="24"/>
          <w:szCs w:val="24"/>
        </w:rPr>
        <w:t>C</w:t>
      </w:r>
      <w:r w:rsidRPr="00651055">
        <w:rPr>
          <w:sz w:val="24"/>
          <w:szCs w:val="24"/>
          <w:vertAlign w:val="subscript"/>
        </w:rPr>
        <w:t>max</w:t>
      </w:r>
      <w:proofErr w:type="spellEnd"/>
      <w:r w:rsidRPr="00912F18">
        <w:rPr>
          <w:sz w:val="24"/>
          <w:szCs w:val="24"/>
        </w:rPr>
        <w:t xml:space="preserve">) var ca.0,6 </w:t>
      </w:r>
      <w:proofErr w:type="spellStart"/>
      <w:r w:rsidRPr="00912F18">
        <w:rPr>
          <w:sz w:val="24"/>
          <w:szCs w:val="24"/>
        </w:rPr>
        <w:t>μg</w:t>
      </w:r>
      <w:proofErr w:type="spellEnd"/>
      <w:r w:rsidRPr="00912F18">
        <w:rPr>
          <w:sz w:val="24"/>
          <w:szCs w:val="24"/>
        </w:rPr>
        <w:t>/ml. Dette blev opnået ca. 30 minutter efter dosering (</w:t>
      </w:r>
      <w:proofErr w:type="spellStart"/>
      <w:r w:rsidRPr="00912F18">
        <w:rPr>
          <w:sz w:val="24"/>
          <w:szCs w:val="24"/>
        </w:rPr>
        <w:t>T</w:t>
      </w:r>
      <w:r w:rsidRPr="00651055">
        <w:rPr>
          <w:sz w:val="24"/>
          <w:szCs w:val="24"/>
          <w:vertAlign w:val="subscript"/>
        </w:rPr>
        <w:t>max</w:t>
      </w:r>
      <w:proofErr w:type="spellEnd"/>
      <w:r w:rsidRPr="00912F18">
        <w:rPr>
          <w:sz w:val="24"/>
          <w:szCs w:val="24"/>
        </w:rPr>
        <w:t xml:space="preserve">). </w:t>
      </w:r>
      <w:proofErr w:type="spellStart"/>
      <w:r w:rsidRPr="00912F18">
        <w:rPr>
          <w:sz w:val="24"/>
          <w:szCs w:val="24"/>
        </w:rPr>
        <w:t>Tulathromycin</w:t>
      </w:r>
      <w:proofErr w:type="spellEnd"/>
      <w:r w:rsidRPr="00912F18">
        <w:rPr>
          <w:sz w:val="24"/>
          <w:szCs w:val="24"/>
        </w:rPr>
        <w:t xml:space="preserve"> koncentrationer i </w:t>
      </w:r>
      <w:proofErr w:type="spellStart"/>
      <w:r w:rsidRPr="00912F18">
        <w:rPr>
          <w:sz w:val="24"/>
          <w:szCs w:val="24"/>
        </w:rPr>
        <w:t>lungehomogenat</w:t>
      </w:r>
      <w:proofErr w:type="spellEnd"/>
      <w:r w:rsidRPr="00912F18">
        <w:rPr>
          <w:sz w:val="24"/>
          <w:szCs w:val="24"/>
        </w:rPr>
        <w:t xml:space="preserve"> var betydeligt større end i plasma. Der er en stærk evidens for en betydelig akkumulation af </w:t>
      </w:r>
      <w:proofErr w:type="spellStart"/>
      <w:r w:rsidRPr="00912F18">
        <w:rPr>
          <w:sz w:val="24"/>
          <w:szCs w:val="24"/>
        </w:rPr>
        <w:t>tulathromycin</w:t>
      </w:r>
      <w:proofErr w:type="spellEnd"/>
      <w:r w:rsidRPr="00912F18">
        <w:rPr>
          <w:sz w:val="24"/>
          <w:szCs w:val="24"/>
        </w:rPr>
        <w:t xml:space="preserve"> i </w:t>
      </w:r>
      <w:proofErr w:type="spellStart"/>
      <w:r w:rsidRPr="00912F18">
        <w:rPr>
          <w:sz w:val="24"/>
          <w:szCs w:val="24"/>
        </w:rPr>
        <w:t>neutrofile</w:t>
      </w:r>
      <w:proofErr w:type="spellEnd"/>
      <w:r w:rsidRPr="00912F18">
        <w:rPr>
          <w:sz w:val="24"/>
          <w:szCs w:val="24"/>
        </w:rPr>
        <w:t xml:space="preserve"> og alveolære makrofager. In </w:t>
      </w:r>
      <w:proofErr w:type="spellStart"/>
      <w:r w:rsidRPr="00912F18">
        <w:rPr>
          <w:sz w:val="24"/>
          <w:szCs w:val="24"/>
        </w:rPr>
        <w:t>vivo</w:t>
      </w:r>
      <w:proofErr w:type="spellEnd"/>
      <w:r w:rsidRPr="00912F18">
        <w:rPr>
          <w:sz w:val="24"/>
          <w:szCs w:val="24"/>
        </w:rPr>
        <w:t xml:space="preserve"> koncentrationen af </w:t>
      </w:r>
      <w:proofErr w:type="spellStart"/>
      <w:r w:rsidRPr="00912F18">
        <w:rPr>
          <w:sz w:val="24"/>
          <w:szCs w:val="24"/>
        </w:rPr>
        <w:t>tulathromycin</w:t>
      </w:r>
      <w:proofErr w:type="spellEnd"/>
      <w:r w:rsidRPr="00912F18">
        <w:rPr>
          <w:sz w:val="24"/>
          <w:szCs w:val="24"/>
        </w:rPr>
        <w:t xml:space="preserve"> på infektionsstedet i lungerne er ikke kendt. Ma</w:t>
      </w:r>
      <w:r w:rsidR="00651055">
        <w:rPr>
          <w:sz w:val="24"/>
          <w:szCs w:val="24"/>
        </w:rPr>
        <w:t>ks</w:t>
      </w:r>
      <w:r w:rsidRPr="00912F18">
        <w:rPr>
          <w:sz w:val="24"/>
          <w:szCs w:val="24"/>
        </w:rPr>
        <w:t xml:space="preserve">imal koncentration i plasma blev efterfulgt af en langsom udskillelse med en tilsyneladende halveringstid (t½) på ca. 91 timer. Plasmaproteinbindingen var lav, omkring 40%. </w:t>
      </w:r>
    </w:p>
    <w:p w14:paraId="774AF1E6" w14:textId="77777777" w:rsidR="00263169" w:rsidRPr="00912F18" w:rsidRDefault="00263169" w:rsidP="00095526">
      <w:pPr>
        <w:ind w:left="851" w:right="7"/>
        <w:rPr>
          <w:sz w:val="24"/>
          <w:szCs w:val="24"/>
        </w:rPr>
      </w:pPr>
      <w:r w:rsidRPr="00912F18">
        <w:rPr>
          <w:sz w:val="24"/>
          <w:szCs w:val="24"/>
        </w:rPr>
        <w:t xml:space="preserve">Fordelingsvolumen ved </w:t>
      </w:r>
      <w:proofErr w:type="spellStart"/>
      <w:r w:rsidRPr="00912F18">
        <w:rPr>
          <w:sz w:val="24"/>
          <w:szCs w:val="24"/>
        </w:rPr>
        <w:t>steady-state</w:t>
      </w:r>
      <w:proofErr w:type="spellEnd"/>
      <w:r w:rsidRPr="00912F18">
        <w:rPr>
          <w:sz w:val="24"/>
          <w:szCs w:val="24"/>
        </w:rPr>
        <w:t xml:space="preserve"> (</w:t>
      </w:r>
      <w:proofErr w:type="spellStart"/>
      <w:r w:rsidRPr="00912F18">
        <w:rPr>
          <w:sz w:val="24"/>
          <w:szCs w:val="24"/>
        </w:rPr>
        <w:t>Vss</w:t>
      </w:r>
      <w:proofErr w:type="spellEnd"/>
      <w:r w:rsidRPr="00912F18">
        <w:rPr>
          <w:sz w:val="24"/>
          <w:szCs w:val="24"/>
        </w:rPr>
        <w:t xml:space="preserve">) bestemt efter intravenøs indgift var 13,2 l/kg. </w:t>
      </w:r>
    </w:p>
    <w:p w14:paraId="112EF1BA" w14:textId="77777777" w:rsidR="00263169" w:rsidRPr="00912F18" w:rsidRDefault="00263169" w:rsidP="00095526">
      <w:pPr>
        <w:ind w:left="851" w:right="7"/>
        <w:rPr>
          <w:sz w:val="24"/>
          <w:szCs w:val="24"/>
        </w:rPr>
      </w:pPr>
      <w:r w:rsidRPr="00912F18">
        <w:rPr>
          <w:sz w:val="24"/>
          <w:szCs w:val="24"/>
        </w:rPr>
        <w:t xml:space="preserve">Biotilgængeligheden af </w:t>
      </w:r>
      <w:proofErr w:type="spellStart"/>
      <w:r w:rsidRPr="00912F18">
        <w:rPr>
          <w:sz w:val="24"/>
          <w:szCs w:val="24"/>
        </w:rPr>
        <w:t>tulathromycin</w:t>
      </w:r>
      <w:proofErr w:type="spellEnd"/>
      <w:r w:rsidRPr="00912F18">
        <w:rPr>
          <w:sz w:val="24"/>
          <w:szCs w:val="24"/>
        </w:rPr>
        <w:t xml:space="preserve"> efter intramuskulær administration hos svin var ca. 88%. </w:t>
      </w:r>
    </w:p>
    <w:p w14:paraId="722D6A93" w14:textId="77777777" w:rsidR="005B0036" w:rsidRPr="00912F18" w:rsidRDefault="005B0036" w:rsidP="005B0036">
      <w:pPr>
        <w:tabs>
          <w:tab w:val="left" w:pos="851"/>
          <w:tab w:val="left" w:pos="8222"/>
        </w:tabs>
        <w:ind w:left="851"/>
        <w:rPr>
          <w:sz w:val="24"/>
          <w:szCs w:val="24"/>
        </w:rPr>
      </w:pPr>
    </w:p>
    <w:p w14:paraId="535E77FF" w14:textId="77777777" w:rsidR="005B0036" w:rsidRPr="00912F18" w:rsidRDefault="005B0036" w:rsidP="005B0036">
      <w:pPr>
        <w:tabs>
          <w:tab w:val="left" w:pos="851"/>
          <w:tab w:val="left" w:pos="8222"/>
        </w:tabs>
        <w:rPr>
          <w:b/>
          <w:sz w:val="24"/>
          <w:szCs w:val="24"/>
        </w:rPr>
      </w:pPr>
      <w:r w:rsidRPr="00912F18">
        <w:rPr>
          <w:b/>
          <w:sz w:val="24"/>
          <w:szCs w:val="24"/>
        </w:rPr>
        <w:t>5.3</w:t>
      </w:r>
      <w:r w:rsidRPr="00912F18">
        <w:rPr>
          <w:b/>
          <w:sz w:val="24"/>
          <w:szCs w:val="24"/>
        </w:rPr>
        <w:tab/>
        <w:t>Miljømæssige forhold</w:t>
      </w:r>
    </w:p>
    <w:p w14:paraId="6A2E4F5F" w14:textId="315B203B" w:rsidR="005B0036" w:rsidRPr="00912F18" w:rsidRDefault="00095526" w:rsidP="005B0036">
      <w:pPr>
        <w:tabs>
          <w:tab w:val="left" w:pos="851"/>
          <w:tab w:val="left" w:pos="8222"/>
        </w:tabs>
        <w:ind w:left="851"/>
        <w:rPr>
          <w:sz w:val="24"/>
          <w:szCs w:val="24"/>
        </w:rPr>
      </w:pPr>
      <w:r w:rsidRPr="00912F18">
        <w:rPr>
          <w:sz w:val="24"/>
          <w:szCs w:val="24"/>
        </w:rPr>
        <w:t>-</w:t>
      </w:r>
    </w:p>
    <w:p w14:paraId="0DA7D245" w14:textId="77777777" w:rsidR="005B0036" w:rsidRPr="00912F18" w:rsidRDefault="005B0036" w:rsidP="005B0036">
      <w:pPr>
        <w:tabs>
          <w:tab w:val="left" w:pos="8222"/>
        </w:tabs>
        <w:ind w:left="851"/>
        <w:rPr>
          <w:sz w:val="24"/>
          <w:szCs w:val="24"/>
        </w:rPr>
      </w:pPr>
    </w:p>
    <w:p w14:paraId="7A3A63F9" w14:textId="77777777" w:rsidR="005B0036" w:rsidRPr="00912F18" w:rsidRDefault="005B0036" w:rsidP="005B0036">
      <w:pPr>
        <w:tabs>
          <w:tab w:val="left" w:pos="851"/>
          <w:tab w:val="left" w:pos="8222"/>
        </w:tabs>
        <w:ind w:left="851"/>
        <w:rPr>
          <w:sz w:val="24"/>
          <w:szCs w:val="24"/>
        </w:rPr>
      </w:pPr>
    </w:p>
    <w:p w14:paraId="2D1A4F87" w14:textId="77777777" w:rsidR="005B0036" w:rsidRPr="00912F18" w:rsidRDefault="005B0036" w:rsidP="005B0036">
      <w:pPr>
        <w:tabs>
          <w:tab w:val="left" w:pos="8222"/>
        </w:tabs>
        <w:ind w:left="851" w:hanging="851"/>
        <w:rPr>
          <w:b/>
          <w:sz w:val="24"/>
          <w:szCs w:val="24"/>
        </w:rPr>
      </w:pPr>
      <w:r w:rsidRPr="00912F18">
        <w:rPr>
          <w:b/>
          <w:sz w:val="24"/>
          <w:szCs w:val="24"/>
        </w:rPr>
        <w:t>6.</w:t>
      </w:r>
      <w:r w:rsidRPr="00912F18">
        <w:rPr>
          <w:b/>
          <w:sz w:val="24"/>
          <w:szCs w:val="24"/>
        </w:rPr>
        <w:tab/>
        <w:t>FARMACEUTISKE OPLYSNINGER</w:t>
      </w:r>
    </w:p>
    <w:p w14:paraId="6569C27C" w14:textId="77777777" w:rsidR="005B0036" w:rsidRPr="00912F18" w:rsidRDefault="005B0036" w:rsidP="005B0036">
      <w:pPr>
        <w:tabs>
          <w:tab w:val="left" w:pos="851"/>
          <w:tab w:val="left" w:pos="8222"/>
        </w:tabs>
        <w:ind w:left="851"/>
        <w:rPr>
          <w:sz w:val="24"/>
          <w:szCs w:val="24"/>
        </w:rPr>
      </w:pPr>
    </w:p>
    <w:p w14:paraId="25570416" w14:textId="77777777" w:rsidR="005B0036" w:rsidRPr="00912F18" w:rsidRDefault="005B0036" w:rsidP="005B0036">
      <w:pPr>
        <w:tabs>
          <w:tab w:val="left" w:pos="8222"/>
        </w:tabs>
        <w:ind w:left="851" w:hanging="851"/>
        <w:rPr>
          <w:b/>
          <w:sz w:val="24"/>
          <w:szCs w:val="24"/>
        </w:rPr>
      </w:pPr>
      <w:r w:rsidRPr="00912F18">
        <w:rPr>
          <w:b/>
          <w:sz w:val="24"/>
          <w:szCs w:val="24"/>
        </w:rPr>
        <w:t>6.1</w:t>
      </w:r>
      <w:r w:rsidRPr="00912F18">
        <w:rPr>
          <w:b/>
          <w:sz w:val="24"/>
          <w:szCs w:val="24"/>
        </w:rPr>
        <w:tab/>
        <w:t>Hjælpestoffer</w:t>
      </w:r>
    </w:p>
    <w:p w14:paraId="3399D5F3" w14:textId="77777777" w:rsidR="00263169" w:rsidRPr="00912F18" w:rsidRDefault="00263169" w:rsidP="00A7353A">
      <w:pPr>
        <w:ind w:left="851" w:right="7"/>
        <w:rPr>
          <w:sz w:val="24"/>
          <w:szCs w:val="24"/>
        </w:rPr>
      </w:pPr>
      <w:proofErr w:type="spellStart"/>
      <w:r w:rsidRPr="00912F18">
        <w:rPr>
          <w:sz w:val="24"/>
          <w:szCs w:val="24"/>
        </w:rPr>
        <w:lastRenderedPageBreak/>
        <w:t>Monothioglycerol</w:t>
      </w:r>
      <w:proofErr w:type="spellEnd"/>
      <w:r w:rsidRPr="00912F18">
        <w:rPr>
          <w:sz w:val="24"/>
          <w:szCs w:val="24"/>
        </w:rPr>
        <w:t xml:space="preserve"> </w:t>
      </w:r>
    </w:p>
    <w:p w14:paraId="2FB1893F" w14:textId="77777777" w:rsidR="00263169" w:rsidRPr="00912F18" w:rsidRDefault="00263169" w:rsidP="00A7353A">
      <w:pPr>
        <w:ind w:left="851" w:right="6700"/>
        <w:rPr>
          <w:sz w:val="24"/>
          <w:szCs w:val="24"/>
        </w:rPr>
      </w:pPr>
      <w:r w:rsidRPr="00912F18">
        <w:rPr>
          <w:sz w:val="24"/>
          <w:szCs w:val="24"/>
        </w:rPr>
        <w:t xml:space="preserve">Propylenglycol  </w:t>
      </w:r>
    </w:p>
    <w:p w14:paraId="48EAF1AE" w14:textId="77777777" w:rsidR="00263169" w:rsidRPr="00912F18" w:rsidRDefault="00263169" w:rsidP="00A7353A">
      <w:pPr>
        <w:ind w:left="851" w:right="6700"/>
        <w:rPr>
          <w:sz w:val="24"/>
          <w:szCs w:val="24"/>
        </w:rPr>
      </w:pPr>
      <w:r w:rsidRPr="00912F18">
        <w:rPr>
          <w:sz w:val="24"/>
          <w:szCs w:val="24"/>
        </w:rPr>
        <w:t xml:space="preserve">Citronsyre  </w:t>
      </w:r>
    </w:p>
    <w:p w14:paraId="78467819" w14:textId="77777777" w:rsidR="00263169" w:rsidRPr="00912F18" w:rsidRDefault="00263169" w:rsidP="00A7353A">
      <w:pPr>
        <w:ind w:left="851" w:right="4324"/>
        <w:rPr>
          <w:sz w:val="24"/>
          <w:szCs w:val="24"/>
        </w:rPr>
      </w:pPr>
      <w:r w:rsidRPr="00912F18">
        <w:rPr>
          <w:sz w:val="24"/>
          <w:szCs w:val="24"/>
        </w:rPr>
        <w:t xml:space="preserve">Saltsyre (til pH-justering) </w:t>
      </w:r>
    </w:p>
    <w:p w14:paraId="427A59C2" w14:textId="77777777" w:rsidR="00263169" w:rsidRPr="00912F18" w:rsidRDefault="00263169" w:rsidP="00A7353A">
      <w:pPr>
        <w:ind w:left="851" w:right="4324"/>
        <w:rPr>
          <w:sz w:val="24"/>
          <w:szCs w:val="24"/>
        </w:rPr>
      </w:pPr>
      <w:r w:rsidRPr="00912F18">
        <w:rPr>
          <w:sz w:val="24"/>
          <w:szCs w:val="24"/>
        </w:rPr>
        <w:t xml:space="preserve">Natriumhydroxid (til pH-justering) </w:t>
      </w:r>
    </w:p>
    <w:p w14:paraId="5F36246A" w14:textId="3FFE6C74" w:rsidR="00CF6CF2" w:rsidRDefault="00263169" w:rsidP="007B4D9D">
      <w:pPr>
        <w:ind w:left="851" w:right="7"/>
        <w:rPr>
          <w:sz w:val="24"/>
          <w:szCs w:val="24"/>
        </w:rPr>
      </w:pPr>
      <w:r w:rsidRPr="00912F18">
        <w:rPr>
          <w:sz w:val="24"/>
          <w:szCs w:val="24"/>
        </w:rPr>
        <w:t>Vand til injektionsvæsker</w:t>
      </w:r>
      <w:r w:rsidRPr="00912F18">
        <w:rPr>
          <w:b/>
          <w:sz w:val="24"/>
          <w:szCs w:val="24"/>
        </w:rPr>
        <w:t xml:space="preserve"> </w:t>
      </w:r>
    </w:p>
    <w:p w14:paraId="0C61B666" w14:textId="77777777" w:rsidR="005B0036" w:rsidRPr="00912F18" w:rsidRDefault="005B0036" w:rsidP="005B0036">
      <w:pPr>
        <w:tabs>
          <w:tab w:val="left" w:pos="851"/>
          <w:tab w:val="left" w:pos="8222"/>
        </w:tabs>
        <w:ind w:left="851"/>
        <w:rPr>
          <w:sz w:val="24"/>
          <w:szCs w:val="24"/>
        </w:rPr>
      </w:pPr>
    </w:p>
    <w:p w14:paraId="3B1FD9A3" w14:textId="77777777" w:rsidR="005B0036" w:rsidRPr="00912F18" w:rsidRDefault="005B0036" w:rsidP="005B0036">
      <w:pPr>
        <w:tabs>
          <w:tab w:val="left" w:pos="8222"/>
        </w:tabs>
        <w:ind w:left="851" w:hanging="851"/>
        <w:rPr>
          <w:b/>
          <w:sz w:val="24"/>
          <w:szCs w:val="24"/>
        </w:rPr>
      </w:pPr>
      <w:r w:rsidRPr="00912F18">
        <w:rPr>
          <w:b/>
          <w:sz w:val="24"/>
          <w:szCs w:val="24"/>
        </w:rPr>
        <w:t>6.2</w:t>
      </w:r>
      <w:r w:rsidRPr="00912F18">
        <w:rPr>
          <w:b/>
          <w:sz w:val="24"/>
          <w:szCs w:val="24"/>
        </w:rPr>
        <w:tab/>
        <w:t>Uforligeligheder</w:t>
      </w:r>
    </w:p>
    <w:p w14:paraId="4F11D348" w14:textId="77777777" w:rsidR="00263169" w:rsidRPr="00912F18" w:rsidRDefault="00263169" w:rsidP="00A7353A">
      <w:pPr>
        <w:ind w:left="851" w:right="7"/>
        <w:rPr>
          <w:sz w:val="24"/>
          <w:szCs w:val="24"/>
        </w:rPr>
      </w:pPr>
      <w:r w:rsidRPr="00912F18">
        <w:rPr>
          <w:sz w:val="24"/>
          <w:szCs w:val="24"/>
        </w:rPr>
        <w:t xml:space="preserve">Da der ikke foreligger undersøgelser vedrørende eventuelle uforligeligheder, bør dette lægemiddel ikke blandes med andre lægemidler. </w:t>
      </w:r>
    </w:p>
    <w:p w14:paraId="58232232" w14:textId="77777777" w:rsidR="005B0036" w:rsidRPr="00912F18" w:rsidRDefault="005B0036" w:rsidP="005B0036">
      <w:pPr>
        <w:tabs>
          <w:tab w:val="left" w:pos="851"/>
          <w:tab w:val="left" w:pos="8222"/>
        </w:tabs>
        <w:ind w:left="851"/>
        <w:rPr>
          <w:sz w:val="24"/>
          <w:szCs w:val="24"/>
        </w:rPr>
      </w:pPr>
    </w:p>
    <w:p w14:paraId="56E3AE7B" w14:textId="77777777" w:rsidR="005B0036" w:rsidRPr="00912F18" w:rsidRDefault="005B0036" w:rsidP="005B0036">
      <w:pPr>
        <w:tabs>
          <w:tab w:val="left" w:pos="8222"/>
        </w:tabs>
        <w:ind w:left="851" w:hanging="851"/>
        <w:rPr>
          <w:b/>
          <w:sz w:val="24"/>
          <w:szCs w:val="24"/>
        </w:rPr>
      </w:pPr>
      <w:r w:rsidRPr="00912F18">
        <w:rPr>
          <w:b/>
          <w:sz w:val="24"/>
          <w:szCs w:val="24"/>
        </w:rPr>
        <w:t>6.3</w:t>
      </w:r>
      <w:r w:rsidRPr="00912F18">
        <w:rPr>
          <w:b/>
          <w:sz w:val="24"/>
          <w:szCs w:val="24"/>
        </w:rPr>
        <w:tab/>
        <w:t>Opbevaringstid</w:t>
      </w:r>
    </w:p>
    <w:p w14:paraId="5DE1ED48" w14:textId="24ACE417" w:rsidR="00263169" w:rsidRPr="00912F18" w:rsidRDefault="00245049" w:rsidP="00A7353A">
      <w:pPr>
        <w:spacing w:line="259" w:lineRule="auto"/>
        <w:ind w:left="851"/>
        <w:rPr>
          <w:sz w:val="24"/>
          <w:szCs w:val="24"/>
        </w:rPr>
      </w:pPr>
      <w:bookmarkStart w:id="2" w:name="_Hlk46823941"/>
      <w:r>
        <w:rPr>
          <w:sz w:val="24"/>
          <w:szCs w:val="24"/>
        </w:rPr>
        <w:t>I salgspakning</w:t>
      </w:r>
      <w:r w:rsidR="00263169" w:rsidRPr="00912F18">
        <w:rPr>
          <w:sz w:val="24"/>
          <w:szCs w:val="24"/>
        </w:rPr>
        <w:t xml:space="preserve">: </w:t>
      </w:r>
      <w:r w:rsidR="00E223B3">
        <w:rPr>
          <w:sz w:val="24"/>
          <w:szCs w:val="24"/>
        </w:rPr>
        <w:t>3</w:t>
      </w:r>
      <w:r w:rsidR="006A68DB">
        <w:rPr>
          <w:sz w:val="24"/>
          <w:szCs w:val="24"/>
        </w:rPr>
        <w:t xml:space="preserve"> </w:t>
      </w:r>
      <w:r w:rsidR="00263169" w:rsidRPr="00912F18">
        <w:rPr>
          <w:sz w:val="24"/>
          <w:szCs w:val="24"/>
        </w:rPr>
        <w:t>år.</w:t>
      </w:r>
    </w:p>
    <w:p w14:paraId="3F58CFA7" w14:textId="5E2A69D0" w:rsidR="00263169" w:rsidRPr="00912F18" w:rsidRDefault="00245049" w:rsidP="00A7353A">
      <w:pPr>
        <w:spacing w:line="259" w:lineRule="auto"/>
        <w:ind w:left="851"/>
        <w:rPr>
          <w:sz w:val="24"/>
          <w:szCs w:val="24"/>
        </w:rPr>
      </w:pPr>
      <w:r>
        <w:rPr>
          <w:sz w:val="24"/>
          <w:szCs w:val="24"/>
        </w:rPr>
        <w:t>E</w:t>
      </w:r>
      <w:r w:rsidR="00263169" w:rsidRPr="00912F18">
        <w:rPr>
          <w:sz w:val="24"/>
          <w:szCs w:val="24"/>
        </w:rPr>
        <w:t xml:space="preserve">fter </w:t>
      </w:r>
      <w:r>
        <w:rPr>
          <w:sz w:val="24"/>
          <w:szCs w:val="24"/>
        </w:rPr>
        <w:t xml:space="preserve">første </w:t>
      </w:r>
      <w:r w:rsidR="00263169" w:rsidRPr="00912F18">
        <w:rPr>
          <w:sz w:val="24"/>
          <w:szCs w:val="24"/>
        </w:rPr>
        <w:t xml:space="preserve">åbning af den </w:t>
      </w:r>
      <w:r>
        <w:rPr>
          <w:sz w:val="24"/>
          <w:szCs w:val="24"/>
        </w:rPr>
        <w:t>indre</w:t>
      </w:r>
      <w:r w:rsidR="00263169" w:rsidRPr="00912F18">
        <w:rPr>
          <w:sz w:val="24"/>
          <w:szCs w:val="24"/>
        </w:rPr>
        <w:t xml:space="preserve"> emballage: 28 dage.</w:t>
      </w:r>
    </w:p>
    <w:bookmarkEnd w:id="2"/>
    <w:p w14:paraId="3DD79BCC" w14:textId="77777777" w:rsidR="005B0036" w:rsidRPr="00912F18" w:rsidRDefault="005B0036" w:rsidP="005B0036">
      <w:pPr>
        <w:tabs>
          <w:tab w:val="left" w:pos="851"/>
          <w:tab w:val="left" w:pos="8222"/>
        </w:tabs>
        <w:ind w:left="851"/>
        <w:rPr>
          <w:sz w:val="24"/>
          <w:szCs w:val="24"/>
        </w:rPr>
      </w:pPr>
    </w:p>
    <w:p w14:paraId="1380C43E" w14:textId="77777777" w:rsidR="005B0036" w:rsidRPr="00912F18" w:rsidRDefault="005B0036" w:rsidP="005B0036">
      <w:pPr>
        <w:tabs>
          <w:tab w:val="left" w:pos="8222"/>
        </w:tabs>
        <w:ind w:left="851" w:hanging="851"/>
        <w:rPr>
          <w:b/>
          <w:sz w:val="24"/>
          <w:szCs w:val="24"/>
        </w:rPr>
      </w:pPr>
      <w:r w:rsidRPr="00912F18">
        <w:rPr>
          <w:b/>
          <w:sz w:val="24"/>
          <w:szCs w:val="24"/>
        </w:rPr>
        <w:t>6.4</w:t>
      </w:r>
      <w:r w:rsidRPr="00912F18">
        <w:rPr>
          <w:b/>
          <w:sz w:val="24"/>
          <w:szCs w:val="24"/>
        </w:rPr>
        <w:tab/>
        <w:t>Særlige opbevaringsforhold</w:t>
      </w:r>
    </w:p>
    <w:p w14:paraId="55F72712" w14:textId="2FD866A4" w:rsidR="00263169" w:rsidRPr="00912F18" w:rsidRDefault="00245049" w:rsidP="00A7353A">
      <w:pPr>
        <w:ind w:left="851"/>
        <w:rPr>
          <w:noProof/>
          <w:sz w:val="24"/>
          <w:szCs w:val="24"/>
        </w:rPr>
      </w:pPr>
      <w:r>
        <w:rPr>
          <w:noProof/>
          <w:sz w:val="24"/>
          <w:szCs w:val="24"/>
        </w:rPr>
        <w:t>Må ikke o</w:t>
      </w:r>
      <w:r w:rsidR="00263169" w:rsidRPr="00912F18">
        <w:rPr>
          <w:noProof/>
          <w:sz w:val="24"/>
          <w:szCs w:val="24"/>
        </w:rPr>
        <w:t xml:space="preserve">pbevares </w:t>
      </w:r>
      <w:r>
        <w:rPr>
          <w:noProof/>
          <w:sz w:val="24"/>
          <w:szCs w:val="24"/>
        </w:rPr>
        <w:t xml:space="preserve">over </w:t>
      </w:r>
      <w:r w:rsidR="00263169" w:rsidRPr="00912F18">
        <w:rPr>
          <w:noProof/>
          <w:sz w:val="24"/>
          <w:szCs w:val="24"/>
        </w:rPr>
        <w:t>30</w:t>
      </w:r>
      <w:r>
        <w:rPr>
          <w:noProof/>
          <w:sz w:val="24"/>
          <w:szCs w:val="24"/>
        </w:rPr>
        <w:t xml:space="preserve"> </w:t>
      </w:r>
      <w:r w:rsidR="00263169" w:rsidRPr="00912F18">
        <w:rPr>
          <w:noProof/>
          <w:sz w:val="24"/>
          <w:szCs w:val="24"/>
        </w:rPr>
        <w:t>°C.</w:t>
      </w:r>
    </w:p>
    <w:p w14:paraId="5455071C" w14:textId="77777777" w:rsidR="005B0036" w:rsidRPr="00912F18" w:rsidRDefault="005B0036" w:rsidP="005B0036">
      <w:pPr>
        <w:tabs>
          <w:tab w:val="left" w:pos="851"/>
          <w:tab w:val="left" w:pos="8222"/>
        </w:tabs>
        <w:ind w:left="851"/>
        <w:rPr>
          <w:sz w:val="24"/>
          <w:szCs w:val="24"/>
        </w:rPr>
      </w:pPr>
    </w:p>
    <w:p w14:paraId="5CFE937D" w14:textId="77777777" w:rsidR="005B0036" w:rsidRPr="00912F18" w:rsidRDefault="005B0036" w:rsidP="005B0036">
      <w:pPr>
        <w:tabs>
          <w:tab w:val="left" w:pos="8222"/>
        </w:tabs>
        <w:ind w:left="851" w:hanging="851"/>
        <w:rPr>
          <w:b/>
          <w:sz w:val="24"/>
          <w:szCs w:val="24"/>
        </w:rPr>
      </w:pPr>
      <w:r w:rsidRPr="00912F18">
        <w:rPr>
          <w:b/>
          <w:sz w:val="24"/>
          <w:szCs w:val="24"/>
        </w:rPr>
        <w:t>6.5</w:t>
      </w:r>
      <w:r w:rsidRPr="00912F18">
        <w:rPr>
          <w:b/>
          <w:sz w:val="24"/>
          <w:szCs w:val="24"/>
        </w:rPr>
        <w:tab/>
        <w:t>Emballage</w:t>
      </w:r>
    </w:p>
    <w:p w14:paraId="405E1F92" w14:textId="0C5E2190" w:rsidR="00263169" w:rsidRPr="00912F18" w:rsidRDefault="00263169" w:rsidP="00A7353A">
      <w:pPr>
        <w:ind w:left="851"/>
        <w:rPr>
          <w:sz w:val="24"/>
          <w:szCs w:val="24"/>
        </w:rPr>
      </w:pPr>
      <w:r w:rsidRPr="00912F18">
        <w:rPr>
          <w:sz w:val="24"/>
          <w:szCs w:val="24"/>
        </w:rPr>
        <w:t xml:space="preserve">Klar glas (Type II </w:t>
      </w:r>
      <w:proofErr w:type="spellStart"/>
      <w:r w:rsidRPr="00912F18">
        <w:rPr>
          <w:sz w:val="24"/>
          <w:szCs w:val="24"/>
        </w:rPr>
        <w:t>Ph</w:t>
      </w:r>
      <w:proofErr w:type="spellEnd"/>
      <w:r w:rsidRPr="00912F18">
        <w:rPr>
          <w:sz w:val="24"/>
          <w:szCs w:val="24"/>
        </w:rPr>
        <w:t xml:space="preserve">. </w:t>
      </w:r>
      <w:proofErr w:type="spellStart"/>
      <w:r w:rsidRPr="00912F18">
        <w:rPr>
          <w:sz w:val="24"/>
          <w:szCs w:val="24"/>
        </w:rPr>
        <w:t>Eur</w:t>
      </w:r>
      <w:proofErr w:type="spellEnd"/>
      <w:r w:rsidRPr="00912F18">
        <w:rPr>
          <w:sz w:val="24"/>
          <w:szCs w:val="24"/>
        </w:rPr>
        <w:t xml:space="preserve">.) </w:t>
      </w:r>
      <w:r w:rsidR="00B92799">
        <w:rPr>
          <w:sz w:val="24"/>
          <w:szCs w:val="24"/>
        </w:rPr>
        <w:t>h</w:t>
      </w:r>
      <w:r w:rsidRPr="00912F18">
        <w:rPr>
          <w:sz w:val="24"/>
          <w:szCs w:val="24"/>
        </w:rPr>
        <w:t xml:space="preserve">ætteglas lukket med en </w:t>
      </w:r>
      <w:proofErr w:type="spellStart"/>
      <w:r w:rsidRPr="00912F18">
        <w:rPr>
          <w:sz w:val="24"/>
          <w:szCs w:val="24"/>
        </w:rPr>
        <w:t>bromobutylgummiprop</w:t>
      </w:r>
      <w:proofErr w:type="spellEnd"/>
      <w:r w:rsidRPr="00912F18">
        <w:rPr>
          <w:sz w:val="24"/>
          <w:szCs w:val="24"/>
        </w:rPr>
        <w:t xml:space="preserve"> og forseglet med e</w:t>
      </w:r>
      <w:r w:rsidR="009E213B">
        <w:rPr>
          <w:sz w:val="24"/>
          <w:szCs w:val="24"/>
        </w:rPr>
        <w:t>t</w:t>
      </w:r>
      <w:r w:rsidRPr="00912F18">
        <w:rPr>
          <w:sz w:val="24"/>
          <w:szCs w:val="24"/>
        </w:rPr>
        <w:t xml:space="preserve"> aluminiums</w:t>
      </w:r>
      <w:r w:rsidR="009E213B">
        <w:rPr>
          <w:sz w:val="24"/>
          <w:szCs w:val="24"/>
        </w:rPr>
        <w:t>låg</w:t>
      </w:r>
      <w:r w:rsidRPr="00912F18">
        <w:rPr>
          <w:sz w:val="24"/>
          <w:szCs w:val="24"/>
        </w:rPr>
        <w:t>.</w:t>
      </w:r>
    </w:p>
    <w:p w14:paraId="75EDEC91" w14:textId="77777777" w:rsidR="00263169" w:rsidRPr="00912F18" w:rsidRDefault="00263169" w:rsidP="00A7353A">
      <w:pPr>
        <w:ind w:left="851"/>
        <w:rPr>
          <w:sz w:val="24"/>
          <w:szCs w:val="24"/>
        </w:rPr>
      </w:pPr>
      <w:r w:rsidRPr="00912F18">
        <w:rPr>
          <w:sz w:val="24"/>
          <w:szCs w:val="24"/>
        </w:rPr>
        <w:t xml:space="preserve"> </w:t>
      </w:r>
    </w:p>
    <w:p w14:paraId="43997049" w14:textId="77777777" w:rsidR="00263169" w:rsidRPr="00912F18" w:rsidRDefault="00263169" w:rsidP="00A7353A">
      <w:pPr>
        <w:ind w:left="851"/>
        <w:rPr>
          <w:sz w:val="24"/>
          <w:szCs w:val="24"/>
        </w:rPr>
      </w:pPr>
      <w:r w:rsidRPr="00912F18">
        <w:rPr>
          <w:sz w:val="24"/>
          <w:szCs w:val="24"/>
        </w:rPr>
        <w:t xml:space="preserve">Pakningsstørrelser </w:t>
      </w:r>
    </w:p>
    <w:p w14:paraId="6E7E963F" w14:textId="77777777" w:rsidR="00CF72C6" w:rsidRDefault="00CF72C6" w:rsidP="00CF72C6">
      <w:pPr>
        <w:ind w:left="851"/>
      </w:pPr>
      <w:r w:rsidRPr="008035A3">
        <w:t xml:space="preserve">Kartonæske indeholdende 1 hætteglas à </w:t>
      </w:r>
      <w:r>
        <w:t>5</w:t>
      </w:r>
      <w:r w:rsidRPr="008035A3">
        <w:t>0 ml.</w:t>
      </w:r>
    </w:p>
    <w:p w14:paraId="1D519F16" w14:textId="388C03E7" w:rsidR="00CF72C6" w:rsidRPr="008035A3" w:rsidRDefault="00CF72C6" w:rsidP="00CF72C6">
      <w:pPr>
        <w:ind w:left="851"/>
      </w:pPr>
      <w:r w:rsidRPr="008035A3">
        <w:t xml:space="preserve">Kartonæske indeholdende 1 hætteglas à 100 ml. </w:t>
      </w:r>
    </w:p>
    <w:p w14:paraId="5F50C46A" w14:textId="77777777" w:rsidR="00CF72C6" w:rsidRPr="008035A3" w:rsidRDefault="00CF72C6" w:rsidP="00CF72C6">
      <w:pPr>
        <w:ind w:left="851"/>
      </w:pPr>
      <w:r w:rsidRPr="008035A3">
        <w:t xml:space="preserve">Kartonæske indeholdende 1 hætteglas à 250 ml. </w:t>
      </w:r>
    </w:p>
    <w:p w14:paraId="608A2E31" w14:textId="77777777" w:rsidR="00263169" w:rsidRPr="00912F18" w:rsidRDefault="00263169" w:rsidP="00A7353A">
      <w:pPr>
        <w:ind w:left="851"/>
        <w:rPr>
          <w:sz w:val="24"/>
          <w:szCs w:val="24"/>
        </w:rPr>
      </w:pPr>
    </w:p>
    <w:p w14:paraId="301AEADD" w14:textId="77777777" w:rsidR="00263169" w:rsidRPr="00912F18" w:rsidRDefault="00263169" w:rsidP="00A7353A">
      <w:pPr>
        <w:ind w:left="851"/>
        <w:rPr>
          <w:sz w:val="24"/>
          <w:szCs w:val="24"/>
        </w:rPr>
      </w:pPr>
      <w:r w:rsidRPr="00912F18">
        <w:rPr>
          <w:sz w:val="24"/>
          <w:szCs w:val="24"/>
        </w:rPr>
        <w:t xml:space="preserve">Ikke alle pakningsstørrelser er nødvendigvis markedsført. </w:t>
      </w:r>
    </w:p>
    <w:p w14:paraId="4A85E45E" w14:textId="77777777" w:rsidR="005B0036" w:rsidRPr="00912F18" w:rsidRDefault="005B0036" w:rsidP="005B0036">
      <w:pPr>
        <w:tabs>
          <w:tab w:val="left" w:pos="851"/>
          <w:tab w:val="left" w:pos="8222"/>
        </w:tabs>
        <w:ind w:left="851"/>
        <w:rPr>
          <w:sz w:val="24"/>
          <w:szCs w:val="24"/>
        </w:rPr>
      </w:pPr>
    </w:p>
    <w:p w14:paraId="0D96CD22" w14:textId="77777777" w:rsidR="005B0036" w:rsidRPr="00912F18" w:rsidRDefault="005B0036" w:rsidP="005B0036">
      <w:pPr>
        <w:tabs>
          <w:tab w:val="left" w:pos="851"/>
          <w:tab w:val="left" w:pos="8222"/>
        </w:tabs>
        <w:ind w:left="851" w:hanging="851"/>
        <w:rPr>
          <w:b/>
          <w:sz w:val="24"/>
          <w:szCs w:val="24"/>
        </w:rPr>
      </w:pPr>
      <w:r w:rsidRPr="00912F18">
        <w:rPr>
          <w:b/>
          <w:sz w:val="24"/>
          <w:szCs w:val="24"/>
        </w:rPr>
        <w:t>6.6</w:t>
      </w:r>
      <w:r w:rsidRPr="00912F18">
        <w:rPr>
          <w:b/>
          <w:sz w:val="24"/>
          <w:szCs w:val="24"/>
        </w:rPr>
        <w:tab/>
        <w:t>Særlige forholdsregler ved bortskaffelse af rester af lægemidlet eller affald</w:t>
      </w:r>
    </w:p>
    <w:p w14:paraId="75A95A85" w14:textId="77777777" w:rsidR="00263169" w:rsidRPr="00912F18" w:rsidRDefault="00263169" w:rsidP="00A7353A">
      <w:pPr>
        <w:ind w:left="851" w:right="7"/>
        <w:rPr>
          <w:sz w:val="24"/>
          <w:szCs w:val="24"/>
        </w:rPr>
      </w:pPr>
      <w:r w:rsidRPr="00912F18">
        <w:rPr>
          <w:sz w:val="24"/>
          <w:szCs w:val="24"/>
        </w:rPr>
        <w:t xml:space="preserve">Ikke anvendte veterinærlægemidler, samt affald heraf bør destrueres i henhold til lokale retningslinjer. </w:t>
      </w:r>
    </w:p>
    <w:p w14:paraId="0837AE2F" w14:textId="77777777" w:rsidR="005B0036" w:rsidRPr="00912F18" w:rsidRDefault="005B0036" w:rsidP="005B0036">
      <w:pPr>
        <w:tabs>
          <w:tab w:val="left" w:pos="851"/>
          <w:tab w:val="left" w:pos="8222"/>
        </w:tabs>
        <w:ind w:left="851"/>
        <w:rPr>
          <w:sz w:val="24"/>
          <w:szCs w:val="24"/>
        </w:rPr>
      </w:pPr>
    </w:p>
    <w:p w14:paraId="5B21F05A" w14:textId="77777777" w:rsidR="005B0036" w:rsidRPr="00912F18" w:rsidRDefault="005B0036" w:rsidP="005B0036">
      <w:pPr>
        <w:tabs>
          <w:tab w:val="left" w:pos="851"/>
          <w:tab w:val="left" w:pos="8222"/>
        </w:tabs>
        <w:ind w:left="851" w:hanging="851"/>
        <w:rPr>
          <w:b/>
          <w:sz w:val="24"/>
          <w:szCs w:val="24"/>
        </w:rPr>
      </w:pPr>
      <w:r w:rsidRPr="00912F18">
        <w:rPr>
          <w:b/>
          <w:sz w:val="24"/>
          <w:szCs w:val="24"/>
        </w:rPr>
        <w:t>7.</w:t>
      </w:r>
      <w:r w:rsidRPr="00912F18">
        <w:rPr>
          <w:b/>
          <w:sz w:val="24"/>
          <w:szCs w:val="24"/>
        </w:rPr>
        <w:tab/>
        <w:t>INDEHAVER AF MARKEDSFØRINGSTILLADELSEN</w:t>
      </w:r>
    </w:p>
    <w:p w14:paraId="23931F8D" w14:textId="77777777" w:rsidR="00263169" w:rsidRPr="00912F18" w:rsidRDefault="00263169" w:rsidP="00A7353A">
      <w:pPr>
        <w:spacing w:line="259" w:lineRule="auto"/>
        <w:ind w:left="851"/>
        <w:rPr>
          <w:sz w:val="24"/>
          <w:szCs w:val="24"/>
        </w:rPr>
      </w:pPr>
      <w:r w:rsidRPr="00912F18">
        <w:rPr>
          <w:sz w:val="24"/>
          <w:szCs w:val="24"/>
        </w:rPr>
        <w:t>LIVISTO Int’l, S.L.</w:t>
      </w:r>
    </w:p>
    <w:p w14:paraId="5E2E3166" w14:textId="77777777" w:rsidR="00263169" w:rsidRPr="00912F18" w:rsidRDefault="00263169" w:rsidP="00A7353A">
      <w:pPr>
        <w:spacing w:line="259" w:lineRule="auto"/>
        <w:ind w:left="851"/>
        <w:rPr>
          <w:sz w:val="24"/>
          <w:szCs w:val="24"/>
        </w:rPr>
      </w:pPr>
      <w:r w:rsidRPr="00912F18">
        <w:rPr>
          <w:sz w:val="24"/>
          <w:szCs w:val="24"/>
        </w:rPr>
        <w:t xml:space="preserve">Av. </w:t>
      </w:r>
      <w:proofErr w:type="spellStart"/>
      <w:r w:rsidRPr="00912F18">
        <w:rPr>
          <w:sz w:val="24"/>
          <w:szCs w:val="24"/>
        </w:rPr>
        <w:t>Universitat</w:t>
      </w:r>
      <w:proofErr w:type="spellEnd"/>
      <w:r w:rsidRPr="00912F18">
        <w:rPr>
          <w:sz w:val="24"/>
          <w:szCs w:val="24"/>
        </w:rPr>
        <w:t xml:space="preserve"> </w:t>
      </w:r>
      <w:proofErr w:type="spellStart"/>
      <w:r w:rsidRPr="00912F18">
        <w:rPr>
          <w:sz w:val="24"/>
          <w:szCs w:val="24"/>
        </w:rPr>
        <w:t>Autònoma</w:t>
      </w:r>
      <w:proofErr w:type="spellEnd"/>
      <w:r w:rsidRPr="00912F18">
        <w:rPr>
          <w:sz w:val="24"/>
          <w:szCs w:val="24"/>
        </w:rPr>
        <w:t>, 29</w:t>
      </w:r>
    </w:p>
    <w:p w14:paraId="2D29F358" w14:textId="77777777" w:rsidR="00263169" w:rsidRPr="00912F18" w:rsidRDefault="00263169" w:rsidP="00A7353A">
      <w:pPr>
        <w:spacing w:line="259" w:lineRule="auto"/>
        <w:ind w:left="851"/>
        <w:rPr>
          <w:sz w:val="24"/>
          <w:szCs w:val="24"/>
        </w:rPr>
      </w:pPr>
      <w:r w:rsidRPr="00912F18">
        <w:rPr>
          <w:sz w:val="24"/>
          <w:szCs w:val="24"/>
        </w:rPr>
        <w:t xml:space="preserve">08290 </w:t>
      </w:r>
      <w:proofErr w:type="spellStart"/>
      <w:r w:rsidRPr="00912F18">
        <w:rPr>
          <w:sz w:val="24"/>
          <w:szCs w:val="24"/>
        </w:rPr>
        <w:t>Cerdanyola</w:t>
      </w:r>
      <w:proofErr w:type="spellEnd"/>
      <w:r w:rsidRPr="00912F18">
        <w:rPr>
          <w:sz w:val="24"/>
          <w:szCs w:val="24"/>
        </w:rPr>
        <w:t xml:space="preserve"> del </w:t>
      </w:r>
      <w:proofErr w:type="spellStart"/>
      <w:r w:rsidRPr="00912F18">
        <w:rPr>
          <w:sz w:val="24"/>
          <w:szCs w:val="24"/>
        </w:rPr>
        <w:t>Vallès</w:t>
      </w:r>
      <w:proofErr w:type="spellEnd"/>
      <w:r w:rsidRPr="00912F18">
        <w:rPr>
          <w:sz w:val="24"/>
          <w:szCs w:val="24"/>
        </w:rPr>
        <w:t xml:space="preserve"> (Barcelona) </w:t>
      </w:r>
    </w:p>
    <w:p w14:paraId="3D692FEA" w14:textId="77777777" w:rsidR="00263169" w:rsidRPr="00912F18" w:rsidRDefault="00263169" w:rsidP="00A7353A">
      <w:pPr>
        <w:spacing w:line="259" w:lineRule="auto"/>
        <w:ind w:left="851"/>
        <w:rPr>
          <w:sz w:val="24"/>
          <w:szCs w:val="24"/>
        </w:rPr>
      </w:pPr>
      <w:r w:rsidRPr="00912F18">
        <w:rPr>
          <w:sz w:val="24"/>
          <w:szCs w:val="24"/>
        </w:rPr>
        <w:t xml:space="preserve">Spanien </w:t>
      </w:r>
    </w:p>
    <w:p w14:paraId="075FFFA6" w14:textId="77777777" w:rsidR="00263169" w:rsidRPr="00912F18" w:rsidRDefault="00263169" w:rsidP="00A7353A">
      <w:pPr>
        <w:spacing w:line="259" w:lineRule="auto"/>
        <w:ind w:left="851"/>
        <w:rPr>
          <w:sz w:val="24"/>
          <w:szCs w:val="24"/>
        </w:rPr>
      </w:pPr>
    </w:p>
    <w:p w14:paraId="08DF3C67" w14:textId="77777777" w:rsidR="00263169" w:rsidRPr="00912F18" w:rsidRDefault="00263169" w:rsidP="00A7353A">
      <w:pPr>
        <w:spacing w:line="259" w:lineRule="auto"/>
        <w:ind w:left="851"/>
        <w:rPr>
          <w:b/>
          <w:bCs/>
          <w:sz w:val="24"/>
          <w:szCs w:val="24"/>
        </w:rPr>
      </w:pPr>
      <w:r w:rsidRPr="00912F18">
        <w:rPr>
          <w:b/>
          <w:bCs/>
          <w:sz w:val="24"/>
          <w:szCs w:val="24"/>
        </w:rPr>
        <w:t>Repræsentant</w:t>
      </w:r>
    </w:p>
    <w:p w14:paraId="771CFEA0" w14:textId="77777777" w:rsidR="00263169" w:rsidRPr="006D74B8" w:rsidRDefault="00263169" w:rsidP="00A7353A">
      <w:pPr>
        <w:spacing w:line="259" w:lineRule="auto"/>
        <w:ind w:left="851"/>
        <w:rPr>
          <w:sz w:val="24"/>
          <w:szCs w:val="24"/>
        </w:rPr>
      </w:pPr>
      <w:proofErr w:type="spellStart"/>
      <w:r w:rsidRPr="006D74B8">
        <w:rPr>
          <w:sz w:val="24"/>
          <w:szCs w:val="24"/>
        </w:rPr>
        <w:t>Salfarm</w:t>
      </w:r>
      <w:proofErr w:type="spellEnd"/>
      <w:r w:rsidRPr="006D74B8">
        <w:rPr>
          <w:sz w:val="24"/>
          <w:szCs w:val="24"/>
        </w:rPr>
        <w:t xml:space="preserve"> Danmark A/S</w:t>
      </w:r>
    </w:p>
    <w:p w14:paraId="1F9310C9" w14:textId="77777777" w:rsidR="008E2654" w:rsidRPr="006D74B8" w:rsidRDefault="008E2654" w:rsidP="008E2654">
      <w:pPr>
        <w:tabs>
          <w:tab w:val="left" w:pos="851"/>
          <w:tab w:val="left" w:pos="8222"/>
        </w:tabs>
        <w:ind w:left="851"/>
        <w:rPr>
          <w:sz w:val="24"/>
          <w:szCs w:val="24"/>
        </w:rPr>
      </w:pPr>
      <w:r w:rsidRPr="006D74B8">
        <w:rPr>
          <w:sz w:val="24"/>
          <w:szCs w:val="24"/>
        </w:rPr>
        <w:t>Nordager 19</w:t>
      </w:r>
    </w:p>
    <w:p w14:paraId="63890CB6" w14:textId="0AF056F6" w:rsidR="00263169" w:rsidRPr="00912F18" w:rsidRDefault="00263169" w:rsidP="00A7353A">
      <w:pPr>
        <w:spacing w:line="259" w:lineRule="auto"/>
        <w:ind w:left="851"/>
        <w:rPr>
          <w:sz w:val="24"/>
          <w:szCs w:val="24"/>
        </w:rPr>
      </w:pPr>
      <w:r w:rsidRPr="00912F18">
        <w:rPr>
          <w:sz w:val="24"/>
          <w:szCs w:val="24"/>
        </w:rPr>
        <w:t>6000 Kolding</w:t>
      </w:r>
    </w:p>
    <w:p w14:paraId="0BD57EB5" w14:textId="77777777" w:rsidR="005B0036" w:rsidRPr="00912F18" w:rsidRDefault="005B0036" w:rsidP="005B0036">
      <w:pPr>
        <w:tabs>
          <w:tab w:val="left" w:pos="851"/>
          <w:tab w:val="left" w:pos="8222"/>
        </w:tabs>
        <w:ind w:left="851"/>
        <w:rPr>
          <w:sz w:val="24"/>
          <w:szCs w:val="24"/>
        </w:rPr>
      </w:pPr>
    </w:p>
    <w:p w14:paraId="186A9F00" w14:textId="77777777" w:rsidR="005B0036" w:rsidRPr="00912F18" w:rsidRDefault="005B0036" w:rsidP="005B0036">
      <w:pPr>
        <w:tabs>
          <w:tab w:val="left" w:pos="8222"/>
        </w:tabs>
        <w:ind w:left="851" w:hanging="851"/>
        <w:rPr>
          <w:b/>
          <w:sz w:val="24"/>
          <w:szCs w:val="24"/>
        </w:rPr>
      </w:pPr>
      <w:r w:rsidRPr="00912F18">
        <w:rPr>
          <w:b/>
          <w:sz w:val="24"/>
          <w:szCs w:val="24"/>
        </w:rPr>
        <w:t>8.</w:t>
      </w:r>
      <w:r w:rsidRPr="00912F18">
        <w:rPr>
          <w:b/>
          <w:sz w:val="24"/>
          <w:szCs w:val="24"/>
        </w:rPr>
        <w:tab/>
        <w:t>MARKEDSFØRINGSTILLADELSESNUMMER (NUMRE)</w:t>
      </w:r>
    </w:p>
    <w:p w14:paraId="4D629426" w14:textId="57673D63" w:rsidR="005B0036" w:rsidRPr="00912F18" w:rsidRDefault="001D5FBE" w:rsidP="005B0036">
      <w:pPr>
        <w:tabs>
          <w:tab w:val="left" w:pos="851"/>
          <w:tab w:val="left" w:pos="8222"/>
        </w:tabs>
        <w:ind w:left="851"/>
        <w:rPr>
          <w:sz w:val="24"/>
          <w:szCs w:val="24"/>
        </w:rPr>
      </w:pPr>
      <w:r w:rsidRPr="00912F18">
        <w:rPr>
          <w:sz w:val="24"/>
          <w:szCs w:val="24"/>
        </w:rPr>
        <w:t>63232</w:t>
      </w:r>
    </w:p>
    <w:p w14:paraId="59DA44C7" w14:textId="77777777" w:rsidR="005B0036" w:rsidRPr="00912F18" w:rsidRDefault="005B0036" w:rsidP="005B0036">
      <w:pPr>
        <w:tabs>
          <w:tab w:val="left" w:pos="851"/>
          <w:tab w:val="left" w:pos="8222"/>
        </w:tabs>
        <w:ind w:left="851"/>
        <w:rPr>
          <w:sz w:val="24"/>
          <w:szCs w:val="24"/>
        </w:rPr>
      </w:pPr>
    </w:p>
    <w:p w14:paraId="258D715E" w14:textId="77777777" w:rsidR="005B0036" w:rsidRPr="00912F18" w:rsidRDefault="005B0036" w:rsidP="005B0036">
      <w:pPr>
        <w:tabs>
          <w:tab w:val="left" w:pos="851"/>
          <w:tab w:val="left" w:pos="8222"/>
        </w:tabs>
        <w:rPr>
          <w:b/>
          <w:sz w:val="24"/>
          <w:szCs w:val="24"/>
        </w:rPr>
      </w:pPr>
      <w:r w:rsidRPr="00912F18">
        <w:rPr>
          <w:b/>
          <w:sz w:val="24"/>
          <w:szCs w:val="24"/>
        </w:rPr>
        <w:t>9.</w:t>
      </w:r>
      <w:r w:rsidRPr="00912F18">
        <w:rPr>
          <w:b/>
          <w:sz w:val="24"/>
          <w:szCs w:val="24"/>
        </w:rPr>
        <w:tab/>
        <w:t>DATO FOR FØRSTE MARKEDSFØRINGSTILLADELSE</w:t>
      </w:r>
    </w:p>
    <w:p w14:paraId="3E42EC47" w14:textId="0136001A" w:rsidR="005B0036" w:rsidRPr="00912F18" w:rsidRDefault="00B92799" w:rsidP="005B0036">
      <w:pPr>
        <w:tabs>
          <w:tab w:val="left" w:pos="851"/>
          <w:tab w:val="left" w:pos="8222"/>
        </w:tabs>
        <w:ind w:left="851"/>
        <w:rPr>
          <w:sz w:val="24"/>
          <w:szCs w:val="24"/>
        </w:rPr>
      </w:pPr>
      <w:r>
        <w:rPr>
          <w:sz w:val="24"/>
          <w:szCs w:val="24"/>
        </w:rPr>
        <w:t>13. oktober 2020</w:t>
      </w:r>
    </w:p>
    <w:p w14:paraId="286F446C" w14:textId="77777777" w:rsidR="005B0036" w:rsidRPr="00912F18" w:rsidRDefault="005B0036" w:rsidP="005B0036">
      <w:pPr>
        <w:tabs>
          <w:tab w:val="left" w:pos="851"/>
          <w:tab w:val="left" w:pos="8222"/>
        </w:tabs>
        <w:ind w:left="851"/>
        <w:rPr>
          <w:sz w:val="24"/>
          <w:szCs w:val="24"/>
        </w:rPr>
      </w:pPr>
    </w:p>
    <w:p w14:paraId="4FA0BAE6" w14:textId="77777777" w:rsidR="005B0036" w:rsidRPr="00912F18" w:rsidRDefault="005B0036" w:rsidP="005B0036">
      <w:pPr>
        <w:tabs>
          <w:tab w:val="left" w:pos="851"/>
          <w:tab w:val="left" w:pos="8222"/>
        </w:tabs>
        <w:ind w:left="851" w:hanging="851"/>
        <w:rPr>
          <w:b/>
          <w:sz w:val="24"/>
          <w:szCs w:val="24"/>
        </w:rPr>
      </w:pPr>
      <w:r w:rsidRPr="00912F18">
        <w:rPr>
          <w:b/>
          <w:sz w:val="24"/>
          <w:szCs w:val="24"/>
        </w:rPr>
        <w:lastRenderedPageBreak/>
        <w:t>10.</w:t>
      </w:r>
      <w:r w:rsidRPr="00912F18">
        <w:rPr>
          <w:b/>
          <w:sz w:val="24"/>
          <w:szCs w:val="24"/>
        </w:rPr>
        <w:tab/>
        <w:t>DATO FOR ÆNDRING AF TEKSTEN</w:t>
      </w:r>
    </w:p>
    <w:p w14:paraId="78D308F6" w14:textId="6EF4004F" w:rsidR="005B0036" w:rsidRDefault="00CF72C6" w:rsidP="005B0036">
      <w:pPr>
        <w:tabs>
          <w:tab w:val="left" w:pos="851"/>
          <w:tab w:val="left" w:pos="8222"/>
        </w:tabs>
        <w:ind w:left="851"/>
        <w:rPr>
          <w:sz w:val="24"/>
          <w:szCs w:val="24"/>
        </w:rPr>
      </w:pPr>
      <w:r>
        <w:rPr>
          <w:sz w:val="24"/>
          <w:szCs w:val="24"/>
        </w:rPr>
        <w:t>8. juni 2023</w:t>
      </w:r>
      <w:bookmarkStart w:id="3" w:name="_GoBack"/>
      <w:bookmarkEnd w:id="3"/>
    </w:p>
    <w:p w14:paraId="0FDF846F" w14:textId="77777777" w:rsidR="00A23A50" w:rsidRPr="00912F18" w:rsidRDefault="00A23A50" w:rsidP="005B0036">
      <w:pPr>
        <w:tabs>
          <w:tab w:val="left" w:pos="851"/>
          <w:tab w:val="left" w:pos="8222"/>
        </w:tabs>
        <w:ind w:left="851"/>
        <w:rPr>
          <w:sz w:val="24"/>
          <w:szCs w:val="24"/>
        </w:rPr>
      </w:pPr>
    </w:p>
    <w:p w14:paraId="530BAF17" w14:textId="77777777" w:rsidR="005B0036" w:rsidRPr="00912F18" w:rsidRDefault="005B0036" w:rsidP="005B0036">
      <w:pPr>
        <w:tabs>
          <w:tab w:val="left" w:pos="851"/>
          <w:tab w:val="left" w:pos="8222"/>
        </w:tabs>
        <w:rPr>
          <w:b/>
          <w:sz w:val="24"/>
          <w:szCs w:val="24"/>
        </w:rPr>
      </w:pPr>
      <w:r w:rsidRPr="00912F18">
        <w:rPr>
          <w:b/>
          <w:sz w:val="24"/>
          <w:szCs w:val="24"/>
        </w:rPr>
        <w:t>11.</w:t>
      </w:r>
      <w:r w:rsidRPr="00912F18">
        <w:rPr>
          <w:b/>
          <w:sz w:val="24"/>
          <w:szCs w:val="24"/>
        </w:rPr>
        <w:tab/>
        <w:t>UDLEVERINGSBESTEMMELSE</w:t>
      </w:r>
    </w:p>
    <w:p w14:paraId="0248EA96" w14:textId="7B59C681" w:rsidR="005B0036" w:rsidRPr="00912F18" w:rsidRDefault="001D0BAB" w:rsidP="005B0036">
      <w:pPr>
        <w:pStyle w:val="Sidehoved"/>
        <w:tabs>
          <w:tab w:val="clear" w:pos="4819"/>
          <w:tab w:val="left" w:pos="851"/>
          <w:tab w:val="left" w:pos="8222"/>
        </w:tabs>
        <w:ind w:left="851"/>
        <w:rPr>
          <w:szCs w:val="24"/>
        </w:rPr>
      </w:pPr>
      <w:r w:rsidRPr="00912F18">
        <w:rPr>
          <w:szCs w:val="24"/>
        </w:rPr>
        <w:t>BP</w:t>
      </w:r>
    </w:p>
    <w:p w14:paraId="425C3F2E" w14:textId="77777777" w:rsidR="0003527F" w:rsidRPr="00912F18" w:rsidRDefault="0003527F" w:rsidP="005B0036">
      <w:pPr>
        <w:rPr>
          <w:sz w:val="24"/>
          <w:szCs w:val="24"/>
        </w:rPr>
      </w:pPr>
    </w:p>
    <w:sectPr w:rsidR="0003527F" w:rsidRPr="00912F18"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E4114" w14:textId="77777777" w:rsidR="003B2784" w:rsidRDefault="003B2784">
      <w:r>
        <w:separator/>
      </w:r>
    </w:p>
  </w:endnote>
  <w:endnote w:type="continuationSeparator" w:id="0">
    <w:p w14:paraId="3D15D161" w14:textId="77777777" w:rsidR="003B2784" w:rsidRDefault="003B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9E164" w14:textId="77777777" w:rsidR="004A62CC" w:rsidRDefault="004A62CC">
    <w:pPr>
      <w:pStyle w:val="Sidefod"/>
      <w:pBdr>
        <w:bottom w:val="single" w:sz="6" w:space="1" w:color="auto"/>
      </w:pBdr>
      <w:tabs>
        <w:tab w:val="clear" w:pos="4819"/>
        <w:tab w:val="left" w:pos="8647"/>
      </w:tabs>
      <w:rPr>
        <w:i/>
        <w:snapToGrid w:val="0"/>
        <w:sz w:val="18"/>
      </w:rPr>
    </w:pPr>
  </w:p>
  <w:p w14:paraId="3828B064" w14:textId="77777777" w:rsidR="004A62CC" w:rsidRDefault="004A62CC">
    <w:pPr>
      <w:pStyle w:val="Sidefod"/>
      <w:tabs>
        <w:tab w:val="clear" w:pos="4819"/>
        <w:tab w:val="left" w:pos="8647"/>
      </w:tabs>
      <w:rPr>
        <w:i/>
        <w:snapToGrid w:val="0"/>
        <w:sz w:val="18"/>
      </w:rPr>
    </w:pPr>
  </w:p>
  <w:p w14:paraId="0C03B7DC" w14:textId="2A9F9D0C"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B22492">
      <w:rPr>
        <w:i/>
        <w:noProof/>
        <w:snapToGrid w:val="0"/>
        <w:sz w:val="18"/>
      </w:rPr>
      <w:t>Tullavis, injektionsvæske, opløsning 25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3B566" w14:textId="77777777" w:rsidR="004A62CC" w:rsidRDefault="004A62CC">
    <w:pPr>
      <w:pStyle w:val="Sidefod"/>
      <w:pBdr>
        <w:bottom w:val="single" w:sz="6" w:space="1" w:color="auto"/>
      </w:pBdr>
      <w:tabs>
        <w:tab w:val="clear" w:pos="4819"/>
        <w:tab w:val="left" w:pos="8647"/>
      </w:tabs>
      <w:rPr>
        <w:i/>
        <w:snapToGrid w:val="0"/>
        <w:sz w:val="18"/>
      </w:rPr>
    </w:pPr>
  </w:p>
  <w:p w14:paraId="5A52F38D" w14:textId="77777777" w:rsidR="004A62CC" w:rsidRDefault="004A62CC">
    <w:pPr>
      <w:pStyle w:val="Sidefod"/>
      <w:tabs>
        <w:tab w:val="clear" w:pos="4819"/>
        <w:tab w:val="left" w:pos="8647"/>
      </w:tabs>
      <w:rPr>
        <w:i/>
        <w:snapToGrid w:val="0"/>
        <w:sz w:val="18"/>
      </w:rPr>
    </w:pPr>
  </w:p>
  <w:p w14:paraId="3B565ED6"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3B2784">
      <w:rPr>
        <w:i/>
        <w:noProof/>
        <w:snapToGrid w:val="0"/>
        <w:sz w:val="18"/>
      </w:rPr>
      <w:t>Dokument1</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71CE6" w14:textId="77777777" w:rsidR="003B2784" w:rsidRDefault="003B2784">
      <w:r>
        <w:separator/>
      </w:r>
    </w:p>
  </w:footnote>
  <w:footnote w:type="continuationSeparator" w:id="0">
    <w:p w14:paraId="5D3864CF" w14:textId="77777777" w:rsidR="003B2784" w:rsidRDefault="003B2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42651"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4E284"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784"/>
    <w:rsid w:val="0003527F"/>
    <w:rsid w:val="00065C7D"/>
    <w:rsid w:val="00095526"/>
    <w:rsid w:val="000C6CD4"/>
    <w:rsid w:val="001577E4"/>
    <w:rsid w:val="001858CA"/>
    <w:rsid w:val="001C4AEF"/>
    <w:rsid w:val="001D0BAB"/>
    <w:rsid w:val="001D3CC5"/>
    <w:rsid w:val="001D5FBE"/>
    <w:rsid w:val="00245049"/>
    <w:rsid w:val="00263169"/>
    <w:rsid w:val="00277274"/>
    <w:rsid w:val="00322BDE"/>
    <w:rsid w:val="003354D2"/>
    <w:rsid w:val="003B2784"/>
    <w:rsid w:val="00406EE7"/>
    <w:rsid w:val="00407013"/>
    <w:rsid w:val="004A62CC"/>
    <w:rsid w:val="00564943"/>
    <w:rsid w:val="00565A74"/>
    <w:rsid w:val="005B0036"/>
    <w:rsid w:val="005F5831"/>
    <w:rsid w:val="006163F1"/>
    <w:rsid w:val="00626550"/>
    <w:rsid w:val="00636B76"/>
    <w:rsid w:val="00651055"/>
    <w:rsid w:val="00655FD1"/>
    <w:rsid w:val="00662012"/>
    <w:rsid w:val="00666B01"/>
    <w:rsid w:val="006A68DB"/>
    <w:rsid w:val="006B1539"/>
    <w:rsid w:val="006D74B8"/>
    <w:rsid w:val="006F5621"/>
    <w:rsid w:val="007B22DB"/>
    <w:rsid w:val="007B4D9D"/>
    <w:rsid w:val="007E2A00"/>
    <w:rsid w:val="008010F2"/>
    <w:rsid w:val="008A440F"/>
    <w:rsid w:val="008E2654"/>
    <w:rsid w:val="00912F18"/>
    <w:rsid w:val="009202AE"/>
    <w:rsid w:val="00951862"/>
    <w:rsid w:val="0096130B"/>
    <w:rsid w:val="009D66C6"/>
    <w:rsid w:val="009E213B"/>
    <w:rsid w:val="00A23A50"/>
    <w:rsid w:val="00A7353A"/>
    <w:rsid w:val="00A929BD"/>
    <w:rsid w:val="00A96525"/>
    <w:rsid w:val="00AB2889"/>
    <w:rsid w:val="00AE29E5"/>
    <w:rsid w:val="00AE5757"/>
    <w:rsid w:val="00B22492"/>
    <w:rsid w:val="00B25EB8"/>
    <w:rsid w:val="00B35BBE"/>
    <w:rsid w:val="00B8461D"/>
    <w:rsid w:val="00B92799"/>
    <w:rsid w:val="00BA5DD7"/>
    <w:rsid w:val="00BC634B"/>
    <w:rsid w:val="00BF2AE0"/>
    <w:rsid w:val="00C479BF"/>
    <w:rsid w:val="00C9751F"/>
    <w:rsid w:val="00CB527D"/>
    <w:rsid w:val="00CF6CF2"/>
    <w:rsid w:val="00CF72C6"/>
    <w:rsid w:val="00DD6D71"/>
    <w:rsid w:val="00DF32BE"/>
    <w:rsid w:val="00E03256"/>
    <w:rsid w:val="00E14F0A"/>
    <w:rsid w:val="00E223B3"/>
    <w:rsid w:val="00EB5778"/>
    <w:rsid w:val="00EE5253"/>
    <w:rsid w:val="00F44224"/>
    <w:rsid w:val="00F83332"/>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9A9B54"/>
  <w15:chartTrackingRefBased/>
  <w15:docId w15:val="{B0FB496B-E74D-460D-BD29-FF49C4536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2">
    <w:name w:val="heading 2"/>
    <w:next w:val="Normal"/>
    <w:link w:val="Overskrift2Tegn"/>
    <w:uiPriority w:val="9"/>
    <w:unhideWhenUsed/>
    <w:qFormat/>
    <w:rsid w:val="00263169"/>
    <w:pPr>
      <w:keepNext/>
      <w:keepLines/>
      <w:spacing w:line="259" w:lineRule="auto"/>
      <w:ind w:left="11" w:hanging="10"/>
      <w:outlineLvl w:val="1"/>
    </w:pPr>
    <w:rPr>
      <w:color w:val="000000"/>
      <w:sz w:val="22"/>
      <w:szCs w:val="22"/>
      <w:u w:val="single" w:color="000000"/>
      <w:lang w:val="de-DE" w:eastAsia="de-DE"/>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customStyle="1" w:styleId="Overskrift2Tegn">
    <w:name w:val="Overskrift 2 Tegn"/>
    <w:basedOn w:val="Standardskrifttypeiafsnit"/>
    <w:link w:val="Overskrift2"/>
    <w:uiPriority w:val="9"/>
    <w:rsid w:val="00263169"/>
    <w:rPr>
      <w:color w:val="000000"/>
      <w:sz w:val="22"/>
      <w:szCs w:val="22"/>
      <w:u w:val="single" w:color="00000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1294</Words>
  <Characters>8787</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Kristine Skov</dc:creator>
  <cp:keywords/>
  <dc:description>2022120981 pkt. 6.5 tilføjelse af pakningsstørrelse</dc:description>
  <cp:lastModifiedBy>Kristine Skov Hansen</cp:lastModifiedBy>
  <cp:revision>2</cp:revision>
  <dcterms:created xsi:type="dcterms:W3CDTF">2023-06-08T10:52:00Z</dcterms:created>
  <dcterms:modified xsi:type="dcterms:W3CDTF">2023-06-08T10:52:00Z</dcterms:modified>
</cp:coreProperties>
</file>