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74D3"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32C06193" wp14:editId="196C030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8068352" w14:textId="77777777" w:rsidR="008203A8" w:rsidRDefault="008203A8" w:rsidP="008203A8">
      <w:pPr>
        <w:rPr>
          <w:sz w:val="24"/>
          <w:szCs w:val="24"/>
        </w:rPr>
      </w:pPr>
    </w:p>
    <w:p w14:paraId="7CE8A1E6" w14:textId="1688F62E" w:rsidR="008203A8" w:rsidRPr="009E7AAC" w:rsidRDefault="008203A8" w:rsidP="008203A8">
      <w:pPr>
        <w:tabs>
          <w:tab w:val="right" w:pos="9356"/>
        </w:tabs>
        <w:rPr>
          <w:b/>
          <w:sz w:val="24"/>
          <w:szCs w:val="24"/>
        </w:rPr>
      </w:pPr>
      <w:r>
        <w:rPr>
          <w:b/>
          <w:sz w:val="24"/>
          <w:szCs w:val="24"/>
        </w:rPr>
        <w:tab/>
      </w:r>
      <w:r w:rsidR="009E7AAC" w:rsidRPr="009E7AAC">
        <w:rPr>
          <w:b/>
          <w:sz w:val="24"/>
          <w:szCs w:val="24"/>
        </w:rPr>
        <w:t>2. november 2023</w:t>
      </w:r>
    </w:p>
    <w:p w14:paraId="0397EED7" w14:textId="77777777" w:rsidR="008203A8" w:rsidRDefault="008203A8" w:rsidP="008203A8">
      <w:pPr>
        <w:rPr>
          <w:sz w:val="24"/>
          <w:szCs w:val="24"/>
        </w:rPr>
      </w:pPr>
    </w:p>
    <w:p w14:paraId="76B2725D" w14:textId="77777777" w:rsidR="008203A8" w:rsidRDefault="008203A8" w:rsidP="008203A8">
      <w:pPr>
        <w:jc w:val="center"/>
        <w:rPr>
          <w:b/>
          <w:sz w:val="24"/>
          <w:szCs w:val="24"/>
        </w:rPr>
      </w:pPr>
    </w:p>
    <w:p w14:paraId="36DA45D5" w14:textId="77777777" w:rsidR="008203A8" w:rsidRPr="00406EE7" w:rsidRDefault="008203A8" w:rsidP="008203A8">
      <w:pPr>
        <w:jc w:val="center"/>
        <w:rPr>
          <w:b/>
          <w:sz w:val="24"/>
          <w:szCs w:val="24"/>
        </w:rPr>
      </w:pPr>
      <w:r w:rsidRPr="00406EE7">
        <w:rPr>
          <w:b/>
          <w:sz w:val="24"/>
          <w:szCs w:val="24"/>
        </w:rPr>
        <w:t>PRODUKTRESUMÉ</w:t>
      </w:r>
    </w:p>
    <w:p w14:paraId="6EB5D385" w14:textId="77777777" w:rsidR="008203A8" w:rsidRPr="00406EE7" w:rsidRDefault="008203A8" w:rsidP="008203A8">
      <w:pPr>
        <w:jc w:val="center"/>
        <w:rPr>
          <w:b/>
          <w:sz w:val="24"/>
          <w:szCs w:val="24"/>
        </w:rPr>
      </w:pPr>
    </w:p>
    <w:p w14:paraId="508078AC" w14:textId="77777777" w:rsidR="008203A8" w:rsidRPr="00406EE7" w:rsidRDefault="008203A8" w:rsidP="008203A8">
      <w:pPr>
        <w:jc w:val="center"/>
        <w:rPr>
          <w:b/>
          <w:sz w:val="24"/>
          <w:szCs w:val="24"/>
        </w:rPr>
      </w:pPr>
      <w:r w:rsidRPr="00406EE7">
        <w:rPr>
          <w:b/>
          <w:sz w:val="24"/>
          <w:szCs w:val="24"/>
        </w:rPr>
        <w:t>for</w:t>
      </w:r>
    </w:p>
    <w:p w14:paraId="6BA232ED" w14:textId="77777777" w:rsidR="008203A8" w:rsidRPr="00406EE7" w:rsidRDefault="008203A8" w:rsidP="008203A8">
      <w:pPr>
        <w:jc w:val="center"/>
        <w:rPr>
          <w:b/>
          <w:sz w:val="24"/>
          <w:szCs w:val="24"/>
        </w:rPr>
      </w:pPr>
    </w:p>
    <w:p w14:paraId="4888A323" w14:textId="27A1095C" w:rsidR="008203A8" w:rsidRPr="00565A74" w:rsidRDefault="009E7AAC" w:rsidP="008203A8">
      <w:pPr>
        <w:jc w:val="center"/>
        <w:rPr>
          <w:b/>
          <w:sz w:val="24"/>
          <w:szCs w:val="24"/>
        </w:rPr>
      </w:pPr>
      <w:proofErr w:type="spellStart"/>
      <w:r>
        <w:rPr>
          <w:b/>
          <w:sz w:val="24"/>
          <w:szCs w:val="24"/>
        </w:rPr>
        <w:t>Tyawalt</w:t>
      </w:r>
      <w:proofErr w:type="spellEnd"/>
      <w:r>
        <w:rPr>
          <w:b/>
          <w:sz w:val="24"/>
          <w:szCs w:val="24"/>
        </w:rPr>
        <w:t>, granulat til anvendelse i drikkevand</w:t>
      </w:r>
    </w:p>
    <w:p w14:paraId="3CE74510" w14:textId="77777777" w:rsidR="008203A8" w:rsidRPr="00406EE7" w:rsidRDefault="008203A8" w:rsidP="008203A8">
      <w:pPr>
        <w:jc w:val="both"/>
        <w:rPr>
          <w:sz w:val="24"/>
          <w:szCs w:val="24"/>
        </w:rPr>
      </w:pPr>
    </w:p>
    <w:p w14:paraId="0F515E5E" w14:textId="77777777" w:rsidR="008203A8" w:rsidRDefault="008203A8" w:rsidP="008203A8">
      <w:pPr>
        <w:jc w:val="both"/>
        <w:rPr>
          <w:sz w:val="24"/>
          <w:szCs w:val="24"/>
        </w:rPr>
      </w:pPr>
    </w:p>
    <w:p w14:paraId="3F9DF0AC" w14:textId="77777777" w:rsidR="008203A8" w:rsidRPr="00406EE7" w:rsidRDefault="008203A8" w:rsidP="008203A8">
      <w:pPr>
        <w:jc w:val="both"/>
        <w:rPr>
          <w:sz w:val="24"/>
          <w:szCs w:val="24"/>
        </w:rPr>
      </w:pPr>
    </w:p>
    <w:p w14:paraId="2926DCFD"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2F89BF8" w14:textId="777E3FEF" w:rsidR="008203A8" w:rsidRPr="00406EE7" w:rsidRDefault="009E7AAC" w:rsidP="008203A8">
      <w:pPr>
        <w:ind w:left="851"/>
        <w:rPr>
          <w:sz w:val="24"/>
          <w:szCs w:val="24"/>
        </w:rPr>
      </w:pPr>
      <w:r>
        <w:rPr>
          <w:sz w:val="24"/>
          <w:szCs w:val="24"/>
        </w:rPr>
        <w:t>29708</w:t>
      </w:r>
    </w:p>
    <w:p w14:paraId="26844C91" w14:textId="77777777" w:rsidR="008203A8" w:rsidRPr="00406EE7" w:rsidRDefault="008203A8" w:rsidP="008203A8">
      <w:pPr>
        <w:ind w:left="851"/>
        <w:rPr>
          <w:sz w:val="24"/>
          <w:szCs w:val="24"/>
        </w:rPr>
      </w:pPr>
    </w:p>
    <w:p w14:paraId="3C7A177D"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32E3F4D2" w14:textId="2321716F" w:rsidR="008203A8" w:rsidRDefault="009E7AAC" w:rsidP="008203A8">
      <w:pPr>
        <w:ind w:left="851"/>
        <w:rPr>
          <w:sz w:val="24"/>
          <w:szCs w:val="24"/>
        </w:rPr>
      </w:pPr>
      <w:proofErr w:type="spellStart"/>
      <w:r>
        <w:rPr>
          <w:sz w:val="24"/>
          <w:szCs w:val="24"/>
        </w:rPr>
        <w:t>Tyawalt</w:t>
      </w:r>
      <w:proofErr w:type="spellEnd"/>
    </w:p>
    <w:p w14:paraId="6E33F108" w14:textId="77777777" w:rsidR="008203A8" w:rsidRDefault="008203A8" w:rsidP="008203A8">
      <w:pPr>
        <w:ind w:left="851"/>
        <w:rPr>
          <w:sz w:val="24"/>
          <w:szCs w:val="24"/>
        </w:rPr>
      </w:pPr>
    </w:p>
    <w:p w14:paraId="59B2AA74" w14:textId="43DE9694" w:rsidR="008203A8" w:rsidRPr="00776C2C" w:rsidRDefault="008203A8" w:rsidP="008203A8">
      <w:pPr>
        <w:ind w:left="851"/>
        <w:rPr>
          <w:sz w:val="24"/>
          <w:szCs w:val="24"/>
        </w:rPr>
      </w:pPr>
      <w:r w:rsidRPr="00776C2C">
        <w:rPr>
          <w:sz w:val="24"/>
          <w:szCs w:val="24"/>
        </w:rPr>
        <w:t xml:space="preserve">Lægemiddelform: </w:t>
      </w:r>
      <w:r w:rsidR="009E7AAC">
        <w:rPr>
          <w:sz w:val="24"/>
          <w:szCs w:val="24"/>
        </w:rPr>
        <w:t>granulat til anvendelse i drikkevand</w:t>
      </w:r>
    </w:p>
    <w:p w14:paraId="3642095F" w14:textId="6CAD60BD" w:rsidR="008203A8" w:rsidRPr="00776C2C" w:rsidRDefault="008203A8" w:rsidP="008203A8">
      <w:pPr>
        <w:ind w:left="851"/>
        <w:rPr>
          <w:sz w:val="24"/>
          <w:szCs w:val="24"/>
        </w:rPr>
      </w:pPr>
      <w:r w:rsidRPr="00776C2C">
        <w:rPr>
          <w:sz w:val="24"/>
          <w:szCs w:val="24"/>
        </w:rPr>
        <w:t xml:space="preserve">Styrke(r): </w:t>
      </w:r>
      <w:r w:rsidR="009E7AAC">
        <w:rPr>
          <w:sz w:val="24"/>
          <w:szCs w:val="24"/>
        </w:rPr>
        <w:t>450 mg/g</w:t>
      </w:r>
    </w:p>
    <w:p w14:paraId="1E6E4433" w14:textId="77777777" w:rsidR="008203A8" w:rsidRPr="00406EE7" w:rsidRDefault="008203A8" w:rsidP="008203A8">
      <w:pPr>
        <w:ind w:left="851"/>
        <w:rPr>
          <w:sz w:val="24"/>
          <w:szCs w:val="24"/>
        </w:rPr>
      </w:pPr>
    </w:p>
    <w:p w14:paraId="073B2555"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5DE556D9" w14:textId="77777777" w:rsidR="009E7AAC" w:rsidRDefault="009E7AAC" w:rsidP="009E7AAC">
      <w:pPr>
        <w:ind w:left="851"/>
        <w:rPr>
          <w:sz w:val="24"/>
          <w:szCs w:val="24"/>
          <w:lang w:eastAsia="da-DK"/>
        </w:rPr>
      </w:pPr>
      <w:r>
        <w:rPr>
          <w:sz w:val="24"/>
          <w:szCs w:val="24"/>
        </w:rPr>
        <w:t>Hvert gram indeholder:</w:t>
      </w:r>
    </w:p>
    <w:p w14:paraId="4241A537" w14:textId="77777777" w:rsidR="009E7AAC" w:rsidRDefault="009E7AAC" w:rsidP="009E7AAC">
      <w:pPr>
        <w:ind w:left="851" w:hanging="851"/>
        <w:rPr>
          <w:b/>
          <w:sz w:val="24"/>
          <w:szCs w:val="24"/>
        </w:rPr>
      </w:pPr>
      <w:r>
        <w:rPr>
          <w:b/>
          <w:sz w:val="24"/>
          <w:szCs w:val="24"/>
        </w:rPr>
        <w:tab/>
      </w:r>
    </w:p>
    <w:p w14:paraId="6B6BF569" w14:textId="77777777" w:rsidR="009E7AAC" w:rsidRDefault="009E7AAC" w:rsidP="009E7AAC">
      <w:pPr>
        <w:ind w:left="851"/>
        <w:rPr>
          <w:b/>
          <w:sz w:val="24"/>
          <w:szCs w:val="24"/>
        </w:rPr>
      </w:pPr>
      <w:r>
        <w:rPr>
          <w:b/>
          <w:sz w:val="24"/>
          <w:szCs w:val="24"/>
        </w:rPr>
        <w:t>Aktivt stof:</w:t>
      </w:r>
    </w:p>
    <w:p w14:paraId="27B2B375" w14:textId="77777777" w:rsidR="009E7AAC" w:rsidRDefault="009E7AAC" w:rsidP="009E7AAC">
      <w:pPr>
        <w:ind w:left="851"/>
        <w:rPr>
          <w:iCs/>
          <w:sz w:val="24"/>
          <w:szCs w:val="24"/>
        </w:rPr>
      </w:pPr>
      <w:proofErr w:type="spellStart"/>
      <w:r>
        <w:rPr>
          <w:sz w:val="24"/>
          <w:szCs w:val="24"/>
        </w:rPr>
        <w:t>Tiamulinhydrogenfumarat</w:t>
      </w:r>
      <w:proofErr w:type="spellEnd"/>
      <w:r>
        <w:rPr>
          <w:sz w:val="24"/>
          <w:szCs w:val="24"/>
        </w:rPr>
        <w:t xml:space="preserve"> </w:t>
      </w:r>
      <w:r>
        <w:rPr>
          <w:sz w:val="24"/>
          <w:szCs w:val="24"/>
        </w:rPr>
        <w:tab/>
        <w:t xml:space="preserve">450 mg (svarende til 364,28 mg </w:t>
      </w:r>
      <w:proofErr w:type="spellStart"/>
      <w:r>
        <w:rPr>
          <w:sz w:val="24"/>
          <w:szCs w:val="24"/>
        </w:rPr>
        <w:t>tiamulinbase</w:t>
      </w:r>
      <w:proofErr w:type="spellEnd"/>
      <w:r>
        <w:rPr>
          <w:sz w:val="24"/>
          <w:szCs w:val="24"/>
        </w:rPr>
        <w:t>)</w:t>
      </w:r>
    </w:p>
    <w:p w14:paraId="0D9B6227" w14:textId="77777777" w:rsidR="009E7AAC" w:rsidRDefault="009E7AAC" w:rsidP="009E7AAC">
      <w:pPr>
        <w:ind w:left="851" w:hanging="851"/>
        <w:rPr>
          <w:sz w:val="24"/>
          <w:szCs w:val="24"/>
        </w:rPr>
      </w:pPr>
      <w:r>
        <w:rPr>
          <w:sz w:val="24"/>
          <w:szCs w:val="24"/>
        </w:rPr>
        <w:tab/>
      </w:r>
    </w:p>
    <w:p w14:paraId="1D11330F" w14:textId="77777777" w:rsidR="009E7AAC" w:rsidRDefault="009E7AAC" w:rsidP="009E7AAC">
      <w:pPr>
        <w:ind w:left="851" w:hanging="851"/>
        <w:rPr>
          <w:b/>
          <w:bCs/>
          <w:sz w:val="24"/>
          <w:szCs w:val="24"/>
        </w:rPr>
      </w:pPr>
      <w:r>
        <w:rPr>
          <w:sz w:val="24"/>
          <w:szCs w:val="24"/>
        </w:rPr>
        <w:tab/>
      </w:r>
      <w:r>
        <w:rPr>
          <w:b/>
          <w:bCs/>
          <w:sz w:val="24"/>
          <w:szCs w:val="24"/>
        </w:rPr>
        <w:t>Hjælpestoffer:</w:t>
      </w:r>
    </w:p>
    <w:p w14:paraId="37E08577" w14:textId="77777777" w:rsidR="009E7AAC" w:rsidRDefault="009E7AAC" w:rsidP="009E7AAC">
      <w:pPr>
        <w:ind w:left="851" w:hanging="851"/>
        <w:rPr>
          <w:sz w:val="24"/>
          <w:szCs w:val="24"/>
        </w:rPr>
      </w:pPr>
      <w:r>
        <w:rPr>
          <w:sz w:val="24"/>
          <w:szCs w:val="24"/>
        </w:rPr>
        <w:tab/>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tblGrid>
      <w:tr w:rsidR="009E7AAC" w14:paraId="5E46F41E" w14:textId="77777777" w:rsidTr="009E7AAC">
        <w:trPr>
          <w:trHeight w:val="657"/>
        </w:trPr>
        <w:tc>
          <w:tcPr>
            <w:tcW w:w="4819" w:type="dxa"/>
            <w:tcBorders>
              <w:top w:val="single" w:sz="4" w:space="0" w:color="000000"/>
              <w:left w:val="single" w:sz="4" w:space="0" w:color="000000"/>
              <w:bottom w:val="single" w:sz="4" w:space="0" w:color="000000"/>
              <w:right w:val="single" w:sz="4" w:space="0" w:color="000000"/>
            </w:tcBorders>
            <w:vAlign w:val="center"/>
            <w:hideMark/>
          </w:tcPr>
          <w:p w14:paraId="3B6CF6DB" w14:textId="77777777" w:rsidR="009E7AAC" w:rsidRDefault="009E7AAC">
            <w:pPr>
              <w:rPr>
                <w:b/>
                <w:bCs/>
                <w:iCs/>
                <w:sz w:val="24"/>
                <w:szCs w:val="24"/>
              </w:rPr>
            </w:pPr>
            <w:r>
              <w:rPr>
                <w:b/>
                <w:bCs/>
                <w:iCs/>
                <w:sz w:val="24"/>
                <w:szCs w:val="24"/>
              </w:rPr>
              <w:t>Kvalitativ sammensætning af hjælpestoffer og andre bestanddele</w:t>
            </w:r>
          </w:p>
        </w:tc>
      </w:tr>
      <w:tr w:rsidR="009E7AAC" w14:paraId="7887C302" w14:textId="77777777" w:rsidTr="009E7AAC">
        <w:trPr>
          <w:trHeight w:val="395"/>
        </w:trPr>
        <w:tc>
          <w:tcPr>
            <w:tcW w:w="4819" w:type="dxa"/>
            <w:tcBorders>
              <w:top w:val="single" w:sz="4" w:space="0" w:color="000000"/>
              <w:left w:val="single" w:sz="4" w:space="0" w:color="000000"/>
              <w:bottom w:val="single" w:sz="4" w:space="0" w:color="000000"/>
              <w:right w:val="single" w:sz="4" w:space="0" w:color="000000"/>
            </w:tcBorders>
            <w:vAlign w:val="center"/>
            <w:hideMark/>
          </w:tcPr>
          <w:p w14:paraId="63100474" w14:textId="77777777" w:rsidR="009E7AAC" w:rsidRDefault="009E7AAC">
            <w:pPr>
              <w:ind w:left="851" w:hanging="851"/>
              <w:rPr>
                <w:iCs/>
                <w:sz w:val="24"/>
                <w:szCs w:val="24"/>
              </w:rPr>
            </w:pPr>
            <w:proofErr w:type="spellStart"/>
            <w:r>
              <w:rPr>
                <w:sz w:val="24"/>
                <w:szCs w:val="24"/>
              </w:rPr>
              <w:t>Lactosemonohydrat</w:t>
            </w:r>
            <w:proofErr w:type="spellEnd"/>
          </w:p>
        </w:tc>
      </w:tr>
    </w:tbl>
    <w:p w14:paraId="0B512103" w14:textId="77777777" w:rsidR="009E7AAC" w:rsidRDefault="009E7AAC" w:rsidP="009E7AAC">
      <w:pPr>
        <w:ind w:left="851" w:hanging="851"/>
        <w:rPr>
          <w:sz w:val="24"/>
          <w:szCs w:val="24"/>
        </w:rPr>
      </w:pPr>
    </w:p>
    <w:p w14:paraId="426C182D" w14:textId="77777777" w:rsidR="009E7AAC" w:rsidRDefault="009E7AAC" w:rsidP="009E7AAC">
      <w:pPr>
        <w:ind w:left="851"/>
        <w:rPr>
          <w:sz w:val="24"/>
          <w:szCs w:val="24"/>
        </w:rPr>
      </w:pPr>
      <w:r>
        <w:rPr>
          <w:sz w:val="24"/>
          <w:szCs w:val="24"/>
        </w:rPr>
        <w:t>Hvide til næsten hvide, små granulater.</w:t>
      </w:r>
    </w:p>
    <w:p w14:paraId="2DC485B4" w14:textId="77777777" w:rsidR="008203A8" w:rsidRDefault="008203A8" w:rsidP="008203A8">
      <w:pPr>
        <w:ind w:left="851"/>
        <w:rPr>
          <w:sz w:val="24"/>
          <w:szCs w:val="24"/>
        </w:rPr>
      </w:pPr>
    </w:p>
    <w:p w14:paraId="674A2428" w14:textId="77777777" w:rsidR="008203A8" w:rsidRPr="008509BB" w:rsidRDefault="008203A8" w:rsidP="008203A8">
      <w:pPr>
        <w:ind w:left="851"/>
        <w:rPr>
          <w:sz w:val="24"/>
          <w:szCs w:val="24"/>
        </w:rPr>
      </w:pPr>
    </w:p>
    <w:p w14:paraId="2259F43D"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6FFB9C9A" w14:textId="77777777" w:rsidR="008203A8" w:rsidRPr="00406EE7" w:rsidRDefault="008203A8" w:rsidP="008203A8">
      <w:pPr>
        <w:tabs>
          <w:tab w:val="left" w:pos="851"/>
        </w:tabs>
        <w:ind w:left="851"/>
        <w:rPr>
          <w:sz w:val="24"/>
          <w:szCs w:val="24"/>
        </w:rPr>
      </w:pPr>
    </w:p>
    <w:p w14:paraId="22B3B4FC"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6332F6E5" w14:textId="1BFA2AFE" w:rsidR="008203A8" w:rsidRPr="00406EE7" w:rsidRDefault="009E7AAC" w:rsidP="008203A8">
      <w:pPr>
        <w:ind w:left="851"/>
        <w:rPr>
          <w:sz w:val="24"/>
          <w:szCs w:val="24"/>
        </w:rPr>
      </w:pPr>
      <w:r>
        <w:rPr>
          <w:sz w:val="24"/>
          <w:szCs w:val="24"/>
        </w:rPr>
        <w:t>Svin</w:t>
      </w:r>
    </w:p>
    <w:p w14:paraId="353696BE" w14:textId="77777777" w:rsidR="008203A8" w:rsidRPr="00406EE7" w:rsidRDefault="008203A8" w:rsidP="008203A8">
      <w:pPr>
        <w:ind w:left="851"/>
        <w:rPr>
          <w:sz w:val="24"/>
          <w:szCs w:val="24"/>
        </w:rPr>
      </w:pPr>
    </w:p>
    <w:p w14:paraId="0A41D1EA"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76E8484D" w14:textId="77777777" w:rsidR="009E7AAC" w:rsidRDefault="009E7AAC" w:rsidP="009E7AAC">
      <w:pPr>
        <w:ind w:firstLine="851"/>
        <w:rPr>
          <w:sz w:val="24"/>
          <w:szCs w:val="24"/>
        </w:rPr>
      </w:pPr>
      <w:r>
        <w:rPr>
          <w:sz w:val="24"/>
          <w:szCs w:val="24"/>
        </w:rPr>
        <w:t xml:space="preserve">Behandling af svinedysenteri forårsaget af </w:t>
      </w:r>
      <w:proofErr w:type="spellStart"/>
      <w:r>
        <w:rPr>
          <w:sz w:val="24"/>
          <w:szCs w:val="24"/>
        </w:rPr>
        <w:t>tiamulinfølsomme</w:t>
      </w:r>
      <w:proofErr w:type="spellEnd"/>
      <w:r>
        <w:rPr>
          <w:sz w:val="24"/>
          <w:szCs w:val="24"/>
        </w:rPr>
        <w:t xml:space="preserve"> </w:t>
      </w:r>
      <w:proofErr w:type="spellStart"/>
      <w:r>
        <w:rPr>
          <w:i/>
          <w:sz w:val="24"/>
          <w:szCs w:val="24"/>
        </w:rPr>
        <w:t>Brachyspira</w:t>
      </w:r>
      <w:proofErr w:type="spellEnd"/>
      <w:r>
        <w:rPr>
          <w:i/>
          <w:sz w:val="24"/>
          <w:szCs w:val="24"/>
        </w:rPr>
        <w:t xml:space="preserve"> </w:t>
      </w:r>
      <w:proofErr w:type="spellStart"/>
      <w:r>
        <w:rPr>
          <w:i/>
          <w:sz w:val="24"/>
          <w:szCs w:val="24"/>
        </w:rPr>
        <w:t>hyodysenteriae</w:t>
      </w:r>
      <w:proofErr w:type="spellEnd"/>
      <w:r>
        <w:rPr>
          <w:i/>
          <w:sz w:val="24"/>
          <w:szCs w:val="24"/>
        </w:rPr>
        <w:t>.</w:t>
      </w:r>
    </w:p>
    <w:p w14:paraId="482A9A1F" w14:textId="77777777" w:rsidR="009E7AAC" w:rsidRDefault="009E7AAC" w:rsidP="009E7AAC">
      <w:pPr>
        <w:ind w:left="851"/>
        <w:rPr>
          <w:sz w:val="24"/>
          <w:szCs w:val="24"/>
        </w:rPr>
      </w:pPr>
      <w:r>
        <w:rPr>
          <w:sz w:val="24"/>
          <w:szCs w:val="24"/>
        </w:rPr>
        <w:t xml:space="preserve">Behandling af </w:t>
      </w:r>
      <w:proofErr w:type="spellStart"/>
      <w:r>
        <w:rPr>
          <w:sz w:val="24"/>
          <w:szCs w:val="24"/>
        </w:rPr>
        <w:t>porcin</w:t>
      </w:r>
      <w:proofErr w:type="spellEnd"/>
      <w:r>
        <w:rPr>
          <w:sz w:val="24"/>
          <w:szCs w:val="24"/>
        </w:rPr>
        <w:t xml:space="preserve"> </w:t>
      </w:r>
      <w:proofErr w:type="spellStart"/>
      <w:r>
        <w:rPr>
          <w:sz w:val="24"/>
          <w:szCs w:val="24"/>
        </w:rPr>
        <w:t>spirochaetose</w:t>
      </w:r>
      <w:proofErr w:type="spellEnd"/>
      <w:r>
        <w:rPr>
          <w:sz w:val="24"/>
          <w:szCs w:val="24"/>
        </w:rPr>
        <w:t xml:space="preserve"> i </w:t>
      </w:r>
      <w:proofErr w:type="spellStart"/>
      <w:r>
        <w:rPr>
          <w:sz w:val="24"/>
          <w:szCs w:val="24"/>
        </w:rPr>
        <w:t>colon</w:t>
      </w:r>
      <w:proofErr w:type="spellEnd"/>
      <w:r>
        <w:rPr>
          <w:sz w:val="24"/>
          <w:szCs w:val="24"/>
        </w:rPr>
        <w:t xml:space="preserve"> (colitis) forårsaget af </w:t>
      </w:r>
      <w:proofErr w:type="spellStart"/>
      <w:r>
        <w:rPr>
          <w:sz w:val="24"/>
          <w:szCs w:val="24"/>
        </w:rPr>
        <w:t>tiamulinfølsomme</w:t>
      </w:r>
      <w:proofErr w:type="spellEnd"/>
      <w:r>
        <w:rPr>
          <w:sz w:val="24"/>
          <w:szCs w:val="24"/>
        </w:rPr>
        <w:t xml:space="preserve"> </w:t>
      </w:r>
      <w:proofErr w:type="spellStart"/>
      <w:r>
        <w:rPr>
          <w:i/>
          <w:sz w:val="24"/>
          <w:szCs w:val="24"/>
        </w:rPr>
        <w:t>Brachyspira</w:t>
      </w:r>
      <w:proofErr w:type="spellEnd"/>
      <w:r>
        <w:rPr>
          <w:i/>
          <w:sz w:val="24"/>
          <w:szCs w:val="24"/>
        </w:rPr>
        <w:t xml:space="preserve"> </w:t>
      </w:r>
      <w:proofErr w:type="spellStart"/>
      <w:r>
        <w:rPr>
          <w:i/>
          <w:sz w:val="24"/>
          <w:szCs w:val="24"/>
        </w:rPr>
        <w:t>pilosicoli</w:t>
      </w:r>
      <w:proofErr w:type="spellEnd"/>
      <w:r>
        <w:rPr>
          <w:i/>
          <w:sz w:val="24"/>
          <w:szCs w:val="24"/>
        </w:rPr>
        <w:t>.</w:t>
      </w:r>
    </w:p>
    <w:p w14:paraId="256783AF" w14:textId="77777777" w:rsidR="009E7AAC" w:rsidRDefault="009E7AAC" w:rsidP="009E7AAC">
      <w:pPr>
        <w:ind w:left="851"/>
        <w:rPr>
          <w:sz w:val="24"/>
          <w:szCs w:val="24"/>
        </w:rPr>
      </w:pPr>
      <w:r>
        <w:rPr>
          <w:sz w:val="24"/>
          <w:szCs w:val="24"/>
        </w:rPr>
        <w:t xml:space="preserve">Behandling af </w:t>
      </w:r>
      <w:proofErr w:type="spellStart"/>
      <w:r>
        <w:rPr>
          <w:sz w:val="24"/>
          <w:szCs w:val="24"/>
        </w:rPr>
        <w:t>porcin</w:t>
      </w:r>
      <w:proofErr w:type="spellEnd"/>
      <w:r>
        <w:rPr>
          <w:sz w:val="24"/>
          <w:szCs w:val="24"/>
        </w:rPr>
        <w:t xml:space="preserve"> </w:t>
      </w:r>
      <w:proofErr w:type="spellStart"/>
      <w:r>
        <w:rPr>
          <w:sz w:val="24"/>
          <w:szCs w:val="24"/>
        </w:rPr>
        <w:t>proliferativ</w:t>
      </w:r>
      <w:proofErr w:type="spellEnd"/>
      <w:r>
        <w:rPr>
          <w:sz w:val="24"/>
          <w:szCs w:val="24"/>
        </w:rPr>
        <w:t xml:space="preserve"> </w:t>
      </w:r>
      <w:proofErr w:type="spellStart"/>
      <w:r>
        <w:rPr>
          <w:sz w:val="24"/>
          <w:szCs w:val="24"/>
        </w:rPr>
        <w:t>enteropati</w:t>
      </w:r>
      <w:proofErr w:type="spellEnd"/>
      <w:r>
        <w:rPr>
          <w:sz w:val="24"/>
          <w:szCs w:val="24"/>
        </w:rPr>
        <w:t xml:space="preserve"> (</w:t>
      </w:r>
      <w:proofErr w:type="spellStart"/>
      <w:r>
        <w:rPr>
          <w:sz w:val="24"/>
          <w:szCs w:val="24"/>
        </w:rPr>
        <w:t>ileitis</w:t>
      </w:r>
      <w:proofErr w:type="spellEnd"/>
      <w:r>
        <w:rPr>
          <w:sz w:val="24"/>
          <w:szCs w:val="24"/>
        </w:rPr>
        <w:t xml:space="preserve">) forårsaget af </w:t>
      </w:r>
      <w:proofErr w:type="spellStart"/>
      <w:r>
        <w:rPr>
          <w:sz w:val="24"/>
          <w:szCs w:val="24"/>
        </w:rPr>
        <w:t>tiamulinfølsomme</w:t>
      </w:r>
      <w:proofErr w:type="spellEnd"/>
      <w:r>
        <w:rPr>
          <w:sz w:val="24"/>
          <w:szCs w:val="24"/>
        </w:rPr>
        <w:t xml:space="preserve"> </w:t>
      </w:r>
      <w:proofErr w:type="spellStart"/>
      <w:r>
        <w:rPr>
          <w:i/>
          <w:sz w:val="24"/>
          <w:szCs w:val="24"/>
        </w:rPr>
        <w:t>Lawsonia</w:t>
      </w:r>
      <w:proofErr w:type="spellEnd"/>
      <w:r>
        <w:rPr>
          <w:i/>
          <w:sz w:val="24"/>
          <w:szCs w:val="24"/>
        </w:rPr>
        <w:t xml:space="preserve"> </w:t>
      </w:r>
      <w:proofErr w:type="spellStart"/>
      <w:r>
        <w:rPr>
          <w:i/>
          <w:sz w:val="24"/>
          <w:szCs w:val="24"/>
        </w:rPr>
        <w:t>intracellularis</w:t>
      </w:r>
      <w:proofErr w:type="spellEnd"/>
      <w:r>
        <w:rPr>
          <w:i/>
          <w:sz w:val="24"/>
          <w:szCs w:val="24"/>
        </w:rPr>
        <w:t>.</w:t>
      </w:r>
    </w:p>
    <w:p w14:paraId="0F33A40C" w14:textId="77777777" w:rsidR="009E7AAC" w:rsidRDefault="009E7AAC" w:rsidP="009E7AAC">
      <w:pPr>
        <w:ind w:left="851"/>
        <w:rPr>
          <w:sz w:val="24"/>
          <w:szCs w:val="24"/>
        </w:rPr>
      </w:pPr>
      <w:r>
        <w:rPr>
          <w:sz w:val="24"/>
          <w:szCs w:val="24"/>
        </w:rPr>
        <w:t xml:space="preserve">Behandling og </w:t>
      </w:r>
      <w:proofErr w:type="spellStart"/>
      <w:r>
        <w:rPr>
          <w:sz w:val="24"/>
          <w:szCs w:val="24"/>
        </w:rPr>
        <w:t>metafylakse</w:t>
      </w:r>
      <w:proofErr w:type="spellEnd"/>
      <w:r>
        <w:rPr>
          <w:sz w:val="24"/>
          <w:szCs w:val="24"/>
        </w:rPr>
        <w:t xml:space="preserve"> af </w:t>
      </w:r>
      <w:proofErr w:type="spellStart"/>
      <w:r>
        <w:rPr>
          <w:sz w:val="24"/>
          <w:szCs w:val="24"/>
        </w:rPr>
        <w:t>enzootisk</w:t>
      </w:r>
      <w:proofErr w:type="spellEnd"/>
      <w:r>
        <w:rPr>
          <w:sz w:val="24"/>
          <w:szCs w:val="24"/>
        </w:rPr>
        <w:t xml:space="preserve"> pneumoni forårsaget af </w:t>
      </w:r>
      <w:proofErr w:type="spellStart"/>
      <w:r>
        <w:rPr>
          <w:i/>
          <w:iCs/>
          <w:sz w:val="24"/>
          <w:szCs w:val="24"/>
        </w:rPr>
        <w:t>Mycoplasma</w:t>
      </w:r>
      <w:proofErr w:type="spellEnd"/>
      <w:r>
        <w:rPr>
          <w:i/>
          <w:iCs/>
          <w:sz w:val="24"/>
          <w:szCs w:val="24"/>
        </w:rPr>
        <w:t xml:space="preserve"> </w:t>
      </w:r>
      <w:proofErr w:type="spellStart"/>
      <w:r>
        <w:rPr>
          <w:i/>
          <w:iCs/>
          <w:sz w:val="24"/>
          <w:szCs w:val="24"/>
        </w:rPr>
        <w:t>hyopneumoniae</w:t>
      </w:r>
      <w:proofErr w:type="spellEnd"/>
      <w:r>
        <w:rPr>
          <w:i/>
          <w:iCs/>
          <w:sz w:val="24"/>
          <w:szCs w:val="24"/>
        </w:rPr>
        <w:t xml:space="preserve">, </w:t>
      </w:r>
      <w:r>
        <w:rPr>
          <w:sz w:val="24"/>
          <w:szCs w:val="24"/>
        </w:rPr>
        <w:t xml:space="preserve">herunder infektioner kompliceret af </w:t>
      </w:r>
      <w:proofErr w:type="spellStart"/>
      <w:r>
        <w:rPr>
          <w:sz w:val="24"/>
          <w:szCs w:val="24"/>
        </w:rPr>
        <w:t>tiamulinfølsomme</w:t>
      </w:r>
      <w:proofErr w:type="spellEnd"/>
      <w:r>
        <w:rPr>
          <w:sz w:val="24"/>
          <w:szCs w:val="24"/>
        </w:rPr>
        <w:t xml:space="preserve"> </w:t>
      </w:r>
      <w:proofErr w:type="spellStart"/>
      <w:r>
        <w:rPr>
          <w:i/>
          <w:iCs/>
          <w:sz w:val="24"/>
          <w:szCs w:val="24"/>
        </w:rPr>
        <w:t>Pasteurella</w:t>
      </w:r>
      <w:proofErr w:type="spellEnd"/>
      <w:r>
        <w:rPr>
          <w:i/>
          <w:iCs/>
          <w:sz w:val="24"/>
          <w:szCs w:val="24"/>
        </w:rPr>
        <w:t xml:space="preserve"> </w:t>
      </w:r>
      <w:proofErr w:type="spellStart"/>
      <w:r>
        <w:rPr>
          <w:i/>
          <w:iCs/>
          <w:sz w:val="24"/>
          <w:szCs w:val="24"/>
        </w:rPr>
        <w:t>multocida</w:t>
      </w:r>
      <w:proofErr w:type="spellEnd"/>
      <w:r>
        <w:rPr>
          <w:sz w:val="24"/>
          <w:szCs w:val="24"/>
        </w:rPr>
        <w:t>.</w:t>
      </w:r>
      <w:r>
        <w:rPr>
          <w:i/>
          <w:sz w:val="24"/>
          <w:szCs w:val="24"/>
        </w:rPr>
        <w:t xml:space="preserve"> </w:t>
      </w:r>
      <w:r>
        <w:rPr>
          <w:sz w:val="24"/>
          <w:szCs w:val="24"/>
        </w:rPr>
        <w:t>Sygdommenes tilstedeværelse i gruppen skal påvises før produktet anvendes.</w:t>
      </w:r>
    </w:p>
    <w:p w14:paraId="4B29212C" w14:textId="77777777" w:rsidR="009E7AAC" w:rsidRDefault="009E7AAC" w:rsidP="009E7AAC">
      <w:pPr>
        <w:ind w:left="851"/>
        <w:rPr>
          <w:sz w:val="24"/>
          <w:szCs w:val="24"/>
        </w:rPr>
      </w:pPr>
      <w:r>
        <w:rPr>
          <w:sz w:val="24"/>
          <w:szCs w:val="24"/>
        </w:rPr>
        <w:t xml:space="preserve">Behandling af </w:t>
      </w:r>
      <w:proofErr w:type="spellStart"/>
      <w:r>
        <w:rPr>
          <w:sz w:val="24"/>
          <w:szCs w:val="24"/>
        </w:rPr>
        <w:t>pleuropneumoni</w:t>
      </w:r>
      <w:proofErr w:type="spellEnd"/>
      <w:r>
        <w:rPr>
          <w:sz w:val="24"/>
          <w:szCs w:val="24"/>
        </w:rPr>
        <w:t xml:space="preserve"> forårsaget af </w:t>
      </w:r>
      <w:proofErr w:type="spellStart"/>
      <w:r>
        <w:rPr>
          <w:sz w:val="24"/>
          <w:szCs w:val="24"/>
        </w:rPr>
        <w:t>tiamulinfølsomme</w:t>
      </w:r>
      <w:proofErr w:type="spellEnd"/>
      <w:r>
        <w:rPr>
          <w:sz w:val="24"/>
          <w:szCs w:val="24"/>
        </w:rPr>
        <w:t xml:space="preserve"> </w:t>
      </w:r>
      <w:proofErr w:type="spellStart"/>
      <w:r>
        <w:rPr>
          <w:i/>
          <w:sz w:val="24"/>
          <w:szCs w:val="24"/>
        </w:rPr>
        <w:t>Actinobacillus</w:t>
      </w:r>
      <w:proofErr w:type="spellEnd"/>
      <w:r>
        <w:rPr>
          <w:i/>
          <w:sz w:val="24"/>
          <w:szCs w:val="24"/>
        </w:rPr>
        <w:t xml:space="preserve"> </w:t>
      </w:r>
      <w:proofErr w:type="spellStart"/>
      <w:r>
        <w:rPr>
          <w:i/>
          <w:sz w:val="24"/>
          <w:szCs w:val="24"/>
        </w:rPr>
        <w:t>pleuropneumoniae</w:t>
      </w:r>
      <w:proofErr w:type="spellEnd"/>
      <w:r>
        <w:rPr>
          <w:i/>
          <w:sz w:val="24"/>
          <w:szCs w:val="24"/>
        </w:rPr>
        <w:t>.</w:t>
      </w:r>
    </w:p>
    <w:p w14:paraId="28717DDD" w14:textId="77777777" w:rsidR="008203A8" w:rsidRDefault="008203A8" w:rsidP="008203A8">
      <w:pPr>
        <w:pStyle w:val="Sidehoved"/>
        <w:ind w:left="851"/>
        <w:rPr>
          <w:szCs w:val="24"/>
        </w:rPr>
      </w:pPr>
    </w:p>
    <w:p w14:paraId="24F65AC2"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11472B4" w14:textId="77777777" w:rsidR="009E7AAC" w:rsidRDefault="009E7AAC" w:rsidP="009E7AAC">
      <w:pPr>
        <w:ind w:left="851"/>
        <w:rPr>
          <w:sz w:val="24"/>
          <w:szCs w:val="24"/>
          <w:lang w:eastAsia="da-DK"/>
        </w:rPr>
      </w:pPr>
      <w:r>
        <w:rPr>
          <w:sz w:val="24"/>
          <w:szCs w:val="24"/>
        </w:rPr>
        <w:t>Må ikke anvendes i tilfælde af overfølsomhed over for det aktive stof eller over for et eller flere af hjælpestofferne.</w:t>
      </w:r>
    </w:p>
    <w:p w14:paraId="78813DC0" w14:textId="77777777" w:rsidR="009E7AAC" w:rsidRDefault="009E7AAC" w:rsidP="009E7AAC">
      <w:pPr>
        <w:ind w:left="851"/>
        <w:rPr>
          <w:sz w:val="24"/>
          <w:szCs w:val="24"/>
        </w:rPr>
      </w:pPr>
      <w:r>
        <w:rPr>
          <w:sz w:val="24"/>
          <w:szCs w:val="24"/>
        </w:rPr>
        <w:t xml:space="preserve">Må ikke anvendes til svin, der kunne få produkter, der indeholder </w:t>
      </w:r>
      <w:proofErr w:type="spellStart"/>
      <w:r>
        <w:rPr>
          <w:sz w:val="24"/>
          <w:szCs w:val="24"/>
        </w:rPr>
        <w:t>monensin</w:t>
      </w:r>
      <w:proofErr w:type="spellEnd"/>
      <w:r>
        <w:rPr>
          <w:sz w:val="24"/>
          <w:szCs w:val="24"/>
        </w:rPr>
        <w:t xml:space="preserve">, </w:t>
      </w:r>
      <w:proofErr w:type="spellStart"/>
      <w:r>
        <w:rPr>
          <w:sz w:val="24"/>
          <w:szCs w:val="24"/>
        </w:rPr>
        <w:t>narasin</w:t>
      </w:r>
      <w:proofErr w:type="spellEnd"/>
      <w:r>
        <w:rPr>
          <w:sz w:val="24"/>
          <w:szCs w:val="24"/>
        </w:rPr>
        <w:t xml:space="preserve"> eller </w:t>
      </w:r>
      <w:proofErr w:type="spellStart"/>
      <w:r>
        <w:rPr>
          <w:sz w:val="24"/>
          <w:szCs w:val="24"/>
        </w:rPr>
        <w:t>salinomycin</w:t>
      </w:r>
      <w:proofErr w:type="spellEnd"/>
      <w:r>
        <w:rPr>
          <w:sz w:val="24"/>
          <w:szCs w:val="24"/>
        </w:rPr>
        <w:t xml:space="preserve"> under eller fra 7 dage før til 7 dage efter behandling med </w:t>
      </w:r>
      <w:proofErr w:type="spellStart"/>
      <w:r>
        <w:rPr>
          <w:sz w:val="24"/>
          <w:szCs w:val="24"/>
        </w:rPr>
        <w:t>tiamulin</w:t>
      </w:r>
      <w:proofErr w:type="spellEnd"/>
      <w:r>
        <w:rPr>
          <w:sz w:val="24"/>
          <w:szCs w:val="24"/>
        </w:rPr>
        <w:t xml:space="preserve">. Alvorlig væksthæmning eller død kan indtræffe. </w:t>
      </w:r>
    </w:p>
    <w:p w14:paraId="112AF134" w14:textId="77777777" w:rsidR="009E7AAC" w:rsidRDefault="009E7AAC" w:rsidP="009E7AAC">
      <w:pPr>
        <w:pStyle w:val="Sidehoved"/>
        <w:tabs>
          <w:tab w:val="clear" w:pos="4819"/>
          <w:tab w:val="left" w:pos="8222"/>
        </w:tabs>
        <w:ind w:left="851" w:hanging="851"/>
        <w:rPr>
          <w:szCs w:val="24"/>
        </w:rPr>
      </w:pPr>
      <w:r>
        <w:rPr>
          <w:szCs w:val="24"/>
        </w:rPr>
        <w:tab/>
        <w:t xml:space="preserve">Se pkt. 3.8 for information vedrørende interaktioner mellem </w:t>
      </w:r>
      <w:proofErr w:type="spellStart"/>
      <w:r>
        <w:rPr>
          <w:szCs w:val="24"/>
        </w:rPr>
        <w:t>tiamulin</w:t>
      </w:r>
      <w:proofErr w:type="spellEnd"/>
      <w:r>
        <w:rPr>
          <w:szCs w:val="24"/>
        </w:rPr>
        <w:t xml:space="preserve"> og </w:t>
      </w:r>
      <w:proofErr w:type="spellStart"/>
      <w:r>
        <w:rPr>
          <w:szCs w:val="24"/>
        </w:rPr>
        <w:t>ionophorer</w:t>
      </w:r>
      <w:proofErr w:type="spellEnd"/>
      <w:r>
        <w:rPr>
          <w:szCs w:val="24"/>
        </w:rPr>
        <w:t>.</w:t>
      </w:r>
    </w:p>
    <w:p w14:paraId="3A7A464B" w14:textId="77777777" w:rsidR="008203A8" w:rsidRPr="00406EE7" w:rsidRDefault="008203A8" w:rsidP="008203A8">
      <w:pPr>
        <w:pStyle w:val="Sidehoved"/>
        <w:tabs>
          <w:tab w:val="clear" w:pos="4819"/>
        </w:tabs>
        <w:ind w:left="851"/>
        <w:rPr>
          <w:szCs w:val="24"/>
        </w:rPr>
      </w:pPr>
    </w:p>
    <w:p w14:paraId="7FE77FF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F25F775" w14:textId="48B3B13C" w:rsidR="008203A8" w:rsidRPr="00406EE7" w:rsidRDefault="009E7AAC" w:rsidP="008203A8">
      <w:pPr>
        <w:tabs>
          <w:tab w:val="left" w:pos="851"/>
        </w:tabs>
        <w:ind w:left="851"/>
        <w:rPr>
          <w:sz w:val="24"/>
          <w:szCs w:val="24"/>
        </w:rPr>
      </w:pPr>
      <w:r>
        <w:rPr>
          <w:sz w:val="24"/>
          <w:szCs w:val="24"/>
        </w:rPr>
        <w:t>Dyr med utilstrækkeligt væskeindtag og/eller i svækket tilstand bør behandles parenteralt.</w:t>
      </w:r>
    </w:p>
    <w:p w14:paraId="1E9328BC" w14:textId="77777777" w:rsidR="008203A8" w:rsidRPr="00406EE7" w:rsidRDefault="008203A8" w:rsidP="008203A8">
      <w:pPr>
        <w:pStyle w:val="Sidehoved"/>
        <w:tabs>
          <w:tab w:val="clear" w:pos="4819"/>
        </w:tabs>
        <w:ind w:left="851"/>
        <w:rPr>
          <w:szCs w:val="24"/>
        </w:rPr>
      </w:pPr>
    </w:p>
    <w:p w14:paraId="0E8E7710"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0A7A4E39" w14:textId="77777777" w:rsidR="008203A8" w:rsidRPr="002374DA" w:rsidRDefault="008203A8" w:rsidP="008203A8">
      <w:pPr>
        <w:tabs>
          <w:tab w:val="left" w:pos="851"/>
        </w:tabs>
        <w:ind w:left="851"/>
        <w:rPr>
          <w:sz w:val="24"/>
          <w:szCs w:val="24"/>
        </w:rPr>
      </w:pPr>
    </w:p>
    <w:p w14:paraId="11179709"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639820DE" w14:textId="77777777" w:rsidR="009E7AAC" w:rsidRPr="009E7AAC" w:rsidRDefault="009E7AAC" w:rsidP="009E7AAC">
      <w:pPr>
        <w:ind w:left="851"/>
        <w:rPr>
          <w:sz w:val="24"/>
          <w:szCs w:val="24"/>
        </w:rPr>
      </w:pPr>
      <w:r w:rsidRPr="009E7AAC">
        <w:rPr>
          <w:sz w:val="24"/>
          <w:szCs w:val="24"/>
        </w:rPr>
        <w:t xml:space="preserve">Brug af produktet bør være baseret på identifikation og følsomhedsbestemmelse af målpatogen(er). Hvis det ikke er muligt, bør behandling baseres på epidemiologiske oplysninger og viden om </w:t>
      </w:r>
      <w:proofErr w:type="spellStart"/>
      <w:r w:rsidRPr="009E7AAC">
        <w:rPr>
          <w:sz w:val="24"/>
          <w:szCs w:val="24"/>
        </w:rPr>
        <w:t>målpatogenernes</w:t>
      </w:r>
      <w:proofErr w:type="spellEnd"/>
      <w:r w:rsidRPr="009E7AAC">
        <w:rPr>
          <w:sz w:val="24"/>
          <w:szCs w:val="24"/>
        </w:rPr>
        <w:t xml:space="preserve"> følsomhed på gårdniveau eller på lokalt/regionalt niveau.</w:t>
      </w:r>
    </w:p>
    <w:p w14:paraId="5E31C860" w14:textId="77777777" w:rsidR="009E7AAC" w:rsidRPr="009E7AAC" w:rsidRDefault="009E7AAC" w:rsidP="009E7AAC">
      <w:pPr>
        <w:ind w:left="851"/>
        <w:rPr>
          <w:sz w:val="24"/>
          <w:szCs w:val="24"/>
        </w:rPr>
      </w:pPr>
      <w:r w:rsidRPr="009E7AAC">
        <w:rPr>
          <w:sz w:val="24"/>
          <w:szCs w:val="24"/>
        </w:rPr>
        <w:t>Brug af produktet bør være i overensstemmelse med officielle, nationale eller regionale antimikrobielle retningslinjer.</w:t>
      </w:r>
    </w:p>
    <w:p w14:paraId="36E10203" w14:textId="77777777" w:rsidR="009E7AAC" w:rsidRPr="009E7AAC" w:rsidRDefault="009E7AAC" w:rsidP="009E7AAC">
      <w:pPr>
        <w:ind w:left="851"/>
        <w:rPr>
          <w:sz w:val="24"/>
          <w:szCs w:val="24"/>
          <w:lang w:eastAsia="da-DK"/>
        </w:rPr>
      </w:pPr>
      <w:r w:rsidRPr="009E7AAC">
        <w:rPr>
          <w:sz w:val="24"/>
          <w:szCs w:val="24"/>
          <w:lang w:eastAsia="da-DK"/>
        </w:rPr>
        <w:t>Der bør anvendes et antibiotikum med en lavere risiko for antimikrobiel resistensselektion (lavere AMEG-kategori) som førstevalgsbehandling, når følsomhedsbestemmelsen tyder på en sandsynlig effekt af denne tilgang.</w:t>
      </w:r>
    </w:p>
    <w:p w14:paraId="7116FF95" w14:textId="77777777" w:rsidR="009E7AAC" w:rsidRPr="009E7AAC" w:rsidRDefault="009E7AAC" w:rsidP="009E7AAC">
      <w:pPr>
        <w:ind w:left="851"/>
        <w:rPr>
          <w:sz w:val="24"/>
          <w:szCs w:val="24"/>
          <w:lang w:eastAsia="da-DK"/>
        </w:rPr>
      </w:pPr>
      <w:r w:rsidRPr="009E7AAC">
        <w:rPr>
          <w:sz w:val="24"/>
          <w:szCs w:val="24"/>
          <w:lang w:eastAsia="da-DK"/>
        </w:rPr>
        <w:t>Må ikke anvendes profylaktisk.</w:t>
      </w:r>
    </w:p>
    <w:p w14:paraId="1A57F6CF" w14:textId="77777777" w:rsidR="009E7AAC" w:rsidRPr="009E7AAC" w:rsidRDefault="009E7AAC" w:rsidP="009E7AAC">
      <w:pPr>
        <w:ind w:left="851"/>
        <w:rPr>
          <w:sz w:val="24"/>
          <w:szCs w:val="24"/>
          <w:lang w:eastAsia="da-DK"/>
        </w:rPr>
      </w:pPr>
      <w:r w:rsidRPr="009E7AAC">
        <w:rPr>
          <w:sz w:val="24"/>
          <w:szCs w:val="24"/>
        </w:rPr>
        <w:t xml:space="preserve">Uhensigtsmæssig brug af det veterinære lægemiddel kan øge forekomsten af </w:t>
      </w:r>
      <w:proofErr w:type="spellStart"/>
      <w:r w:rsidRPr="009E7AAC">
        <w:rPr>
          <w:sz w:val="24"/>
          <w:szCs w:val="24"/>
        </w:rPr>
        <w:t>tiamulinresistente</w:t>
      </w:r>
      <w:proofErr w:type="spellEnd"/>
      <w:r w:rsidRPr="009E7AAC">
        <w:rPr>
          <w:sz w:val="24"/>
          <w:szCs w:val="24"/>
        </w:rPr>
        <w:t xml:space="preserve"> bakterier.</w:t>
      </w:r>
      <w:r w:rsidRPr="009E7AAC">
        <w:rPr>
          <w:sz w:val="24"/>
          <w:szCs w:val="24"/>
          <w:lang w:eastAsia="da-DK"/>
        </w:rPr>
        <w:t xml:space="preserve"> </w:t>
      </w:r>
    </w:p>
    <w:p w14:paraId="024350A0" w14:textId="77777777" w:rsidR="008203A8" w:rsidRPr="00406EE7" w:rsidRDefault="008203A8" w:rsidP="008203A8">
      <w:pPr>
        <w:tabs>
          <w:tab w:val="left" w:pos="851"/>
        </w:tabs>
        <w:ind w:left="851"/>
        <w:rPr>
          <w:sz w:val="24"/>
          <w:szCs w:val="24"/>
        </w:rPr>
      </w:pPr>
    </w:p>
    <w:p w14:paraId="6B78C039"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56843C86" w14:textId="77777777" w:rsidR="009E7AAC" w:rsidRDefault="009E7AAC" w:rsidP="009E7AAC">
      <w:pPr>
        <w:ind w:left="851"/>
        <w:rPr>
          <w:sz w:val="24"/>
          <w:szCs w:val="24"/>
          <w:lang w:eastAsia="da-DK"/>
        </w:rPr>
      </w:pPr>
      <w:r>
        <w:rPr>
          <w:sz w:val="24"/>
          <w:szCs w:val="24"/>
        </w:rPr>
        <w:t xml:space="preserve">Personer med kendt overfølsomhed over for </w:t>
      </w:r>
      <w:proofErr w:type="spellStart"/>
      <w:r>
        <w:rPr>
          <w:sz w:val="24"/>
          <w:szCs w:val="24"/>
        </w:rPr>
        <w:t>tiamulin</w:t>
      </w:r>
      <w:proofErr w:type="spellEnd"/>
      <w:r>
        <w:rPr>
          <w:sz w:val="24"/>
          <w:szCs w:val="24"/>
        </w:rPr>
        <w:t xml:space="preserve"> bør undgå kontakt med det veterinære lægemiddel.</w:t>
      </w:r>
    </w:p>
    <w:p w14:paraId="2A12D4E5" w14:textId="77777777" w:rsidR="009E7AAC" w:rsidRDefault="009E7AAC" w:rsidP="009E7AAC">
      <w:pPr>
        <w:ind w:left="851"/>
        <w:rPr>
          <w:sz w:val="24"/>
          <w:szCs w:val="24"/>
        </w:rPr>
      </w:pPr>
      <w:r>
        <w:rPr>
          <w:sz w:val="24"/>
          <w:szCs w:val="24"/>
        </w:rPr>
        <w:t>Ved forberedelse af blandingen, bør direkte kontakt med hud og slimhinder undgås.</w:t>
      </w:r>
    </w:p>
    <w:p w14:paraId="2F7E2478" w14:textId="77777777" w:rsidR="009E7AAC" w:rsidRDefault="009E7AAC" w:rsidP="009E7AAC">
      <w:pPr>
        <w:ind w:left="851"/>
        <w:rPr>
          <w:sz w:val="24"/>
          <w:szCs w:val="24"/>
        </w:rPr>
      </w:pPr>
      <w:r>
        <w:rPr>
          <w:sz w:val="24"/>
          <w:szCs w:val="24"/>
        </w:rPr>
        <w:t>Anvend sikkerhedsbriller og gummi- eller latexhandsker når produktet håndteres eller blandes. Vask hænder med vand og sæbe efter brug.</w:t>
      </w:r>
    </w:p>
    <w:p w14:paraId="1549C9D1" w14:textId="77777777" w:rsidR="009E7AAC" w:rsidRDefault="009E7AAC" w:rsidP="009E7AAC">
      <w:pPr>
        <w:ind w:left="851"/>
        <w:rPr>
          <w:sz w:val="24"/>
          <w:szCs w:val="24"/>
        </w:rPr>
      </w:pPr>
      <w:r>
        <w:rPr>
          <w:sz w:val="24"/>
          <w:szCs w:val="24"/>
        </w:rPr>
        <w:t>Hvis utilsigtet kontakt opstår, bør kontamineret tøj straks tages af, og spild på huden eller slimhinder bør vaskes af med det samme.</w:t>
      </w:r>
    </w:p>
    <w:p w14:paraId="4AD00F92" w14:textId="77777777" w:rsidR="009E7AAC" w:rsidRDefault="009E7AAC" w:rsidP="009E7AAC">
      <w:pPr>
        <w:ind w:left="851"/>
        <w:rPr>
          <w:sz w:val="24"/>
          <w:szCs w:val="24"/>
        </w:rPr>
      </w:pPr>
      <w:r>
        <w:rPr>
          <w:sz w:val="24"/>
          <w:szCs w:val="24"/>
        </w:rPr>
        <w:t>Hvis midlet ved et uheld kommer i kontakt med øjnene, skyl da straks øjnene omhyggeligt med rent, rindende vand.</w:t>
      </w:r>
    </w:p>
    <w:p w14:paraId="2AF23A2B" w14:textId="77777777" w:rsidR="009E7AAC" w:rsidRDefault="009E7AAC" w:rsidP="009E7AAC">
      <w:pPr>
        <w:ind w:left="851"/>
        <w:rPr>
          <w:sz w:val="24"/>
          <w:szCs w:val="24"/>
        </w:rPr>
      </w:pPr>
      <w:r>
        <w:rPr>
          <w:sz w:val="24"/>
          <w:szCs w:val="24"/>
        </w:rPr>
        <w:t>Kontakt en læge hvis irritationen varer ved, og vis indlægssedlen eller etiketten til lægen.</w:t>
      </w:r>
    </w:p>
    <w:p w14:paraId="6722ADF6" w14:textId="77777777" w:rsidR="008203A8" w:rsidRDefault="008203A8" w:rsidP="008203A8">
      <w:pPr>
        <w:tabs>
          <w:tab w:val="left" w:pos="851"/>
        </w:tabs>
        <w:ind w:left="851"/>
        <w:rPr>
          <w:sz w:val="24"/>
          <w:szCs w:val="24"/>
        </w:rPr>
      </w:pPr>
    </w:p>
    <w:p w14:paraId="3878AF01"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08DE7DC7" w14:textId="50C27E25" w:rsidR="008203A8" w:rsidRPr="002E304C" w:rsidRDefault="009E7AAC" w:rsidP="008203A8">
      <w:pPr>
        <w:tabs>
          <w:tab w:val="left" w:pos="851"/>
        </w:tabs>
        <w:ind w:left="851"/>
        <w:rPr>
          <w:sz w:val="24"/>
          <w:szCs w:val="24"/>
        </w:rPr>
      </w:pPr>
      <w:r>
        <w:rPr>
          <w:sz w:val="24"/>
          <w:szCs w:val="24"/>
        </w:rPr>
        <w:t>Ikke relevant.</w:t>
      </w:r>
    </w:p>
    <w:p w14:paraId="6413CC9E" w14:textId="77777777" w:rsidR="008203A8" w:rsidRPr="00406EE7" w:rsidRDefault="008203A8" w:rsidP="008203A8">
      <w:pPr>
        <w:tabs>
          <w:tab w:val="left" w:pos="851"/>
        </w:tabs>
        <w:ind w:left="851"/>
        <w:rPr>
          <w:sz w:val="24"/>
          <w:szCs w:val="24"/>
        </w:rPr>
      </w:pPr>
    </w:p>
    <w:p w14:paraId="669DACF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5E8D1282" w14:textId="77777777" w:rsidR="009E7AAC" w:rsidRDefault="009E7AAC" w:rsidP="009E7AAC">
      <w:pPr>
        <w:keepNext/>
        <w:ind w:left="851"/>
        <w:rPr>
          <w:sz w:val="24"/>
          <w:szCs w:val="24"/>
        </w:rPr>
      </w:pPr>
      <w:r>
        <w:rPr>
          <w:sz w:val="24"/>
          <w:szCs w:val="24"/>
        </w:rPr>
        <w:t>Svin:</w:t>
      </w:r>
    </w:p>
    <w:p w14:paraId="650BF6AB" w14:textId="77777777" w:rsidR="009E7AAC" w:rsidRDefault="009E7AAC" w:rsidP="009E7AAC">
      <w:pPr>
        <w:keepNext/>
        <w:ind w:left="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673"/>
      </w:tblGrid>
      <w:tr w:rsidR="009E7AAC" w14:paraId="104E43D0" w14:textId="77777777" w:rsidTr="009E7AAC">
        <w:tc>
          <w:tcPr>
            <w:tcW w:w="2311" w:type="pct"/>
            <w:tcBorders>
              <w:top w:val="single" w:sz="4" w:space="0" w:color="auto"/>
              <w:left w:val="single" w:sz="4" w:space="0" w:color="auto"/>
              <w:bottom w:val="single" w:sz="4" w:space="0" w:color="auto"/>
              <w:right w:val="single" w:sz="4" w:space="0" w:color="auto"/>
            </w:tcBorders>
            <w:hideMark/>
          </w:tcPr>
          <w:p w14:paraId="1702D81D" w14:textId="77777777" w:rsidR="009E7AAC" w:rsidRDefault="009E7AAC">
            <w:pPr>
              <w:rPr>
                <w:sz w:val="24"/>
                <w:szCs w:val="24"/>
              </w:rPr>
            </w:pPr>
            <w:r>
              <w:rPr>
                <w:sz w:val="24"/>
                <w:szCs w:val="24"/>
              </w:rPr>
              <w:t>Meget sjælden</w:t>
            </w:r>
          </w:p>
          <w:p w14:paraId="632989C7" w14:textId="77777777" w:rsidR="009E7AAC" w:rsidRDefault="009E7AAC">
            <w:pPr>
              <w:rPr>
                <w:sz w:val="24"/>
                <w:szCs w:val="24"/>
              </w:rPr>
            </w:pPr>
            <w:r>
              <w:rPr>
                <w:sz w:val="24"/>
                <w:szCs w:val="24"/>
              </w:rPr>
              <w:t>(&lt; 1 dyr ud af 10.000 behandlede dyr, herunder enkeltstående indberetninger):</w:t>
            </w:r>
          </w:p>
        </w:tc>
        <w:tc>
          <w:tcPr>
            <w:tcW w:w="2689" w:type="pct"/>
            <w:tcBorders>
              <w:top w:val="single" w:sz="4" w:space="0" w:color="auto"/>
              <w:left w:val="single" w:sz="4" w:space="0" w:color="auto"/>
              <w:bottom w:val="single" w:sz="4" w:space="0" w:color="auto"/>
              <w:right w:val="single" w:sz="4" w:space="0" w:color="auto"/>
            </w:tcBorders>
            <w:hideMark/>
          </w:tcPr>
          <w:p w14:paraId="4B978ECE" w14:textId="77777777" w:rsidR="009E7AAC" w:rsidRDefault="009E7AAC">
            <w:pPr>
              <w:rPr>
                <w:iCs/>
                <w:sz w:val="24"/>
                <w:szCs w:val="24"/>
              </w:rPr>
            </w:pPr>
            <w:proofErr w:type="spellStart"/>
            <w:r>
              <w:rPr>
                <w:iCs/>
                <w:sz w:val="24"/>
                <w:szCs w:val="24"/>
              </w:rPr>
              <w:t>Erytem</w:t>
            </w:r>
            <w:proofErr w:type="spellEnd"/>
            <w:r>
              <w:rPr>
                <w:iCs/>
                <w:sz w:val="24"/>
                <w:szCs w:val="24"/>
              </w:rPr>
              <w:t xml:space="preserve"> eller mildt hudødem</w:t>
            </w:r>
          </w:p>
        </w:tc>
      </w:tr>
    </w:tbl>
    <w:p w14:paraId="258C4746" w14:textId="77777777" w:rsidR="009E7AAC" w:rsidRDefault="009E7AAC" w:rsidP="009E7AAC">
      <w:pPr>
        <w:ind w:left="851"/>
        <w:rPr>
          <w:sz w:val="24"/>
          <w:szCs w:val="24"/>
        </w:rPr>
      </w:pPr>
    </w:p>
    <w:p w14:paraId="11971190" w14:textId="77777777" w:rsidR="009E7AAC" w:rsidRDefault="009E7AAC" w:rsidP="009E7AAC">
      <w:pPr>
        <w:ind w:left="851"/>
        <w:rPr>
          <w:sz w:val="24"/>
          <w:szCs w:val="24"/>
        </w:rPr>
      </w:pPr>
      <w:r>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p>
    <w:p w14:paraId="4462868E" w14:textId="77777777" w:rsidR="008203A8" w:rsidRPr="00406EE7" w:rsidRDefault="008203A8" w:rsidP="008203A8">
      <w:pPr>
        <w:tabs>
          <w:tab w:val="left" w:pos="851"/>
        </w:tabs>
        <w:ind w:left="851"/>
        <w:rPr>
          <w:sz w:val="24"/>
          <w:szCs w:val="24"/>
        </w:rPr>
      </w:pPr>
    </w:p>
    <w:p w14:paraId="12D0CE2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4AC6AA9" w14:textId="77777777" w:rsidR="009E7AAC" w:rsidRDefault="009E7AAC" w:rsidP="009E7AAC">
      <w:pPr>
        <w:ind w:left="851"/>
        <w:rPr>
          <w:sz w:val="24"/>
          <w:szCs w:val="24"/>
          <w:u w:val="single"/>
          <w:lang w:eastAsia="da-DK"/>
        </w:rPr>
      </w:pPr>
      <w:r>
        <w:rPr>
          <w:sz w:val="24"/>
          <w:szCs w:val="24"/>
          <w:u w:val="single"/>
        </w:rPr>
        <w:t>Drægtighed og diegivning:</w:t>
      </w:r>
    </w:p>
    <w:p w14:paraId="2584A99E" w14:textId="77777777" w:rsidR="009E7AAC" w:rsidRDefault="009E7AAC" w:rsidP="009E7AAC">
      <w:pPr>
        <w:ind w:left="851"/>
        <w:rPr>
          <w:sz w:val="24"/>
          <w:szCs w:val="24"/>
          <w:lang w:eastAsia="da-DK"/>
        </w:rPr>
      </w:pPr>
      <w:r>
        <w:rPr>
          <w:sz w:val="24"/>
          <w:szCs w:val="24"/>
        </w:rPr>
        <w:t>Kan anvendes til grise under drægtighed og diegivning.</w:t>
      </w:r>
      <w:r>
        <w:rPr>
          <w:sz w:val="24"/>
          <w:szCs w:val="24"/>
          <w:lang w:eastAsia="da-DK"/>
        </w:rPr>
        <w:t xml:space="preserve"> </w:t>
      </w:r>
    </w:p>
    <w:p w14:paraId="5590DA50" w14:textId="77777777" w:rsidR="008203A8" w:rsidRPr="00406EE7" w:rsidRDefault="008203A8" w:rsidP="008203A8">
      <w:pPr>
        <w:tabs>
          <w:tab w:val="left" w:pos="851"/>
        </w:tabs>
        <w:ind w:left="851"/>
        <w:rPr>
          <w:sz w:val="24"/>
          <w:szCs w:val="24"/>
        </w:rPr>
      </w:pPr>
    </w:p>
    <w:p w14:paraId="31141D4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2E0601AB" w14:textId="77777777" w:rsidR="009E7AAC" w:rsidRDefault="009E7AAC" w:rsidP="009E7AAC">
      <w:pPr>
        <w:ind w:left="851"/>
        <w:rPr>
          <w:sz w:val="24"/>
          <w:szCs w:val="24"/>
          <w:lang w:eastAsia="da-DK"/>
        </w:rPr>
      </w:pPr>
      <w:proofErr w:type="spellStart"/>
      <w:r>
        <w:rPr>
          <w:sz w:val="24"/>
          <w:szCs w:val="24"/>
        </w:rPr>
        <w:t>Tiamulin</w:t>
      </w:r>
      <w:proofErr w:type="spellEnd"/>
      <w:r>
        <w:rPr>
          <w:sz w:val="24"/>
          <w:szCs w:val="24"/>
        </w:rPr>
        <w:t xml:space="preserve"> har vist sig at interagere med </w:t>
      </w:r>
      <w:proofErr w:type="spellStart"/>
      <w:r>
        <w:rPr>
          <w:sz w:val="24"/>
          <w:szCs w:val="24"/>
        </w:rPr>
        <w:t>ionophorer</w:t>
      </w:r>
      <w:proofErr w:type="spellEnd"/>
      <w:r>
        <w:rPr>
          <w:sz w:val="24"/>
          <w:szCs w:val="24"/>
        </w:rPr>
        <w:t xml:space="preserve"> som </w:t>
      </w:r>
      <w:proofErr w:type="spellStart"/>
      <w:r>
        <w:rPr>
          <w:sz w:val="24"/>
          <w:szCs w:val="24"/>
        </w:rPr>
        <w:t>monensin</w:t>
      </w:r>
      <w:proofErr w:type="spellEnd"/>
      <w:r>
        <w:rPr>
          <w:sz w:val="24"/>
          <w:szCs w:val="24"/>
        </w:rPr>
        <w:t xml:space="preserve">, </w:t>
      </w:r>
      <w:proofErr w:type="spellStart"/>
      <w:r>
        <w:rPr>
          <w:sz w:val="24"/>
          <w:szCs w:val="24"/>
        </w:rPr>
        <w:t>salinomycin</w:t>
      </w:r>
      <w:proofErr w:type="spellEnd"/>
      <w:r>
        <w:rPr>
          <w:sz w:val="24"/>
          <w:szCs w:val="24"/>
        </w:rPr>
        <w:t xml:space="preserve"> og </w:t>
      </w:r>
      <w:proofErr w:type="spellStart"/>
      <w:r>
        <w:rPr>
          <w:sz w:val="24"/>
          <w:szCs w:val="24"/>
        </w:rPr>
        <w:t>narasin</w:t>
      </w:r>
      <w:proofErr w:type="spellEnd"/>
      <w:r>
        <w:rPr>
          <w:sz w:val="24"/>
          <w:szCs w:val="24"/>
        </w:rPr>
        <w:t xml:space="preserve"> og kan resultere i symptomer som ikke kan skelnes fra en </w:t>
      </w:r>
      <w:proofErr w:type="spellStart"/>
      <w:r>
        <w:rPr>
          <w:sz w:val="24"/>
          <w:szCs w:val="24"/>
        </w:rPr>
        <w:t>ionofortoksikose</w:t>
      </w:r>
      <w:proofErr w:type="spellEnd"/>
      <w:r>
        <w:rPr>
          <w:sz w:val="24"/>
          <w:szCs w:val="24"/>
        </w:rPr>
        <w:t xml:space="preserve">. Dyr bør ikke behandles med produkter indeholdende </w:t>
      </w:r>
      <w:proofErr w:type="spellStart"/>
      <w:r>
        <w:rPr>
          <w:sz w:val="24"/>
          <w:szCs w:val="24"/>
        </w:rPr>
        <w:t>monensin</w:t>
      </w:r>
      <w:proofErr w:type="spellEnd"/>
      <w:r>
        <w:rPr>
          <w:sz w:val="24"/>
          <w:szCs w:val="24"/>
        </w:rPr>
        <w:t xml:space="preserve">, </w:t>
      </w:r>
      <w:proofErr w:type="spellStart"/>
      <w:r>
        <w:rPr>
          <w:sz w:val="24"/>
          <w:szCs w:val="24"/>
        </w:rPr>
        <w:t>salinomycin</w:t>
      </w:r>
      <w:proofErr w:type="spellEnd"/>
      <w:r>
        <w:rPr>
          <w:sz w:val="24"/>
          <w:szCs w:val="24"/>
        </w:rPr>
        <w:t xml:space="preserve"> og </w:t>
      </w:r>
      <w:proofErr w:type="spellStart"/>
      <w:r>
        <w:rPr>
          <w:sz w:val="24"/>
          <w:szCs w:val="24"/>
        </w:rPr>
        <w:t>narasin</w:t>
      </w:r>
      <w:proofErr w:type="spellEnd"/>
      <w:r>
        <w:rPr>
          <w:sz w:val="24"/>
          <w:szCs w:val="24"/>
        </w:rPr>
        <w:t xml:space="preserve"> under eller fra mindst 7 dage før til 7 dage efter behandling med </w:t>
      </w:r>
      <w:proofErr w:type="spellStart"/>
      <w:r>
        <w:rPr>
          <w:sz w:val="24"/>
          <w:szCs w:val="24"/>
        </w:rPr>
        <w:t>tiamulin</w:t>
      </w:r>
      <w:proofErr w:type="spellEnd"/>
      <w:r>
        <w:rPr>
          <w:sz w:val="24"/>
          <w:szCs w:val="24"/>
        </w:rPr>
        <w:t xml:space="preserve">. Alvorlig væksthæmning, </w:t>
      </w:r>
      <w:proofErr w:type="spellStart"/>
      <w:r>
        <w:rPr>
          <w:sz w:val="24"/>
          <w:szCs w:val="24"/>
        </w:rPr>
        <w:t>ataksi</w:t>
      </w:r>
      <w:proofErr w:type="spellEnd"/>
      <w:r>
        <w:rPr>
          <w:sz w:val="24"/>
          <w:szCs w:val="24"/>
        </w:rPr>
        <w:t>, paralyse eller død kan indtræffe.</w:t>
      </w:r>
    </w:p>
    <w:p w14:paraId="377ADBC2" w14:textId="77777777" w:rsidR="009E7AAC" w:rsidRDefault="009E7AAC" w:rsidP="009E7AAC">
      <w:pPr>
        <w:ind w:left="851" w:hanging="851"/>
        <w:rPr>
          <w:sz w:val="24"/>
          <w:szCs w:val="24"/>
        </w:rPr>
      </w:pPr>
    </w:p>
    <w:p w14:paraId="6BB43469" w14:textId="7F4D64C2" w:rsidR="008203A8" w:rsidRPr="00406EE7" w:rsidRDefault="009E7AAC" w:rsidP="009E7AAC">
      <w:pPr>
        <w:tabs>
          <w:tab w:val="left" w:pos="851"/>
        </w:tabs>
        <w:ind w:left="851"/>
        <w:rPr>
          <w:sz w:val="24"/>
          <w:szCs w:val="24"/>
        </w:rPr>
      </w:pPr>
      <w:r>
        <w:rPr>
          <w:sz w:val="24"/>
          <w:szCs w:val="24"/>
        </w:rPr>
        <w:t xml:space="preserve">Hvis tegn på interaktion opstår, stop da omgående administrationen af både det </w:t>
      </w:r>
      <w:proofErr w:type="spellStart"/>
      <w:r>
        <w:rPr>
          <w:sz w:val="24"/>
          <w:szCs w:val="24"/>
        </w:rPr>
        <w:t>tiamulinholdige</w:t>
      </w:r>
      <w:proofErr w:type="spellEnd"/>
      <w:r>
        <w:rPr>
          <w:sz w:val="24"/>
          <w:szCs w:val="24"/>
        </w:rPr>
        <w:t xml:space="preserve"> drikkevand og det </w:t>
      </w:r>
      <w:proofErr w:type="spellStart"/>
      <w:r>
        <w:rPr>
          <w:sz w:val="24"/>
          <w:szCs w:val="24"/>
        </w:rPr>
        <w:t>ionophorholdige</w:t>
      </w:r>
      <w:proofErr w:type="spellEnd"/>
      <w:r>
        <w:rPr>
          <w:sz w:val="24"/>
          <w:szCs w:val="24"/>
        </w:rPr>
        <w:t xml:space="preserve"> foder. Foderet bør fjernes og erstattes med friskt foder uden tilsat de </w:t>
      </w:r>
      <w:proofErr w:type="spellStart"/>
      <w:r>
        <w:rPr>
          <w:sz w:val="24"/>
          <w:szCs w:val="24"/>
        </w:rPr>
        <w:t>anticoccidale</w:t>
      </w:r>
      <w:proofErr w:type="spellEnd"/>
      <w:r>
        <w:rPr>
          <w:sz w:val="24"/>
          <w:szCs w:val="24"/>
        </w:rPr>
        <w:t xml:space="preserve"> midler </w:t>
      </w:r>
      <w:proofErr w:type="spellStart"/>
      <w:r>
        <w:rPr>
          <w:sz w:val="24"/>
          <w:szCs w:val="24"/>
        </w:rPr>
        <w:t>monensin</w:t>
      </w:r>
      <w:proofErr w:type="spellEnd"/>
      <w:r>
        <w:rPr>
          <w:sz w:val="24"/>
          <w:szCs w:val="24"/>
        </w:rPr>
        <w:t xml:space="preserve">, </w:t>
      </w:r>
      <w:proofErr w:type="spellStart"/>
      <w:r>
        <w:rPr>
          <w:sz w:val="24"/>
          <w:szCs w:val="24"/>
        </w:rPr>
        <w:t>salinomycin</w:t>
      </w:r>
      <w:proofErr w:type="spellEnd"/>
      <w:r>
        <w:rPr>
          <w:sz w:val="24"/>
          <w:szCs w:val="24"/>
        </w:rPr>
        <w:t xml:space="preserve"> eller </w:t>
      </w:r>
      <w:proofErr w:type="spellStart"/>
      <w:r>
        <w:rPr>
          <w:sz w:val="24"/>
          <w:szCs w:val="24"/>
        </w:rPr>
        <w:t>narasin</w:t>
      </w:r>
      <w:proofErr w:type="spellEnd"/>
      <w:r>
        <w:rPr>
          <w:sz w:val="24"/>
          <w:szCs w:val="24"/>
        </w:rPr>
        <w:t>.</w:t>
      </w:r>
    </w:p>
    <w:p w14:paraId="7B4B9781" w14:textId="77777777" w:rsidR="008203A8" w:rsidRPr="00406EE7" w:rsidRDefault="008203A8" w:rsidP="008203A8">
      <w:pPr>
        <w:tabs>
          <w:tab w:val="left" w:pos="851"/>
        </w:tabs>
        <w:ind w:left="851"/>
        <w:rPr>
          <w:sz w:val="24"/>
          <w:szCs w:val="24"/>
        </w:rPr>
      </w:pPr>
    </w:p>
    <w:p w14:paraId="1E001757"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48C389B" w14:textId="4C06E50D" w:rsidR="008203A8" w:rsidRDefault="009E7AAC" w:rsidP="008203A8">
      <w:pPr>
        <w:tabs>
          <w:tab w:val="left" w:pos="851"/>
        </w:tabs>
        <w:ind w:left="851"/>
        <w:rPr>
          <w:sz w:val="24"/>
          <w:szCs w:val="24"/>
        </w:rPr>
      </w:pPr>
      <w:r>
        <w:rPr>
          <w:sz w:val="24"/>
          <w:szCs w:val="24"/>
        </w:rPr>
        <w:t>Til anvendelse i drikkevand.</w:t>
      </w:r>
    </w:p>
    <w:p w14:paraId="3F8E0102" w14:textId="577218BD" w:rsidR="009E7AAC" w:rsidRDefault="009E7AAC" w:rsidP="008203A8">
      <w:pPr>
        <w:tabs>
          <w:tab w:val="left" w:pos="851"/>
        </w:tabs>
        <w:ind w:left="851"/>
        <w:rPr>
          <w:sz w:val="24"/>
          <w:szCs w:val="24"/>
        </w:rPr>
      </w:pPr>
    </w:p>
    <w:p w14:paraId="652B5C44" w14:textId="77777777" w:rsidR="009E7AAC" w:rsidRDefault="009E7AAC" w:rsidP="009E7AAC">
      <w:pPr>
        <w:ind w:left="851"/>
        <w:rPr>
          <w:noProof/>
          <w:sz w:val="24"/>
          <w:szCs w:val="24"/>
          <w:u w:val="single"/>
        </w:rPr>
      </w:pPr>
      <w:r>
        <w:rPr>
          <w:sz w:val="24"/>
          <w:szCs w:val="24"/>
          <w:u w:val="single"/>
        </w:rPr>
        <w:t>Vejledning til fremstilling af opløsning:</w:t>
      </w:r>
    </w:p>
    <w:p w14:paraId="4B7F77AA" w14:textId="77777777" w:rsidR="009E7AAC" w:rsidRDefault="009E7AAC" w:rsidP="009E7AAC">
      <w:pPr>
        <w:ind w:left="851"/>
        <w:rPr>
          <w:noProof/>
          <w:sz w:val="24"/>
          <w:szCs w:val="24"/>
        </w:rPr>
      </w:pPr>
      <w:r>
        <w:rPr>
          <w:sz w:val="24"/>
          <w:szCs w:val="24"/>
        </w:rPr>
        <w:t xml:space="preserve">Når store mængder vand medicineres, fremstil da først en koncentreret opløsning og fortynd derefter til den ønskede slutkoncentration. Alternativt kan den koncentrerede opløsning bruges i en </w:t>
      </w:r>
      <w:proofErr w:type="spellStart"/>
      <w:r>
        <w:rPr>
          <w:sz w:val="24"/>
          <w:szCs w:val="24"/>
        </w:rPr>
        <w:t>vanddrevet</w:t>
      </w:r>
      <w:proofErr w:type="spellEnd"/>
      <w:r>
        <w:rPr>
          <w:sz w:val="24"/>
          <w:szCs w:val="24"/>
        </w:rPr>
        <w:t xml:space="preserve"> medicinblander. Opløseligheden af produktet er blevet bekræftet ved en maksimale koncentration af 100 g produkt/l blødt og hårdt vand og ved 4 °C og 20 °C.</w:t>
      </w:r>
    </w:p>
    <w:p w14:paraId="741EA23A" w14:textId="77777777" w:rsidR="009E7AAC" w:rsidRDefault="009E7AAC" w:rsidP="009E7AAC">
      <w:pPr>
        <w:ind w:left="851"/>
        <w:rPr>
          <w:noProof/>
          <w:sz w:val="24"/>
          <w:szCs w:val="24"/>
        </w:rPr>
      </w:pPr>
    </w:p>
    <w:p w14:paraId="5642735F" w14:textId="77777777" w:rsidR="009E7AAC" w:rsidRDefault="009E7AAC" w:rsidP="009E7AAC">
      <w:pPr>
        <w:ind w:left="851"/>
        <w:rPr>
          <w:noProof/>
          <w:sz w:val="24"/>
          <w:szCs w:val="24"/>
        </w:rPr>
      </w:pPr>
      <w:r>
        <w:rPr>
          <w:sz w:val="24"/>
          <w:szCs w:val="24"/>
        </w:rPr>
        <w:t>Medicineret drikkevand bør friskes op eller skiftes ud hver 24 timer.</w:t>
      </w:r>
    </w:p>
    <w:p w14:paraId="4E50D75B" w14:textId="77777777" w:rsidR="009E7AAC" w:rsidRDefault="009E7AAC" w:rsidP="009E7AAC">
      <w:pPr>
        <w:ind w:left="851"/>
        <w:rPr>
          <w:noProof/>
          <w:sz w:val="24"/>
          <w:szCs w:val="24"/>
        </w:rPr>
      </w:pPr>
    </w:p>
    <w:p w14:paraId="0E62A1B7" w14:textId="77777777" w:rsidR="009E7AAC" w:rsidRDefault="009E7AAC" w:rsidP="009E7AAC">
      <w:pPr>
        <w:ind w:left="851"/>
        <w:rPr>
          <w:noProof/>
          <w:sz w:val="24"/>
          <w:szCs w:val="24"/>
        </w:rPr>
      </w:pPr>
      <w:r>
        <w:rPr>
          <w:sz w:val="24"/>
          <w:szCs w:val="24"/>
        </w:rPr>
        <w:t xml:space="preserve">Man skal sikre sig, at dyrene ikke har adgang til ikke-medicineret drikkevand i den periode, hvor det medicinerede drikkevand gives. </w:t>
      </w:r>
    </w:p>
    <w:p w14:paraId="78E2B348" w14:textId="77777777" w:rsidR="009E7AAC" w:rsidRDefault="009E7AAC" w:rsidP="009E7AAC">
      <w:pPr>
        <w:ind w:left="851"/>
        <w:rPr>
          <w:noProof/>
          <w:sz w:val="24"/>
          <w:szCs w:val="24"/>
        </w:rPr>
      </w:pPr>
    </w:p>
    <w:p w14:paraId="2C04CE23" w14:textId="77777777" w:rsidR="009E7AAC" w:rsidRDefault="009E7AAC" w:rsidP="009E7AAC">
      <w:pPr>
        <w:ind w:left="851"/>
        <w:rPr>
          <w:noProof/>
          <w:sz w:val="24"/>
          <w:szCs w:val="24"/>
        </w:rPr>
      </w:pPr>
      <w:r>
        <w:rPr>
          <w:sz w:val="24"/>
          <w:szCs w:val="24"/>
        </w:rPr>
        <w:t>Efter endt medicinering bør vandtilførselssystemet rengøres på hensigtsmæssig vis for at undgå indtag af subterapeutiske mængder af det aktive stof.</w:t>
      </w:r>
    </w:p>
    <w:p w14:paraId="4F64EDA7" w14:textId="77777777" w:rsidR="009E7AAC" w:rsidRDefault="009E7AAC" w:rsidP="009E7AAC">
      <w:pPr>
        <w:ind w:left="851"/>
        <w:rPr>
          <w:noProof/>
          <w:sz w:val="24"/>
          <w:szCs w:val="24"/>
        </w:rPr>
      </w:pPr>
    </w:p>
    <w:p w14:paraId="6DFE10CF" w14:textId="77777777" w:rsidR="009E7AAC" w:rsidRDefault="009E7AAC" w:rsidP="009E7AAC">
      <w:pPr>
        <w:ind w:left="851"/>
        <w:rPr>
          <w:sz w:val="24"/>
          <w:szCs w:val="24"/>
        </w:rPr>
      </w:pPr>
      <w:r>
        <w:rPr>
          <w:sz w:val="24"/>
          <w:szCs w:val="24"/>
        </w:rPr>
        <w:t>For at sikre korrekt dosering bør kropsvægten bestemmes så nøjagtigt som muligt.</w:t>
      </w:r>
    </w:p>
    <w:p w14:paraId="46D7B9AE" w14:textId="77777777" w:rsidR="009E7AAC" w:rsidRDefault="009E7AAC" w:rsidP="009E7AAC">
      <w:pPr>
        <w:ind w:left="851"/>
        <w:rPr>
          <w:sz w:val="24"/>
          <w:szCs w:val="24"/>
        </w:rPr>
      </w:pPr>
    </w:p>
    <w:p w14:paraId="5CFB1204" w14:textId="77777777" w:rsidR="009E7AAC" w:rsidRDefault="009E7AAC" w:rsidP="009E7AAC">
      <w:pPr>
        <w:ind w:left="851"/>
        <w:rPr>
          <w:noProof/>
          <w:sz w:val="24"/>
          <w:szCs w:val="24"/>
        </w:rPr>
      </w:pPr>
      <w:r>
        <w:rPr>
          <w:sz w:val="24"/>
          <w:szCs w:val="24"/>
        </w:rPr>
        <w:t xml:space="preserve">Indtagelsen af medicineret vand afhænger af dyrenes kliniske tilstand. For at opnå den korrekte dosering kan det være nødvendigt, at justere koncentrationen af </w:t>
      </w:r>
      <w:proofErr w:type="spellStart"/>
      <w:r>
        <w:rPr>
          <w:sz w:val="24"/>
          <w:szCs w:val="24"/>
        </w:rPr>
        <w:t>tiamulin</w:t>
      </w:r>
      <w:proofErr w:type="spellEnd"/>
      <w:r>
        <w:rPr>
          <w:sz w:val="24"/>
          <w:szCs w:val="24"/>
        </w:rPr>
        <w:t>.</w:t>
      </w:r>
    </w:p>
    <w:p w14:paraId="26EEFA12" w14:textId="77777777" w:rsidR="009E7AAC" w:rsidRDefault="009E7AAC" w:rsidP="009E7AAC">
      <w:pPr>
        <w:ind w:left="851"/>
        <w:rPr>
          <w:noProof/>
          <w:sz w:val="24"/>
          <w:szCs w:val="24"/>
        </w:rPr>
      </w:pPr>
    </w:p>
    <w:p w14:paraId="38FC5D7B" w14:textId="77777777" w:rsidR="009E7AAC" w:rsidRDefault="009E7AAC" w:rsidP="009E7AAC">
      <w:pPr>
        <w:ind w:left="851"/>
        <w:rPr>
          <w:noProof/>
          <w:sz w:val="24"/>
          <w:szCs w:val="24"/>
        </w:rPr>
      </w:pPr>
      <w:r>
        <w:rPr>
          <w:sz w:val="24"/>
          <w:szCs w:val="24"/>
        </w:rPr>
        <w:t xml:space="preserve">For at undgå interaktioner mellem </w:t>
      </w:r>
      <w:proofErr w:type="spellStart"/>
      <w:r>
        <w:rPr>
          <w:sz w:val="24"/>
          <w:szCs w:val="24"/>
        </w:rPr>
        <w:t>ionophorer</w:t>
      </w:r>
      <w:proofErr w:type="spellEnd"/>
      <w:r>
        <w:rPr>
          <w:sz w:val="24"/>
          <w:szCs w:val="24"/>
        </w:rPr>
        <w:t xml:space="preserve"> og </w:t>
      </w:r>
      <w:proofErr w:type="spellStart"/>
      <w:r>
        <w:rPr>
          <w:sz w:val="24"/>
          <w:szCs w:val="24"/>
        </w:rPr>
        <w:t>tiamulin</w:t>
      </w:r>
      <w:proofErr w:type="spellEnd"/>
      <w:r>
        <w:rPr>
          <w:sz w:val="24"/>
          <w:szCs w:val="24"/>
        </w:rPr>
        <w:t xml:space="preserve"> bør dyrlægen og landmanden sikre sig, at der ikke står på foderetiketten, at foderet indeholder </w:t>
      </w:r>
      <w:proofErr w:type="spellStart"/>
      <w:r>
        <w:rPr>
          <w:sz w:val="24"/>
          <w:szCs w:val="24"/>
        </w:rPr>
        <w:t>salinomycin</w:t>
      </w:r>
      <w:proofErr w:type="spellEnd"/>
      <w:r>
        <w:rPr>
          <w:sz w:val="24"/>
          <w:szCs w:val="24"/>
        </w:rPr>
        <w:t xml:space="preserve">, </w:t>
      </w:r>
      <w:proofErr w:type="spellStart"/>
      <w:r>
        <w:rPr>
          <w:sz w:val="24"/>
          <w:szCs w:val="24"/>
        </w:rPr>
        <w:t>monensin</w:t>
      </w:r>
      <w:proofErr w:type="spellEnd"/>
      <w:r>
        <w:rPr>
          <w:sz w:val="24"/>
          <w:szCs w:val="24"/>
        </w:rPr>
        <w:t xml:space="preserve"> og </w:t>
      </w:r>
      <w:proofErr w:type="spellStart"/>
      <w:r>
        <w:rPr>
          <w:sz w:val="24"/>
          <w:szCs w:val="24"/>
        </w:rPr>
        <w:t>narasin</w:t>
      </w:r>
      <w:proofErr w:type="spellEnd"/>
      <w:r>
        <w:rPr>
          <w:sz w:val="24"/>
          <w:szCs w:val="24"/>
        </w:rPr>
        <w:t>.</w:t>
      </w:r>
    </w:p>
    <w:p w14:paraId="449B0276" w14:textId="77777777" w:rsidR="009E7AAC" w:rsidRDefault="009E7AAC" w:rsidP="009E7AAC">
      <w:pPr>
        <w:ind w:left="851"/>
        <w:rPr>
          <w:noProof/>
          <w:sz w:val="24"/>
          <w:szCs w:val="24"/>
        </w:rPr>
      </w:pPr>
    </w:p>
    <w:p w14:paraId="09BA4D5A" w14:textId="77777777" w:rsidR="009E7AAC" w:rsidRDefault="009E7AAC" w:rsidP="009E7AAC">
      <w:pPr>
        <w:ind w:left="851"/>
        <w:rPr>
          <w:noProof/>
          <w:sz w:val="24"/>
          <w:szCs w:val="24"/>
        </w:rPr>
      </w:pPr>
      <w:r>
        <w:rPr>
          <w:sz w:val="24"/>
          <w:szCs w:val="24"/>
        </w:rPr>
        <w:t xml:space="preserve">Foderet bør analyseres for </w:t>
      </w:r>
      <w:proofErr w:type="spellStart"/>
      <w:r>
        <w:rPr>
          <w:sz w:val="24"/>
          <w:szCs w:val="24"/>
        </w:rPr>
        <w:t>ionophorerne</w:t>
      </w:r>
      <w:proofErr w:type="spellEnd"/>
      <w:r>
        <w:rPr>
          <w:sz w:val="24"/>
          <w:szCs w:val="24"/>
        </w:rPr>
        <w:t xml:space="preserve"> før det bruges, hvis der er mistanke om, at forurening af foderet kan forekomme.</w:t>
      </w:r>
    </w:p>
    <w:p w14:paraId="4B361910" w14:textId="77777777" w:rsidR="009E7AAC" w:rsidRDefault="009E7AAC" w:rsidP="009E7AAC">
      <w:pPr>
        <w:ind w:left="851"/>
        <w:rPr>
          <w:noProof/>
          <w:sz w:val="24"/>
          <w:szCs w:val="24"/>
        </w:rPr>
      </w:pPr>
    </w:p>
    <w:p w14:paraId="756C4A75" w14:textId="77777777" w:rsidR="009E7AAC" w:rsidRDefault="009E7AAC" w:rsidP="009E7AAC">
      <w:pPr>
        <w:ind w:left="851"/>
        <w:rPr>
          <w:noProof/>
          <w:sz w:val="24"/>
          <w:szCs w:val="24"/>
        </w:rPr>
      </w:pPr>
      <w:r>
        <w:rPr>
          <w:sz w:val="24"/>
          <w:szCs w:val="24"/>
        </w:rPr>
        <w:t xml:space="preserve">Hvis interaktion alligevel opstår, stop da omgående behandling med </w:t>
      </w:r>
      <w:proofErr w:type="spellStart"/>
      <w:r>
        <w:rPr>
          <w:sz w:val="24"/>
          <w:szCs w:val="24"/>
        </w:rPr>
        <w:t>tiamulin</w:t>
      </w:r>
      <w:proofErr w:type="spellEnd"/>
      <w:r>
        <w:rPr>
          <w:sz w:val="24"/>
          <w:szCs w:val="24"/>
        </w:rPr>
        <w:t xml:space="preserve"> og udskift med friskt drikkevand. Fjern det kontaminerede foder så hurtigt som muligt og erstat med foder, der ikke indeholder de </w:t>
      </w:r>
      <w:proofErr w:type="spellStart"/>
      <w:r>
        <w:rPr>
          <w:sz w:val="24"/>
          <w:szCs w:val="24"/>
        </w:rPr>
        <w:t>tiamulin</w:t>
      </w:r>
      <w:proofErr w:type="spellEnd"/>
      <w:r>
        <w:rPr>
          <w:sz w:val="24"/>
          <w:szCs w:val="24"/>
        </w:rPr>
        <w:t xml:space="preserve">-inkompatible </w:t>
      </w:r>
      <w:proofErr w:type="spellStart"/>
      <w:r>
        <w:rPr>
          <w:sz w:val="24"/>
          <w:szCs w:val="24"/>
        </w:rPr>
        <w:t>ionophorer</w:t>
      </w:r>
      <w:proofErr w:type="spellEnd"/>
      <w:r>
        <w:rPr>
          <w:sz w:val="24"/>
          <w:szCs w:val="24"/>
        </w:rPr>
        <w:t>.</w:t>
      </w:r>
    </w:p>
    <w:p w14:paraId="56716DED" w14:textId="77777777" w:rsidR="009E7AAC" w:rsidRDefault="009E7AAC" w:rsidP="009E7AAC">
      <w:pPr>
        <w:ind w:left="851"/>
        <w:rPr>
          <w:noProof/>
          <w:sz w:val="24"/>
          <w:szCs w:val="24"/>
        </w:rPr>
      </w:pPr>
    </w:p>
    <w:p w14:paraId="58930E03" w14:textId="77777777" w:rsidR="009E7AAC" w:rsidRDefault="009E7AAC" w:rsidP="009E7AAC">
      <w:pPr>
        <w:ind w:left="851"/>
        <w:rPr>
          <w:sz w:val="24"/>
          <w:szCs w:val="24"/>
        </w:rPr>
      </w:pPr>
      <w:r>
        <w:rPr>
          <w:sz w:val="24"/>
          <w:szCs w:val="24"/>
        </w:rPr>
        <w:t>Baseret på den anbefalede dosis, antallet af dyr, der skal behandles, samt disses kropsvægt bør den nøjagtige daglige koncentration af veterinærlægemidlet beregnes efter følgende formel:</w:t>
      </w:r>
    </w:p>
    <w:p w14:paraId="1C8D7F08" w14:textId="77777777" w:rsidR="009E7AAC" w:rsidRDefault="009E7AAC" w:rsidP="009E7AAC">
      <w:pPr>
        <w:ind w:left="851" w:hanging="851"/>
        <w:rPr>
          <w:rFonts w:eastAsia="Segoe UI"/>
          <w:sz w:val="24"/>
          <w:szCs w:val="24"/>
          <w:lang w:eastAsia="sl-SI"/>
        </w:rPr>
      </w:pPr>
    </w:p>
    <w:tbl>
      <w:tblPr>
        <w:tblW w:w="9210" w:type="dxa"/>
        <w:tblInd w:w="851" w:type="dxa"/>
        <w:tblBorders>
          <w:insideH w:val="single" w:sz="4" w:space="0" w:color="auto"/>
        </w:tblBorders>
        <w:tblLook w:val="01E0" w:firstRow="1" w:lastRow="1" w:firstColumn="1" w:lastColumn="1" w:noHBand="0" w:noVBand="0"/>
      </w:tblPr>
      <w:tblGrid>
        <w:gridCol w:w="3085"/>
        <w:gridCol w:w="567"/>
        <w:gridCol w:w="2835"/>
        <w:gridCol w:w="2723"/>
      </w:tblGrid>
      <w:tr w:rsidR="009E7AAC" w14:paraId="0997792B" w14:textId="77777777" w:rsidTr="009E7AAC">
        <w:tc>
          <w:tcPr>
            <w:tcW w:w="3085" w:type="dxa"/>
            <w:tcBorders>
              <w:top w:val="nil"/>
              <w:left w:val="nil"/>
              <w:bottom w:val="single" w:sz="4" w:space="0" w:color="auto"/>
              <w:right w:val="nil"/>
            </w:tcBorders>
            <w:hideMark/>
          </w:tcPr>
          <w:p w14:paraId="7B4F05A2" w14:textId="77777777" w:rsidR="009E7AAC" w:rsidRDefault="009E7AAC">
            <w:pPr>
              <w:jc w:val="center"/>
              <w:rPr>
                <w:rFonts w:eastAsia="Segoe UI"/>
                <w:sz w:val="24"/>
                <w:szCs w:val="24"/>
                <w:lang w:eastAsia="da-DK"/>
              </w:rPr>
            </w:pPr>
            <w:r>
              <w:rPr>
                <w:b/>
                <w:sz w:val="24"/>
                <w:szCs w:val="24"/>
              </w:rPr>
              <w:t>x</w:t>
            </w:r>
            <w:r>
              <w:rPr>
                <w:sz w:val="24"/>
                <w:szCs w:val="24"/>
              </w:rPr>
              <w:t xml:space="preserve"> mg veterinærlægemiddel/kg kropsvægt pr. dag</w:t>
            </w:r>
          </w:p>
        </w:tc>
        <w:tc>
          <w:tcPr>
            <w:tcW w:w="567" w:type="dxa"/>
            <w:tcBorders>
              <w:top w:val="nil"/>
              <w:left w:val="nil"/>
              <w:bottom w:val="single" w:sz="4" w:space="0" w:color="auto"/>
              <w:right w:val="nil"/>
            </w:tcBorders>
          </w:tcPr>
          <w:p w14:paraId="21980CBE" w14:textId="77777777" w:rsidR="009E7AAC" w:rsidRDefault="009E7AAC">
            <w:pPr>
              <w:jc w:val="center"/>
              <w:rPr>
                <w:rFonts w:eastAsia="Segoe UI"/>
                <w:sz w:val="24"/>
                <w:szCs w:val="24"/>
                <w:lang w:eastAsia="sl-SI"/>
              </w:rPr>
            </w:pPr>
          </w:p>
          <w:p w14:paraId="612D9649" w14:textId="77777777" w:rsidR="009E7AAC" w:rsidRDefault="009E7AAC">
            <w:pPr>
              <w:jc w:val="center"/>
              <w:rPr>
                <w:rFonts w:eastAsia="Segoe UI"/>
                <w:sz w:val="24"/>
                <w:szCs w:val="24"/>
                <w:lang w:eastAsia="da-DK"/>
              </w:rPr>
            </w:pPr>
            <w:r>
              <w:rPr>
                <w:sz w:val="24"/>
                <w:szCs w:val="24"/>
              </w:rPr>
              <w:t>X</w:t>
            </w:r>
          </w:p>
        </w:tc>
        <w:tc>
          <w:tcPr>
            <w:tcW w:w="2835" w:type="dxa"/>
            <w:tcBorders>
              <w:top w:val="nil"/>
              <w:left w:val="nil"/>
              <w:bottom w:val="single" w:sz="4" w:space="0" w:color="auto"/>
              <w:right w:val="nil"/>
            </w:tcBorders>
            <w:hideMark/>
          </w:tcPr>
          <w:p w14:paraId="2CEB5061" w14:textId="77777777" w:rsidR="009E7AAC" w:rsidRDefault="009E7AAC">
            <w:pPr>
              <w:jc w:val="center"/>
              <w:rPr>
                <w:rFonts w:eastAsia="Segoe UI"/>
                <w:sz w:val="24"/>
                <w:szCs w:val="24"/>
              </w:rPr>
            </w:pPr>
            <w:r>
              <w:rPr>
                <w:sz w:val="24"/>
                <w:szCs w:val="24"/>
              </w:rPr>
              <w:t>gennemsnitlig kropsvægt (kg) af dyrene, der skal behandles</w:t>
            </w:r>
          </w:p>
        </w:tc>
        <w:tc>
          <w:tcPr>
            <w:tcW w:w="2723" w:type="dxa"/>
            <w:vMerge w:val="restart"/>
          </w:tcPr>
          <w:p w14:paraId="5A775541" w14:textId="77777777" w:rsidR="009E7AAC" w:rsidRDefault="009E7AAC">
            <w:pPr>
              <w:rPr>
                <w:rFonts w:eastAsia="Segoe UI"/>
                <w:sz w:val="24"/>
                <w:szCs w:val="24"/>
                <w:lang w:eastAsia="sl-SI"/>
              </w:rPr>
            </w:pPr>
          </w:p>
          <w:p w14:paraId="2F0E8B69" w14:textId="77777777" w:rsidR="009E7AAC" w:rsidRDefault="009E7AAC">
            <w:pPr>
              <w:rPr>
                <w:sz w:val="24"/>
                <w:szCs w:val="24"/>
              </w:rPr>
            </w:pPr>
          </w:p>
          <w:p w14:paraId="5C070B17" w14:textId="77777777" w:rsidR="009E7AAC" w:rsidRDefault="009E7AAC">
            <w:pPr>
              <w:rPr>
                <w:sz w:val="24"/>
                <w:szCs w:val="24"/>
              </w:rPr>
            </w:pPr>
          </w:p>
          <w:p w14:paraId="15416A4B" w14:textId="77777777" w:rsidR="009E7AAC" w:rsidRDefault="009E7AAC">
            <w:pPr>
              <w:rPr>
                <w:rFonts w:eastAsia="Segoe UI"/>
                <w:sz w:val="24"/>
                <w:szCs w:val="24"/>
                <w:lang w:eastAsia="da-DK"/>
              </w:rPr>
            </w:pPr>
            <w:r>
              <w:rPr>
                <w:sz w:val="24"/>
                <w:szCs w:val="24"/>
              </w:rPr>
              <w:t xml:space="preserve">= </w:t>
            </w:r>
            <w:r>
              <w:rPr>
                <w:b/>
                <w:sz w:val="24"/>
                <w:szCs w:val="24"/>
              </w:rPr>
              <w:t>x</w:t>
            </w:r>
            <w:r>
              <w:rPr>
                <w:sz w:val="24"/>
                <w:szCs w:val="24"/>
              </w:rPr>
              <w:t xml:space="preserve"> mg veterinærlægemiddel pr. liter drikkevand</w:t>
            </w:r>
          </w:p>
        </w:tc>
      </w:tr>
      <w:tr w:rsidR="009E7AAC" w14:paraId="2DE0F2A7" w14:textId="77777777" w:rsidTr="009E7AAC">
        <w:tc>
          <w:tcPr>
            <w:tcW w:w="6345" w:type="dxa"/>
            <w:gridSpan w:val="3"/>
            <w:tcBorders>
              <w:top w:val="single" w:sz="4" w:space="0" w:color="auto"/>
              <w:left w:val="nil"/>
              <w:bottom w:val="nil"/>
              <w:right w:val="nil"/>
            </w:tcBorders>
            <w:hideMark/>
          </w:tcPr>
          <w:p w14:paraId="131029C3" w14:textId="77777777" w:rsidR="009E7AAC" w:rsidRDefault="009E7AAC">
            <w:pPr>
              <w:jc w:val="center"/>
              <w:rPr>
                <w:rFonts w:eastAsia="Segoe UI"/>
                <w:sz w:val="24"/>
                <w:szCs w:val="24"/>
              </w:rPr>
            </w:pPr>
            <w:r>
              <w:rPr>
                <w:sz w:val="24"/>
                <w:szCs w:val="24"/>
              </w:rPr>
              <w:t>gennemsnitligt dagligt vandindtag (l/dyr)</w:t>
            </w:r>
          </w:p>
        </w:tc>
        <w:tc>
          <w:tcPr>
            <w:tcW w:w="0" w:type="auto"/>
            <w:vMerge/>
            <w:vAlign w:val="center"/>
            <w:hideMark/>
          </w:tcPr>
          <w:p w14:paraId="6E1EC7B9" w14:textId="77777777" w:rsidR="009E7AAC" w:rsidRDefault="009E7AAC">
            <w:pPr>
              <w:rPr>
                <w:rFonts w:eastAsia="Segoe UI"/>
                <w:sz w:val="24"/>
                <w:szCs w:val="24"/>
                <w:lang w:eastAsia="da-DK"/>
              </w:rPr>
            </w:pPr>
          </w:p>
        </w:tc>
      </w:tr>
    </w:tbl>
    <w:p w14:paraId="29C9C09E" w14:textId="77777777" w:rsidR="009E7AAC" w:rsidRDefault="009E7AAC" w:rsidP="009E7AAC">
      <w:pPr>
        <w:ind w:left="851" w:hanging="851"/>
        <w:rPr>
          <w:noProof/>
          <w:sz w:val="24"/>
          <w:szCs w:val="24"/>
        </w:rPr>
      </w:pPr>
    </w:p>
    <w:p w14:paraId="3BEF3FF8" w14:textId="77777777" w:rsidR="009E7AAC" w:rsidRDefault="009E7AAC" w:rsidP="009E7AAC">
      <w:pPr>
        <w:numPr>
          <w:ilvl w:val="0"/>
          <w:numId w:val="4"/>
        </w:numPr>
        <w:autoSpaceDE w:val="0"/>
        <w:autoSpaceDN w:val="0"/>
        <w:adjustRightInd w:val="0"/>
        <w:ind w:left="1276" w:hanging="425"/>
        <w:rPr>
          <w:sz w:val="24"/>
          <w:szCs w:val="24"/>
        </w:rPr>
      </w:pPr>
      <w:r>
        <w:rPr>
          <w:sz w:val="24"/>
          <w:szCs w:val="24"/>
        </w:rPr>
        <w:t xml:space="preserve">Til behandling af svinedysenteri forårsaget af </w:t>
      </w:r>
      <w:proofErr w:type="spellStart"/>
      <w:r>
        <w:rPr>
          <w:i/>
          <w:iCs/>
          <w:sz w:val="24"/>
          <w:szCs w:val="24"/>
        </w:rPr>
        <w:t>Brachyspira</w:t>
      </w:r>
      <w:proofErr w:type="spellEnd"/>
      <w:r>
        <w:rPr>
          <w:i/>
          <w:iCs/>
          <w:sz w:val="24"/>
          <w:szCs w:val="24"/>
        </w:rPr>
        <w:t xml:space="preserve"> </w:t>
      </w:r>
      <w:proofErr w:type="spellStart"/>
      <w:r>
        <w:rPr>
          <w:i/>
          <w:iCs/>
          <w:sz w:val="24"/>
          <w:szCs w:val="24"/>
        </w:rPr>
        <w:t>hyodysenteriae</w:t>
      </w:r>
      <w:proofErr w:type="spellEnd"/>
      <w:r>
        <w:rPr>
          <w:i/>
          <w:iCs/>
          <w:sz w:val="24"/>
          <w:szCs w:val="24"/>
        </w:rPr>
        <w:t xml:space="preserve">: </w:t>
      </w:r>
      <w:r>
        <w:rPr>
          <w:sz w:val="24"/>
          <w:szCs w:val="24"/>
        </w:rPr>
        <w:t xml:space="preserve">8,8 mg </w:t>
      </w:r>
      <w:proofErr w:type="spellStart"/>
      <w:r>
        <w:rPr>
          <w:sz w:val="24"/>
          <w:szCs w:val="24"/>
        </w:rPr>
        <w:t>tiamulinhydrogenfumarat</w:t>
      </w:r>
      <w:proofErr w:type="spellEnd"/>
      <w:r>
        <w:rPr>
          <w:sz w:val="24"/>
          <w:szCs w:val="24"/>
        </w:rPr>
        <w:t xml:space="preserve"> (tilsvarende 19,6 mg </w:t>
      </w:r>
      <w:proofErr w:type="gramStart"/>
      <w:r>
        <w:rPr>
          <w:sz w:val="24"/>
          <w:szCs w:val="24"/>
        </w:rPr>
        <w:t>produkt)/</w:t>
      </w:r>
      <w:proofErr w:type="gramEnd"/>
      <w:r>
        <w:rPr>
          <w:sz w:val="24"/>
          <w:szCs w:val="24"/>
        </w:rPr>
        <w:t xml:space="preserve">kg kropsvægt administreret dagligt i drikkevandet til svin i 3-5 sammenhængende dage afhængigt af infektionens sværhedsgrad og/eller sygdommens sværhedsgrad. </w:t>
      </w:r>
    </w:p>
    <w:p w14:paraId="6475ED60" w14:textId="77777777" w:rsidR="009E7AAC" w:rsidRDefault="009E7AAC" w:rsidP="009E7AAC">
      <w:pPr>
        <w:numPr>
          <w:ilvl w:val="0"/>
          <w:numId w:val="4"/>
        </w:numPr>
        <w:autoSpaceDE w:val="0"/>
        <w:autoSpaceDN w:val="0"/>
        <w:adjustRightInd w:val="0"/>
        <w:ind w:left="1276" w:hanging="425"/>
        <w:rPr>
          <w:sz w:val="24"/>
          <w:szCs w:val="24"/>
        </w:rPr>
      </w:pPr>
      <w:r>
        <w:rPr>
          <w:sz w:val="24"/>
          <w:szCs w:val="24"/>
        </w:rPr>
        <w:t xml:space="preserve">Til behandling af </w:t>
      </w:r>
      <w:proofErr w:type="spellStart"/>
      <w:r>
        <w:rPr>
          <w:sz w:val="24"/>
          <w:szCs w:val="24"/>
        </w:rPr>
        <w:t>porcin</w:t>
      </w:r>
      <w:proofErr w:type="spellEnd"/>
      <w:r>
        <w:rPr>
          <w:sz w:val="24"/>
          <w:szCs w:val="24"/>
        </w:rPr>
        <w:t xml:space="preserve"> </w:t>
      </w:r>
      <w:proofErr w:type="spellStart"/>
      <w:r>
        <w:rPr>
          <w:sz w:val="24"/>
          <w:szCs w:val="24"/>
        </w:rPr>
        <w:t>spirochaetose</w:t>
      </w:r>
      <w:proofErr w:type="spellEnd"/>
      <w:r>
        <w:rPr>
          <w:sz w:val="24"/>
          <w:szCs w:val="24"/>
        </w:rPr>
        <w:t xml:space="preserve"> i </w:t>
      </w:r>
      <w:proofErr w:type="spellStart"/>
      <w:r>
        <w:rPr>
          <w:sz w:val="24"/>
          <w:szCs w:val="24"/>
        </w:rPr>
        <w:t>colon</w:t>
      </w:r>
      <w:proofErr w:type="spellEnd"/>
      <w:r>
        <w:rPr>
          <w:sz w:val="24"/>
          <w:szCs w:val="24"/>
        </w:rPr>
        <w:t xml:space="preserve"> (colitis) forårsaget af </w:t>
      </w:r>
      <w:proofErr w:type="spellStart"/>
      <w:r>
        <w:rPr>
          <w:i/>
          <w:iCs/>
          <w:sz w:val="24"/>
          <w:szCs w:val="24"/>
        </w:rPr>
        <w:t>Brachyspira</w:t>
      </w:r>
      <w:proofErr w:type="spellEnd"/>
      <w:r>
        <w:rPr>
          <w:i/>
          <w:iCs/>
          <w:sz w:val="24"/>
          <w:szCs w:val="24"/>
        </w:rPr>
        <w:t xml:space="preserve"> </w:t>
      </w:r>
      <w:proofErr w:type="spellStart"/>
      <w:r>
        <w:rPr>
          <w:i/>
          <w:iCs/>
          <w:sz w:val="24"/>
          <w:szCs w:val="24"/>
        </w:rPr>
        <w:t>pilosicoli</w:t>
      </w:r>
      <w:proofErr w:type="spellEnd"/>
      <w:r>
        <w:rPr>
          <w:i/>
          <w:iCs/>
          <w:sz w:val="24"/>
          <w:szCs w:val="24"/>
        </w:rPr>
        <w:t>:</w:t>
      </w:r>
      <w:r>
        <w:rPr>
          <w:iCs/>
          <w:sz w:val="24"/>
          <w:szCs w:val="24"/>
        </w:rPr>
        <w:t xml:space="preserve"> </w:t>
      </w:r>
      <w:r>
        <w:rPr>
          <w:sz w:val="24"/>
          <w:szCs w:val="24"/>
        </w:rPr>
        <w:t xml:space="preserve">8,8 mg </w:t>
      </w:r>
      <w:proofErr w:type="spellStart"/>
      <w:r>
        <w:rPr>
          <w:sz w:val="24"/>
          <w:szCs w:val="24"/>
        </w:rPr>
        <w:t>tiamulinhydrogenfumarat</w:t>
      </w:r>
      <w:proofErr w:type="spellEnd"/>
      <w:r>
        <w:rPr>
          <w:sz w:val="24"/>
          <w:szCs w:val="24"/>
        </w:rPr>
        <w:t xml:space="preserve"> (tilsvarende 19,6 mg </w:t>
      </w:r>
      <w:proofErr w:type="gramStart"/>
      <w:r>
        <w:rPr>
          <w:sz w:val="24"/>
          <w:szCs w:val="24"/>
        </w:rPr>
        <w:t>produkt)/</w:t>
      </w:r>
      <w:proofErr w:type="gramEnd"/>
      <w:r>
        <w:rPr>
          <w:sz w:val="24"/>
          <w:szCs w:val="24"/>
        </w:rPr>
        <w:t xml:space="preserve">kg kropsvægt administreret dagligt i drikkevandet i 3-5 sammenhængende dage afhængigt af infektionens sværhedsgrad og/eller sygdommens sværhedsgrad. </w:t>
      </w:r>
    </w:p>
    <w:p w14:paraId="1B206560" w14:textId="77777777" w:rsidR="009E7AAC" w:rsidRDefault="009E7AAC" w:rsidP="009E7AAC">
      <w:pPr>
        <w:numPr>
          <w:ilvl w:val="0"/>
          <w:numId w:val="4"/>
        </w:numPr>
        <w:autoSpaceDE w:val="0"/>
        <w:autoSpaceDN w:val="0"/>
        <w:adjustRightInd w:val="0"/>
        <w:ind w:left="1276" w:hanging="425"/>
        <w:rPr>
          <w:sz w:val="24"/>
          <w:szCs w:val="24"/>
        </w:rPr>
      </w:pPr>
      <w:r>
        <w:rPr>
          <w:sz w:val="24"/>
          <w:szCs w:val="24"/>
        </w:rPr>
        <w:t xml:space="preserve">Til behandling af </w:t>
      </w:r>
      <w:proofErr w:type="spellStart"/>
      <w:r>
        <w:rPr>
          <w:sz w:val="24"/>
          <w:szCs w:val="24"/>
        </w:rPr>
        <w:t>porcin</w:t>
      </w:r>
      <w:proofErr w:type="spellEnd"/>
      <w:r>
        <w:rPr>
          <w:sz w:val="24"/>
          <w:szCs w:val="24"/>
        </w:rPr>
        <w:t xml:space="preserve"> </w:t>
      </w:r>
      <w:proofErr w:type="spellStart"/>
      <w:r>
        <w:rPr>
          <w:sz w:val="24"/>
          <w:szCs w:val="24"/>
        </w:rPr>
        <w:t>proliferativ</w:t>
      </w:r>
      <w:proofErr w:type="spellEnd"/>
      <w:r>
        <w:rPr>
          <w:sz w:val="24"/>
          <w:szCs w:val="24"/>
        </w:rPr>
        <w:t xml:space="preserve"> </w:t>
      </w:r>
      <w:proofErr w:type="spellStart"/>
      <w:r>
        <w:rPr>
          <w:sz w:val="24"/>
          <w:szCs w:val="24"/>
        </w:rPr>
        <w:t>enteropati</w:t>
      </w:r>
      <w:proofErr w:type="spellEnd"/>
      <w:r>
        <w:rPr>
          <w:sz w:val="24"/>
          <w:szCs w:val="24"/>
        </w:rPr>
        <w:t xml:space="preserve"> (</w:t>
      </w:r>
      <w:proofErr w:type="spellStart"/>
      <w:r>
        <w:rPr>
          <w:sz w:val="24"/>
          <w:szCs w:val="24"/>
        </w:rPr>
        <w:t>ileitis</w:t>
      </w:r>
      <w:proofErr w:type="spellEnd"/>
      <w:r>
        <w:rPr>
          <w:sz w:val="24"/>
          <w:szCs w:val="24"/>
        </w:rPr>
        <w:t xml:space="preserve">) forårsaget af </w:t>
      </w:r>
      <w:proofErr w:type="spellStart"/>
      <w:r>
        <w:rPr>
          <w:i/>
          <w:iCs/>
          <w:sz w:val="24"/>
          <w:szCs w:val="24"/>
        </w:rPr>
        <w:t>Lawsonia</w:t>
      </w:r>
      <w:proofErr w:type="spellEnd"/>
      <w:r>
        <w:rPr>
          <w:i/>
          <w:iCs/>
          <w:sz w:val="24"/>
          <w:szCs w:val="24"/>
        </w:rPr>
        <w:t xml:space="preserve"> </w:t>
      </w:r>
      <w:proofErr w:type="spellStart"/>
      <w:r>
        <w:rPr>
          <w:i/>
          <w:iCs/>
          <w:sz w:val="24"/>
          <w:szCs w:val="24"/>
        </w:rPr>
        <w:t>intracellularis</w:t>
      </w:r>
      <w:proofErr w:type="spellEnd"/>
      <w:r>
        <w:rPr>
          <w:i/>
          <w:iCs/>
          <w:sz w:val="24"/>
          <w:szCs w:val="24"/>
        </w:rPr>
        <w:t>:</w:t>
      </w:r>
      <w:r>
        <w:rPr>
          <w:sz w:val="24"/>
          <w:szCs w:val="24"/>
        </w:rPr>
        <w:t xml:space="preserve"> 8,8 mg </w:t>
      </w:r>
      <w:proofErr w:type="spellStart"/>
      <w:r>
        <w:rPr>
          <w:sz w:val="24"/>
          <w:szCs w:val="24"/>
        </w:rPr>
        <w:t>tiamulinhydrogenfumarat</w:t>
      </w:r>
      <w:proofErr w:type="spellEnd"/>
      <w:r>
        <w:rPr>
          <w:sz w:val="24"/>
          <w:szCs w:val="24"/>
        </w:rPr>
        <w:t xml:space="preserve"> (tilsvarende 19,6 mg </w:t>
      </w:r>
      <w:proofErr w:type="gramStart"/>
      <w:r>
        <w:rPr>
          <w:sz w:val="24"/>
          <w:szCs w:val="24"/>
        </w:rPr>
        <w:t>produkt)/</w:t>
      </w:r>
      <w:proofErr w:type="gramEnd"/>
      <w:r>
        <w:rPr>
          <w:sz w:val="24"/>
          <w:szCs w:val="24"/>
        </w:rPr>
        <w:t xml:space="preserve">kg kropsvægt administreret dagligt i drikkevandet i 5 sammenhængende dage. </w:t>
      </w:r>
    </w:p>
    <w:p w14:paraId="44DDE420" w14:textId="77777777" w:rsidR="009E7AAC" w:rsidRDefault="009E7AAC" w:rsidP="009E7AAC">
      <w:pPr>
        <w:numPr>
          <w:ilvl w:val="0"/>
          <w:numId w:val="4"/>
        </w:numPr>
        <w:autoSpaceDE w:val="0"/>
        <w:autoSpaceDN w:val="0"/>
        <w:adjustRightInd w:val="0"/>
        <w:ind w:left="1276" w:hanging="425"/>
        <w:rPr>
          <w:sz w:val="24"/>
          <w:szCs w:val="24"/>
        </w:rPr>
      </w:pPr>
      <w:r>
        <w:rPr>
          <w:sz w:val="24"/>
          <w:szCs w:val="24"/>
        </w:rPr>
        <w:t xml:space="preserve">Behandling og </w:t>
      </w:r>
      <w:proofErr w:type="spellStart"/>
      <w:r>
        <w:rPr>
          <w:sz w:val="24"/>
          <w:szCs w:val="24"/>
        </w:rPr>
        <w:t>metafylakse</w:t>
      </w:r>
      <w:proofErr w:type="spellEnd"/>
      <w:r>
        <w:rPr>
          <w:sz w:val="24"/>
          <w:szCs w:val="24"/>
        </w:rPr>
        <w:t xml:space="preserve"> af </w:t>
      </w:r>
      <w:proofErr w:type="spellStart"/>
      <w:r>
        <w:rPr>
          <w:sz w:val="24"/>
          <w:szCs w:val="24"/>
        </w:rPr>
        <w:t>enzootisk</w:t>
      </w:r>
      <w:proofErr w:type="spellEnd"/>
      <w:r>
        <w:rPr>
          <w:sz w:val="24"/>
          <w:szCs w:val="24"/>
        </w:rPr>
        <w:t xml:space="preserve"> pneumoni forårsaget af </w:t>
      </w:r>
      <w:proofErr w:type="spellStart"/>
      <w:r>
        <w:rPr>
          <w:i/>
          <w:iCs/>
          <w:sz w:val="24"/>
          <w:szCs w:val="24"/>
        </w:rPr>
        <w:t>Mycoplasma</w:t>
      </w:r>
      <w:proofErr w:type="spellEnd"/>
      <w:r>
        <w:rPr>
          <w:i/>
          <w:iCs/>
          <w:sz w:val="24"/>
          <w:szCs w:val="24"/>
        </w:rPr>
        <w:t xml:space="preserve"> </w:t>
      </w:r>
      <w:proofErr w:type="spellStart"/>
      <w:r>
        <w:rPr>
          <w:i/>
          <w:iCs/>
          <w:sz w:val="24"/>
          <w:szCs w:val="24"/>
        </w:rPr>
        <w:t>hyopneumoniae</w:t>
      </w:r>
      <w:proofErr w:type="spellEnd"/>
      <w:r>
        <w:rPr>
          <w:i/>
          <w:iCs/>
          <w:sz w:val="24"/>
          <w:szCs w:val="24"/>
        </w:rPr>
        <w:t xml:space="preserve">, </w:t>
      </w:r>
      <w:r>
        <w:rPr>
          <w:sz w:val="24"/>
          <w:szCs w:val="24"/>
        </w:rPr>
        <w:t xml:space="preserve">herunder infektioner kompliceret af </w:t>
      </w:r>
      <w:proofErr w:type="spellStart"/>
      <w:r>
        <w:rPr>
          <w:sz w:val="24"/>
          <w:szCs w:val="24"/>
        </w:rPr>
        <w:t>tiamulinfølsomme</w:t>
      </w:r>
      <w:proofErr w:type="spellEnd"/>
      <w:r>
        <w:rPr>
          <w:sz w:val="24"/>
          <w:szCs w:val="24"/>
        </w:rPr>
        <w:t xml:space="preserve"> </w:t>
      </w:r>
      <w:proofErr w:type="spellStart"/>
      <w:r>
        <w:rPr>
          <w:i/>
          <w:iCs/>
          <w:sz w:val="24"/>
          <w:szCs w:val="24"/>
        </w:rPr>
        <w:t>Pasteurella</w:t>
      </w:r>
      <w:proofErr w:type="spellEnd"/>
      <w:r>
        <w:rPr>
          <w:i/>
          <w:iCs/>
          <w:sz w:val="24"/>
          <w:szCs w:val="24"/>
        </w:rPr>
        <w:t xml:space="preserve"> </w:t>
      </w:r>
      <w:proofErr w:type="spellStart"/>
      <w:r>
        <w:rPr>
          <w:i/>
          <w:iCs/>
          <w:sz w:val="24"/>
          <w:szCs w:val="24"/>
        </w:rPr>
        <w:t>multocida</w:t>
      </w:r>
      <w:proofErr w:type="spellEnd"/>
      <w:r>
        <w:rPr>
          <w:sz w:val="24"/>
          <w:szCs w:val="24"/>
        </w:rPr>
        <w:t>:</w:t>
      </w:r>
      <w:r>
        <w:rPr>
          <w:iCs/>
          <w:sz w:val="24"/>
          <w:szCs w:val="24"/>
        </w:rPr>
        <w:t xml:space="preserve"> </w:t>
      </w:r>
      <w:r>
        <w:rPr>
          <w:sz w:val="24"/>
          <w:szCs w:val="24"/>
        </w:rPr>
        <w:t xml:space="preserve">20 mg </w:t>
      </w:r>
      <w:proofErr w:type="spellStart"/>
      <w:r>
        <w:rPr>
          <w:sz w:val="24"/>
          <w:szCs w:val="24"/>
        </w:rPr>
        <w:t>tiamulinhydrogenfumarat</w:t>
      </w:r>
      <w:proofErr w:type="spellEnd"/>
      <w:r>
        <w:rPr>
          <w:sz w:val="24"/>
          <w:szCs w:val="24"/>
        </w:rPr>
        <w:t xml:space="preserve"> (tilsvarende 44,4 mg </w:t>
      </w:r>
      <w:proofErr w:type="gramStart"/>
      <w:r>
        <w:rPr>
          <w:sz w:val="24"/>
          <w:szCs w:val="24"/>
        </w:rPr>
        <w:t>produkt)/</w:t>
      </w:r>
      <w:proofErr w:type="gramEnd"/>
      <w:r>
        <w:rPr>
          <w:sz w:val="24"/>
          <w:szCs w:val="24"/>
        </w:rPr>
        <w:t xml:space="preserve">kg kropsvægt administreret dagligt i 5 sammenhængende dage. </w:t>
      </w:r>
    </w:p>
    <w:p w14:paraId="0F8567B6" w14:textId="77777777" w:rsidR="009E7AAC" w:rsidRDefault="009E7AAC" w:rsidP="009E7AAC">
      <w:pPr>
        <w:numPr>
          <w:ilvl w:val="0"/>
          <w:numId w:val="4"/>
        </w:numPr>
        <w:autoSpaceDE w:val="0"/>
        <w:autoSpaceDN w:val="0"/>
        <w:adjustRightInd w:val="0"/>
        <w:ind w:left="1276" w:hanging="425"/>
        <w:rPr>
          <w:sz w:val="24"/>
          <w:szCs w:val="24"/>
        </w:rPr>
      </w:pPr>
      <w:r>
        <w:rPr>
          <w:sz w:val="24"/>
          <w:szCs w:val="24"/>
        </w:rPr>
        <w:t xml:space="preserve">Til behandling af </w:t>
      </w:r>
      <w:proofErr w:type="spellStart"/>
      <w:r>
        <w:rPr>
          <w:sz w:val="24"/>
          <w:szCs w:val="24"/>
        </w:rPr>
        <w:t>pleuropneumoni</w:t>
      </w:r>
      <w:proofErr w:type="spellEnd"/>
      <w:r>
        <w:rPr>
          <w:sz w:val="24"/>
          <w:szCs w:val="24"/>
        </w:rPr>
        <w:t xml:space="preserve"> forårsaget af </w:t>
      </w:r>
      <w:proofErr w:type="spellStart"/>
      <w:r>
        <w:rPr>
          <w:i/>
          <w:sz w:val="24"/>
          <w:szCs w:val="24"/>
        </w:rPr>
        <w:t>Actinobacillus</w:t>
      </w:r>
      <w:proofErr w:type="spellEnd"/>
      <w:r>
        <w:rPr>
          <w:i/>
          <w:sz w:val="24"/>
          <w:szCs w:val="24"/>
        </w:rPr>
        <w:t xml:space="preserve"> </w:t>
      </w:r>
      <w:proofErr w:type="spellStart"/>
      <w:r>
        <w:rPr>
          <w:i/>
          <w:sz w:val="24"/>
          <w:szCs w:val="24"/>
        </w:rPr>
        <w:t>pleuropneumoniae</w:t>
      </w:r>
      <w:proofErr w:type="spellEnd"/>
      <w:r>
        <w:rPr>
          <w:sz w:val="24"/>
          <w:szCs w:val="24"/>
        </w:rPr>
        <w:t xml:space="preserve">: 20 mg </w:t>
      </w:r>
      <w:proofErr w:type="spellStart"/>
      <w:r>
        <w:rPr>
          <w:sz w:val="24"/>
          <w:szCs w:val="24"/>
        </w:rPr>
        <w:t>tiamulinhydrogenfumarat</w:t>
      </w:r>
      <w:proofErr w:type="spellEnd"/>
      <w:r>
        <w:rPr>
          <w:sz w:val="24"/>
          <w:szCs w:val="24"/>
        </w:rPr>
        <w:t xml:space="preserve"> (tilsvarende 44,4 mg </w:t>
      </w:r>
      <w:proofErr w:type="gramStart"/>
      <w:r>
        <w:rPr>
          <w:sz w:val="24"/>
          <w:szCs w:val="24"/>
        </w:rPr>
        <w:t>produkt)/</w:t>
      </w:r>
      <w:proofErr w:type="gramEnd"/>
      <w:r>
        <w:rPr>
          <w:sz w:val="24"/>
          <w:szCs w:val="24"/>
        </w:rPr>
        <w:t xml:space="preserve">kg kropsvægt administreret dagligt i 5 sammenhængende dage. </w:t>
      </w:r>
    </w:p>
    <w:p w14:paraId="1264372D" w14:textId="77777777" w:rsidR="008203A8" w:rsidRPr="00406EE7" w:rsidRDefault="008203A8" w:rsidP="008203A8">
      <w:pPr>
        <w:tabs>
          <w:tab w:val="left" w:pos="851"/>
        </w:tabs>
        <w:ind w:left="851"/>
        <w:rPr>
          <w:sz w:val="24"/>
          <w:szCs w:val="24"/>
        </w:rPr>
      </w:pPr>
    </w:p>
    <w:p w14:paraId="29A57AE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3A71E73" w14:textId="77777777" w:rsidR="009E7AAC" w:rsidRDefault="009E7AAC" w:rsidP="009E7AAC">
      <w:pPr>
        <w:ind w:left="851"/>
        <w:rPr>
          <w:sz w:val="24"/>
          <w:szCs w:val="24"/>
          <w:lang w:eastAsia="da-DK"/>
        </w:rPr>
      </w:pPr>
      <w:r>
        <w:rPr>
          <w:sz w:val="24"/>
          <w:szCs w:val="24"/>
        </w:rPr>
        <w:t xml:space="preserve">Ved en enkelt oral dosis på 100 mg </w:t>
      </w:r>
      <w:proofErr w:type="spellStart"/>
      <w:r>
        <w:rPr>
          <w:sz w:val="24"/>
          <w:szCs w:val="24"/>
        </w:rPr>
        <w:t>tiamulinhydrogenfumarat</w:t>
      </w:r>
      <w:proofErr w:type="spellEnd"/>
      <w:r>
        <w:rPr>
          <w:sz w:val="24"/>
          <w:szCs w:val="24"/>
        </w:rPr>
        <w:t xml:space="preserve">/kg kropsvægt er der observeret </w:t>
      </w:r>
      <w:proofErr w:type="spellStart"/>
      <w:r>
        <w:rPr>
          <w:sz w:val="24"/>
          <w:szCs w:val="24"/>
        </w:rPr>
        <w:t>hyperpnoea</w:t>
      </w:r>
      <w:proofErr w:type="spellEnd"/>
      <w:r>
        <w:rPr>
          <w:sz w:val="24"/>
          <w:szCs w:val="24"/>
        </w:rPr>
        <w:t xml:space="preserve"> og </w:t>
      </w:r>
      <w:proofErr w:type="spellStart"/>
      <w:r>
        <w:rPr>
          <w:sz w:val="24"/>
          <w:szCs w:val="24"/>
        </w:rPr>
        <w:t>abdominal</w:t>
      </w:r>
      <w:proofErr w:type="spellEnd"/>
      <w:r>
        <w:rPr>
          <w:sz w:val="24"/>
          <w:szCs w:val="24"/>
        </w:rPr>
        <w:t xml:space="preserve"> ubehag. Ved en dosis på 150 mg </w:t>
      </w:r>
      <w:proofErr w:type="spellStart"/>
      <w:r>
        <w:rPr>
          <w:sz w:val="24"/>
          <w:szCs w:val="24"/>
        </w:rPr>
        <w:t>tiamulinhydrogenfumarat</w:t>
      </w:r>
      <w:proofErr w:type="spellEnd"/>
      <w:r>
        <w:rPr>
          <w:sz w:val="24"/>
          <w:szCs w:val="24"/>
        </w:rPr>
        <w:t xml:space="preserve">/kg kropsvægt blev der ikke observeret nogen effekter på centralnervesystemet, på nær sløvhed. En dosis på 55 mg </w:t>
      </w:r>
      <w:proofErr w:type="spellStart"/>
      <w:r>
        <w:rPr>
          <w:sz w:val="24"/>
          <w:szCs w:val="24"/>
        </w:rPr>
        <w:t>tiamulinhydrogenfumarat</w:t>
      </w:r>
      <w:proofErr w:type="spellEnd"/>
      <w:r>
        <w:rPr>
          <w:sz w:val="24"/>
          <w:szCs w:val="24"/>
        </w:rPr>
        <w:t xml:space="preserve">/kg givet over 14 dage har forårsaget en forbigående forøget spytafsondring og en mild irritation af maven. </w:t>
      </w:r>
      <w:proofErr w:type="spellStart"/>
      <w:r>
        <w:rPr>
          <w:sz w:val="24"/>
          <w:szCs w:val="24"/>
        </w:rPr>
        <w:t>Tiamulinhydrogenfumarat</w:t>
      </w:r>
      <w:proofErr w:type="spellEnd"/>
      <w:r>
        <w:rPr>
          <w:sz w:val="24"/>
          <w:szCs w:val="24"/>
        </w:rPr>
        <w:t xml:space="preserve"> har et relativt højt terapeutiske indeks.</w:t>
      </w:r>
      <w:r>
        <w:rPr>
          <w:spacing w:val="-3"/>
          <w:sz w:val="24"/>
          <w:szCs w:val="24"/>
        </w:rPr>
        <w:t xml:space="preserve"> Den mindste dødelige dosis er ikke fastlagt.</w:t>
      </w:r>
    </w:p>
    <w:p w14:paraId="3D47E00B" w14:textId="77777777" w:rsidR="009E7AAC" w:rsidRDefault="009E7AAC" w:rsidP="009E7AAC">
      <w:pPr>
        <w:ind w:left="851" w:hanging="851"/>
        <w:rPr>
          <w:sz w:val="24"/>
          <w:szCs w:val="24"/>
          <w:lang w:eastAsia="cs-CZ"/>
        </w:rPr>
      </w:pPr>
    </w:p>
    <w:p w14:paraId="4C691403" w14:textId="096ADDAA" w:rsidR="008203A8" w:rsidRPr="00406EE7" w:rsidRDefault="009E7AAC" w:rsidP="009E7AAC">
      <w:pPr>
        <w:tabs>
          <w:tab w:val="left" w:pos="851"/>
        </w:tabs>
        <w:ind w:left="851"/>
        <w:rPr>
          <w:sz w:val="24"/>
          <w:szCs w:val="24"/>
        </w:rPr>
      </w:pPr>
      <w:r>
        <w:rPr>
          <w:sz w:val="24"/>
          <w:szCs w:val="24"/>
        </w:rPr>
        <w:t>Hvis tegn på toksicitet opstår, fjern da straks det medicinerede vand og erstat med friskt vand.</w:t>
      </w:r>
    </w:p>
    <w:p w14:paraId="763188FC" w14:textId="77777777" w:rsidR="008203A8" w:rsidRDefault="008203A8" w:rsidP="008203A8">
      <w:pPr>
        <w:tabs>
          <w:tab w:val="left" w:pos="851"/>
        </w:tabs>
        <w:ind w:left="851"/>
        <w:rPr>
          <w:sz w:val="24"/>
          <w:szCs w:val="24"/>
        </w:rPr>
      </w:pPr>
    </w:p>
    <w:p w14:paraId="656119D7"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59293554" w14:textId="42839DA7" w:rsidR="008203A8" w:rsidRDefault="009E7AAC" w:rsidP="008203A8">
      <w:pPr>
        <w:tabs>
          <w:tab w:val="left" w:pos="851"/>
        </w:tabs>
        <w:ind w:left="851"/>
        <w:rPr>
          <w:sz w:val="24"/>
          <w:szCs w:val="24"/>
        </w:rPr>
      </w:pPr>
      <w:r>
        <w:rPr>
          <w:sz w:val="24"/>
          <w:szCs w:val="24"/>
        </w:rPr>
        <w:t>Ikke relevant.</w:t>
      </w:r>
    </w:p>
    <w:p w14:paraId="1CEFCAC2" w14:textId="77777777" w:rsidR="008203A8" w:rsidRPr="00406EE7" w:rsidRDefault="008203A8" w:rsidP="008203A8">
      <w:pPr>
        <w:tabs>
          <w:tab w:val="left" w:pos="851"/>
        </w:tabs>
        <w:ind w:left="851"/>
        <w:rPr>
          <w:sz w:val="24"/>
          <w:szCs w:val="24"/>
        </w:rPr>
      </w:pPr>
    </w:p>
    <w:p w14:paraId="364235E4"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7FC01B0" w14:textId="77777777" w:rsidR="009E7AAC" w:rsidRDefault="009E7AAC" w:rsidP="009E7AAC">
      <w:pPr>
        <w:ind w:left="851"/>
        <w:rPr>
          <w:sz w:val="24"/>
          <w:szCs w:val="24"/>
        </w:rPr>
      </w:pPr>
      <w:r>
        <w:rPr>
          <w:sz w:val="24"/>
          <w:szCs w:val="24"/>
        </w:rPr>
        <w:t xml:space="preserve">Slagtning: 2 dage (8,8 mg </w:t>
      </w:r>
      <w:proofErr w:type="spellStart"/>
      <w:r>
        <w:rPr>
          <w:sz w:val="24"/>
          <w:szCs w:val="24"/>
        </w:rPr>
        <w:t>tiamulinhydrogenfumarat</w:t>
      </w:r>
      <w:proofErr w:type="spellEnd"/>
      <w:r>
        <w:rPr>
          <w:sz w:val="24"/>
          <w:szCs w:val="24"/>
        </w:rPr>
        <w:t xml:space="preserve"> (svarende til 19,6 mg </w:t>
      </w:r>
      <w:proofErr w:type="gramStart"/>
      <w:r>
        <w:rPr>
          <w:sz w:val="24"/>
          <w:szCs w:val="24"/>
        </w:rPr>
        <w:t>produkt)/</w:t>
      </w:r>
      <w:proofErr w:type="gramEnd"/>
      <w:r>
        <w:rPr>
          <w:sz w:val="24"/>
          <w:szCs w:val="24"/>
        </w:rPr>
        <w:t>kg kropsvægt).</w:t>
      </w:r>
    </w:p>
    <w:p w14:paraId="49D9BB57" w14:textId="77777777" w:rsidR="009E7AAC" w:rsidRDefault="009E7AAC" w:rsidP="009E7AAC">
      <w:pPr>
        <w:ind w:left="851"/>
        <w:rPr>
          <w:sz w:val="24"/>
          <w:szCs w:val="24"/>
        </w:rPr>
      </w:pPr>
      <w:r>
        <w:rPr>
          <w:sz w:val="24"/>
          <w:szCs w:val="24"/>
        </w:rPr>
        <w:t xml:space="preserve">Slagtning: 4 dage (20 mg </w:t>
      </w:r>
      <w:proofErr w:type="spellStart"/>
      <w:r>
        <w:rPr>
          <w:sz w:val="24"/>
          <w:szCs w:val="24"/>
        </w:rPr>
        <w:t>tiamulinhydrogenfumarat</w:t>
      </w:r>
      <w:proofErr w:type="spellEnd"/>
      <w:r>
        <w:rPr>
          <w:sz w:val="24"/>
          <w:szCs w:val="24"/>
        </w:rPr>
        <w:t xml:space="preserve"> (svarende til 44,4 mg </w:t>
      </w:r>
      <w:proofErr w:type="gramStart"/>
      <w:r>
        <w:rPr>
          <w:sz w:val="24"/>
          <w:szCs w:val="24"/>
        </w:rPr>
        <w:t>produkt)/</w:t>
      </w:r>
      <w:proofErr w:type="gramEnd"/>
      <w:r>
        <w:rPr>
          <w:sz w:val="24"/>
          <w:szCs w:val="24"/>
        </w:rPr>
        <w:t>kg kropsvægt).</w:t>
      </w:r>
    </w:p>
    <w:p w14:paraId="583CE914" w14:textId="40F4E2DB" w:rsidR="008203A8" w:rsidRDefault="008203A8" w:rsidP="008203A8">
      <w:pPr>
        <w:tabs>
          <w:tab w:val="left" w:pos="851"/>
        </w:tabs>
        <w:ind w:left="851"/>
        <w:rPr>
          <w:sz w:val="24"/>
          <w:szCs w:val="24"/>
        </w:rPr>
      </w:pPr>
    </w:p>
    <w:p w14:paraId="0DAFB4C4" w14:textId="77777777" w:rsidR="009E7AAC" w:rsidRPr="00406EE7" w:rsidRDefault="009E7AAC" w:rsidP="008203A8">
      <w:pPr>
        <w:tabs>
          <w:tab w:val="left" w:pos="851"/>
        </w:tabs>
        <w:ind w:left="851"/>
        <w:rPr>
          <w:sz w:val="24"/>
          <w:szCs w:val="24"/>
        </w:rPr>
      </w:pPr>
    </w:p>
    <w:p w14:paraId="33C693AF" w14:textId="28B68870" w:rsidR="008203A8" w:rsidRPr="009E7AAC" w:rsidRDefault="008203A8" w:rsidP="008203A8">
      <w:pPr>
        <w:ind w:left="851" w:hanging="851"/>
        <w:rPr>
          <w:b/>
          <w:sz w:val="24"/>
          <w:szCs w:val="24"/>
        </w:rPr>
      </w:pPr>
      <w:r w:rsidRPr="009E7AAC">
        <w:rPr>
          <w:b/>
          <w:sz w:val="24"/>
          <w:szCs w:val="24"/>
        </w:rPr>
        <w:t>4.</w:t>
      </w:r>
      <w:r w:rsidRPr="009E7AAC">
        <w:rPr>
          <w:b/>
          <w:sz w:val="24"/>
          <w:szCs w:val="24"/>
        </w:rPr>
        <w:tab/>
        <w:t>FARMAKOLOGISKE OPLYSNINGER</w:t>
      </w:r>
    </w:p>
    <w:p w14:paraId="641C7E3C" w14:textId="77777777" w:rsidR="008203A8" w:rsidRPr="009E7AAC" w:rsidRDefault="008203A8" w:rsidP="008203A8">
      <w:pPr>
        <w:ind w:left="851"/>
        <w:rPr>
          <w:sz w:val="24"/>
          <w:szCs w:val="24"/>
        </w:rPr>
      </w:pPr>
    </w:p>
    <w:p w14:paraId="34239F96" w14:textId="77777777" w:rsidR="008203A8" w:rsidRPr="009E7AAC" w:rsidRDefault="008203A8" w:rsidP="008203A8">
      <w:pPr>
        <w:ind w:left="851" w:hanging="851"/>
        <w:rPr>
          <w:b/>
          <w:sz w:val="24"/>
          <w:szCs w:val="24"/>
        </w:rPr>
      </w:pPr>
      <w:r w:rsidRPr="009E7AAC">
        <w:rPr>
          <w:b/>
          <w:sz w:val="24"/>
          <w:szCs w:val="24"/>
        </w:rPr>
        <w:t>4.1</w:t>
      </w:r>
      <w:r w:rsidRPr="009E7AAC">
        <w:rPr>
          <w:b/>
          <w:sz w:val="24"/>
          <w:szCs w:val="24"/>
        </w:rPr>
        <w:tab/>
      </w:r>
      <w:proofErr w:type="spellStart"/>
      <w:r w:rsidRPr="009E7AAC">
        <w:rPr>
          <w:b/>
          <w:sz w:val="24"/>
          <w:szCs w:val="24"/>
        </w:rPr>
        <w:t>ATCvet</w:t>
      </w:r>
      <w:proofErr w:type="spellEnd"/>
      <w:r w:rsidRPr="009E7AAC">
        <w:rPr>
          <w:b/>
          <w:sz w:val="24"/>
          <w:szCs w:val="24"/>
        </w:rPr>
        <w:t>-kode</w:t>
      </w:r>
    </w:p>
    <w:p w14:paraId="55AE0486" w14:textId="3F4C6131" w:rsidR="008203A8" w:rsidRPr="009E7AAC" w:rsidRDefault="009E7AAC" w:rsidP="008203A8">
      <w:pPr>
        <w:ind w:left="851"/>
        <w:rPr>
          <w:sz w:val="24"/>
          <w:szCs w:val="24"/>
        </w:rPr>
      </w:pPr>
      <w:r>
        <w:rPr>
          <w:bCs/>
          <w:sz w:val="24"/>
          <w:szCs w:val="24"/>
        </w:rPr>
        <w:t>QJ 01 XQ 01</w:t>
      </w:r>
    </w:p>
    <w:p w14:paraId="0FF06A04" w14:textId="77777777" w:rsidR="008203A8" w:rsidRPr="009E7AAC" w:rsidRDefault="008203A8" w:rsidP="008203A8">
      <w:pPr>
        <w:ind w:left="851"/>
        <w:rPr>
          <w:sz w:val="24"/>
          <w:szCs w:val="24"/>
        </w:rPr>
      </w:pPr>
    </w:p>
    <w:p w14:paraId="151FCD0F" w14:textId="77777777" w:rsidR="008203A8" w:rsidRPr="009E7AAC" w:rsidRDefault="008203A8" w:rsidP="008203A8">
      <w:pPr>
        <w:tabs>
          <w:tab w:val="left" w:pos="851"/>
        </w:tabs>
        <w:ind w:left="851" w:hanging="851"/>
        <w:rPr>
          <w:b/>
          <w:sz w:val="24"/>
          <w:szCs w:val="24"/>
        </w:rPr>
      </w:pPr>
      <w:r w:rsidRPr="009E7AAC">
        <w:rPr>
          <w:b/>
          <w:sz w:val="24"/>
          <w:szCs w:val="24"/>
        </w:rPr>
        <w:t>4.2</w:t>
      </w:r>
      <w:r w:rsidRPr="009E7AAC">
        <w:rPr>
          <w:b/>
          <w:sz w:val="24"/>
          <w:szCs w:val="24"/>
        </w:rPr>
        <w:tab/>
      </w:r>
      <w:proofErr w:type="spellStart"/>
      <w:r w:rsidRPr="009E7AAC">
        <w:rPr>
          <w:b/>
          <w:sz w:val="24"/>
          <w:szCs w:val="24"/>
        </w:rPr>
        <w:t>Farmakodynamiske</w:t>
      </w:r>
      <w:proofErr w:type="spellEnd"/>
      <w:r w:rsidRPr="009E7AAC">
        <w:rPr>
          <w:b/>
          <w:sz w:val="24"/>
          <w:szCs w:val="24"/>
        </w:rPr>
        <w:t xml:space="preserve"> oplysninger</w:t>
      </w:r>
    </w:p>
    <w:p w14:paraId="2B98E2CD" w14:textId="77777777" w:rsidR="009E7AAC" w:rsidRDefault="009E7AAC" w:rsidP="009E7AAC">
      <w:pPr>
        <w:ind w:left="851"/>
        <w:rPr>
          <w:bCs/>
          <w:sz w:val="24"/>
          <w:szCs w:val="24"/>
          <w:lang w:eastAsia="da-DK"/>
        </w:rPr>
      </w:pPr>
      <w:proofErr w:type="spellStart"/>
      <w:r>
        <w:rPr>
          <w:bCs/>
          <w:sz w:val="24"/>
          <w:szCs w:val="24"/>
        </w:rPr>
        <w:t>Tiamulin</w:t>
      </w:r>
      <w:proofErr w:type="spellEnd"/>
      <w:r>
        <w:rPr>
          <w:bCs/>
          <w:sz w:val="24"/>
          <w:szCs w:val="24"/>
        </w:rPr>
        <w:t xml:space="preserve"> er et </w:t>
      </w:r>
      <w:proofErr w:type="spellStart"/>
      <w:r>
        <w:rPr>
          <w:bCs/>
          <w:sz w:val="24"/>
          <w:szCs w:val="24"/>
        </w:rPr>
        <w:t>bakteriostatisk</w:t>
      </w:r>
      <w:proofErr w:type="spellEnd"/>
      <w:r>
        <w:rPr>
          <w:bCs/>
          <w:sz w:val="24"/>
          <w:szCs w:val="24"/>
        </w:rPr>
        <w:t xml:space="preserve">, </w:t>
      </w:r>
      <w:proofErr w:type="spellStart"/>
      <w:r>
        <w:rPr>
          <w:bCs/>
          <w:sz w:val="24"/>
          <w:szCs w:val="24"/>
        </w:rPr>
        <w:t>semi</w:t>
      </w:r>
      <w:proofErr w:type="spellEnd"/>
      <w:r>
        <w:rPr>
          <w:bCs/>
          <w:sz w:val="24"/>
          <w:szCs w:val="24"/>
        </w:rPr>
        <w:t xml:space="preserve">-syntetisk antibiotikum, der tilhører </w:t>
      </w:r>
      <w:proofErr w:type="spellStart"/>
      <w:r>
        <w:rPr>
          <w:bCs/>
          <w:sz w:val="24"/>
          <w:szCs w:val="24"/>
        </w:rPr>
        <w:t>pleuromutilingruppen</w:t>
      </w:r>
      <w:proofErr w:type="spellEnd"/>
      <w:r>
        <w:rPr>
          <w:bCs/>
          <w:sz w:val="24"/>
          <w:szCs w:val="24"/>
        </w:rPr>
        <w:t xml:space="preserve"> af antibiotika og som på ribosomniveau hæmmer den bakterielle proteinsyntese.</w:t>
      </w:r>
    </w:p>
    <w:p w14:paraId="234189EC" w14:textId="77777777" w:rsidR="009E7AAC" w:rsidRDefault="009E7AAC" w:rsidP="009E7AAC">
      <w:pPr>
        <w:ind w:left="851" w:hanging="851"/>
        <w:rPr>
          <w:bCs/>
          <w:sz w:val="24"/>
          <w:szCs w:val="24"/>
        </w:rPr>
      </w:pPr>
    </w:p>
    <w:p w14:paraId="2454E619" w14:textId="0BD75987" w:rsidR="009E7AAC" w:rsidRDefault="009E7AAC" w:rsidP="009E7AAC">
      <w:pPr>
        <w:autoSpaceDE w:val="0"/>
        <w:autoSpaceDN w:val="0"/>
        <w:adjustRightInd w:val="0"/>
        <w:ind w:left="851"/>
        <w:rPr>
          <w:sz w:val="24"/>
          <w:szCs w:val="24"/>
        </w:rPr>
      </w:pPr>
      <w:proofErr w:type="spellStart"/>
      <w:r>
        <w:rPr>
          <w:sz w:val="24"/>
          <w:szCs w:val="24"/>
        </w:rPr>
        <w:t>Tiamulin</w:t>
      </w:r>
      <w:proofErr w:type="spellEnd"/>
      <w:r>
        <w:rPr>
          <w:sz w:val="24"/>
          <w:szCs w:val="24"/>
        </w:rPr>
        <w:t xml:space="preserve"> har udvist højt niveau af </w:t>
      </w:r>
      <w:r>
        <w:rPr>
          <w:i/>
          <w:iCs/>
          <w:sz w:val="24"/>
          <w:szCs w:val="24"/>
        </w:rPr>
        <w:t xml:space="preserve">in </w:t>
      </w:r>
      <w:proofErr w:type="spellStart"/>
      <w:r>
        <w:rPr>
          <w:i/>
          <w:iCs/>
          <w:sz w:val="24"/>
          <w:szCs w:val="24"/>
        </w:rPr>
        <w:t>vitro</w:t>
      </w:r>
      <w:proofErr w:type="spellEnd"/>
      <w:r>
        <w:rPr>
          <w:i/>
          <w:iCs/>
          <w:sz w:val="24"/>
          <w:szCs w:val="24"/>
        </w:rPr>
        <w:t xml:space="preserve"> </w:t>
      </w:r>
      <w:r>
        <w:rPr>
          <w:sz w:val="24"/>
          <w:szCs w:val="24"/>
        </w:rPr>
        <w:t xml:space="preserve">aktivitet mod arter af </w:t>
      </w:r>
      <w:proofErr w:type="spellStart"/>
      <w:r>
        <w:rPr>
          <w:i/>
          <w:iCs/>
          <w:sz w:val="24"/>
          <w:szCs w:val="24"/>
        </w:rPr>
        <w:t>Mycoplasma</w:t>
      </w:r>
      <w:proofErr w:type="spellEnd"/>
      <w:r>
        <w:rPr>
          <w:sz w:val="24"/>
          <w:szCs w:val="24"/>
        </w:rPr>
        <w:t xml:space="preserve">, såvel som </w:t>
      </w:r>
      <w:proofErr w:type="spellStart"/>
      <w:r>
        <w:rPr>
          <w:sz w:val="24"/>
          <w:szCs w:val="24"/>
        </w:rPr>
        <w:t>gram-positive</w:t>
      </w:r>
      <w:proofErr w:type="spellEnd"/>
      <w:r>
        <w:rPr>
          <w:sz w:val="24"/>
          <w:szCs w:val="24"/>
        </w:rPr>
        <w:t xml:space="preserve"> </w:t>
      </w:r>
      <w:proofErr w:type="spellStart"/>
      <w:r>
        <w:rPr>
          <w:sz w:val="24"/>
          <w:szCs w:val="24"/>
        </w:rPr>
        <w:t>anaerober</w:t>
      </w:r>
      <w:proofErr w:type="spellEnd"/>
      <w:r>
        <w:rPr>
          <w:sz w:val="24"/>
          <w:szCs w:val="24"/>
        </w:rPr>
        <w:t xml:space="preserve"> (</w:t>
      </w:r>
      <w:proofErr w:type="spellStart"/>
      <w:r>
        <w:rPr>
          <w:sz w:val="24"/>
          <w:szCs w:val="24"/>
        </w:rPr>
        <w:t>clostridier</w:t>
      </w:r>
      <w:proofErr w:type="spellEnd"/>
      <w:r>
        <w:rPr>
          <w:sz w:val="24"/>
          <w:szCs w:val="24"/>
        </w:rPr>
        <w:t xml:space="preserve">), </w:t>
      </w:r>
      <w:proofErr w:type="spellStart"/>
      <w:r>
        <w:rPr>
          <w:sz w:val="24"/>
          <w:szCs w:val="24"/>
        </w:rPr>
        <w:t>gram-negative</w:t>
      </w:r>
      <w:proofErr w:type="spellEnd"/>
      <w:r>
        <w:rPr>
          <w:sz w:val="24"/>
          <w:szCs w:val="24"/>
        </w:rPr>
        <w:t xml:space="preserve"> </w:t>
      </w:r>
      <w:proofErr w:type="spellStart"/>
      <w:r>
        <w:rPr>
          <w:sz w:val="24"/>
          <w:szCs w:val="24"/>
        </w:rPr>
        <w:t>anaerober</w:t>
      </w:r>
      <w:proofErr w:type="spellEnd"/>
      <w:r>
        <w:rPr>
          <w:sz w:val="24"/>
          <w:szCs w:val="24"/>
        </w:rPr>
        <w:t xml:space="preserve"> (</w:t>
      </w:r>
      <w:proofErr w:type="spellStart"/>
      <w:r>
        <w:rPr>
          <w:i/>
          <w:iCs/>
          <w:sz w:val="24"/>
          <w:szCs w:val="24"/>
        </w:rPr>
        <w:t>Brachyspira</w:t>
      </w:r>
      <w:proofErr w:type="spellEnd"/>
      <w:r>
        <w:rPr>
          <w:i/>
          <w:iCs/>
          <w:sz w:val="24"/>
          <w:szCs w:val="24"/>
        </w:rPr>
        <w:t xml:space="preserve"> </w:t>
      </w:r>
      <w:proofErr w:type="spellStart"/>
      <w:r>
        <w:rPr>
          <w:i/>
          <w:iCs/>
          <w:sz w:val="24"/>
          <w:szCs w:val="24"/>
        </w:rPr>
        <w:t>hyodysenteriae</w:t>
      </w:r>
      <w:proofErr w:type="spellEnd"/>
      <w:r>
        <w:rPr>
          <w:sz w:val="24"/>
          <w:szCs w:val="24"/>
        </w:rPr>
        <w:t xml:space="preserve">, </w:t>
      </w:r>
      <w:proofErr w:type="spellStart"/>
      <w:r>
        <w:rPr>
          <w:i/>
          <w:iCs/>
          <w:sz w:val="24"/>
          <w:szCs w:val="24"/>
        </w:rPr>
        <w:t>Brachyspira</w:t>
      </w:r>
      <w:proofErr w:type="spellEnd"/>
      <w:r>
        <w:rPr>
          <w:i/>
          <w:iCs/>
          <w:sz w:val="24"/>
          <w:szCs w:val="24"/>
        </w:rPr>
        <w:t xml:space="preserve"> </w:t>
      </w:r>
      <w:proofErr w:type="spellStart"/>
      <w:r>
        <w:rPr>
          <w:i/>
          <w:iCs/>
          <w:sz w:val="24"/>
          <w:szCs w:val="24"/>
        </w:rPr>
        <w:t>pilosicoli</w:t>
      </w:r>
      <w:proofErr w:type="spellEnd"/>
      <w:r>
        <w:rPr>
          <w:sz w:val="24"/>
          <w:szCs w:val="24"/>
        </w:rPr>
        <w:t xml:space="preserve">) og </w:t>
      </w:r>
      <w:proofErr w:type="spellStart"/>
      <w:r>
        <w:rPr>
          <w:sz w:val="24"/>
          <w:szCs w:val="24"/>
        </w:rPr>
        <w:t>gram-negative</w:t>
      </w:r>
      <w:proofErr w:type="spellEnd"/>
      <w:r>
        <w:rPr>
          <w:sz w:val="24"/>
          <w:szCs w:val="24"/>
        </w:rPr>
        <w:t xml:space="preserve"> </w:t>
      </w:r>
      <w:proofErr w:type="spellStart"/>
      <w:r>
        <w:rPr>
          <w:sz w:val="24"/>
          <w:szCs w:val="24"/>
        </w:rPr>
        <w:t>aerober</w:t>
      </w:r>
      <w:proofErr w:type="spellEnd"/>
      <w:r>
        <w:rPr>
          <w:sz w:val="24"/>
          <w:szCs w:val="24"/>
        </w:rPr>
        <w:t xml:space="preserve"> (</w:t>
      </w:r>
      <w:proofErr w:type="spellStart"/>
      <w:r>
        <w:rPr>
          <w:i/>
          <w:iCs/>
          <w:sz w:val="24"/>
          <w:szCs w:val="24"/>
        </w:rPr>
        <w:t>Actinobacillus</w:t>
      </w:r>
      <w:proofErr w:type="spellEnd"/>
      <w:r>
        <w:rPr>
          <w:i/>
          <w:iCs/>
          <w:sz w:val="24"/>
          <w:szCs w:val="24"/>
        </w:rPr>
        <w:t xml:space="preserve"> </w:t>
      </w:r>
      <w:proofErr w:type="spellStart"/>
      <w:r>
        <w:rPr>
          <w:i/>
          <w:iCs/>
          <w:sz w:val="24"/>
          <w:szCs w:val="24"/>
        </w:rPr>
        <w:t>pleuropneumoniae</w:t>
      </w:r>
      <w:proofErr w:type="spellEnd"/>
      <w:r>
        <w:rPr>
          <w:i/>
          <w:iCs/>
          <w:sz w:val="24"/>
          <w:szCs w:val="24"/>
        </w:rPr>
        <w:t xml:space="preserve"> </w:t>
      </w:r>
      <w:r>
        <w:rPr>
          <w:sz w:val="24"/>
          <w:szCs w:val="24"/>
        </w:rPr>
        <w:t xml:space="preserve">og </w:t>
      </w:r>
      <w:proofErr w:type="spellStart"/>
      <w:r>
        <w:rPr>
          <w:i/>
          <w:iCs/>
          <w:sz w:val="24"/>
          <w:szCs w:val="24"/>
        </w:rPr>
        <w:t>Pasteurella</w:t>
      </w:r>
      <w:proofErr w:type="spellEnd"/>
      <w:r>
        <w:rPr>
          <w:i/>
          <w:iCs/>
          <w:sz w:val="24"/>
          <w:szCs w:val="24"/>
        </w:rPr>
        <w:t xml:space="preserve"> </w:t>
      </w:r>
      <w:proofErr w:type="spellStart"/>
      <w:r>
        <w:rPr>
          <w:i/>
          <w:iCs/>
          <w:sz w:val="24"/>
          <w:szCs w:val="24"/>
        </w:rPr>
        <w:t>multocida</w:t>
      </w:r>
      <w:proofErr w:type="spellEnd"/>
      <w:r>
        <w:rPr>
          <w:sz w:val="24"/>
          <w:szCs w:val="24"/>
        </w:rPr>
        <w:t xml:space="preserve">). </w:t>
      </w:r>
    </w:p>
    <w:p w14:paraId="680C0BDF" w14:textId="77777777" w:rsidR="009E7AAC" w:rsidRDefault="009E7AAC" w:rsidP="009E7AAC">
      <w:pPr>
        <w:autoSpaceDE w:val="0"/>
        <w:autoSpaceDN w:val="0"/>
        <w:adjustRightInd w:val="0"/>
        <w:ind w:left="851" w:hanging="851"/>
        <w:rPr>
          <w:sz w:val="24"/>
          <w:szCs w:val="24"/>
          <w:lang w:val="sl-SI" w:eastAsia="sl-SI"/>
        </w:rPr>
      </w:pPr>
    </w:p>
    <w:p w14:paraId="31304C18" w14:textId="77777777" w:rsidR="009E7AAC" w:rsidRDefault="009E7AAC" w:rsidP="009E7AAC">
      <w:pPr>
        <w:autoSpaceDE w:val="0"/>
        <w:autoSpaceDN w:val="0"/>
        <w:adjustRightInd w:val="0"/>
        <w:ind w:left="851"/>
        <w:rPr>
          <w:sz w:val="24"/>
          <w:szCs w:val="24"/>
          <w:lang w:val="sl-SI" w:eastAsia="da-DK"/>
        </w:rPr>
      </w:pPr>
      <w:r>
        <w:rPr>
          <w:sz w:val="24"/>
          <w:szCs w:val="24"/>
          <w:lang w:val="sl-SI"/>
        </w:rPr>
        <w:t xml:space="preserve">Tiamulin har vist sig at virke på 70S ribosomniveau og de primære bindingssteder er på 50S subunit. Det inhiberer mikrobiel proteinsyntese ved at producere biokemisk inaktive initieringskomplekser, som forhindrer forlængelse af polypeptidkæden. </w:t>
      </w:r>
    </w:p>
    <w:p w14:paraId="24E405A5" w14:textId="77777777" w:rsidR="009E7AAC" w:rsidRDefault="009E7AAC" w:rsidP="009E7AAC">
      <w:pPr>
        <w:ind w:left="851" w:hanging="851"/>
        <w:rPr>
          <w:sz w:val="24"/>
          <w:szCs w:val="24"/>
          <w:lang w:val="sl-SI" w:eastAsia="sl-SI"/>
        </w:rPr>
      </w:pPr>
    </w:p>
    <w:p w14:paraId="5AB94502" w14:textId="77777777" w:rsidR="009E7AAC" w:rsidRDefault="009E7AAC" w:rsidP="009E7AAC">
      <w:pPr>
        <w:ind w:left="851"/>
        <w:rPr>
          <w:sz w:val="24"/>
          <w:szCs w:val="24"/>
          <w:lang w:eastAsia="da-DK"/>
        </w:rPr>
      </w:pPr>
      <w:r>
        <w:rPr>
          <w:sz w:val="24"/>
          <w:szCs w:val="24"/>
        </w:rPr>
        <w:t xml:space="preserve">Baktericide koncentrationer kan opnås, men varierer alt efter bakterien. Det kan være så lidt som to gange MIC for </w:t>
      </w:r>
      <w:proofErr w:type="spellStart"/>
      <w:r>
        <w:rPr>
          <w:i/>
          <w:iCs/>
          <w:sz w:val="24"/>
          <w:szCs w:val="24"/>
        </w:rPr>
        <w:t>Brachyspira</w:t>
      </w:r>
      <w:proofErr w:type="spellEnd"/>
      <w:r>
        <w:rPr>
          <w:i/>
          <w:iCs/>
          <w:sz w:val="24"/>
          <w:szCs w:val="24"/>
        </w:rPr>
        <w:t xml:space="preserve"> </w:t>
      </w:r>
      <w:proofErr w:type="spellStart"/>
      <w:r>
        <w:rPr>
          <w:i/>
          <w:iCs/>
          <w:sz w:val="24"/>
          <w:szCs w:val="24"/>
        </w:rPr>
        <w:t>hyodysenteriae</w:t>
      </w:r>
      <w:proofErr w:type="spellEnd"/>
      <w:r>
        <w:rPr>
          <w:i/>
          <w:iCs/>
          <w:sz w:val="24"/>
          <w:szCs w:val="24"/>
        </w:rPr>
        <w:t xml:space="preserve"> </w:t>
      </w:r>
      <w:r>
        <w:rPr>
          <w:sz w:val="24"/>
          <w:szCs w:val="24"/>
        </w:rPr>
        <w:t xml:space="preserve">og </w:t>
      </w:r>
      <w:proofErr w:type="spellStart"/>
      <w:r>
        <w:rPr>
          <w:i/>
          <w:iCs/>
          <w:sz w:val="24"/>
          <w:szCs w:val="24"/>
        </w:rPr>
        <w:t>Actinobacillus</w:t>
      </w:r>
      <w:proofErr w:type="spellEnd"/>
      <w:r>
        <w:rPr>
          <w:i/>
          <w:iCs/>
          <w:sz w:val="24"/>
          <w:szCs w:val="24"/>
        </w:rPr>
        <w:t xml:space="preserve"> </w:t>
      </w:r>
      <w:proofErr w:type="spellStart"/>
      <w:r>
        <w:rPr>
          <w:i/>
          <w:iCs/>
          <w:sz w:val="24"/>
          <w:szCs w:val="24"/>
        </w:rPr>
        <w:t>pleuropneumoniae</w:t>
      </w:r>
      <w:proofErr w:type="spellEnd"/>
      <w:r>
        <w:rPr>
          <w:i/>
          <w:iCs/>
          <w:sz w:val="24"/>
          <w:szCs w:val="24"/>
        </w:rPr>
        <w:t xml:space="preserve">, </w:t>
      </w:r>
      <w:r>
        <w:rPr>
          <w:sz w:val="24"/>
          <w:szCs w:val="24"/>
        </w:rPr>
        <w:t xml:space="preserve">men så højt som 50-100 gange det </w:t>
      </w:r>
      <w:proofErr w:type="spellStart"/>
      <w:r>
        <w:rPr>
          <w:sz w:val="24"/>
          <w:szCs w:val="24"/>
        </w:rPr>
        <w:t>bakteriostatiske</w:t>
      </w:r>
      <w:proofErr w:type="spellEnd"/>
      <w:r>
        <w:rPr>
          <w:sz w:val="24"/>
          <w:szCs w:val="24"/>
        </w:rPr>
        <w:t xml:space="preserve"> niveau for </w:t>
      </w:r>
      <w:proofErr w:type="spellStart"/>
      <w:r>
        <w:rPr>
          <w:i/>
          <w:iCs/>
          <w:sz w:val="24"/>
          <w:szCs w:val="24"/>
        </w:rPr>
        <w:t>Staphylococcus</w:t>
      </w:r>
      <w:proofErr w:type="spellEnd"/>
      <w:r>
        <w:rPr>
          <w:i/>
          <w:iCs/>
          <w:sz w:val="24"/>
          <w:szCs w:val="24"/>
        </w:rPr>
        <w:t xml:space="preserve"> aureus.</w:t>
      </w:r>
      <w:r>
        <w:rPr>
          <w:sz w:val="24"/>
          <w:szCs w:val="24"/>
        </w:rPr>
        <w:t xml:space="preserve"> MIC-distributionen for </w:t>
      </w:r>
      <w:proofErr w:type="spellStart"/>
      <w:r>
        <w:rPr>
          <w:sz w:val="24"/>
          <w:szCs w:val="24"/>
        </w:rPr>
        <w:t>tiamulin</w:t>
      </w:r>
      <w:proofErr w:type="spellEnd"/>
      <w:r>
        <w:rPr>
          <w:sz w:val="24"/>
          <w:szCs w:val="24"/>
        </w:rPr>
        <w:t xml:space="preserve"> mod </w:t>
      </w:r>
      <w:proofErr w:type="spellStart"/>
      <w:r>
        <w:rPr>
          <w:i/>
          <w:iCs/>
          <w:sz w:val="24"/>
          <w:szCs w:val="24"/>
        </w:rPr>
        <w:t>Brachyspira</w:t>
      </w:r>
      <w:proofErr w:type="spellEnd"/>
      <w:r>
        <w:rPr>
          <w:i/>
          <w:iCs/>
          <w:sz w:val="24"/>
          <w:szCs w:val="24"/>
        </w:rPr>
        <w:t xml:space="preserve"> </w:t>
      </w:r>
      <w:proofErr w:type="spellStart"/>
      <w:r>
        <w:rPr>
          <w:i/>
          <w:iCs/>
          <w:sz w:val="24"/>
          <w:szCs w:val="24"/>
        </w:rPr>
        <w:t>hyodysenteriae</w:t>
      </w:r>
      <w:proofErr w:type="spellEnd"/>
      <w:r>
        <w:rPr>
          <w:i/>
          <w:iCs/>
          <w:sz w:val="24"/>
          <w:szCs w:val="24"/>
        </w:rPr>
        <w:t xml:space="preserve"> </w:t>
      </w:r>
      <w:r>
        <w:rPr>
          <w:sz w:val="24"/>
          <w:szCs w:val="24"/>
        </w:rPr>
        <w:t xml:space="preserve">er </w:t>
      </w:r>
      <w:proofErr w:type="spellStart"/>
      <w:r>
        <w:rPr>
          <w:sz w:val="24"/>
          <w:szCs w:val="24"/>
        </w:rPr>
        <w:t>bimodal</w:t>
      </w:r>
      <w:proofErr w:type="spellEnd"/>
      <w:r>
        <w:rPr>
          <w:sz w:val="24"/>
          <w:szCs w:val="24"/>
        </w:rPr>
        <w:t xml:space="preserve">, hvilket tyder på en nedsat </w:t>
      </w:r>
      <w:proofErr w:type="spellStart"/>
      <w:r>
        <w:rPr>
          <w:sz w:val="24"/>
          <w:szCs w:val="24"/>
        </w:rPr>
        <w:t>tiamulinfølsomhed</w:t>
      </w:r>
      <w:proofErr w:type="spellEnd"/>
      <w:r>
        <w:rPr>
          <w:sz w:val="24"/>
          <w:szCs w:val="24"/>
        </w:rPr>
        <w:t xml:space="preserve"> hos nogle stammer. Grundet tekniske begrænsninger er det svært at teste følsomheden af </w:t>
      </w:r>
      <w:proofErr w:type="spellStart"/>
      <w:r>
        <w:rPr>
          <w:i/>
          <w:iCs/>
          <w:sz w:val="24"/>
          <w:szCs w:val="24"/>
        </w:rPr>
        <w:t>Lawsonia</w:t>
      </w:r>
      <w:proofErr w:type="spellEnd"/>
      <w:r>
        <w:rPr>
          <w:i/>
          <w:iCs/>
          <w:sz w:val="24"/>
          <w:szCs w:val="24"/>
        </w:rPr>
        <w:t xml:space="preserve"> </w:t>
      </w:r>
      <w:proofErr w:type="spellStart"/>
      <w:r>
        <w:rPr>
          <w:i/>
          <w:iCs/>
          <w:sz w:val="24"/>
          <w:szCs w:val="24"/>
        </w:rPr>
        <w:t>intracellularis</w:t>
      </w:r>
      <w:proofErr w:type="spellEnd"/>
      <w:r>
        <w:rPr>
          <w:i/>
          <w:iCs/>
          <w:sz w:val="24"/>
          <w:szCs w:val="24"/>
        </w:rPr>
        <w:t xml:space="preserve"> in </w:t>
      </w:r>
      <w:proofErr w:type="spellStart"/>
      <w:r>
        <w:rPr>
          <w:i/>
          <w:iCs/>
          <w:sz w:val="24"/>
          <w:szCs w:val="24"/>
        </w:rPr>
        <w:t>vitro</w:t>
      </w:r>
      <w:proofErr w:type="spellEnd"/>
      <w:r>
        <w:rPr>
          <w:i/>
          <w:iCs/>
          <w:sz w:val="24"/>
          <w:szCs w:val="24"/>
        </w:rPr>
        <w:t>.</w:t>
      </w:r>
    </w:p>
    <w:p w14:paraId="1099552A" w14:textId="77777777" w:rsidR="009E7AAC" w:rsidRDefault="009E7AAC" w:rsidP="009E7AAC">
      <w:pPr>
        <w:ind w:left="851" w:hanging="851"/>
        <w:rPr>
          <w:sz w:val="24"/>
          <w:szCs w:val="24"/>
          <w:lang w:val="sl-SI" w:eastAsia="sl-SI"/>
        </w:rPr>
      </w:pPr>
    </w:p>
    <w:p w14:paraId="6564F443" w14:textId="77777777" w:rsidR="009E7AAC" w:rsidRDefault="009E7AAC" w:rsidP="009E7AAC">
      <w:pPr>
        <w:ind w:left="851"/>
        <w:rPr>
          <w:sz w:val="24"/>
          <w:szCs w:val="24"/>
          <w:lang w:eastAsia="da-DK"/>
        </w:rPr>
      </w:pPr>
      <w:r>
        <w:rPr>
          <w:sz w:val="24"/>
          <w:szCs w:val="24"/>
        </w:rPr>
        <w:t xml:space="preserve">Resistens mod </w:t>
      </w:r>
      <w:proofErr w:type="spellStart"/>
      <w:r>
        <w:rPr>
          <w:sz w:val="24"/>
          <w:szCs w:val="24"/>
        </w:rPr>
        <w:t>pleuromutiliner</w:t>
      </w:r>
      <w:proofErr w:type="spellEnd"/>
      <w:r>
        <w:rPr>
          <w:sz w:val="24"/>
          <w:szCs w:val="24"/>
        </w:rPr>
        <w:t xml:space="preserve"> hos </w:t>
      </w:r>
      <w:proofErr w:type="spellStart"/>
      <w:r>
        <w:rPr>
          <w:i/>
          <w:iCs/>
          <w:sz w:val="24"/>
          <w:szCs w:val="24"/>
        </w:rPr>
        <w:t>Brachyspira</w:t>
      </w:r>
      <w:proofErr w:type="spellEnd"/>
      <w:r>
        <w:rPr>
          <w:i/>
          <w:iCs/>
          <w:sz w:val="24"/>
          <w:szCs w:val="24"/>
        </w:rPr>
        <w:t xml:space="preserve"> </w:t>
      </w:r>
      <w:proofErr w:type="spellStart"/>
      <w:r>
        <w:rPr>
          <w:sz w:val="24"/>
          <w:szCs w:val="24"/>
        </w:rPr>
        <w:t>spp</w:t>
      </w:r>
      <w:proofErr w:type="spellEnd"/>
      <w:r>
        <w:rPr>
          <w:sz w:val="24"/>
          <w:szCs w:val="24"/>
        </w:rPr>
        <w:t xml:space="preserve"> er forårsaget af mutationer i bindingsstedet på ribosomet. En kombination af mutationer i </w:t>
      </w:r>
      <w:proofErr w:type="spellStart"/>
      <w:r>
        <w:rPr>
          <w:sz w:val="24"/>
          <w:szCs w:val="24"/>
        </w:rPr>
        <w:t>peptidyltransferasecenteret</w:t>
      </w:r>
      <w:proofErr w:type="spellEnd"/>
      <w:r>
        <w:rPr>
          <w:sz w:val="24"/>
          <w:szCs w:val="24"/>
        </w:rPr>
        <w:t xml:space="preserve"> er associeret med en nedsat følsomhed og er blevet karakteriseret hos </w:t>
      </w:r>
      <w:proofErr w:type="spellStart"/>
      <w:r>
        <w:rPr>
          <w:i/>
          <w:iCs/>
          <w:sz w:val="24"/>
          <w:szCs w:val="24"/>
        </w:rPr>
        <w:t>Brachyspira</w:t>
      </w:r>
      <w:proofErr w:type="spellEnd"/>
      <w:r>
        <w:rPr>
          <w:i/>
          <w:iCs/>
          <w:sz w:val="24"/>
          <w:szCs w:val="24"/>
        </w:rPr>
        <w:t xml:space="preserve"> </w:t>
      </w:r>
      <w:proofErr w:type="spellStart"/>
      <w:r>
        <w:rPr>
          <w:sz w:val="24"/>
          <w:szCs w:val="24"/>
        </w:rPr>
        <w:t>spp</w:t>
      </w:r>
      <w:proofErr w:type="spellEnd"/>
      <w:r>
        <w:rPr>
          <w:sz w:val="24"/>
          <w:szCs w:val="24"/>
        </w:rPr>
        <w:t>.</w:t>
      </w:r>
    </w:p>
    <w:p w14:paraId="2C45647A" w14:textId="77777777" w:rsidR="008203A8" w:rsidRPr="009E7AAC" w:rsidRDefault="008203A8" w:rsidP="008203A8">
      <w:pPr>
        <w:tabs>
          <w:tab w:val="left" w:pos="851"/>
        </w:tabs>
        <w:ind w:left="851"/>
        <w:rPr>
          <w:sz w:val="24"/>
          <w:szCs w:val="24"/>
        </w:rPr>
      </w:pPr>
    </w:p>
    <w:p w14:paraId="7D2C612D" w14:textId="77777777" w:rsidR="008203A8" w:rsidRPr="00406EE7" w:rsidRDefault="008203A8" w:rsidP="008203A8">
      <w:pPr>
        <w:tabs>
          <w:tab w:val="left" w:pos="851"/>
        </w:tabs>
        <w:ind w:left="851" w:hanging="851"/>
        <w:rPr>
          <w:b/>
          <w:sz w:val="24"/>
          <w:szCs w:val="24"/>
        </w:rPr>
      </w:pPr>
      <w:r w:rsidRPr="009E7AAC">
        <w:rPr>
          <w:b/>
          <w:sz w:val="24"/>
          <w:szCs w:val="24"/>
        </w:rPr>
        <w:t>4.3</w:t>
      </w:r>
      <w:r w:rsidRPr="009E7AAC">
        <w:rPr>
          <w:b/>
          <w:sz w:val="24"/>
          <w:szCs w:val="24"/>
        </w:rPr>
        <w:tab/>
      </w:r>
      <w:proofErr w:type="spellStart"/>
      <w:r w:rsidRPr="009E7AAC">
        <w:rPr>
          <w:b/>
          <w:sz w:val="24"/>
          <w:szCs w:val="24"/>
        </w:rPr>
        <w:t>Farmakokinetiske</w:t>
      </w:r>
      <w:proofErr w:type="spellEnd"/>
      <w:r w:rsidRPr="009E7AAC">
        <w:rPr>
          <w:b/>
          <w:sz w:val="24"/>
          <w:szCs w:val="24"/>
        </w:rPr>
        <w:t xml:space="preserve"> oplysninger</w:t>
      </w:r>
    </w:p>
    <w:p w14:paraId="37A0CDE4" w14:textId="77777777" w:rsidR="009E7AAC" w:rsidRDefault="009E7AAC" w:rsidP="009E7AAC">
      <w:pPr>
        <w:autoSpaceDE w:val="0"/>
        <w:autoSpaceDN w:val="0"/>
        <w:adjustRightInd w:val="0"/>
        <w:ind w:left="851"/>
        <w:rPr>
          <w:sz w:val="24"/>
          <w:szCs w:val="24"/>
        </w:rPr>
      </w:pPr>
      <w:proofErr w:type="spellStart"/>
      <w:r>
        <w:rPr>
          <w:sz w:val="24"/>
          <w:szCs w:val="24"/>
        </w:rPr>
        <w:t>Tiamulinhydrogenfumarat</w:t>
      </w:r>
      <w:proofErr w:type="spellEnd"/>
      <w:r>
        <w:rPr>
          <w:sz w:val="24"/>
          <w:szCs w:val="24"/>
        </w:rPr>
        <w:t xml:space="preserve"> absorberes godt hos svin (over 90 %) efter oral administration og distribueres bredt i kroppen. Efter en enkelt oral dosis på 10 mg og 25 mg </w:t>
      </w:r>
      <w:proofErr w:type="spellStart"/>
      <w:r>
        <w:rPr>
          <w:sz w:val="24"/>
          <w:szCs w:val="24"/>
        </w:rPr>
        <w:t>tiamulinhydrogenfumarat</w:t>
      </w:r>
      <w:proofErr w:type="spellEnd"/>
      <w:r>
        <w:rPr>
          <w:sz w:val="24"/>
          <w:szCs w:val="24"/>
        </w:rPr>
        <w:t xml:space="preserve">/kg kropsvægt var </w:t>
      </w:r>
      <w:proofErr w:type="spellStart"/>
      <w:r>
        <w:rPr>
          <w:sz w:val="24"/>
          <w:szCs w:val="24"/>
        </w:rPr>
        <w:t>C</w:t>
      </w:r>
      <w:r>
        <w:rPr>
          <w:sz w:val="24"/>
          <w:szCs w:val="24"/>
          <w:vertAlign w:val="subscript"/>
        </w:rPr>
        <w:t>max</w:t>
      </w:r>
      <w:proofErr w:type="spellEnd"/>
      <w:r>
        <w:rPr>
          <w:sz w:val="24"/>
          <w:szCs w:val="24"/>
        </w:rPr>
        <w:t xml:space="preserve"> hhv. 1,03 </w:t>
      </w:r>
      <w:proofErr w:type="spellStart"/>
      <w:r>
        <w:rPr>
          <w:sz w:val="24"/>
          <w:szCs w:val="24"/>
        </w:rPr>
        <w:t>μg</w:t>
      </w:r>
      <w:proofErr w:type="spellEnd"/>
      <w:r>
        <w:rPr>
          <w:sz w:val="24"/>
          <w:szCs w:val="24"/>
        </w:rPr>
        <w:t>/ml og 1,82 </w:t>
      </w:r>
      <w:proofErr w:type="spellStart"/>
      <w:r>
        <w:rPr>
          <w:sz w:val="24"/>
          <w:szCs w:val="24"/>
        </w:rPr>
        <w:t>μg</w:t>
      </w:r>
      <w:proofErr w:type="spellEnd"/>
      <w:r>
        <w:rPr>
          <w:sz w:val="24"/>
          <w:szCs w:val="24"/>
        </w:rPr>
        <w:t xml:space="preserve">/ml i serum målt ved mikrobiologisk </w:t>
      </w:r>
      <w:proofErr w:type="spellStart"/>
      <w:r>
        <w:rPr>
          <w:sz w:val="24"/>
          <w:szCs w:val="24"/>
        </w:rPr>
        <w:t>assay</w:t>
      </w:r>
      <w:proofErr w:type="spellEnd"/>
      <w:r>
        <w:rPr>
          <w:sz w:val="24"/>
          <w:szCs w:val="24"/>
        </w:rPr>
        <w:t xml:space="preserve"> og for begge var </w:t>
      </w:r>
      <w:proofErr w:type="spellStart"/>
      <w:r>
        <w:rPr>
          <w:sz w:val="24"/>
          <w:szCs w:val="24"/>
        </w:rPr>
        <w:t>T</w:t>
      </w:r>
      <w:r>
        <w:rPr>
          <w:sz w:val="24"/>
          <w:szCs w:val="24"/>
          <w:vertAlign w:val="subscript"/>
        </w:rPr>
        <w:t>max</w:t>
      </w:r>
      <w:proofErr w:type="spellEnd"/>
      <w:r>
        <w:rPr>
          <w:sz w:val="24"/>
          <w:szCs w:val="24"/>
        </w:rPr>
        <w:t xml:space="preserve"> 2 timer. Det er blevet vist at koncentrere sig i lungen, </w:t>
      </w:r>
      <w:proofErr w:type="spellStart"/>
      <w:r>
        <w:rPr>
          <w:sz w:val="24"/>
          <w:szCs w:val="24"/>
        </w:rPr>
        <w:t>polymorfonukleære</w:t>
      </w:r>
      <w:proofErr w:type="spellEnd"/>
      <w:r>
        <w:rPr>
          <w:sz w:val="24"/>
          <w:szCs w:val="24"/>
        </w:rPr>
        <w:t xml:space="preserve"> leukocytter og også i leveren, hvor det </w:t>
      </w:r>
      <w:proofErr w:type="spellStart"/>
      <w:r>
        <w:rPr>
          <w:sz w:val="24"/>
          <w:szCs w:val="24"/>
        </w:rPr>
        <w:t>metaboliseres</w:t>
      </w:r>
      <w:proofErr w:type="spellEnd"/>
      <w:r>
        <w:rPr>
          <w:sz w:val="24"/>
          <w:szCs w:val="24"/>
        </w:rPr>
        <w:t xml:space="preserve"> og udskilles (70-85 %) i galden. Resten udskilles via nyrerne (15-30 %). Serumproteinbindingen er ca. 30 %. </w:t>
      </w:r>
      <w:proofErr w:type="spellStart"/>
      <w:r>
        <w:rPr>
          <w:sz w:val="24"/>
          <w:szCs w:val="24"/>
        </w:rPr>
        <w:t>Tiamulin</w:t>
      </w:r>
      <w:proofErr w:type="spellEnd"/>
      <w:r>
        <w:rPr>
          <w:sz w:val="24"/>
          <w:szCs w:val="24"/>
        </w:rPr>
        <w:t xml:space="preserve">, der ikke absorberes eller </w:t>
      </w:r>
      <w:proofErr w:type="spellStart"/>
      <w:r>
        <w:rPr>
          <w:sz w:val="24"/>
          <w:szCs w:val="24"/>
        </w:rPr>
        <w:t>metaboliseres</w:t>
      </w:r>
      <w:proofErr w:type="spellEnd"/>
      <w:r>
        <w:rPr>
          <w:sz w:val="24"/>
          <w:szCs w:val="24"/>
        </w:rPr>
        <w:t xml:space="preserve">, passerer gennem tarmene til </w:t>
      </w:r>
      <w:proofErr w:type="spellStart"/>
      <w:r>
        <w:rPr>
          <w:sz w:val="24"/>
          <w:szCs w:val="24"/>
        </w:rPr>
        <w:t>colon</w:t>
      </w:r>
      <w:proofErr w:type="spellEnd"/>
      <w:r>
        <w:rPr>
          <w:sz w:val="24"/>
          <w:szCs w:val="24"/>
        </w:rPr>
        <w:t xml:space="preserve">. Koncentrationer af </w:t>
      </w:r>
      <w:proofErr w:type="spellStart"/>
      <w:r>
        <w:rPr>
          <w:sz w:val="24"/>
          <w:szCs w:val="24"/>
        </w:rPr>
        <w:t>tiamulin</w:t>
      </w:r>
      <w:proofErr w:type="spellEnd"/>
      <w:r>
        <w:rPr>
          <w:sz w:val="24"/>
          <w:szCs w:val="24"/>
        </w:rPr>
        <w:t xml:space="preserve"> i </w:t>
      </w:r>
      <w:proofErr w:type="spellStart"/>
      <w:r>
        <w:rPr>
          <w:sz w:val="24"/>
          <w:szCs w:val="24"/>
        </w:rPr>
        <w:t>colonindhold</w:t>
      </w:r>
      <w:proofErr w:type="spellEnd"/>
      <w:r>
        <w:rPr>
          <w:sz w:val="24"/>
          <w:szCs w:val="24"/>
        </w:rPr>
        <w:t xml:space="preserve"> er blevet estimeret til 3,41 </w:t>
      </w:r>
      <w:proofErr w:type="spellStart"/>
      <w:r>
        <w:rPr>
          <w:sz w:val="24"/>
          <w:szCs w:val="24"/>
        </w:rPr>
        <w:t>μg</w:t>
      </w:r>
      <w:proofErr w:type="spellEnd"/>
      <w:r>
        <w:rPr>
          <w:sz w:val="24"/>
          <w:szCs w:val="24"/>
        </w:rPr>
        <w:t xml:space="preserve">/ml efter administration af 8,8 mg </w:t>
      </w:r>
      <w:proofErr w:type="spellStart"/>
      <w:r>
        <w:rPr>
          <w:sz w:val="24"/>
          <w:szCs w:val="24"/>
        </w:rPr>
        <w:t>tiamulinhydrogenfumarat</w:t>
      </w:r>
      <w:proofErr w:type="spellEnd"/>
      <w:r>
        <w:rPr>
          <w:sz w:val="24"/>
          <w:szCs w:val="24"/>
        </w:rPr>
        <w:t xml:space="preserve">/kg kropsvægt. </w:t>
      </w:r>
    </w:p>
    <w:p w14:paraId="4B97EF24" w14:textId="77777777" w:rsidR="008203A8" w:rsidRPr="00406EE7" w:rsidRDefault="008203A8" w:rsidP="008203A8">
      <w:pPr>
        <w:tabs>
          <w:tab w:val="left" w:pos="851"/>
        </w:tabs>
        <w:ind w:left="851"/>
        <w:rPr>
          <w:sz w:val="24"/>
          <w:szCs w:val="24"/>
        </w:rPr>
      </w:pPr>
    </w:p>
    <w:p w14:paraId="1EBE21BB" w14:textId="77777777" w:rsidR="008203A8" w:rsidRPr="00406EE7" w:rsidRDefault="008203A8" w:rsidP="00DE425F">
      <w:pPr>
        <w:ind w:firstLine="851"/>
        <w:rPr>
          <w:b/>
          <w:sz w:val="24"/>
          <w:szCs w:val="24"/>
        </w:rPr>
      </w:pPr>
      <w:r w:rsidRPr="00406EE7">
        <w:rPr>
          <w:b/>
          <w:sz w:val="24"/>
          <w:szCs w:val="24"/>
        </w:rPr>
        <w:t>Milj</w:t>
      </w:r>
      <w:r>
        <w:rPr>
          <w:b/>
          <w:sz w:val="24"/>
          <w:szCs w:val="24"/>
        </w:rPr>
        <w:t>øoplysninger</w:t>
      </w:r>
    </w:p>
    <w:p w14:paraId="289110D1" w14:textId="77777777" w:rsidR="009E7AAC" w:rsidRDefault="009E7AAC" w:rsidP="009E7AAC">
      <w:pPr>
        <w:ind w:left="851"/>
        <w:rPr>
          <w:sz w:val="24"/>
          <w:szCs w:val="24"/>
          <w:lang w:eastAsia="da-DK"/>
        </w:rPr>
      </w:pPr>
      <w:proofErr w:type="spellStart"/>
      <w:r>
        <w:rPr>
          <w:sz w:val="24"/>
          <w:szCs w:val="24"/>
        </w:rPr>
        <w:t>Tiamulinhydrogenfumarat</w:t>
      </w:r>
      <w:proofErr w:type="spellEnd"/>
      <w:r>
        <w:rPr>
          <w:sz w:val="24"/>
          <w:szCs w:val="24"/>
        </w:rPr>
        <w:t xml:space="preserve"> er meget </w:t>
      </w:r>
      <w:proofErr w:type="spellStart"/>
      <w:r>
        <w:rPr>
          <w:sz w:val="24"/>
          <w:szCs w:val="24"/>
        </w:rPr>
        <w:t>persistent</w:t>
      </w:r>
      <w:proofErr w:type="spellEnd"/>
      <w:r>
        <w:rPr>
          <w:sz w:val="24"/>
          <w:szCs w:val="24"/>
        </w:rPr>
        <w:t xml:space="preserve"> i jord.</w:t>
      </w:r>
    </w:p>
    <w:p w14:paraId="603EE655" w14:textId="77777777" w:rsidR="009E7AAC" w:rsidRDefault="009E7AAC" w:rsidP="009E7AAC">
      <w:pPr>
        <w:ind w:left="851"/>
        <w:rPr>
          <w:sz w:val="24"/>
          <w:szCs w:val="24"/>
        </w:rPr>
      </w:pPr>
      <w:proofErr w:type="spellStart"/>
      <w:r>
        <w:rPr>
          <w:sz w:val="24"/>
          <w:szCs w:val="24"/>
          <w:u w:val="single"/>
        </w:rPr>
        <w:t>Tiamulin</w:t>
      </w:r>
      <w:proofErr w:type="spellEnd"/>
      <w:r>
        <w:rPr>
          <w:sz w:val="24"/>
          <w:szCs w:val="24"/>
          <w:u w:val="single"/>
        </w:rPr>
        <w:t xml:space="preserve"> kan være giftig for planter og alger</w:t>
      </w:r>
      <w:r>
        <w:rPr>
          <w:sz w:val="24"/>
          <w:szCs w:val="24"/>
        </w:rPr>
        <w:t>.</w:t>
      </w:r>
    </w:p>
    <w:p w14:paraId="25A96451" w14:textId="77777777" w:rsidR="008203A8" w:rsidRPr="00406EE7" w:rsidRDefault="008203A8" w:rsidP="008203A8">
      <w:pPr>
        <w:ind w:left="851"/>
        <w:rPr>
          <w:sz w:val="24"/>
          <w:szCs w:val="24"/>
        </w:rPr>
      </w:pPr>
    </w:p>
    <w:p w14:paraId="6E7A47F9" w14:textId="77777777" w:rsidR="008203A8" w:rsidRPr="00406EE7" w:rsidRDefault="008203A8" w:rsidP="008203A8">
      <w:pPr>
        <w:tabs>
          <w:tab w:val="left" w:pos="851"/>
        </w:tabs>
        <w:ind w:left="851"/>
        <w:rPr>
          <w:sz w:val="24"/>
          <w:szCs w:val="24"/>
        </w:rPr>
      </w:pPr>
    </w:p>
    <w:p w14:paraId="6427FF6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6D7E44F8" w14:textId="77777777" w:rsidR="008203A8" w:rsidRPr="00406EE7" w:rsidRDefault="008203A8" w:rsidP="008203A8">
      <w:pPr>
        <w:tabs>
          <w:tab w:val="left" w:pos="851"/>
        </w:tabs>
        <w:ind w:left="851"/>
        <w:rPr>
          <w:sz w:val="24"/>
          <w:szCs w:val="24"/>
        </w:rPr>
      </w:pPr>
    </w:p>
    <w:p w14:paraId="2028D887"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A078563" w14:textId="42291A41" w:rsidR="008203A8" w:rsidRPr="00406EE7" w:rsidRDefault="00DE425F" w:rsidP="008203A8">
      <w:pPr>
        <w:tabs>
          <w:tab w:val="left" w:pos="851"/>
        </w:tabs>
        <w:ind w:left="851"/>
        <w:rPr>
          <w:sz w:val="24"/>
          <w:szCs w:val="24"/>
        </w:rPr>
      </w:pPr>
      <w:r>
        <w:rPr>
          <w:sz w:val="24"/>
          <w:szCs w:val="24"/>
        </w:rPr>
        <w:t>Da der ikke foreligger undersøgelser vedrørende eventuelle uforligeligheder, bør dette veterinærlægemiddel ikke blandes med andre veterinærlægemidler.</w:t>
      </w:r>
    </w:p>
    <w:p w14:paraId="6D9518B4" w14:textId="77777777" w:rsidR="008203A8" w:rsidRPr="00406EE7" w:rsidRDefault="008203A8" w:rsidP="008203A8">
      <w:pPr>
        <w:tabs>
          <w:tab w:val="left" w:pos="851"/>
        </w:tabs>
        <w:ind w:left="851"/>
        <w:rPr>
          <w:sz w:val="24"/>
          <w:szCs w:val="24"/>
        </w:rPr>
      </w:pPr>
    </w:p>
    <w:p w14:paraId="0BE1A742"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78FB2B1B" w14:textId="77777777" w:rsidR="00DE425F" w:rsidRDefault="00DE425F" w:rsidP="00DE425F">
      <w:pPr>
        <w:ind w:left="851"/>
        <w:rPr>
          <w:sz w:val="24"/>
          <w:szCs w:val="24"/>
          <w:lang w:eastAsia="da-DK"/>
        </w:rPr>
      </w:pPr>
      <w:r>
        <w:rPr>
          <w:sz w:val="24"/>
          <w:szCs w:val="24"/>
        </w:rPr>
        <w:t>Opbevaringstid for veterinærlægemidlet i salgspakning: 3 år.</w:t>
      </w:r>
    </w:p>
    <w:p w14:paraId="56B1A9E3" w14:textId="77777777" w:rsidR="00DE425F" w:rsidRDefault="00DE425F" w:rsidP="00DE425F">
      <w:pPr>
        <w:ind w:left="851"/>
        <w:rPr>
          <w:sz w:val="24"/>
          <w:szCs w:val="24"/>
        </w:rPr>
      </w:pPr>
      <w:r>
        <w:rPr>
          <w:sz w:val="24"/>
          <w:szCs w:val="24"/>
        </w:rPr>
        <w:t>Opbevaringstid efter første åbning af den indre emballage: 4 måneder.</w:t>
      </w:r>
    </w:p>
    <w:p w14:paraId="78CF45B3" w14:textId="77777777" w:rsidR="00DE425F" w:rsidRDefault="00DE425F" w:rsidP="00DE425F">
      <w:pPr>
        <w:ind w:firstLine="851"/>
        <w:rPr>
          <w:sz w:val="24"/>
          <w:szCs w:val="24"/>
          <w:lang w:eastAsia="da-DK"/>
        </w:rPr>
      </w:pPr>
      <w:r>
        <w:rPr>
          <w:sz w:val="24"/>
          <w:szCs w:val="24"/>
        </w:rPr>
        <w:t>Opbevaringstid efter fortynding ifølge anvisning: 24</w:t>
      </w:r>
      <w:r>
        <w:t> </w:t>
      </w:r>
      <w:r>
        <w:rPr>
          <w:sz w:val="24"/>
          <w:szCs w:val="24"/>
        </w:rPr>
        <w:t>timer.</w:t>
      </w:r>
      <w:r>
        <w:rPr>
          <w:sz w:val="24"/>
          <w:szCs w:val="24"/>
          <w:lang w:eastAsia="da-DK"/>
        </w:rPr>
        <w:t xml:space="preserve"> </w:t>
      </w:r>
    </w:p>
    <w:p w14:paraId="509C002D" w14:textId="77777777" w:rsidR="008203A8" w:rsidRPr="00406EE7" w:rsidRDefault="008203A8" w:rsidP="008203A8">
      <w:pPr>
        <w:tabs>
          <w:tab w:val="left" w:pos="851"/>
        </w:tabs>
        <w:ind w:left="851"/>
        <w:rPr>
          <w:sz w:val="24"/>
          <w:szCs w:val="24"/>
        </w:rPr>
      </w:pPr>
    </w:p>
    <w:p w14:paraId="0BBFA17B"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3BCAEEF6" w14:textId="77777777" w:rsidR="00DE425F" w:rsidRDefault="00DE425F" w:rsidP="00DE425F">
      <w:pPr>
        <w:ind w:left="851"/>
        <w:rPr>
          <w:sz w:val="24"/>
          <w:szCs w:val="24"/>
          <w:lang w:eastAsia="da-DK"/>
        </w:rPr>
      </w:pPr>
      <w:r>
        <w:rPr>
          <w:sz w:val="24"/>
          <w:szCs w:val="24"/>
        </w:rPr>
        <w:t>Der er ingen særlige krav vedrørende opbevaringsforhold for dette veterinærlægemiddel.</w:t>
      </w:r>
    </w:p>
    <w:p w14:paraId="733E17ED" w14:textId="77777777" w:rsidR="00DE425F" w:rsidRDefault="00DE425F" w:rsidP="00DE425F">
      <w:pPr>
        <w:ind w:left="851"/>
        <w:rPr>
          <w:sz w:val="24"/>
          <w:szCs w:val="24"/>
        </w:rPr>
      </w:pPr>
    </w:p>
    <w:p w14:paraId="3028D7A9" w14:textId="77777777" w:rsidR="00DE425F" w:rsidRDefault="00DE425F" w:rsidP="00DE425F">
      <w:pPr>
        <w:ind w:left="851"/>
        <w:rPr>
          <w:sz w:val="24"/>
          <w:szCs w:val="24"/>
        </w:rPr>
      </w:pPr>
      <w:r>
        <w:rPr>
          <w:sz w:val="24"/>
          <w:szCs w:val="24"/>
        </w:rPr>
        <w:t xml:space="preserve">Efter første åbning: Må ikke opbevares over 25 ºC. </w:t>
      </w:r>
    </w:p>
    <w:p w14:paraId="29E62BEA" w14:textId="77777777" w:rsidR="00DE425F" w:rsidRDefault="00DE425F" w:rsidP="00DE425F">
      <w:pPr>
        <w:ind w:left="851"/>
        <w:rPr>
          <w:sz w:val="24"/>
          <w:szCs w:val="24"/>
        </w:rPr>
      </w:pPr>
      <w:r>
        <w:rPr>
          <w:sz w:val="24"/>
          <w:szCs w:val="24"/>
        </w:rPr>
        <w:t>Hold originalposen tæt lukket efter første åbning.</w:t>
      </w:r>
    </w:p>
    <w:p w14:paraId="7E2F685A" w14:textId="77777777" w:rsidR="00DE425F" w:rsidRDefault="00DE425F" w:rsidP="00DE425F">
      <w:pPr>
        <w:ind w:left="851"/>
        <w:rPr>
          <w:sz w:val="24"/>
          <w:szCs w:val="24"/>
        </w:rPr>
      </w:pPr>
    </w:p>
    <w:p w14:paraId="7BC3354F" w14:textId="77777777" w:rsidR="00DE425F" w:rsidRDefault="00DE425F" w:rsidP="00DE425F">
      <w:pPr>
        <w:ind w:left="851"/>
        <w:rPr>
          <w:sz w:val="24"/>
          <w:szCs w:val="24"/>
        </w:rPr>
      </w:pPr>
      <w:r>
        <w:rPr>
          <w:sz w:val="24"/>
          <w:szCs w:val="24"/>
        </w:rPr>
        <w:t>Efter opløsning i vand: Opbevares ved temperaturer under 25 ºC.</w:t>
      </w:r>
    </w:p>
    <w:p w14:paraId="6889C500" w14:textId="77777777" w:rsidR="008203A8" w:rsidRPr="00406EE7" w:rsidRDefault="008203A8" w:rsidP="008203A8">
      <w:pPr>
        <w:tabs>
          <w:tab w:val="left" w:pos="851"/>
        </w:tabs>
        <w:ind w:left="851"/>
        <w:rPr>
          <w:sz w:val="24"/>
          <w:szCs w:val="24"/>
        </w:rPr>
      </w:pPr>
    </w:p>
    <w:p w14:paraId="08578DAF"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2596E7EE" w14:textId="77777777" w:rsidR="00DE425F" w:rsidRDefault="00DE425F" w:rsidP="00DE425F">
      <w:pPr>
        <w:ind w:left="851"/>
        <w:rPr>
          <w:sz w:val="24"/>
          <w:szCs w:val="24"/>
        </w:rPr>
      </w:pPr>
      <w:r>
        <w:rPr>
          <w:sz w:val="24"/>
          <w:szCs w:val="24"/>
        </w:rPr>
        <w:t>Lavdensitets-aluminium-</w:t>
      </w:r>
      <w:proofErr w:type="spellStart"/>
      <w:r>
        <w:rPr>
          <w:sz w:val="24"/>
          <w:szCs w:val="24"/>
        </w:rPr>
        <w:t>polyetylenterephtalatlaminerede</w:t>
      </w:r>
      <w:proofErr w:type="spellEnd"/>
      <w:r>
        <w:rPr>
          <w:sz w:val="24"/>
          <w:szCs w:val="24"/>
        </w:rPr>
        <w:t xml:space="preserve"> poser.</w:t>
      </w:r>
    </w:p>
    <w:p w14:paraId="294C669C" w14:textId="77777777" w:rsidR="00DE425F" w:rsidRDefault="00DE425F" w:rsidP="00DE425F">
      <w:pPr>
        <w:ind w:left="851"/>
        <w:rPr>
          <w:sz w:val="24"/>
          <w:szCs w:val="24"/>
          <w:lang w:eastAsia="da-DK"/>
        </w:rPr>
      </w:pPr>
      <w:r>
        <w:rPr>
          <w:sz w:val="24"/>
          <w:szCs w:val="24"/>
        </w:rPr>
        <w:t>Pakningsstørrelser: 1 kg eller 5 kg granulat.</w:t>
      </w:r>
    </w:p>
    <w:p w14:paraId="73093DA5" w14:textId="77777777" w:rsidR="00DE425F" w:rsidRDefault="00DE425F" w:rsidP="00DE425F">
      <w:pPr>
        <w:ind w:left="851" w:hanging="851"/>
        <w:rPr>
          <w:sz w:val="24"/>
          <w:szCs w:val="24"/>
        </w:rPr>
      </w:pPr>
    </w:p>
    <w:p w14:paraId="448ECE04" w14:textId="77777777" w:rsidR="00DE425F" w:rsidRDefault="00DE425F" w:rsidP="00DE425F">
      <w:pPr>
        <w:ind w:left="851"/>
        <w:rPr>
          <w:sz w:val="24"/>
          <w:szCs w:val="24"/>
        </w:rPr>
      </w:pPr>
      <w:r>
        <w:rPr>
          <w:sz w:val="24"/>
          <w:szCs w:val="24"/>
        </w:rPr>
        <w:t>Ikke alle pakningsstørrelser er nødvendigvis markedsført.</w:t>
      </w:r>
    </w:p>
    <w:p w14:paraId="23A781D8" w14:textId="77777777" w:rsidR="008203A8" w:rsidRPr="00406EE7" w:rsidRDefault="008203A8" w:rsidP="008203A8">
      <w:pPr>
        <w:tabs>
          <w:tab w:val="left" w:pos="851"/>
        </w:tabs>
        <w:ind w:left="851"/>
        <w:rPr>
          <w:sz w:val="24"/>
          <w:szCs w:val="24"/>
        </w:rPr>
      </w:pPr>
    </w:p>
    <w:p w14:paraId="6C2CF815"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54DC3D4B" w14:textId="77777777" w:rsidR="00DE425F" w:rsidRDefault="00DE425F" w:rsidP="00DE425F">
      <w:pPr>
        <w:ind w:left="851"/>
        <w:rPr>
          <w:sz w:val="24"/>
          <w:szCs w:val="24"/>
        </w:rPr>
      </w:pPr>
      <w:r>
        <w:rPr>
          <w:sz w:val="24"/>
          <w:szCs w:val="24"/>
        </w:rPr>
        <w:t>Lægemidler må ikke bortskaffes sammen med spildevand eller husholdningsaffald.</w:t>
      </w:r>
    </w:p>
    <w:p w14:paraId="20283E97" w14:textId="77777777" w:rsidR="00DE425F" w:rsidRDefault="00DE425F" w:rsidP="00DE425F">
      <w:pPr>
        <w:ind w:left="851"/>
        <w:rPr>
          <w:sz w:val="24"/>
          <w:szCs w:val="24"/>
        </w:rPr>
      </w:pPr>
    </w:p>
    <w:p w14:paraId="42F5E040" w14:textId="77777777" w:rsidR="00DE425F" w:rsidRDefault="00DE425F" w:rsidP="00DE425F">
      <w:pPr>
        <w:ind w:left="851"/>
        <w:rPr>
          <w:i/>
          <w:sz w:val="24"/>
          <w:szCs w:val="24"/>
          <w:lang w:eastAsia="da-DK"/>
        </w:rPr>
      </w:pPr>
      <w:r>
        <w:rPr>
          <w:sz w:val="24"/>
          <w:szCs w:val="24"/>
        </w:rPr>
        <w:t>Benyt returordninger ved bortskaffelse af ubrugte veterinærlægemidler eller affaldsmaterialer heraf i henhold til lokale retningslinjer og nationale indsamlingsordninger, der er relevante for det pågældende veterinærlægemiddel.</w:t>
      </w:r>
    </w:p>
    <w:p w14:paraId="7FA1498A" w14:textId="77777777" w:rsidR="008203A8" w:rsidRDefault="008203A8" w:rsidP="008203A8">
      <w:pPr>
        <w:tabs>
          <w:tab w:val="left" w:pos="851"/>
        </w:tabs>
        <w:ind w:left="851"/>
        <w:rPr>
          <w:sz w:val="24"/>
          <w:szCs w:val="24"/>
        </w:rPr>
      </w:pPr>
    </w:p>
    <w:p w14:paraId="698F2F10" w14:textId="77777777" w:rsidR="008203A8" w:rsidRPr="00070728" w:rsidRDefault="008203A8" w:rsidP="008203A8">
      <w:pPr>
        <w:tabs>
          <w:tab w:val="left" w:pos="851"/>
        </w:tabs>
        <w:ind w:left="851"/>
        <w:rPr>
          <w:sz w:val="24"/>
          <w:szCs w:val="24"/>
        </w:rPr>
      </w:pPr>
    </w:p>
    <w:p w14:paraId="350D6370"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7ABC5737" w14:textId="77777777" w:rsidR="009E7AAC" w:rsidRDefault="009E7AAC" w:rsidP="009E7AAC">
      <w:pPr>
        <w:ind w:left="851"/>
        <w:rPr>
          <w:sz w:val="24"/>
          <w:szCs w:val="24"/>
          <w:lang w:eastAsia="da-DK"/>
        </w:rPr>
      </w:pPr>
      <w:r>
        <w:rPr>
          <w:sz w:val="24"/>
          <w:szCs w:val="24"/>
        </w:rPr>
        <w:t xml:space="preserve">KRKA, d.d., Novo </w:t>
      </w:r>
      <w:proofErr w:type="spellStart"/>
      <w:r>
        <w:rPr>
          <w:sz w:val="24"/>
          <w:szCs w:val="24"/>
        </w:rPr>
        <w:t>mesto</w:t>
      </w:r>
      <w:proofErr w:type="spellEnd"/>
    </w:p>
    <w:p w14:paraId="266AD6F0" w14:textId="77777777" w:rsidR="009E7AAC" w:rsidRDefault="009E7AAC" w:rsidP="009E7AAC">
      <w:pPr>
        <w:ind w:left="851"/>
        <w:rPr>
          <w:sz w:val="24"/>
          <w:szCs w:val="24"/>
        </w:rPr>
      </w:pPr>
      <w:proofErr w:type="spellStart"/>
      <w:r>
        <w:rPr>
          <w:sz w:val="24"/>
          <w:szCs w:val="24"/>
        </w:rPr>
        <w:t>Šmarješka</w:t>
      </w:r>
      <w:proofErr w:type="spellEnd"/>
      <w:r>
        <w:rPr>
          <w:sz w:val="24"/>
          <w:szCs w:val="24"/>
        </w:rPr>
        <w:t xml:space="preserve"> </w:t>
      </w:r>
      <w:proofErr w:type="spellStart"/>
      <w:r>
        <w:rPr>
          <w:sz w:val="24"/>
          <w:szCs w:val="24"/>
        </w:rPr>
        <w:t>cesta</w:t>
      </w:r>
      <w:proofErr w:type="spellEnd"/>
      <w:r>
        <w:rPr>
          <w:sz w:val="24"/>
          <w:szCs w:val="24"/>
        </w:rPr>
        <w:t xml:space="preserve"> 6</w:t>
      </w:r>
    </w:p>
    <w:p w14:paraId="6BC475B3" w14:textId="77777777" w:rsidR="009E7AAC" w:rsidRDefault="009E7AAC" w:rsidP="009E7AAC">
      <w:pPr>
        <w:ind w:left="851"/>
        <w:rPr>
          <w:sz w:val="24"/>
          <w:szCs w:val="24"/>
        </w:rPr>
      </w:pPr>
      <w:r>
        <w:rPr>
          <w:sz w:val="24"/>
          <w:szCs w:val="24"/>
        </w:rPr>
        <w:t xml:space="preserve">8501 Novo </w:t>
      </w:r>
      <w:proofErr w:type="spellStart"/>
      <w:r>
        <w:rPr>
          <w:sz w:val="24"/>
          <w:szCs w:val="24"/>
        </w:rPr>
        <w:t>mesto</w:t>
      </w:r>
      <w:proofErr w:type="spellEnd"/>
    </w:p>
    <w:p w14:paraId="69926CB1" w14:textId="6AE43CED" w:rsidR="008203A8" w:rsidRPr="00406EE7" w:rsidRDefault="009E7AAC" w:rsidP="009E7AAC">
      <w:pPr>
        <w:tabs>
          <w:tab w:val="left" w:pos="851"/>
        </w:tabs>
        <w:ind w:left="851"/>
        <w:rPr>
          <w:sz w:val="24"/>
          <w:szCs w:val="24"/>
        </w:rPr>
      </w:pPr>
      <w:r>
        <w:rPr>
          <w:sz w:val="24"/>
          <w:szCs w:val="24"/>
        </w:rPr>
        <w:t>Slovenien</w:t>
      </w:r>
    </w:p>
    <w:p w14:paraId="3160A8A7" w14:textId="77777777" w:rsidR="008203A8" w:rsidRPr="00406EE7" w:rsidRDefault="008203A8" w:rsidP="008203A8">
      <w:pPr>
        <w:tabs>
          <w:tab w:val="left" w:pos="851"/>
        </w:tabs>
        <w:ind w:left="851"/>
        <w:rPr>
          <w:sz w:val="24"/>
          <w:szCs w:val="24"/>
        </w:rPr>
      </w:pPr>
    </w:p>
    <w:p w14:paraId="6432ED27"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10C0CCE2" w14:textId="3076EBC9" w:rsidR="008203A8" w:rsidRPr="00406EE7" w:rsidRDefault="009E7AAC" w:rsidP="008203A8">
      <w:pPr>
        <w:tabs>
          <w:tab w:val="left" w:pos="851"/>
        </w:tabs>
        <w:ind w:left="851"/>
        <w:rPr>
          <w:sz w:val="24"/>
          <w:szCs w:val="24"/>
        </w:rPr>
      </w:pPr>
      <w:r>
        <w:rPr>
          <w:sz w:val="24"/>
          <w:szCs w:val="24"/>
        </w:rPr>
        <w:t>55685</w:t>
      </w:r>
    </w:p>
    <w:p w14:paraId="4F80BA2A" w14:textId="77777777" w:rsidR="008203A8" w:rsidRPr="00406EE7" w:rsidRDefault="008203A8" w:rsidP="008203A8">
      <w:pPr>
        <w:tabs>
          <w:tab w:val="left" w:pos="851"/>
        </w:tabs>
        <w:ind w:left="851"/>
        <w:rPr>
          <w:sz w:val="24"/>
          <w:szCs w:val="24"/>
        </w:rPr>
      </w:pPr>
    </w:p>
    <w:p w14:paraId="1872C2B7"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05A497B6" w14:textId="7546CBDB" w:rsidR="008203A8" w:rsidRPr="00406EE7" w:rsidRDefault="009E7AAC" w:rsidP="008203A8">
      <w:pPr>
        <w:tabs>
          <w:tab w:val="left" w:pos="851"/>
        </w:tabs>
        <w:ind w:left="851"/>
        <w:rPr>
          <w:sz w:val="24"/>
          <w:szCs w:val="24"/>
        </w:rPr>
      </w:pPr>
      <w:r w:rsidRPr="009E7AAC">
        <w:rPr>
          <w:sz w:val="24"/>
          <w:szCs w:val="24"/>
        </w:rPr>
        <w:t>29. juni 2018</w:t>
      </w:r>
    </w:p>
    <w:p w14:paraId="165CE18F" w14:textId="77777777" w:rsidR="008203A8" w:rsidRPr="00406EE7" w:rsidRDefault="008203A8" w:rsidP="008203A8">
      <w:pPr>
        <w:tabs>
          <w:tab w:val="left" w:pos="851"/>
        </w:tabs>
        <w:ind w:left="851"/>
        <w:rPr>
          <w:sz w:val="24"/>
          <w:szCs w:val="24"/>
        </w:rPr>
      </w:pPr>
    </w:p>
    <w:p w14:paraId="0445E685"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08A93F4E" w14:textId="480C990E" w:rsidR="008203A8" w:rsidRPr="00406EE7" w:rsidRDefault="009E7AAC" w:rsidP="008203A8">
      <w:pPr>
        <w:tabs>
          <w:tab w:val="left" w:pos="851"/>
        </w:tabs>
        <w:ind w:left="851"/>
        <w:rPr>
          <w:sz w:val="24"/>
          <w:szCs w:val="24"/>
        </w:rPr>
      </w:pPr>
      <w:r>
        <w:rPr>
          <w:sz w:val="24"/>
          <w:szCs w:val="24"/>
        </w:rPr>
        <w:t>2. november 2023</w:t>
      </w:r>
    </w:p>
    <w:p w14:paraId="5FEE55A5" w14:textId="77777777" w:rsidR="008203A8" w:rsidRPr="00406EE7" w:rsidRDefault="008203A8" w:rsidP="008203A8">
      <w:pPr>
        <w:tabs>
          <w:tab w:val="left" w:pos="851"/>
        </w:tabs>
        <w:ind w:left="851"/>
        <w:rPr>
          <w:sz w:val="24"/>
          <w:szCs w:val="24"/>
        </w:rPr>
      </w:pPr>
    </w:p>
    <w:p w14:paraId="555891A0"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41D79C8A" w14:textId="268C9284" w:rsidR="008203A8" w:rsidRDefault="009E7AAC" w:rsidP="008203A8">
      <w:pPr>
        <w:pStyle w:val="Sidehoved"/>
        <w:tabs>
          <w:tab w:val="clear" w:pos="4819"/>
          <w:tab w:val="left" w:pos="851"/>
        </w:tabs>
        <w:ind w:left="851"/>
        <w:rPr>
          <w:szCs w:val="24"/>
        </w:rPr>
      </w:pPr>
      <w:r>
        <w:rPr>
          <w:szCs w:val="24"/>
        </w:rPr>
        <w:t>BP</w:t>
      </w:r>
    </w:p>
    <w:p w14:paraId="677B9D79" w14:textId="09B9FE65" w:rsidR="009E7AAC" w:rsidRDefault="009E7AAC" w:rsidP="008203A8">
      <w:pPr>
        <w:pStyle w:val="Sidehoved"/>
        <w:tabs>
          <w:tab w:val="clear" w:pos="4819"/>
          <w:tab w:val="left" w:pos="851"/>
        </w:tabs>
        <w:ind w:left="851"/>
        <w:rPr>
          <w:szCs w:val="24"/>
        </w:rPr>
      </w:pPr>
    </w:p>
    <w:p w14:paraId="3F611DD1" w14:textId="5EB80821" w:rsidR="009E7AAC" w:rsidRPr="007A684C" w:rsidRDefault="009E7AAC" w:rsidP="008203A8">
      <w:pPr>
        <w:pStyle w:val="Sidehoved"/>
        <w:tabs>
          <w:tab w:val="clear" w:pos="4819"/>
          <w:tab w:val="left" w:pos="851"/>
        </w:tabs>
        <w:ind w:left="851"/>
        <w:rPr>
          <w:szCs w:val="24"/>
        </w:rPr>
      </w:pPr>
      <w:r>
        <w:rPr>
          <w:szCs w:val="24"/>
        </w:rPr>
        <w:t>Der findes detaljerede oplysninger om dette veterinærlægemiddel i EU-lægemiddeldatabasen.</w:t>
      </w:r>
    </w:p>
    <w:p w14:paraId="079D25D0" w14:textId="77777777" w:rsidR="0003527F" w:rsidRPr="008203A8" w:rsidRDefault="0003527F" w:rsidP="008203A8"/>
    <w:sectPr w:rsidR="0003527F" w:rsidRPr="008203A8" w:rsidSect="009E7AA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707A5" w14:textId="77777777" w:rsidR="00F702F2" w:rsidRDefault="00F702F2">
      <w:r>
        <w:separator/>
      </w:r>
    </w:p>
  </w:endnote>
  <w:endnote w:type="continuationSeparator" w:id="0">
    <w:p w14:paraId="50428091" w14:textId="77777777" w:rsidR="00F702F2" w:rsidRDefault="00F70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1F3D" w14:textId="77777777" w:rsidR="009E7AAC" w:rsidRDefault="009E7AA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CD810" w14:textId="77777777" w:rsidR="004A62CC" w:rsidRDefault="004A62CC">
    <w:pPr>
      <w:pStyle w:val="Sidefod"/>
      <w:pBdr>
        <w:bottom w:val="single" w:sz="6" w:space="1" w:color="auto"/>
      </w:pBdr>
      <w:tabs>
        <w:tab w:val="clear" w:pos="4819"/>
        <w:tab w:val="left" w:pos="8647"/>
      </w:tabs>
      <w:rPr>
        <w:i/>
        <w:snapToGrid w:val="0"/>
        <w:sz w:val="18"/>
      </w:rPr>
    </w:pPr>
  </w:p>
  <w:p w14:paraId="4799902A" w14:textId="77777777" w:rsidR="004A62CC" w:rsidRDefault="004A62CC">
    <w:pPr>
      <w:pStyle w:val="Sidefod"/>
      <w:tabs>
        <w:tab w:val="clear" w:pos="4819"/>
        <w:tab w:val="left" w:pos="8647"/>
      </w:tabs>
      <w:rPr>
        <w:i/>
        <w:snapToGrid w:val="0"/>
        <w:sz w:val="18"/>
      </w:rPr>
    </w:pPr>
  </w:p>
  <w:p w14:paraId="693C777E" w14:textId="655FE2D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E7AAC">
      <w:rPr>
        <w:i/>
        <w:noProof/>
        <w:snapToGrid w:val="0"/>
        <w:sz w:val="18"/>
      </w:rPr>
      <w:t>Tyawalt, granulat til anvendelse i drikkevand 450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E2EB" w14:textId="77777777" w:rsidR="004A62CC" w:rsidRDefault="004A62CC">
    <w:pPr>
      <w:pStyle w:val="Sidefod"/>
      <w:pBdr>
        <w:bottom w:val="single" w:sz="6" w:space="1" w:color="auto"/>
      </w:pBdr>
      <w:tabs>
        <w:tab w:val="clear" w:pos="4819"/>
        <w:tab w:val="left" w:pos="8647"/>
      </w:tabs>
      <w:rPr>
        <w:i/>
        <w:snapToGrid w:val="0"/>
        <w:sz w:val="18"/>
      </w:rPr>
    </w:pPr>
  </w:p>
  <w:p w14:paraId="2D191628" w14:textId="77777777" w:rsidR="004A62CC" w:rsidRDefault="004A62CC">
    <w:pPr>
      <w:pStyle w:val="Sidefod"/>
      <w:tabs>
        <w:tab w:val="clear" w:pos="4819"/>
        <w:tab w:val="left" w:pos="8647"/>
      </w:tabs>
      <w:rPr>
        <w:i/>
        <w:snapToGrid w:val="0"/>
        <w:sz w:val="18"/>
      </w:rPr>
    </w:pPr>
  </w:p>
  <w:p w14:paraId="3673CCA1" w14:textId="27E8BAB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E7AAC">
      <w:rPr>
        <w:i/>
        <w:noProof/>
        <w:snapToGrid w:val="0"/>
        <w:sz w:val="18"/>
      </w:rPr>
      <w:t>Tyawalt, granulat til anvendelse i drikkevand 450 mg-g.docx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0C082" w14:textId="77777777" w:rsidR="00F702F2" w:rsidRDefault="00F702F2">
      <w:r>
        <w:separator/>
      </w:r>
    </w:p>
  </w:footnote>
  <w:footnote w:type="continuationSeparator" w:id="0">
    <w:p w14:paraId="31652C6E" w14:textId="77777777" w:rsidR="00F702F2" w:rsidRDefault="00F70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96EAD" w14:textId="77777777" w:rsidR="009E7AAC" w:rsidRDefault="009E7AA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239E0" w14:textId="77777777" w:rsidR="004A62CC" w:rsidRDefault="004A62CC">
    <w:pPr>
      <w:pStyle w:val="Sidehoved"/>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2F01"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DF31648"/>
    <w:multiLevelType w:val="hybridMultilevel"/>
    <w:tmpl w:val="E8EE73E2"/>
    <w:lvl w:ilvl="0" w:tplc="B73AE0D4">
      <w:numFmt w:val="bullet"/>
      <w:lvlText w:val="-"/>
      <w:lvlJc w:val="left"/>
      <w:pPr>
        <w:ind w:left="2880" w:hanging="360"/>
      </w:pPr>
      <w:rPr>
        <w:rFonts w:ascii="Times New Roman" w:eastAsia="Times New Roman" w:hAnsi="Times New Roman" w:cs="Times New Roman" w:hint="default"/>
      </w:rPr>
    </w:lvl>
    <w:lvl w:ilvl="1" w:tplc="04240003">
      <w:start w:val="1"/>
      <w:numFmt w:val="bullet"/>
      <w:lvlText w:val="o"/>
      <w:lvlJc w:val="left"/>
      <w:pPr>
        <w:ind w:left="3600" w:hanging="360"/>
      </w:pPr>
      <w:rPr>
        <w:rFonts w:ascii="Courier New" w:hAnsi="Courier New" w:cs="Courier New" w:hint="default"/>
      </w:rPr>
    </w:lvl>
    <w:lvl w:ilvl="2" w:tplc="04240005">
      <w:start w:val="1"/>
      <w:numFmt w:val="bullet"/>
      <w:lvlText w:val=""/>
      <w:lvlJc w:val="left"/>
      <w:pPr>
        <w:ind w:left="4320" w:hanging="360"/>
      </w:pPr>
      <w:rPr>
        <w:rFonts w:ascii="Wingdings" w:hAnsi="Wingdings" w:hint="default"/>
      </w:rPr>
    </w:lvl>
    <w:lvl w:ilvl="3" w:tplc="04240001">
      <w:start w:val="1"/>
      <w:numFmt w:val="bullet"/>
      <w:lvlText w:val=""/>
      <w:lvlJc w:val="left"/>
      <w:pPr>
        <w:ind w:left="5040" w:hanging="360"/>
      </w:pPr>
      <w:rPr>
        <w:rFonts w:ascii="Symbol" w:hAnsi="Symbol" w:hint="default"/>
      </w:rPr>
    </w:lvl>
    <w:lvl w:ilvl="4" w:tplc="04240003">
      <w:start w:val="1"/>
      <w:numFmt w:val="bullet"/>
      <w:lvlText w:val="o"/>
      <w:lvlJc w:val="left"/>
      <w:pPr>
        <w:ind w:left="5760" w:hanging="360"/>
      </w:pPr>
      <w:rPr>
        <w:rFonts w:ascii="Courier New" w:hAnsi="Courier New" w:cs="Courier New" w:hint="default"/>
      </w:rPr>
    </w:lvl>
    <w:lvl w:ilvl="5" w:tplc="04240005">
      <w:start w:val="1"/>
      <w:numFmt w:val="bullet"/>
      <w:lvlText w:val=""/>
      <w:lvlJc w:val="left"/>
      <w:pPr>
        <w:ind w:left="6480" w:hanging="360"/>
      </w:pPr>
      <w:rPr>
        <w:rFonts w:ascii="Wingdings" w:hAnsi="Wingdings" w:hint="default"/>
      </w:rPr>
    </w:lvl>
    <w:lvl w:ilvl="6" w:tplc="04240001">
      <w:start w:val="1"/>
      <w:numFmt w:val="bullet"/>
      <w:lvlText w:val=""/>
      <w:lvlJc w:val="left"/>
      <w:pPr>
        <w:ind w:left="7200" w:hanging="360"/>
      </w:pPr>
      <w:rPr>
        <w:rFonts w:ascii="Symbol" w:hAnsi="Symbol" w:hint="default"/>
      </w:rPr>
    </w:lvl>
    <w:lvl w:ilvl="7" w:tplc="04240003">
      <w:start w:val="1"/>
      <w:numFmt w:val="bullet"/>
      <w:lvlText w:val="o"/>
      <w:lvlJc w:val="left"/>
      <w:pPr>
        <w:ind w:left="7920" w:hanging="360"/>
      </w:pPr>
      <w:rPr>
        <w:rFonts w:ascii="Courier New" w:hAnsi="Courier New" w:cs="Courier New" w:hint="default"/>
      </w:rPr>
    </w:lvl>
    <w:lvl w:ilvl="8" w:tplc="04240005">
      <w:start w:val="1"/>
      <w:numFmt w:val="bullet"/>
      <w:lvlText w:val=""/>
      <w:lvlJc w:val="left"/>
      <w:pPr>
        <w:ind w:left="8640" w:hanging="360"/>
      </w:pPr>
      <w:rPr>
        <w:rFonts w:ascii="Wingdings" w:hAnsi="Wingdings" w:hint="default"/>
      </w:rPr>
    </w:lvl>
  </w:abstractNum>
  <w:num w:numId="1">
    <w:abstractNumId w:val="2"/>
  </w:num>
  <w:num w:numId="2">
    <w:abstractNumId w:val="0"/>
  </w:num>
  <w:num w:numId="3">
    <w:abstractNumId w:val="1"/>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F2"/>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83B5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E7AAC"/>
    <w:rsid w:val="009F1F5E"/>
    <w:rsid w:val="00A31E52"/>
    <w:rsid w:val="00A539A1"/>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E425F"/>
    <w:rsid w:val="00DF32BE"/>
    <w:rsid w:val="00E14F0A"/>
    <w:rsid w:val="00E321D6"/>
    <w:rsid w:val="00E323FB"/>
    <w:rsid w:val="00E61E78"/>
    <w:rsid w:val="00E84DC6"/>
    <w:rsid w:val="00EB5778"/>
    <w:rsid w:val="00EE14EA"/>
    <w:rsid w:val="00EE5253"/>
    <w:rsid w:val="00EF3C59"/>
    <w:rsid w:val="00F36781"/>
    <w:rsid w:val="00F41E3A"/>
    <w:rsid w:val="00F60B72"/>
    <w:rsid w:val="00F702F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D92D4A"/>
  <w15:chartTrackingRefBased/>
  <w15:docId w15:val="{9D32E84E-6694-4511-8905-8F56CC0AF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Hyperlink">
    <w:name w:val="Hyperlink"/>
    <w:uiPriority w:val="99"/>
    <w:semiHidden/>
    <w:unhideWhenUsed/>
    <w:rsid w:val="009E7A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6144">
      <w:bodyDiv w:val="1"/>
      <w:marLeft w:val="0"/>
      <w:marRight w:val="0"/>
      <w:marTop w:val="0"/>
      <w:marBottom w:val="0"/>
      <w:divBdr>
        <w:top w:val="none" w:sz="0" w:space="0" w:color="auto"/>
        <w:left w:val="none" w:sz="0" w:space="0" w:color="auto"/>
        <w:bottom w:val="none" w:sz="0" w:space="0" w:color="auto"/>
        <w:right w:val="none" w:sz="0" w:space="0" w:color="auto"/>
      </w:divBdr>
    </w:div>
    <w:div w:id="18286726">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0388259">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5560607">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39604554">
      <w:bodyDiv w:val="1"/>
      <w:marLeft w:val="0"/>
      <w:marRight w:val="0"/>
      <w:marTop w:val="0"/>
      <w:marBottom w:val="0"/>
      <w:divBdr>
        <w:top w:val="none" w:sz="0" w:space="0" w:color="auto"/>
        <w:left w:val="none" w:sz="0" w:space="0" w:color="auto"/>
        <w:bottom w:val="none" w:sz="0" w:space="0" w:color="auto"/>
        <w:right w:val="none" w:sz="0" w:space="0" w:color="auto"/>
      </w:divBdr>
    </w:div>
    <w:div w:id="285158271">
      <w:bodyDiv w:val="1"/>
      <w:marLeft w:val="0"/>
      <w:marRight w:val="0"/>
      <w:marTop w:val="0"/>
      <w:marBottom w:val="0"/>
      <w:divBdr>
        <w:top w:val="none" w:sz="0" w:space="0" w:color="auto"/>
        <w:left w:val="none" w:sz="0" w:space="0" w:color="auto"/>
        <w:bottom w:val="none" w:sz="0" w:space="0" w:color="auto"/>
        <w:right w:val="none" w:sz="0" w:space="0" w:color="auto"/>
      </w:divBdr>
    </w:div>
    <w:div w:id="351691405">
      <w:bodyDiv w:val="1"/>
      <w:marLeft w:val="0"/>
      <w:marRight w:val="0"/>
      <w:marTop w:val="0"/>
      <w:marBottom w:val="0"/>
      <w:divBdr>
        <w:top w:val="none" w:sz="0" w:space="0" w:color="auto"/>
        <w:left w:val="none" w:sz="0" w:space="0" w:color="auto"/>
        <w:bottom w:val="none" w:sz="0" w:space="0" w:color="auto"/>
        <w:right w:val="none" w:sz="0" w:space="0" w:color="auto"/>
      </w:divBdr>
    </w:div>
    <w:div w:id="35954829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2668264">
      <w:bodyDiv w:val="1"/>
      <w:marLeft w:val="0"/>
      <w:marRight w:val="0"/>
      <w:marTop w:val="0"/>
      <w:marBottom w:val="0"/>
      <w:divBdr>
        <w:top w:val="none" w:sz="0" w:space="0" w:color="auto"/>
        <w:left w:val="none" w:sz="0" w:space="0" w:color="auto"/>
        <w:bottom w:val="none" w:sz="0" w:space="0" w:color="auto"/>
        <w:right w:val="none" w:sz="0" w:space="0" w:color="auto"/>
      </w:divBdr>
      <w:divsChild>
        <w:div w:id="1467238516">
          <w:marLeft w:val="0"/>
          <w:marRight w:val="0"/>
          <w:marTop w:val="0"/>
          <w:marBottom w:val="0"/>
          <w:divBdr>
            <w:top w:val="none" w:sz="0" w:space="0" w:color="auto"/>
            <w:left w:val="none" w:sz="0" w:space="0" w:color="auto"/>
            <w:bottom w:val="none" w:sz="0" w:space="0" w:color="auto"/>
            <w:right w:val="none" w:sz="0" w:space="0" w:color="auto"/>
          </w:divBdr>
          <w:divsChild>
            <w:div w:id="20819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726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3861589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22391859">
      <w:bodyDiv w:val="1"/>
      <w:marLeft w:val="0"/>
      <w:marRight w:val="0"/>
      <w:marTop w:val="0"/>
      <w:marBottom w:val="0"/>
      <w:divBdr>
        <w:top w:val="none" w:sz="0" w:space="0" w:color="auto"/>
        <w:left w:val="none" w:sz="0" w:space="0" w:color="auto"/>
        <w:bottom w:val="none" w:sz="0" w:space="0" w:color="auto"/>
        <w:right w:val="none" w:sz="0" w:space="0" w:color="auto"/>
      </w:divBdr>
    </w:div>
    <w:div w:id="1037312936">
      <w:bodyDiv w:val="1"/>
      <w:marLeft w:val="0"/>
      <w:marRight w:val="0"/>
      <w:marTop w:val="0"/>
      <w:marBottom w:val="0"/>
      <w:divBdr>
        <w:top w:val="none" w:sz="0" w:space="0" w:color="auto"/>
        <w:left w:val="none" w:sz="0" w:space="0" w:color="auto"/>
        <w:bottom w:val="none" w:sz="0" w:space="0" w:color="auto"/>
        <w:right w:val="none" w:sz="0" w:space="0" w:color="auto"/>
      </w:divBdr>
    </w:div>
    <w:div w:id="1062943434">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7578225">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0612902">
      <w:bodyDiv w:val="1"/>
      <w:marLeft w:val="0"/>
      <w:marRight w:val="0"/>
      <w:marTop w:val="0"/>
      <w:marBottom w:val="0"/>
      <w:divBdr>
        <w:top w:val="none" w:sz="0" w:space="0" w:color="auto"/>
        <w:left w:val="none" w:sz="0" w:space="0" w:color="auto"/>
        <w:bottom w:val="none" w:sz="0" w:space="0" w:color="auto"/>
        <w:right w:val="none" w:sz="0" w:space="0" w:color="auto"/>
      </w:divBdr>
    </w:div>
    <w:div w:id="1548445835">
      <w:bodyDiv w:val="1"/>
      <w:marLeft w:val="0"/>
      <w:marRight w:val="0"/>
      <w:marTop w:val="0"/>
      <w:marBottom w:val="0"/>
      <w:divBdr>
        <w:top w:val="none" w:sz="0" w:space="0" w:color="auto"/>
        <w:left w:val="none" w:sz="0" w:space="0" w:color="auto"/>
        <w:bottom w:val="none" w:sz="0" w:space="0" w:color="auto"/>
        <w:right w:val="none" w:sz="0" w:space="0" w:color="auto"/>
      </w:divBdr>
    </w:div>
    <w:div w:id="1561330471">
      <w:bodyDiv w:val="1"/>
      <w:marLeft w:val="0"/>
      <w:marRight w:val="0"/>
      <w:marTop w:val="0"/>
      <w:marBottom w:val="0"/>
      <w:divBdr>
        <w:top w:val="none" w:sz="0" w:space="0" w:color="auto"/>
        <w:left w:val="none" w:sz="0" w:space="0" w:color="auto"/>
        <w:bottom w:val="none" w:sz="0" w:space="0" w:color="auto"/>
        <w:right w:val="none" w:sz="0" w:space="0" w:color="auto"/>
      </w:divBdr>
      <w:divsChild>
        <w:div w:id="1385375769">
          <w:marLeft w:val="0"/>
          <w:marRight w:val="0"/>
          <w:marTop w:val="0"/>
          <w:marBottom w:val="0"/>
          <w:divBdr>
            <w:top w:val="none" w:sz="0" w:space="0" w:color="auto"/>
            <w:left w:val="none" w:sz="0" w:space="0" w:color="auto"/>
            <w:bottom w:val="none" w:sz="0" w:space="0" w:color="auto"/>
            <w:right w:val="none" w:sz="0" w:space="0" w:color="auto"/>
          </w:divBdr>
          <w:divsChild>
            <w:div w:id="23705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91076">
      <w:bodyDiv w:val="1"/>
      <w:marLeft w:val="0"/>
      <w:marRight w:val="0"/>
      <w:marTop w:val="0"/>
      <w:marBottom w:val="0"/>
      <w:divBdr>
        <w:top w:val="none" w:sz="0" w:space="0" w:color="auto"/>
        <w:left w:val="none" w:sz="0" w:space="0" w:color="auto"/>
        <w:bottom w:val="none" w:sz="0" w:space="0" w:color="auto"/>
        <w:right w:val="none" w:sz="0" w:space="0" w:color="auto"/>
      </w:divBdr>
    </w:div>
    <w:div w:id="178017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16</TotalTime>
  <Pages>7</Pages>
  <Words>1931</Words>
  <Characters>11785</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2022043507_x000d_
Opdatering iht. QRD9. Sletning af dyrearter: Høns og kalkuner</dc:description>
  <cp:lastModifiedBy>Betty Winther Andersen</cp:lastModifiedBy>
  <cp:revision>4</cp:revision>
  <cp:lastPrinted>2022-05-18T14:03:00Z</cp:lastPrinted>
  <dcterms:created xsi:type="dcterms:W3CDTF">2023-10-31T10:46:00Z</dcterms:created>
  <dcterms:modified xsi:type="dcterms:W3CDTF">2023-10-31T11:02:00Z</dcterms:modified>
</cp:coreProperties>
</file>