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E959C" w14:textId="77777777" w:rsidR="008203A8" w:rsidRPr="009445D8" w:rsidRDefault="008203A8" w:rsidP="008203A8">
      <w:pPr>
        <w:rPr>
          <w:sz w:val="24"/>
          <w:szCs w:val="24"/>
        </w:rPr>
      </w:pPr>
      <w:r w:rsidRPr="009445D8">
        <w:rPr>
          <w:noProof/>
          <w:sz w:val="24"/>
          <w:szCs w:val="24"/>
          <w:lang w:eastAsia="da-DK"/>
        </w:rPr>
        <w:drawing>
          <wp:inline distT="0" distB="0" distL="0" distR="0" wp14:anchorId="64C84E28" wp14:editId="736B360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3BE62B5" w14:textId="77777777" w:rsidR="008203A8" w:rsidRPr="009445D8" w:rsidRDefault="008203A8" w:rsidP="008203A8">
      <w:pPr>
        <w:rPr>
          <w:sz w:val="24"/>
          <w:szCs w:val="24"/>
        </w:rPr>
      </w:pPr>
    </w:p>
    <w:p w14:paraId="59DD75D8" w14:textId="66AFAF1F" w:rsidR="008203A8" w:rsidRPr="009445D8" w:rsidRDefault="008203A8" w:rsidP="008203A8">
      <w:pPr>
        <w:tabs>
          <w:tab w:val="right" w:pos="9356"/>
        </w:tabs>
        <w:rPr>
          <w:b/>
          <w:sz w:val="24"/>
          <w:szCs w:val="24"/>
        </w:rPr>
      </w:pPr>
      <w:r w:rsidRPr="009445D8">
        <w:rPr>
          <w:b/>
          <w:sz w:val="24"/>
          <w:szCs w:val="24"/>
        </w:rPr>
        <w:tab/>
      </w:r>
      <w:r w:rsidR="00AB4A98">
        <w:rPr>
          <w:b/>
          <w:sz w:val="24"/>
          <w:szCs w:val="24"/>
        </w:rPr>
        <w:t xml:space="preserve">4. </w:t>
      </w:r>
      <w:r w:rsidR="00096702">
        <w:rPr>
          <w:b/>
          <w:sz w:val="24"/>
          <w:szCs w:val="24"/>
        </w:rPr>
        <w:t>oktober</w:t>
      </w:r>
      <w:r w:rsidR="00AB4A98">
        <w:rPr>
          <w:b/>
          <w:sz w:val="24"/>
          <w:szCs w:val="24"/>
        </w:rPr>
        <w:t xml:space="preserve"> 2024</w:t>
      </w:r>
    </w:p>
    <w:p w14:paraId="1FFED33C" w14:textId="16E2EEA6" w:rsidR="008203A8" w:rsidRPr="009445D8" w:rsidRDefault="008203A8" w:rsidP="008203A8">
      <w:pPr>
        <w:rPr>
          <w:sz w:val="24"/>
          <w:szCs w:val="24"/>
        </w:rPr>
      </w:pPr>
    </w:p>
    <w:p w14:paraId="64070432" w14:textId="7C38D691" w:rsidR="0006548E" w:rsidRPr="009445D8" w:rsidRDefault="0006548E" w:rsidP="008203A8">
      <w:pPr>
        <w:rPr>
          <w:sz w:val="24"/>
          <w:szCs w:val="24"/>
        </w:rPr>
      </w:pPr>
    </w:p>
    <w:p w14:paraId="2B8C61CD" w14:textId="77777777" w:rsidR="0006548E" w:rsidRPr="009445D8" w:rsidRDefault="0006548E" w:rsidP="008203A8">
      <w:pPr>
        <w:rPr>
          <w:sz w:val="24"/>
          <w:szCs w:val="24"/>
        </w:rPr>
      </w:pPr>
    </w:p>
    <w:p w14:paraId="5BBF7D12" w14:textId="77777777" w:rsidR="008203A8" w:rsidRPr="009445D8" w:rsidRDefault="008203A8" w:rsidP="008203A8">
      <w:pPr>
        <w:jc w:val="center"/>
        <w:rPr>
          <w:b/>
          <w:sz w:val="24"/>
          <w:szCs w:val="24"/>
        </w:rPr>
      </w:pPr>
      <w:r w:rsidRPr="009445D8">
        <w:rPr>
          <w:b/>
          <w:sz w:val="24"/>
          <w:szCs w:val="24"/>
        </w:rPr>
        <w:t>PRODUKTRESUMÉ</w:t>
      </w:r>
    </w:p>
    <w:p w14:paraId="5C2DF84D" w14:textId="77777777" w:rsidR="008203A8" w:rsidRPr="009445D8" w:rsidRDefault="008203A8" w:rsidP="008203A8">
      <w:pPr>
        <w:jc w:val="center"/>
        <w:rPr>
          <w:b/>
          <w:sz w:val="24"/>
          <w:szCs w:val="24"/>
        </w:rPr>
      </w:pPr>
    </w:p>
    <w:p w14:paraId="6A9B76DD" w14:textId="77777777" w:rsidR="008203A8" w:rsidRPr="009445D8" w:rsidRDefault="008203A8" w:rsidP="008203A8">
      <w:pPr>
        <w:jc w:val="center"/>
        <w:rPr>
          <w:b/>
          <w:sz w:val="24"/>
          <w:szCs w:val="24"/>
        </w:rPr>
      </w:pPr>
      <w:r w:rsidRPr="009445D8">
        <w:rPr>
          <w:b/>
          <w:sz w:val="24"/>
          <w:szCs w:val="24"/>
        </w:rPr>
        <w:t>for</w:t>
      </w:r>
    </w:p>
    <w:p w14:paraId="692BF4C5" w14:textId="77777777" w:rsidR="008203A8" w:rsidRPr="009445D8" w:rsidRDefault="008203A8" w:rsidP="008203A8">
      <w:pPr>
        <w:jc w:val="center"/>
        <w:rPr>
          <w:b/>
          <w:sz w:val="24"/>
          <w:szCs w:val="24"/>
        </w:rPr>
      </w:pPr>
    </w:p>
    <w:p w14:paraId="565A0667" w14:textId="3CF76981" w:rsidR="008203A8" w:rsidRPr="009445D8" w:rsidRDefault="00EA555A" w:rsidP="008203A8">
      <w:pPr>
        <w:jc w:val="center"/>
        <w:rPr>
          <w:b/>
          <w:sz w:val="24"/>
          <w:szCs w:val="24"/>
        </w:rPr>
      </w:pPr>
      <w:proofErr w:type="spellStart"/>
      <w:r w:rsidRPr="009445D8">
        <w:rPr>
          <w:b/>
          <w:sz w:val="24"/>
          <w:szCs w:val="24"/>
        </w:rPr>
        <w:t>Uriphex</w:t>
      </w:r>
      <w:proofErr w:type="spellEnd"/>
      <w:r w:rsidRPr="009445D8">
        <w:rPr>
          <w:b/>
          <w:sz w:val="24"/>
          <w:szCs w:val="24"/>
        </w:rPr>
        <w:t xml:space="preserve"> </w:t>
      </w:r>
      <w:proofErr w:type="spellStart"/>
      <w:r w:rsidRPr="009445D8">
        <w:rPr>
          <w:b/>
          <w:sz w:val="24"/>
          <w:szCs w:val="24"/>
        </w:rPr>
        <w:t>Vet</w:t>
      </w:r>
      <w:proofErr w:type="spellEnd"/>
      <w:r w:rsidRPr="009445D8">
        <w:rPr>
          <w:b/>
          <w:sz w:val="24"/>
          <w:szCs w:val="24"/>
        </w:rPr>
        <w:t>., oral opløsning</w:t>
      </w:r>
    </w:p>
    <w:p w14:paraId="649D8D28" w14:textId="77777777" w:rsidR="008203A8" w:rsidRPr="009445D8" w:rsidRDefault="008203A8" w:rsidP="008203A8">
      <w:pPr>
        <w:jc w:val="both"/>
        <w:rPr>
          <w:sz w:val="24"/>
          <w:szCs w:val="24"/>
        </w:rPr>
      </w:pPr>
    </w:p>
    <w:p w14:paraId="0B3D14BF" w14:textId="77777777" w:rsidR="008203A8" w:rsidRPr="009445D8" w:rsidRDefault="008203A8" w:rsidP="008203A8">
      <w:pPr>
        <w:jc w:val="both"/>
        <w:rPr>
          <w:sz w:val="24"/>
          <w:szCs w:val="24"/>
        </w:rPr>
      </w:pPr>
    </w:p>
    <w:p w14:paraId="4151955D" w14:textId="77777777" w:rsidR="008203A8" w:rsidRPr="009445D8" w:rsidRDefault="008203A8" w:rsidP="008203A8">
      <w:pPr>
        <w:ind w:left="851" w:hanging="851"/>
        <w:rPr>
          <w:b/>
          <w:sz w:val="24"/>
          <w:szCs w:val="24"/>
        </w:rPr>
      </w:pPr>
      <w:r w:rsidRPr="009445D8">
        <w:rPr>
          <w:b/>
          <w:sz w:val="24"/>
          <w:szCs w:val="24"/>
        </w:rPr>
        <w:t>0.</w:t>
      </w:r>
      <w:r w:rsidRPr="009445D8">
        <w:rPr>
          <w:b/>
          <w:sz w:val="24"/>
          <w:szCs w:val="24"/>
        </w:rPr>
        <w:tab/>
        <w:t>D.SP.NR.</w:t>
      </w:r>
    </w:p>
    <w:p w14:paraId="71DBF08A" w14:textId="053852CE" w:rsidR="008203A8" w:rsidRPr="009445D8" w:rsidRDefault="00EA555A" w:rsidP="008203A8">
      <w:pPr>
        <w:ind w:left="851"/>
        <w:rPr>
          <w:sz w:val="24"/>
          <w:szCs w:val="24"/>
        </w:rPr>
      </w:pPr>
      <w:r w:rsidRPr="009445D8">
        <w:rPr>
          <w:sz w:val="24"/>
          <w:szCs w:val="24"/>
        </w:rPr>
        <w:t>32938</w:t>
      </w:r>
    </w:p>
    <w:p w14:paraId="1DA7E395" w14:textId="77777777" w:rsidR="008203A8" w:rsidRPr="009445D8" w:rsidRDefault="008203A8" w:rsidP="008203A8">
      <w:pPr>
        <w:ind w:left="851"/>
        <w:rPr>
          <w:sz w:val="24"/>
          <w:szCs w:val="24"/>
        </w:rPr>
      </w:pPr>
    </w:p>
    <w:p w14:paraId="4CD291F0" w14:textId="77777777" w:rsidR="008203A8" w:rsidRPr="009445D8" w:rsidRDefault="008203A8" w:rsidP="008203A8">
      <w:pPr>
        <w:ind w:left="851" w:hanging="851"/>
        <w:rPr>
          <w:b/>
          <w:sz w:val="24"/>
          <w:szCs w:val="24"/>
        </w:rPr>
      </w:pPr>
      <w:r w:rsidRPr="009445D8">
        <w:rPr>
          <w:b/>
          <w:sz w:val="24"/>
          <w:szCs w:val="24"/>
        </w:rPr>
        <w:t>1.</w:t>
      </w:r>
      <w:r w:rsidRPr="009445D8">
        <w:rPr>
          <w:b/>
          <w:sz w:val="24"/>
          <w:szCs w:val="24"/>
        </w:rPr>
        <w:tab/>
        <w:t>VETERINÆRLÆGEMIDLETS NAVN</w:t>
      </w:r>
    </w:p>
    <w:p w14:paraId="4535709D" w14:textId="2D706FE0" w:rsidR="008203A8" w:rsidRPr="009445D8" w:rsidRDefault="00EA555A" w:rsidP="008203A8">
      <w:pPr>
        <w:ind w:left="851"/>
        <w:rPr>
          <w:sz w:val="24"/>
          <w:szCs w:val="24"/>
        </w:rPr>
      </w:pPr>
      <w:proofErr w:type="spellStart"/>
      <w:r w:rsidRPr="009445D8">
        <w:rPr>
          <w:sz w:val="24"/>
          <w:szCs w:val="24"/>
        </w:rPr>
        <w:t>Uriphex</w:t>
      </w:r>
      <w:proofErr w:type="spellEnd"/>
      <w:r w:rsidRPr="009445D8">
        <w:rPr>
          <w:sz w:val="24"/>
          <w:szCs w:val="24"/>
        </w:rPr>
        <w:t xml:space="preserve"> </w:t>
      </w:r>
      <w:proofErr w:type="spellStart"/>
      <w:r w:rsidRPr="009445D8">
        <w:rPr>
          <w:sz w:val="24"/>
          <w:szCs w:val="24"/>
        </w:rPr>
        <w:t>Vet</w:t>
      </w:r>
      <w:proofErr w:type="spellEnd"/>
      <w:r w:rsidRPr="009445D8">
        <w:rPr>
          <w:sz w:val="24"/>
          <w:szCs w:val="24"/>
        </w:rPr>
        <w:t>.</w:t>
      </w:r>
    </w:p>
    <w:p w14:paraId="2E2E1B5E" w14:textId="77777777" w:rsidR="008203A8" w:rsidRPr="009445D8" w:rsidRDefault="008203A8" w:rsidP="008203A8">
      <w:pPr>
        <w:ind w:left="851"/>
        <w:rPr>
          <w:sz w:val="24"/>
          <w:szCs w:val="24"/>
        </w:rPr>
      </w:pPr>
    </w:p>
    <w:p w14:paraId="39DCA0F1" w14:textId="4B6F3E50" w:rsidR="008203A8" w:rsidRPr="009445D8" w:rsidRDefault="008203A8" w:rsidP="008203A8">
      <w:pPr>
        <w:ind w:left="851"/>
        <w:rPr>
          <w:sz w:val="24"/>
          <w:szCs w:val="24"/>
        </w:rPr>
      </w:pPr>
      <w:r w:rsidRPr="009445D8">
        <w:rPr>
          <w:sz w:val="24"/>
          <w:szCs w:val="24"/>
        </w:rPr>
        <w:t xml:space="preserve">Lægemiddelform: </w:t>
      </w:r>
      <w:r w:rsidR="00EA555A" w:rsidRPr="009445D8">
        <w:rPr>
          <w:sz w:val="24"/>
          <w:szCs w:val="24"/>
        </w:rPr>
        <w:t>Oral opløsning</w:t>
      </w:r>
    </w:p>
    <w:p w14:paraId="60171571" w14:textId="68CFB0A9" w:rsidR="008203A8" w:rsidRPr="009445D8" w:rsidRDefault="008203A8" w:rsidP="008203A8">
      <w:pPr>
        <w:ind w:left="851"/>
        <w:rPr>
          <w:sz w:val="24"/>
          <w:szCs w:val="24"/>
        </w:rPr>
      </w:pPr>
      <w:r w:rsidRPr="009445D8">
        <w:rPr>
          <w:sz w:val="24"/>
          <w:szCs w:val="24"/>
        </w:rPr>
        <w:t xml:space="preserve">Styrke(r): </w:t>
      </w:r>
      <w:r w:rsidR="00EA555A" w:rsidRPr="009445D8">
        <w:rPr>
          <w:sz w:val="24"/>
          <w:szCs w:val="24"/>
        </w:rPr>
        <w:t>50 mg/ml</w:t>
      </w:r>
    </w:p>
    <w:p w14:paraId="709E6C5C" w14:textId="77777777" w:rsidR="008203A8" w:rsidRPr="009445D8" w:rsidRDefault="008203A8" w:rsidP="008203A8">
      <w:pPr>
        <w:ind w:left="851"/>
        <w:rPr>
          <w:sz w:val="24"/>
          <w:szCs w:val="24"/>
        </w:rPr>
      </w:pPr>
    </w:p>
    <w:p w14:paraId="08AFFD3C" w14:textId="77777777" w:rsidR="008203A8" w:rsidRPr="009445D8" w:rsidRDefault="008203A8" w:rsidP="008203A8">
      <w:pPr>
        <w:ind w:left="851" w:hanging="851"/>
        <w:rPr>
          <w:b/>
          <w:sz w:val="24"/>
          <w:szCs w:val="24"/>
        </w:rPr>
      </w:pPr>
      <w:r w:rsidRPr="009445D8">
        <w:rPr>
          <w:b/>
          <w:sz w:val="24"/>
          <w:szCs w:val="24"/>
        </w:rPr>
        <w:t>2.</w:t>
      </w:r>
      <w:r w:rsidRPr="009445D8">
        <w:rPr>
          <w:b/>
          <w:sz w:val="24"/>
          <w:szCs w:val="24"/>
        </w:rPr>
        <w:tab/>
        <w:t>KVALITATIV OG KVANTITATIV SAMMENSÆTNING</w:t>
      </w:r>
    </w:p>
    <w:p w14:paraId="39CE0189" w14:textId="77777777" w:rsidR="00EA555A" w:rsidRPr="009445D8" w:rsidRDefault="00EA555A" w:rsidP="0006548E">
      <w:pPr>
        <w:pStyle w:val="Ingenafstand"/>
        <w:ind w:left="851"/>
        <w:rPr>
          <w:spacing w:val="-2"/>
        </w:rPr>
      </w:pPr>
      <w:r w:rsidRPr="009445D8">
        <w:t>Hver ml indeholder:</w:t>
      </w:r>
    </w:p>
    <w:p w14:paraId="2F1DA56F" w14:textId="77777777" w:rsidR="00EA555A" w:rsidRPr="009445D8" w:rsidRDefault="00EA555A" w:rsidP="0006548E">
      <w:pPr>
        <w:pStyle w:val="Ingenafstand"/>
        <w:ind w:left="851"/>
      </w:pPr>
    </w:p>
    <w:p w14:paraId="1F6063CD" w14:textId="77777777" w:rsidR="00EA555A" w:rsidRPr="009445D8" w:rsidRDefault="00EA555A" w:rsidP="0006548E">
      <w:pPr>
        <w:pStyle w:val="Ingenafstand"/>
        <w:ind w:left="851"/>
      </w:pPr>
      <w:bookmarkStart w:id="0" w:name="_Hlk86323664"/>
      <w:r w:rsidRPr="009445D8">
        <w:rPr>
          <w:b/>
        </w:rPr>
        <w:t>Aktivt stof</w:t>
      </w:r>
      <w:r w:rsidRPr="009445D8">
        <w:t>:</w:t>
      </w:r>
    </w:p>
    <w:p w14:paraId="4FE16618" w14:textId="77777777" w:rsidR="00EA555A" w:rsidRPr="009445D8" w:rsidRDefault="00EA555A" w:rsidP="0006548E">
      <w:pPr>
        <w:pStyle w:val="Ingenafstand"/>
        <w:ind w:left="851"/>
        <w:rPr>
          <w:spacing w:val="-2"/>
        </w:rPr>
      </w:pPr>
      <w:bookmarkStart w:id="1" w:name="_Hlk137282916"/>
      <w:proofErr w:type="spellStart"/>
      <w:r w:rsidRPr="009445D8">
        <w:t>Phenylpropanolamin</w:t>
      </w:r>
      <w:proofErr w:type="spellEnd"/>
      <w:r w:rsidRPr="009445D8">
        <w:tab/>
      </w:r>
      <w:r w:rsidRPr="009445D8">
        <w:tab/>
        <w:t xml:space="preserve">40,28 mg  </w:t>
      </w:r>
    </w:p>
    <w:p w14:paraId="15169085" w14:textId="77777777" w:rsidR="00EA555A" w:rsidRPr="009445D8" w:rsidRDefault="00EA555A" w:rsidP="0006548E">
      <w:pPr>
        <w:pStyle w:val="Ingenafstand"/>
        <w:ind w:left="851"/>
      </w:pPr>
      <w:r w:rsidRPr="009445D8">
        <w:t xml:space="preserve">(svarende til 50 mg </w:t>
      </w:r>
      <w:proofErr w:type="spellStart"/>
      <w:r w:rsidRPr="009445D8">
        <w:t>phenylpropanolaminhydrochlorid</w:t>
      </w:r>
      <w:proofErr w:type="spellEnd"/>
      <w:r w:rsidRPr="009445D8">
        <w:t>)</w:t>
      </w:r>
    </w:p>
    <w:bookmarkEnd w:id="0"/>
    <w:bookmarkEnd w:id="1"/>
    <w:p w14:paraId="1DB30414" w14:textId="77777777" w:rsidR="00EA555A" w:rsidRPr="009445D8" w:rsidRDefault="00EA555A" w:rsidP="0006548E">
      <w:pPr>
        <w:pStyle w:val="Ingenafstand"/>
        <w:ind w:left="851"/>
      </w:pPr>
    </w:p>
    <w:p w14:paraId="77B02ADC" w14:textId="77777777" w:rsidR="00EA555A" w:rsidRPr="009445D8" w:rsidRDefault="00EA555A" w:rsidP="0006548E">
      <w:pPr>
        <w:pStyle w:val="Ingenafstand"/>
        <w:ind w:left="851"/>
      </w:pPr>
      <w:r w:rsidRPr="009445D8">
        <w:rPr>
          <w:b/>
        </w:rPr>
        <w:t>Hjælpestoffer:</w:t>
      </w:r>
    </w:p>
    <w:p w14:paraId="3C693195" w14:textId="77777777" w:rsidR="00EA555A" w:rsidRPr="009445D8" w:rsidRDefault="00EA555A" w:rsidP="00EA555A">
      <w:pPr>
        <w:pStyle w:val="Ingenafstand"/>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8"/>
      </w:tblGrid>
      <w:tr w:rsidR="00EA555A" w:rsidRPr="009445D8" w14:paraId="56E48855" w14:textId="77777777" w:rsidTr="0006548E">
        <w:tc>
          <w:tcPr>
            <w:tcW w:w="4618" w:type="dxa"/>
            <w:tcBorders>
              <w:top w:val="single" w:sz="4" w:space="0" w:color="000000"/>
              <w:left w:val="single" w:sz="4" w:space="0" w:color="000000"/>
              <w:bottom w:val="single" w:sz="4" w:space="0" w:color="000000"/>
              <w:right w:val="single" w:sz="4" w:space="0" w:color="000000"/>
            </w:tcBorders>
            <w:vAlign w:val="center"/>
            <w:hideMark/>
          </w:tcPr>
          <w:p w14:paraId="2A9FFE1E" w14:textId="77777777" w:rsidR="00EA555A" w:rsidRPr="009445D8" w:rsidRDefault="00EA555A">
            <w:pPr>
              <w:pStyle w:val="Ingenafstand"/>
            </w:pPr>
            <w:r w:rsidRPr="009445D8">
              <w:rPr>
                <w:b/>
                <w:bCs/>
              </w:rPr>
              <w:t>Kvalitativ sammensætning af hjælpestoffer og andre bestanddele</w:t>
            </w:r>
          </w:p>
        </w:tc>
      </w:tr>
      <w:tr w:rsidR="00EA555A" w:rsidRPr="009445D8" w14:paraId="7C4D50A9" w14:textId="77777777" w:rsidTr="0006548E">
        <w:tc>
          <w:tcPr>
            <w:tcW w:w="4618" w:type="dxa"/>
            <w:tcBorders>
              <w:top w:val="single" w:sz="4" w:space="0" w:color="000000"/>
              <w:left w:val="single" w:sz="4" w:space="0" w:color="000000"/>
              <w:bottom w:val="single" w:sz="4" w:space="0" w:color="000000"/>
              <w:right w:val="single" w:sz="4" w:space="0" w:color="000000"/>
            </w:tcBorders>
            <w:vAlign w:val="center"/>
          </w:tcPr>
          <w:p w14:paraId="184F1101" w14:textId="77777777" w:rsidR="00EA555A" w:rsidRPr="009445D8" w:rsidRDefault="00EA555A">
            <w:pPr>
              <w:pStyle w:val="Ingenafstand"/>
              <w:rPr>
                <w:spacing w:val="-3"/>
              </w:rPr>
            </w:pPr>
            <w:r w:rsidRPr="009445D8">
              <w:t>Sorbitol, flydende (ikke-krystalliserende)</w:t>
            </w:r>
          </w:p>
          <w:p w14:paraId="2C4C0AF6" w14:textId="77777777" w:rsidR="00EA555A" w:rsidRPr="009445D8" w:rsidRDefault="00EA555A">
            <w:pPr>
              <w:pStyle w:val="Ingenafstand"/>
              <w:rPr>
                <w:lang w:val="en-GB"/>
              </w:rPr>
            </w:pPr>
          </w:p>
        </w:tc>
      </w:tr>
    </w:tbl>
    <w:p w14:paraId="3D1C66AB" w14:textId="77777777" w:rsidR="00EA555A" w:rsidRPr="009445D8" w:rsidRDefault="00EA555A" w:rsidP="00EA555A">
      <w:pPr>
        <w:pStyle w:val="Ingenafstand"/>
        <w:rPr>
          <w:spacing w:val="-1"/>
        </w:rPr>
      </w:pPr>
    </w:p>
    <w:p w14:paraId="059B90F5" w14:textId="77777777" w:rsidR="00EA555A" w:rsidRPr="009445D8" w:rsidRDefault="00EA555A" w:rsidP="0006548E">
      <w:pPr>
        <w:pStyle w:val="Ingenafstand"/>
        <w:ind w:left="851"/>
      </w:pPr>
      <w:bookmarkStart w:id="2" w:name="_Hlk118888359"/>
      <w:r w:rsidRPr="009445D8">
        <w:t>En farveløs til gul-brunlig og tyktflydende oral opløsning.</w:t>
      </w:r>
    </w:p>
    <w:bookmarkEnd w:id="2"/>
    <w:p w14:paraId="2FC4A39E" w14:textId="77777777" w:rsidR="008203A8" w:rsidRPr="009445D8" w:rsidRDefault="008203A8" w:rsidP="008203A8">
      <w:pPr>
        <w:ind w:left="851"/>
        <w:rPr>
          <w:sz w:val="24"/>
          <w:szCs w:val="24"/>
        </w:rPr>
      </w:pPr>
    </w:p>
    <w:p w14:paraId="25C5AAE8" w14:textId="77777777" w:rsidR="008203A8" w:rsidRPr="009445D8" w:rsidRDefault="008203A8" w:rsidP="008203A8">
      <w:pPr>
        <w:ind w:left="851"/>
        <w:rPr>
          <w:sz w:val="24"/>
          <w:szCs w:val="24"/>
        </w:rPr>
      </w:pPr>
    </w:p>
    <w:p w14:paraId="2B3A5D33" w14:textId="77777777" w:rsidR="008203A8" w:rsidRPr="009445D8" w:rsidRDefault="008203A8" w:rsidP="008203A8">
      <w:pPr>
        <w:ind w:left="851" w:hanging="851"/>
        <w:rPr>
          <w:b/>
          <w:sz w:val="24"/>
          <w:szCs w:val="24"/>
        </w:rPr>
      </w:pPr>
      <w:r w:rsidRPr="009445D8">
        <w:rPr>
          <w:b/>
          <w:sz w:val="24"/>
          <w:szCs w:val="24"/>
        </w:rPr>
        <w:t>3.</w:t>
      </w:r>
      <w:r w:rsidRPr="009445D8">
        <w:rPr>
          <w:b/>
          <w:sz w:val="24"/>
          <w:szCs w:val="24"/>
        </w:rPr>
        <w:tab/>
        <w:t>KLINISKE OPLYSNINGER</w:t>
      </w:r>
    </w:p>
    <w:p w14:paraId="79163BF9" w14:textId="77777777" w:rsidR="008203A8" w:rsidRPr="009445D8" w:rsidRDefault="008203A8" w:rsidP="008203A8">
      <w:pPr>
        <w:tabs>
          <w:tab w:val="left" w:pos="851"/>
        </w:tabs>
        <w:ind w:left="851"/>
        <w:rPr>
          <w:sz w:val="24"/>
          <w:szCs w:val="24"/>
        </w:rPr>
      </w:pPr>
    </w:p>
    <w:p w14:paraId="6507C67A" w14:textId="77777777" w:rsidR="008203A8" w:rsidRPr="009445D8" w:rsidRDefault="008203A8" w:rsidP="008203A8">
      <w:pPr>
        <w:ind w:left="851" w:hanging="851"/>
        <w:rPr>
          <w:b/>
          <w:sz w:val="24"/>
          <w:szCs w:val="24"/>
          <w:u w:val="single"/>
        </w:rPr>
      </w:pPr>
      <w:r w:rsidRPr="009445D8">
        <w:rPr>
          <w:b/>
          <w:sz w:val="24"/>
          <w:szCs w:val="24"/>
        </w:rPr>
        <w:t>3.1</w:t>
      </w:r>
      <w:r w:rsidRPr="009445D8">
        <w:rPr>
          <w:b/>
          <w:sz w:val="24"/>
          <w:szCs w:val="24"/>
        </w:rPr>
        <w:tab/>
        <w:t>Dyrearter, som lægemidlet er beregnet til</w:t>
      </w:r>
    </w:p>
    <w:p w14:paraId="2F8200FE" w14:textId="77777777" w:rsidR="00EA555A" w:rsidRPr="009445D8" w:rsidRDefault="00EA555A" w:rsidP="0006548E">
      <w:pPr>
        <w:pStyle w:val="Ingenafstand"/>
        <w:ind w:left="851"/>
        <w:rPr>
          <w:spacing w:val="-2"/>
        </w:rPr>
      </w:pPr>
      <w:r w:rsidRPr="009445D8">
        <w:t>Hunde (tæver).</w:t>
      </w:r>
    </w:p>
    <w:p w14:paraId="608E315B" w14:textId="77777777" w:rsidR="008203A8" w:rsidRPr="009445D8" w:rsidRDefault="008203A8" w:rsidP="008203A8">
      <w:pPr>
        <w:ind w:left="851"/>
        <w:rPr>
          <w:sz w:val="24"/>
          <w:szCs w:val="24"/>
        </w:rPr>
      </w:pPr>
    </w:p>
    <w:p w14:paraId="4A085849" w14:textId="77777777" w:rsidR="008203A8" w:rsidRPr="009445D8" w:rsidRDefault="008203A8" w:rsidP="008203A8">
      <w:pPr>
        <w:pStyle w:val="Sidehoved"/>
        <w:tabs>
          <w:tab w:val="clear" w:pos="4819"/>
        </w:tabs>
        <w:ind w:left="851" w:hanging="851"/>
        <w:rPr>
          <w:b/>
          <w:szCs w:val="24"/>
        </w:rPr>
      </w:pPr>
      <w:r w:rsidRPr="009445D8">
        <w:rPr>
          <w:b/>
          <w:szCs w:val="24"/>
        </w:rPr>
        <w:t>3.2</w:t>
      </w:r>
      <w:r w:rsidRPr="009445D8">
        <w:rPr>
          <w:b/>
          <w:szCs w:val="24"/>
        </w:rPr>
        <w:tab/>
        <w:t>Terapeutiske indikationer for hver dyreart, som lægemidlet er beregnet til</w:t>
      </w:r>
    </w:p>
    <w:p w14:paraId="2C28B6FD" w14:textId="77777777" w:rsidR="00EA555A" w:rsidRPr="009445D8" w:rsidRDefault="00EA555A" w:rsidP="009445D8">
      <w:pPr>
        <w:ind w:left="851"/>
        <w:rPr>
          <w:spacing w:val="-2"/>
          <w:sz w:val="24"/>
          <w:szCs w:val="24"/>
        </w:rPr>
      </w:pPr>
      <w:r w:rsidRPr="009445D8">
        <w:rPr>
          <w:sz w:val="24"/>
          <w:szCs w:val="24"/>
        </w:rPr>
        <w:t xml:space="preserve">Behandling af urininkontinens i forbindelse med </w:t>
      </w:r>
      <w:proofErr w:type="spellStart"/>
      <w:r w:rsidRPr="009445D8">
        <w:rPr>
          <w:sz w:val="24"/>
          <w:szCs w:val="24"/>
        </w:rPr>
        <w:t>uretral</w:t>
      </w:r>
      <w:proofErr w:type="spellEnd"/>
      <w:r w:rsidRPr="009445D8">
        <w:rPr>
          <w:sz w:val="24"/>
          <w:szCs w:val="24"/>
        </w:rPr>
        <w:t xml:space="preserve"> </w:t>
      </w:r>
      <w:proofErr w:type="spellStart"/>
      <w:r w:rsidRPr="009445D8">
        <w:rPr>
          <w:sz w:val="24"/>
          <w:szCs w:val="24"/>
        </w:rPr>
        <w:t>sfinkterforstyrrelse</w:t>
      </w:r>
      <w:proofErr w:type="spellEnd"/>
      <w:r w:rsidRPr="009445D8">
        <w:rPr>
          <w:sz w:val="24"/>
          <w:szCs w:val="24"/>
        </w:rPr>
        <w:t xml:space="preserve"> hos tæver. Gunstig virkning er kun påvist hos </w:t>
      </w:r>
      <w:proofErr w:type="spellStart"/>
      <w:r w:rsidRPr="009445D8">
        <w:rPr>
          <w:sz w:val="24"/>
          <w:szCs w:val="24"/>
        </w:rPr>
        <w:t>ovariohysterektomerede</w:t>
      </w:r>
      <w:proofErr w:type="spellEnd"/>
      <w:r w:rsidRPr="009445D8">
        <w:rPr>
          <w:sz w:val="24"/>
          <w:szCs w:val="24"/>
        </w:rPr>
        <w:t xml:space="preserve"> tæver.</w:t>
      </w:r>
    </w:p>
    <w:p w14:paraId="6A4ECB77" w14:textId="77777777" w:rsidR="008203A8" w:rsidRPr="009445D8" w:rsidRDefault="008203A8" w:rsidP="009445D8">
      <w:pPr>
        <w:ind w:left="851"/>
        <w:rPr>
          <w:sz w:val="24"/>
          <w:szCs w:val="24"/>
        </w:rPr>
      </w:pPr>
    </w:p>
    <w:p w14:paraId="6BE08405" w14:textId="77777777" w:rsidR="008203A8" w:rsidRPr="009445D8" w:rsidRDefault="008203A8" w:rsidP="008203A8">
      <w:pPr>
        <w:pStyle w:val="Sidehoved"/>
        <w:tabs>
          <w:tab w:val="clear" w:pos="4819"/>
          <w:tab w:val="left" w:pos="851"/>
        </w:tabs>
        <w:ind w:left="851" w:hanging="851"/>
        <w:rPr>
          <w:b/>
          <w:szCs w:val="24"/>
        </w:rPr>
      </w:pPr>
      <w:r w:rsidRPr="009445D8">
        <w:rPr>
          <w:b/>
          <w:szCs w:val="24"/>
        </w:rPr>
        <w:lastRenderedPageBreak/>
        <w:t>3.3</w:t>
      </w:r>
      <w:r w:rsidRPr="009445D8">
        <w:rPr>
          <w:b/>
          <w:szCs w:val="24"/>
        </w:rPr>
        <w:tab/>
        <w:t>Kontraindikationer</w:t>
      </w:r>
    </w:p>
    <w:p w14:paraId="5F5B34A7" w14:textId="77777777" w:rsidR="00EA555A" w:rsidRPr="009445D8" w:rsidRDefault="00EA555A" w:rsidP="009445D8">
      <w:pPr>
        <w:ind w:left="851"/>
        <w:rPr>
          <w:spacing w:val="-2"/>
          <w:sz w:val="24"/>
          <w:szCs w:val="24"/>
        </w:rPr>
      </w:pPr>
      <w:r w:rsidRPr="009445D8">
        <w:rPr>
          <w:sz w:val="24"/>
          <w:szCs w:val="24"/>
        </w:rPr>
        <w:t xml:space="preserve">Må ikke anvendes til dyr behandlet med non-selektive </w:t>
      </w:r>
      <w:proofErr w:type="spellStart"/>
      <w:r w:rsidRPr="009445D8">
        <w:rPr>
          <w:sz w:val="24"/>
          <w:szCs w:val="24"/>
        </w:rPr>
        <w:t>monoaminooxidasehæmmere</w:t>
      </w:r>
      <w:proofErr w:type="spellEnd"/>
      <w:r w:rsidRPr="009445D8">
        <w:rPr>
          <w:sz w:val="24"/>
          <w:szCs w:val="24"/>
        </w:rPr>
        <w:t>.</w:t>
      </w:r>
    </w:p>
    <w:p w14:paraId="48FFCF12" w14:textId="77777777" w:rsidR="00EA555A" w:rsidRPr="009445D8" w:rsidRDefault="00EA555A" w:rsidP="009445D8">
      <w:pPr>
        <w:ind w:left="851"/>
        <w:rPr>
          <w:spacing w:val="-2"/>
          <w:sz w:val="24"/>
          <w:szCs w:val="24"/>
        </w:rPr>
      </w:pPr>
      <w:r w:rsidRPr="009445D8">
        <w:rPr>
          <w:sz w:val="24"/>
          <w:szCs w:val="24"/>
        </w:rPr>
        <w:t>Må ikke anvendes i tilfælde af overfølsomhed over for det aktive stof eller over for et eller flere af hjælpestofferne.</w:t>
      </w:r>
    </w:p>
    <w:p w14:paraId="6A53750B" w14:textId="77777777" w:rsidR="008203A8" w:rsidRPr="009445D8" w:rsidRDefault="008203A8" w:rsidP="008203A8">
      <w:pPr>
        <w:pStyle w:val="Sidehoved"/>
        <w:tabs>
          <w:tab w:val="clear" w:pos="4819"/>
        </w:tabs>
        <w:ind w:left="851"/>
        <w:rPr>
          <w:szCs w:val="24"/>
        </w:rPr>
      </w:pPr>
    </w:p>
    <w:p w14:paraId="1EBE1D3C" w14:textId="77777777" w:rsidR="008203A8" w:rsidRPr="009445D8" w:rsidRDefault="008203A8" w:rsidP="008203A8">
      <w:pPr>
        <w:tabs>
          <w:tab w:val="left" w:pos="851"/>
        </w:tabs>
        <w:ind w:left="851" w:hanging="851"/>
        <w:rPr>
          <w:b/>
          <w:sz w:val="24"/>
          <w:szCs w:val="24"/>
        </w:rPr>
      </w:pPr>
      <w:r w:rsidRPr="009445D8">
        <w:rPr>
          <w:b/>
          <w:sz w:val="24"/>
          <w:szCs w:val="24"/>
        </w:rPr>
        <w:t>3.4</w:t>
      </w:r>
      <w:r w:rsidRPr="009445D8">
        <w:rPr>
          <w:b/>
          <w:sz w:val="24"/>
          <w:szCs w:val="24"/>
        </w:rPr>
        <w:tab/>
        <w:t>Særlige advarsler</w:t>
      </w:r>
    </w:p>
    <w:p w14:paraId="34D41730" w14:textId="77777777" w:rsidR="00EA555A" w:rsidRPr="009445D8" w:rsidRDefault="00EA555A" w:rsidP="009445D8">
      <w:pPr>
        <w:ind w:left="851"/>
        <w:rPr>
          <w:spacing w:val="-2"/>
          <w:sz w:val="24"/>
          <w:szCs w:val="24"/>
        </w:rPr>
      </w:pPr>
      <w:r w:rsidRPr="009445D8">
        <w:rPr>
          <w:sz w:val="24"/>
          <w:szCs w:val="24"/>
        </w:rPr>
        <w:t>Hos tæver, der er under 1 år gamle, bør der tages hensyn til muligheden for anatomiske tilstande, som medvirker til inkontinens, inden behandlingen påbegyndes.</w:t>
      </w:r>
    </w:p>
    <w:p w14:paraId="478A5006" w14:textId="77777777" w:rsidR="00EA555A" w:rsidRPr="009445D8" w:rsidRDefault="00EA555A" w:rsidP="009445D8">
      <w:pPr>
        <w:ind w:left="851"/>
        <w:rPr>
          <w:sz w:val="24"/>
          <w:szCs w:val="24"/>
        </w:rPr>
      </w:pPr>
      <w:r w:rsidRPr="009445D8">
        <w:rPr>
          <w:sz w:val="24"/>
          <w:szCs w:val="24"/>
        </w:rPr>
        <w:t>Produktet egner sig ikke til behandling af adfærdsbetingede årsager til utilstrækkelig vandladning.</w:t>
      </w:r>
    </w:p>
    <w:p w14:paraId="4F89F775" w14:textId="77777777" w:rsidR="008203A8" w:rsidRPr="009445D8" w:rsidRDefault="008203A8" w:rsidP="008203A8">
      <w:pPr>
        <w:pStyle w:val="Sidehoved"/>
        <w:tabs>
          <w:tab w:val="clear" w:pos="4819"/>
        </w:tabs>
        <w:ind w:left="851"/>
        <w:rPr>
          <w:szCs w:val="24"/>
        </w:rPr>
      </w:pPr>
    </w:p>
    <w:p w14:paraId="7AE72CA0" w14:textId="77777777" w:rsidR="008203A8" w:rsidRPr="009445D8" w:rsidRDefault="008203A8" w:rsidP="008203A8">
      <w:pPr>
        <w:tabs>
          <w:tab w:val="left" w:pos="851"/>
        </w:tabs>
        <w:ind w:left="851" w:hanging="851"/>
        <w:rPr>
          <w:b/>
          <w:sz w:val="24"/>
          <w:szCs w:val="24"/>
        </w:rPr>
      </w:pPr>
      <w:r w:rsidRPr="009445D8">
        <w:rPr>
          <w:b/>
          <w:sz w:val="24"/>
          <w:szCs w:val="24"/>
        </w:rPr>
        <w:t>3.5</w:t>
      </w:r>
      <w:r w:rsidRPr="009445D8">
        <w:rPr>
          <w:b/>
          <w:sz w:val="24"/>
          <w:szCs w:val="24"/>
        </w:rPr>
        <w:tab/>
        <w:t>Særlige forholdsregler vedrørende brugen</w:t>
      </w:r>
    </w:p>
    <w:p w14:paraId="11A7F043" w14:textId="77777777" w:rsidR="008203A8" w:rsidRPr="009445D8" w:rsidRDefault="008203A8" w:rsidP="008203A8">
      <w:pPr>
        <w:tabs>
          <w:tab w:val="left" w:pos="851"/>
        </w:tabs>
        <w:ind w:left="851"/>
        <w:rPr>
          <w:sz w:val="24"/>
          <w:szCs w:val="24"/>
        </w:rPr>
      </w:pPr>
    </w:p>
    <w:p w14:paraId="72B8F0CF" w14:textId="77777777" w:rsidR="008203A8" w:rsidRPr="009445D8" w:rsidRDefault="008203A8" w:rsidP="008203A8">
      <w:pPr>
        <w:tabs>
          <w:tab w:val="left" w:pos="851"/>
        </w:tabs>
        <w:ind w:left="851"/>
        <w:rPr>
          <w:sz w:val="24"/>
          <w:szCs w:val="24"/>
          <w:u w:val="single"/>
        </w:rPr>
      </w:pPr>
      <w:r w:rsidRPr="009445D8">
        <w:rPr>
          <w:sz w:val="24"/>
          <w:szCs w:val="24"/>
          <w:u w:val="single"/>
        </w:rPr>
        <w:t>Særlige forholdsregler vedrørende sikker brug hos de dyrearter, som lægemidlet er beregnet til</w:t>
      </w:r>
    </w:p>
    <w:p w14:paraId="27434CDB" w14:textId="77777777" w:rsidR="00EA555A" w:rsidRPr="009445D8" w:rsidRDefault="00EA555A" w:rsidP="009445D8">
      <w:pPr>
        <w:ind w:left="851"/>
        <w:rPr>
          <w:spacing w:val="-2"/>
          <w:sz w:val="24"/>
          <w:szCs w:val="24"/>
        </w:rPr>
      </w:pPr>
      <w:proofErr w:type="spellStart"/>
      <w:r w:rsidRPr="009445D8">
        <w:rPr>
          <w:sz w:val="24"/>
          <w:szCs w:val="24"/>
        </w:rPr>
        <w:t>Phenylpropanolamin</w:t>
      </w:r>
      <w:proofErr w:type="spellEnd"/>
      <w:r w:rsidRPr="009445D8">
        <w:rPr>
          <w:sz w:val="24"/>
          <w:szCs w:val="24"/>
        </w:rPr>
        <w:t xml:space="preserve">, der er et </w:t>
      </w:r>
      <w:proofErr w:type="spellStart"/>
      <w:r w:rsidRPr="009445D8">
        <w:rPr>
          <w:sz w:val="24"/>
          <w:szCs w:val="24"/>
        </w:rPr>
        <w:t>sympatomimetikum</w:t>
      </w:r>
      <w:proofErr w:type="spellEnd"/>
      <w:r w:rsidRPr="009445D8">
        <w:rPr>
          <w:sz w:val="24"/>
          <w:szCs w:val="24"/>
        </w:rPr>
        <w:t xml:space="preserve">, kan påvirke det </w:t>
      </w:r>
      <w:proofErr w:type="spellStart"/>
      <w:r w:rsidRPr="009445D8">
        <w:rPr>
          <w:sz w:val="24"/>
          <w:szCs w:val="24"/>
        </w:rPr>
        <w:t>kardiovaskulære</w:t>
      </w:r>
      <w:proofErr w:type="spellEnd"/>
      <w:r w:rsidRPr="009445D8">
        <w:rPr>
          <w:sz w:val="24"/>
          <w:szCs w:val="24"/>
        </w:rPr>
        <w:t xml:space="preserve"> system, navnlig blodtryk og hjertefrekvens, og bør derfor anvendes med forsigtighed til dyr med hjerte-kar-sygdom.</w:t>
      </w:r>
    </w:p>
    <w:p w14:paraId="5BE84466" w14:textId="77777777" w:rsidR="00EA555A" w:rsidRPr="009445D8" w:rsidRDefault="00EA555A" w:rsidP="009445D8">
      <w:pPr>
        <w:ind w:left="851"/>
        <w:rPr>
          <w:spacing w:val="-2"/>
          <w:sz w:val="24"/>
          <w:szCs w:val="24"/>
        </w:rPr>
      </w:pPr>
      <w:r w:rsidRPr="009445D8">
        <w:rPr>
          <w:sz w:val="24"/>
          <w:szCs w:val="24"/>
        </w:rPr>
        <w:t xml:space="preserve">Der bør udvises forsigtighed ved administration til hunde med </w:t>
      </w:r>
      <w:proofErr w:type="spellStart"/>
      <w:r w:rsidRPr="009445D8">
        <w:rPr>
          <w:sz w:val="24"/>
          <w:szCs w:val="24"/>
        </w:rPr>
        <w:t>hypertyreose</w:t>
      </w:r>
      <w:proofErr w:type="spellEnd"/>
      <w:r w:rsidRPr="009445D8">
        <w:rPr>
          <w:sz w:val="24"/>
          <w:szCs w:val="24"/>
        </w:rPr>
        <w:t xml:space="preserve">, da der er øget risiko for </w:t>
      </w:r>
      <w:proofErr w:type="spellStart"/>
      <w:r w:rsidRPr="009445D8">
        <w:rPr>
          <w:sz w:val="24"/>
          <w:szCs w:val="24"/>
        </w:rPr>
        <w:t>arytmi</w:t>
      </w:r>
      <w:proofErr w:type="spellEnd"/>
      <w:r w:rsidRPr="009445D8">
        <w:rPr>
          <w:sz w:val="24"/>
          <w:szCs w:val="24"/>
        </w:rPr>
        <w:t>.</w:t>
      </w:r>
    </w:p>
    <w:p w14:paraId="04045E56" w14:textId="24880C15" w:rsidR="00EA555A" w:rsidRPr="009445D8" w:rsidRDefault="00EA555A" w:rsidP="009445D8">
      <w:pPr>
        <w:ind w:left="851"/>
        <w:rPr>
          <w:spacing w:val="-2"/>
          <w:sz w:val="24"/>
          <w:szCs w:val="24"/>
        </w:rPr>
      </w:pPr>
      <w:r w:rsidRPr="009445D8">
        <w:rPr>
          <w:sz w:val="24"/>
          <w:szCs w:val="24"/>
        </w:rPr>
        <w:t>Der bør udvises forsigtighed ved behandling af dyr med svær nyre- eller</w:t>
      </w:r>
      <w:r w:rsidR="0006548E" w:rsidRPr="009445D8">
        <w:rPr>
          <w:sz w:val="24"/>
          <w:szCs w:val="24"/>
        </w:rPr>
        <w:t xml:space="preserve"> </w:t>
      </w:r>
      <w:r w:rsidRPr="009445D8">
        <w:rPr>
          <w:sz w:val="24"/>
          <w:szCs w:val="24"/>
        </w:rPr>
        <w:t xml:space="preserve">leverinsufficiens, diabetes mellitus, </w:t>
      </w:r>
      <w:proofErr w:type="spellStart"/>
      <w:r w:rsidRPr="009445D8">
        <w:rPr>
          <w:sz w:val="24"/>
          <w:szCs w:val="24"/>
        </w:rPr>
        <w:t>hyperadrenokorticisme</w:t>
      </w:r>
      <w:proofErr w:type="spellEnd"/>
      <w:r w:rsidRPr="009445D8">
        <w:rPr>
          <w:sz w:val="24"/>
          <w:szCs w:val="24"/>
        </w:rPr>
        <w:t xml:space="preserve">, </w:t>
      </w:r>
      <w:proofErr w:type="spellStart"/>
      <w:r w:rsidRPr="009445D8">
        <w:rPr>
          <w:sz w:val="24"/>
          <w:szCs w:val="24"/>
        </w:rPr>
        <w:t>glaukom</w:t>
      </w:r>
      <w:proofErr w:type="spellEnd"/>
      <w:r w:rsidRPr="009445D8">
        <w:rPr>
          <w:sz w:val="24"/>
          <w:szCs w:val="24"/>
        </w:rPr>
        <w:t xml:space="preserve"> eller andre stofskiftelidelser. </w:t>
      </w:r>
    </w:p>
    <w:p w14:paraId="2F8A1EC0" w14:textId="77777777" w:rsidR="008203A8" w:rsidRPr="009445D8" w:rsidRDefault="008203A8" w:rsidP="009445D8">
      <w:pPr>
        <w:ind w:left="851"/>
        <w:rPr>
          <w:sz w:val="24"/>
          <w:szCs w:val="24"/>
        </w:rPr>
      </w:pPr>
    </w:p>
    <w:p w14:paraId="60CA7088" w14:textId="77777777" w:rsidR="008203A8" w:rsidRPr="009445D8" w:rsidRDefault="008203A8" w:rsidP="008203A8">
      <w:pPr>
        <w:tabs>
          <w:tab w:val="left" w:pos="851"/>
        </w:tabs>
        <w:ind w:left="851"/>
        <w:rPr>
          <w:sz w:val="24"/>
          <w:szCs w:val="24"/>
          <w:u w:val="single"/>
        </w:rPr>
      </w:pPr>
      <w:r w:rsidRPr="009445D8">
        <w:rPr>
          <w:sz w:val="24"/>
          <w:szCs w:val="24"/>
          <w:u w:val="single"/>
        </w:rPr>
        <w:t>Særlige forholdsregler for personer, der administrerer veterinærlægemidlet til dyr</w:t>
      </w:r>
    </w:p>
    <w:p w14:paraId="23F58F42" w14:textId="77777777" w:rsidR="00EA555A" w:rsidRPr="009445D8" w:rsidRDefault="00EA555A" w:rsidP="009445D8">
      <w:pPr>
        <w:ind w:left="851"/>
        <w:rPr>
          <w:spacing w:val="-2"/>
          <w:sz w:val="24"/>
          <w:szCs w:val="24"/>
        </w:rPr>
      </w:pPr>
      <w:proofErr w:type="spellStart"/>
      <w:r w:rsidRPr="009445D8">
        <w:rPr>
          <w:sz w:val="24"/>
          <w:szCs w:val="24"/>
        </w:rPr>
        <w:t>Phenylpropanolaminhydrochlorid</w:t>
      </w:r>
      <w:proofErr w:type="spellEnd"/>
      <w:r w:rsidRPr="009445D8">
        <w:rPr>
          <w:sz w:val="24"/>
          <w:szCs w:val="24"/>
        </w:rPr>
        <w:t xml:space="preserve"> er giftigt ved indtagelse af høje doser. Uønskede virkninger kan omfatte </w:t>
      </w:r>
      <w:proofErr w:type="spellStart"/>
      <w:r w:rsidRPr="009445D8">
        <w:rPr>
          <w:sz w:val="24"/>
          <w:szCs w:val="24"/>
        </w:rPr>
        <w:t>ørhed</w:t>
      </w:r>
      <w:proofErr w:type="spellEnd"/>
      <w:r w:rsidRPr="009445D8">
        <w:rPr>
          <w:sz w:val="24"/>
          <w:szCs w:val="24"/>
        </w:rPr>
        <w:t>, hovedpine, kvalme, søvnløshed eller rastløshed samt blodtryksforhøjelse. Høje doser kan have dødelig udgang, især hos børn. Undgå oral indtagelse, herunder hånd-til-mund-kontakt.</w:t>
      </w:r>
    </w:p>
    <w:p w14:paraId="1E858DFA" w14:textId="77777777" w:rsidR="00EA555A" w:rsidRPr="009445D8" w:rsidRDefault="00EA555A" w:rsidP="009445D8">
      <w:pPr>
        <w:ind w:left="851"/>
        <w:rPr>
          <w:spacing w:val="-2"/>
          <w:sz w:val="24"/>
          <w:szCs w:val="24"/>
        </w:rPr>
      </w:pPr>
      <w:r w:rsidRPr="009445D8">
        <w:rPr>
          <w:sz w:val="24"/>
          <w:szCs w:val="24"/>
        </w:rPr>
        <w:t>For at undgå utilsigtet indtagelse skal veterinærlægemidlet anvendes og opbevares utilgængeligt for børn. Skru altid låget ordentligt på efter brug for at sikre, at børnesikringen virker korrekt. En fyldt sprøjte må ikke efterlades uden opsyn.</w:t>
      </w:r>
    </w:p>
    <w:p w14:paraId="04A46FBD" w14:textId="77777777" w:rsidR="00EA555A" w:rsidRPr="009445D8" w:rsidRDefault="00EA555A" w:rsidP="009445D8">
      <w:pPr>
        <w:ind w:left="851"/>
        <w:rPr>
          <w:spacing w:val="-2"/>
          <w:sz w:val="24"/>
          <w:szCs w:val="24"/>
        </w:rPr>
      </w:pPr>
      <w:r w:rsidRPr="009445D8">
        <w:rPr>
          <w:sz w:val="24"/>
          <w:szCs w:val="24"/>
        </w:rPr>
        <w:t>I tilfælde af utilsigtet indtagelse skal der straks søges lægehjælp, og indlægssedlen eller etiketten bør vises til lægen.</w:t>
      </w:r>
    </w:p>
    <w:p w14:paraId="335F56D0" w14:textId="77777777" w:rsidR="00EA555A" w:rsidRPr="009445D8" w:rsidRDefault="00EA555A" w:rsidP="009445D8">
      <w:pPr>
        <w:ind w:left="851"/>
        <w:rPr>
          <w:spacing w:val="-2"/>
          <w:sz w:val="24"/>
          <w:szCs w:val="24"/>
        </w:rPr>
      </w:pPr>
      <w:r w:rsidRPr="009445D8">
        <w:rPr>
          <w:sz w:val="24"/>
          <w:szCs w:val="24"/>
        </w:rPr>
        <w:t>Vask hænder efter håndtering af veterinærlægemidlet.</w:t>
      </w:r>
    </w:p>
    <w:p w14:paraId="6B924965" w14:textId="5F4C8C46" w:rsidR="00EA555A" w:rsidRPr="009445D8" w:rsidRDefault="00EA555A" w:rsidP="009445D8">
      <w:pPr>
        <w:ind w:left="851"/>
        <w:rPr>
          <w:spacing w:val="-2"/>
          <w:sz w:val="24"/>
          <w:szCs w:val="24"/>
        </w:rPr>
      </w:pPr>
      <w:r w:rsidRPr="009445D8">
        <w:rPr>
          <w:sz w:val="24"/>
          <w:szCs w:val="24"/>
        </w:rPr>
        <w:t>Dette veterinærlægemiddel kan forårsage øjenirritation. Undgå kontakt med øjnene. I</w:t>
      </w:r>
      <w:r w:rsidR="009445D8" w:rsidRPr="009445D8">
        <w:rPr>
          <w:sz w:val="24"/>
          <w:szCs w:val="24"/>
        </w:rPr>
        <w:t> </w:t>
      </w:r>
      <w:r w:rsidRPr="009445D8">
        <w:rPr>
          <w:sz w:val="24"/>
          <w:szCs w:val="24"/>
        </w:rPr>
        <w:t>tilfælde af utilsigtet øjenkontakt skal øjnene skylles grundigt med rent vand; søg læge, hvis irritationen vedvarer.</w:t>
      </w:r>
    </w:p>
    <w:p w14:paraId="66168DBE" w14:textId="77777777" w:rsidR="00EA555A" w:rsidRPr="009445D8" w:rsidRDefault="00EA555A" w:rsidP="009445D8">
      <w:pPr>
        <w:ind w:left="851"/>
        <w:rPr>
          <w:sz w:val="24"/>
          <w:szCs w:val="24"/>
        </w:rPr>
      </w:pPr>
    </w:p>
    <w:p w14:paraId="0A489B27" w14:textId="77777777" w:rsidR="00EA555A" w:rsidRPr="009445D8" w:rsidRDefault="00EA555A" w:rsidP="009445D8">
      <w:pPr>
        <w:ind w:left="851"/>
        <w:rPr>
          <w:sz w:val="24"/>
          <w:szCs w:val="24"/>
        </w:rPr>
      </w:pPr>
      <w:r w:rsidRPr="009445D8">
        <w:rPr>
          <w:sz w:val="24"/>
          <w:szCs w:val="24"/>
        </w:rPr>
        <w:t xml:space="preserve">Ved overfølsomhed (allergi) over for </w:t>
      </w:r>
      <w:proofErr w:type="spellStart"/>
      <w:r w:rsidRPr="009445D8">
        <w:rPr>
          <w:sz w:val="24"/>
          <w:szCs w:val="24"/>
        </w:rPr>
        <w:t>phenylpropanolaminhydrochlorid</w:t>
      </w:r>
      <w:proofErr w:type="spellEnd"/>
      <w:r w:rsidRPr="009445D8">
        <w:rPr>
          <w:sz w:val="24"/>
          <w:szCs w:val="24"/>
        </w:rPr>
        <w:t xml:space="preserve"> bør kontakt med veterinærlægemidlet undgås. Brug handsker. Hvis der ses allergiske symptomer som f.eks. hududslæt, hævelser i ansigt, læber eller omkring øjnene eller vejrtrækningsbesvær, skal der straks søges lægehjælp, og indlægssedlen eller etiketten bør vises til lægen.</w:t>
      </w:r>
    </w:p>
    <w:p w14:paraId="6CD6B027" w14:textId="77777777" w:rsidR="008203A8" w:rsidRPr="009445D8" w:rsidRDefault="008203A8" w:rsidP="009445D8">
      <w:pPr>
        <w:ind w:left="851"/>
        <w:rPr>
          <w:sz w:val="24"/>
          <w:szCs w:val="24"/>
        </w:rPr>
      </w:pPr>
    </w:p>
    <w:p w14:paraId="0330C693" w14:textId="77777777" w:rsidR="008203A8" w:rsidRPr="009445D8" w:rsidRDefault="008203A8" w:rsidP="008203A8">
      <w:pPr>
        <w:tabs>
          <w:tab w:val="left" w:pos="851"/>
        </w:tabs>
        <w:ind w:left="851"/>
        <w:rPr>
          <w:sz w:val="24"/>
          <w:szCs w:val="24"/>
          <w:u w:val="single"/>
        </w:rPr>
      </w:pPr>
      <w:r w:rsidRPr="009445D8">
        <w:rPr>
          <w:sz w:val="24"/>
          <w:szCs w:val="24"/>
          <w:u w:val="single"/>
        </w:rPr>
        <w:t>Særlige forholdsregler vedrørende beskyttelse af miljøet</w:t>
      </w:r>
    </w:p>
    <w:p w14:paraId="777BA247" w14:textId="77777777" w:rsidR="00EA555A" w:rsidRPr="009445D8" w:rsidRDefault="00EA555A" w:rsidP="009445D8">
      <w:pPr>
        <w:ind w:left="851"/>
        <w:rPr>
          <w:sz w:val="24"/>
          <w:szCs w:val="24"/>
        </w:rPr>
      </w:pPr>
      <w:r w:rsidRPr="009445D8">
        <w:rPr>
          <w:sz w:val="24"/>
          <w:szCs w:val="24"/>
        </w:rPr>
        <w:t>Ikke relevant.</w:t>
      </w:r>
    </w:p>
    <w:p w14:paraId="671C0A31" w14:textId="16AE5344" w:rsidR="009445D8" w:rsidRPr="009445D8" w:rsidRDefault="009445D8">
      <w:pPr>
        <w:rPr>
          <w:sz w:val="24"/>
          <w:szCs w:val="24"/>
        </w:rPr>
      </w:pPr>
      <w:r w:rsidRPr="009445D8">
        <w:rPr>
          <w:sz w:val="24"/>
          <w:szCs w:val="24"/>
        </w:rPr>
        <w:br w:type="page"/>
      </w:r>
    </w:p>
    <w:p w14:paraId="38BD1884" w14:textId="77777777" w:rsidR="008203A8" w:rsidRPr="009445D8" w:rsidRDefault="008203A8" w:rsidP="008203A8">
      <w:pPr>
        <w:tabs>
          <w:tab w:val="left" w:pos="851"/>
        </w:tabs>
        <w:ind w:left="851"/>
        <w:rPr>
          <w:sz w:val="24"/>
          <w:szCs w:val="24"/>
        </w:rPr>
      </w:pPr>
    </w:p>
    <w:p w14:paraId="39BFF4D5" w14:textId="77777777" w:rsidR="008203A8" w:rsidRPr="009445D8" w:rsidRDefault="008203A8" w:rsidP="008203A8">
      <w:pPr>
        <w:tabs>
          <w:tab w:val="left" w:pos="851"/>
        </w:tabs>
        <w:ind w:left="851" w:hanging="851"/>
        <w:rPr>
          <w:b/>
          <w:sz w:val="24"/>
          <w:szCs w:val="24"/>
        </w:rPr>
      </w:pPr>
      <w:r w:rsidRPr="009445D8">
        <w:rPr>
          <w:b/>
          <w:sz w:val="24"/>
          <w:szCs w:val="24"/>
        </w:rPr>
        <w:t>3.6</w:t>
      </w:r>
      <w:r w:rsidRPr="009445D8">
        <w:rPr>
          <w:b/>
          <w:sz w:val="24"/>
          <w:szCs w:val="24"/>
        </w:rPr>
        <w:tab/>
        <w:t>Bivirkninger</w:t>
      </w:r>
    </w:p>
    <w:p w14:paraId="5ACC368B" w14:textId="77777777" w:rsidR="00EA555A" w:rsidRPr="009445D8" w:rsidRDefault="00EA555A" w:rsidP="0006548E">
      <w:pPr>
        <w:pStyle w:val="Ingenafstand"/>
        <w:ind w:left="851"/>
        <w:rPr>
          <w:u w:val="single"/>
        </w:rPr>
      </w:pPr>
      <w:r w:rsidRPr="009445D8">
        <w:t>Hunde:</w:t>
      </w:r>
    </w:p>
    <w:p w14:paraId="6755527A" w14:textId="77777777" w:rsidR="00EA555A" w:rsidRPr="009445D8" w:rsidRDefault="00EA555A" w:rsidP="00EA555A">
      <w:pPr>
        <w:pStyle w:val="Ingenafstand"/>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EA555A" w:rsidRPr="009445D8" w14:paraId="33F3372B" w14:textId="77777777" w:rsidTr="009445D8">
        <w:tc>
          <w:tcPr>
            <w:tcW w:w="2144" w:type="pct"/>
            <w:tcBorders>
              <w:top w:val="single" w:sz="4" w:space="0" w:color="auto"/>
              <w:left w:val="single" w:sz="4" w:space="0" w:color="auto"/>
              <w:bottom w:val="single" w:sz="4" w:space="0" w:color="auto"/>
              <w:right w:val="single" w:sz="4" w:space="0" w:color="auto"/>
            </w:tcBorders>
            <w:hideMark/>
          </w:tcPr>
          <w:p w14:paraId="4F4A064F" w14:textId="77777777" w:rsidR="00EA555A" w:rsidRPr="009445D8" w:rsidRDefault="00EA555A">
            <w:pPr>
              <w:pStyle w:val="Ingenafstand"/>
            </w:pPr>
            <w:r w:rsidRPr="009445D8">
              <w:t>Meget sjælden</w:t>
            </w:r>
          </w:p>
          <w:p w14:paraId="65E0E56E" w14:textId="77777777" w:rsidR="00EA555A" w:rsidRPr="009445D8" w:rsidRDefault="00EA555A">
            <w:pPr>
              <w:pStyle w:val="Ingenafstand"/>
            </w:pPr>
            <w:r w:rsidRPr="009445D8">
              <w:t>(&lt; 1 ud af 10.000 behandlede dyr, herunder enkeltstående indberetninger):</w:t>
            </w:r>
          </w:p>
        </w:tc>
        <w:tc>
          <w:tcPr>
            <w:tcW w:w="2856" w:type="pct"/>
            <w:tcBorders>
              <w:top w:val="single" w:sz="4" w:space="0" w:color="auto"/>
              <w:left w:val="single" w:sz="4" w:space="0" w:color="auto"/>
              <w:bottom w:val="single" w:sz="4" w:space="0" w:color="auto"/>
              <w:right w:val="single" w:sz="4" w:space="0" w:color="auto"/>
            </w:tcBorders>
            <w:hideMark/>
          </w:tcPr>
          <w:p w14:paraId="7FCE99E7" w14:textId="77777777" w:rsidR="00EA555A" w:rsidRPr="009445D8" w:rsidRDefault="00EA555A">
            <w:pPr>
              <w:pStyle w:val="Ingenafstand"/>
              <w:rPr>
                <w:iCs/>
                <w:highlight w:val="yellow"/>
              </w:rPr>
            </w:pPr>
            <w:r w:rsidRPr="009445D8">
              <w:t>Overfølsomhed</w:t>
            </w:r>
          </w:p>
        </w:tc>
      </w:tr>
      <w:tr w:rsidR="00EA555A" w:rsidRPr="009445D8" w14:paraId="008D29F4" w14:textId="77777777" w:rsidTr="009445D8">
        <w:tc>
          <w:tcPr>
            <w:tcW w:w="2144" w:type="pct"/>
            <w:tcBorders>
              <w:top w:val="single" w:sz="4" w:space="0" w:color="auto"/>
              <w:left w:val="single" w:sz="4" w:space="0" w:color="auto"/>
              <w:bottom w:val="single" w:sz="4" w:space="0" w:color="auto"/>
              <w:right w:val="single" w:sz="4" w:space="0" w:color="auto"/>
            </w:tcBorders>
            <w:hideMark/>
          </w:tcPr>
          <w:p w14:paraId="14983707" w14:textId="77777777" w:rsidR="00EA555A" w:rsidRPr="009445D8" w:rsidRDefault="00EA555A">
            <w:pPr>
              <w:pStyle w:val="Ingenafstand"/>
            </w:pPr>
            <w:r w:rsidRPr="009445D8">
              <w:t>Ikke kendt (hyppigheden kan ikke estimeres ud fra forhåndenværende data):</w:t>
            </w:r>
          </w:p>
        </w:tc>
        <w:tc>
          <w:tcPr>
            <w:tcW w:w="2856" w:type="pct"/>
            <w:tcBorders>
              <w:top w:val="single" w:sz="4" w:space="0" w:color="auto"/>
              <w:left w:val="single" w:sz="4" w:space="0" w:color="auto"/>
              <w:bottom w:val="single" w:sz="4" w:space="0" w:color="auto"/>
              <w:right w:val="single" w:sz="4" w:space="0" w:color="auto"/>
            </w:tcBorders>
            <w:hideMark/>
          </w:tcPr>
          <w:p w14:paraId="2E83C92E" w14:textId="77777777" w:rsidR="00EA555A" w:rsidRPr="009445D8" w:rsidRDefault="00EA555A">
            <w:pPr>
              <w:pStyle w:val="Ingenafstand"/>
              <w:rPr>
                <w:iCs/>
              </w:rPr>
            </w:pPr>
            <w:r w:rsidRPr="009445D8">
              <w:t xml:space="preserve">Rastløshed </w:t>
            </w:r>
          </w:p>
          <w:p w14:paraId="10C9C80D" w14:textId="77777777" w:rsidR="00EA555A" w:rsidRPr="009445D8" w:rsidRDefault="00EA555A">
            <w:pPr>
              <w:pStyle w:val="Ingenafstand"/>
              <w:rPr>
                <w:iCs/>
              </w:rPr>
            </w:pPr>
            <w:proofErr w:type="spellStart"/>
            <w:r w:rsidRPr="009445D8">
              <w:t>Arytmi</w:t>
            </w:r>
            <w:proofErr w:type="spellEnd"/>
            <w:r w:rsidRPr="009445D8">
              <w:t>*, højt blodtryk**, øget hjertefrekvens**</w:t>
            </w:r>
          </w:p>
          <w:p w14:paraId="280C4223" w14:textId="77777777" w:rsidR="00EA555A" w:rsidRPr="009445D8" w:rsidRDefault="00EA555A">
            <w:pPr>
              <w:pStyle w:val="Ingenafstand"/>
              <w:rPr>
                <w:iCs/>
              </w:rPr>
            </w:pPr>
            <w:r w:rsidRPr="009445D8">
              <w:t>Diarré*, løs afføring*</w:t>
            </w:r>
          </w:p>
          <w:p w14:paraId="79520104" w14:textId="77777777" w:rsidR="00EA555A" w:rsidRPr="009445D8" w:rsidRDefault="00EA555A">
            <w:pPr>
              <w:pStyle w:val="Ingenafstand"/>
              <w:rPr>
                <w:iCs/>
              </w:rPr>
            </w:pPr>
            <w:r w:rsidRPr="009445D8">
              <w:t>Svimmelhed</w:t>
            </w:r>
          </w:p>
          <w:p w14:paraId="59FE0185" w14:textId="77777777" w:rsidR="00EA555A" w:rsidRPr="009445D8" w:rsidRDefault="00EA555A">
            <w:pPr>
              <w:pStyle w:val="Ingenafstand"/>
              <w:rPr>
                <w:iCs/>
              </w:rPr>
            </w:pPr>
            <w:r w:rsidRPr="009445D8">
              <w:t>Kollaps*, manglende appetit*</w:t>
            </w:r>
          </w:p>
        </w:tc>
      </w:tr>
    </w:tbl>
    <w:p w14:paraId="428F38ED" w14:textId="78CCD5A5" w:rsidR="00EA555A" w:rsidRPr="009445D8" w:rsidRDefault="00EA555A" w:rsidP="009445D8">
      <w:pPr>
        <w:pStyle w:val="Ingenafstand"/>
        <w:ind w:left="1418" w:hanging="567"/>
        <w:rPr>
          <w:spacing w:val="-2"/>
        </w:rPr>
      </w:pPr>
      <w:r w:rsidRPr="009445D8">
        <w:t xml:space="preserve">* </w:t>
      </w:r>
      <w:r w:rsidR="0006548E" w:rsidRPr="009445D8">
        <w:tab/>
      </w:r>
      <w:r w:rsidRPr="009445D8">
        <w:t>I kliniske forsøg blev behandlingen fortsat alt efter sværhedsgraden af de observerede bivirkninger.</w:t>
      </w:r>
    </w:p>
    <w:p w14:paraId="0B87BA4A" w14:textId="652D21E3" w:rsidR="00EA555A" w:rsidRPr="009445D8" w:rsidRDefault="00EA555A" w:rsidP="009445D8">
      <w:pPr>
        <w:pStyle w:val="Ingenafstand"/>
        <w:ind w:left="1418" w:hanging="567"/>
        <w:rPr>
          <w:spacing w:val="-2"/>
        </w:rPr>
      </w:pPr>
      <w:r w:rsidRPr="009445D8">
        <w:t xml:space="preserve">** </w:t>
      </w:r>
      <w:r w:rsidR="0006548E" w:rsidRPr="009445D8">
        <w:tab/>
      </w:r>
      <w:r w:rsidRPr="009445D8">
        <w:t>Indvirkningen på hjertefrekvens og blodtryk skyldes kraftig stimulation af det sympatiske nervesystem.</w:t>
      </w:r>
    </w:p>
    <w:p w14:paraId="00706030" w14:textId="77777777" w:rsidR="00EA555A" w:rsidRPr="009445D8" w:rsidRDefault="00EA555A" w:rsidP="009445D8">
      <w:pPr>
        <w:ind w:left="851"/>
        <w:rPr>
          <w:sz w:val="24"/>
          <w:szCs w:val="24"/>
        </w:rPr>
      </w:pPr>
    </w:p>
    <w:p w14:paraId="7226BE51" w14:textId="77777777" w:rsidR="00EA555A" w:rsidRPr="009445D8" w:rsidRDefault="00EA555A" w:rsidP="009445D8">
      <w:pPr>
        <w:ind w:left="851"/>
        <w:rPr>
          <w:sz w:val="24"/>
          <w:szCs w:val="24"/>
        </w:rPr>
      </w:pPr>
      <w:r w:rsidRPr="009445D8">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rapporteringssystem. Se indlægssedlen for de relevante kontaktoplysninger.</w:t>
      </w:r>
    </w:p>
    <w:p w14:paraId="3BE70A34" w14:textId="77777777" w:rsidR="008203A8" w:rsidRPr="009445D8" w:rsidRDefault="008203A8" w:rsidP="008203A8">
      <w:pPr>
        <w:tabs>
          <w:tab w:val="left" w:pos="851"/>
        </w:tabs>
        <w:ind w:left="851"/>
        <w:rPr>
          <w:sz w:val="24"/>
          <w:szCs w:val="24"/>
        </w:rPr>
      </w:pPr>
    </w:p>
    <w:p w14:paraId="297F47A1" w14:textId="77777777" w:rsidR="008203A8" w:rsidRPr="009445D8" w:rsidRDefault="008203A8" w:rsidP="008203A8">
      <w:pPr>
        <w:tabs>
          <w:tab w:val="left" w:pos="851"/>
        </w:tabs>
        <w:ind w:left="851" w:hanging="851"/>
        <w:rPr>
          <w:b/>
          <w:sz w:val="24"/>
          <w:szCs w:val="24"/>
        </w:rPr>
      </w:pPr>
      <w:r w:rsidRPr="009445D8">
        <w:rPr>
          <w:b/>
          <w:sz w:val="24"/>
          <w:szCs w:val="24"/>
        </w:rPr>
        <w:t>3.7</w:t>
      </w:r>
      <w:r w:rsidRPr="009445D8">
        <w:rPr>
          <w:b/>
          <w:sz w:val="24"/>
          <w:szCs w:val="24"/>
        </w:rPr>
        <w:tab/>
        <w:t>Anvendelse under drægtighed, laktation eller æglægning</w:t>
      </w:r>
    </w:p>
    <w:p w14:paraId="0D524ED5" w14:textId="77777777" w:rsidR="00EA555A" w:rsidRPr="009445D8" w:rsidRDefault="00EA555A" w:rsidP="009445D8">
      <w:pPr>
        <w:ind w:left="851"/>
        <w:rPr>
          <w:spacing w:val="-2"/>
          <w:sz w:val="24"/>
          <w:szCs w:val="24"/>
        </w:rPr>
      </w:pPr>
      <w:r w:rsidRPr="009445D8">
        <w:rPr>
          <w:sz w:val="24"/>
          <w:szCs w:val="24"/>
        </w:rPr>
        <w:t>Må ikke anvendes til drægtige eller diegivende tæver.</w:t>
      </w:r>
    </w:p>
    <w:p w14:paraId="29A6EB6A" w14:textId="77777777" w:rsidR="00EA555A" w:rsidRPr="009445D8" w:rsidRDefault="00EA555A" w:rsidP="009445D8">
      <w:pPr>
        <w:ind w:left="851"/>
        <w:rPr>
          <w:sz w:val="24"/>
          <w:szCs w:val="24"/>
        </w:rPr>
      </w:pPr>
      <w:r w:rsidRPr="009445D8">
        <w:rPr>
          <w:sz w:val="24"/>
          <w:szCs w:val="24"/>
        </w:rPr>
        <w:t xml:space="preserve">Der foreligger ingen data om virkningen af </w:t>
      </w:r>
      <w:proofErr w:type="spellStart"/>
      <w:r w:rsidRPr="009445D8">
        <w:rPr>
          <w:sz w:val="24"/>
          <w:szCs w:val="24"/>
        </w:rPr>
        <w:t>phenylpropanolaminhydrochlorid</w:t>
      </w:r>
      <w:proofErr w:type="spellEnd"/>
      <w:r w:rsidRPr="009445D8">
        <w:rPr>
          <w:sz w:val="24"/>
          <w:szCs w:val="24"/>
        </w:rPr>
        <w:t xml:space="preserve"> på reproduktionsevnen hos tæver.</w:t>
      </w:r>
    </w:p>
    <w:p w14:paraId="79CD1B62" w14:textId="77777777" w:rsidR="008203A8" w:rsidRPr="009445D8" w:rsidRDefault="008203A8" w:rsidP="008203A8">
      <w:pPr>
        <w:tabs>
          <w:tab w:val="left" w:pos="851"/>
        </w:tabs>
        <w:ind w:left="851"/>
        <w:rPr>
          <w:sz w:val="24"/>
          <w:szCs w:val="24"/>
        </w:rPr>
      </w:pPr>
    </w:p>
    <w:p w14:paraId="4CA077AF" w14:textId="77777777" w:rsidR="008203A8" w:rsidRPr="009445D8" w:rsidRDefault="008203A8" w:rsidP="008203A8">
      <w:pPr>
        <w:tabs>
          <w:tab w:val="left" w:pos="851"/>
        </w:tabs>
        <w:ind w:left="851" w:hanging="851"/>
        <w:rPr>
          <w:b/>
          <w:sz w:val="24"/>
          <w:szCs w:val="24"/>
        </w:rPr>
      </w:pPr>
      <w:r w:rsidRPr="009445D8">
        <w:rPr>
          <w:b/>
          <w:sz w:val="24"/>
          <w:szCs w:val="24"/>
        </w:rPr>
        <w:t>3.8</w:t>
      </w:r>
      <w:r w:rsidRPr="009445D8">
        <w:rPr>
          <w:b/>
          <w:sz w:val="24"/>
          <w:szCs w:val="24"/>
        </w:rPr>
        <w:tab/>
        <w:t>Interaktion med andre lægemidler og andre former for interaktion</w:t>
      </w:r>
    </w:p>
    <w:p w14:paraId="6B933769" w14:textId="77777777" w:rsidR="00EA555A" w:rsidRPr="009445D8" w:rsidRDefault="00EA555A" w:rsidP="009445D8">
      <w:pPr>
        <w:ind w:left="851"/>
        <w:rPr>
          <w:spacing w:val="-2"/>
          <w:sz w:val="24"/>
          <w:szCs w:val="24"/>
        </w:rPr>
      </w:pPr>
      <w:r w:rsidRPr="009445D8">
        <w:rPr>
          <w:sz w:val="24"/>
          <w:szCs w:val="24"/>
        </w:rPr>
        <w:t xml:space="preserve">Der bør udvises forsigtighed, når dette veterinærlægemiddel administreres sammen med andre </w:t>
      </w:r>
      <w:proofErr w:type="spellStart"/>
      <w:r w:rsidRPr="009445D8">
        <w:rPr>
          <w:sz w:val="24"/>
          <w:szCs w:val="24"/>
        </w:rPr>
        <w:t>sympatomimetiske</w:t>
      </w:r>
      <w:proofErr w:type="spellEnd"/>
      <w:r w:rsidRPr="009445D8">
        <w:rPr>
          <w:sz w:val="24"/>
          <w:szCs w:val="24"/>
        </w:rPr>
        <w:t xml:space="preserve"> lægemidler, </w:t>
      </w:r>
      <w:proofErr w:type="spellStart"/>
      <w:r w:rsidRPr="009445D8">
        <w:rPr>
          <w:sz w:val="24"/>
          <w:szCs w:val="24"/>
        </w:rPr>
        <w:t>antikolinerge</w:t>
      </w:r>
      <w:proofErr w:type="spellEnd"/>
      <w:r w:rsidRPr="009445D8">
        <w:rPr>
          <w:sz w:val="24"/>
          <w:szCs w:val="24"/>
        </w:rPr>
        <w:t xml:space="preserve"> lægemidler, tricykliske </w:t>
      </w:r>
      <w:proofErr w:type="spellStart"/>
      <w:r w:rsidRPr="009445D8">
        <w:rPr>
          <w:sz w:val="24"/>
          <w:szCs w:val="24"/>
        </w:rPr>
        <w:t>antidepressiva</w:t>
      </w:r>
      <w:proofErr w:type="spellEnd"/>
      <w:r w:rsidRPr="009445D8">
        <w:rPr>
          <w:sz w:val="24"/>
          <w:szCs w:val="24"/>
        </w:rPr>
        <w:t xml:space="preserve"> eller specifikke type B-</w:t>
      </w:r>
      <w:proofErr w:type="spellStart"/>
      <w:r w:rsidRPr="009445D8">
        <w:rPr>
          <w:sz w:val="24"/>
          <w:szCs w:val="24"/>
        </w:rPr>
        <w:t>monoaminooxidasehæmmere</w:t>
      </w:r>
      <w:proofErr w:type="spellEnd"/>
      <w:r w:rsidRPr="009445D8">
        <w:rPr>
          <w:sz w:val="24"/>
          <w:szCs w:val="24"/>
        </w:rPr>
        <w:t>.</w:t>
      </w:r>
    </w:p>
    <w:p w14:paraId="09C19B67" w14:textId="77777777" w:rsidR="00EA555A" w:rsidRPr="009445D8" w:rsidRDefault="00EA555A" w:rsidP="009445D8">
      <w:pPr>
        <w:ind w:left="851"/>
        <w:rPr>
          <w:sz w:val="24"/>
          <w:szCs w:val="24"/>
        </w:rPr>
      </w:pPr>
      <w:r w:rsidRPr="009445D8">
        <w:rPr>
          <w:sz w:val="24"/>
          <w:szCs w:val="24"/>
        </w:rPr>
        <w:t xml:space="preserve">I kombination med visse </w:t>
      </w:r>
      <w:proofErr w:type="spellStart"/>
      <w:r w:rsidRPr="009445D8">
        <w:rPr>
          <w:sz w:val="24"/>
          <w:szCs w:val="24"/>
        </w:rPr>
        <w:t>anæstetika</w:t>
      </w:r>
      <w:proofErr w:type="spellEnd"/>
      <w:r w:rsidRPr="009445D8">
        <w:rPr>
          <w:sz w:val="24"/>
          <w:szCs w:val="24"/>
        </w:rPr>
        <w:t xml:space="preserve"> (</w:t>
      </w:r>
      <w:proofErr w:type="spellStart"/>
      <w:r w:rsidRPr="009445D8">
        <w:rPr>
          <w:sz w:val="24"/>
          <w:szCs w:val="24"/>
        </w:rPr>
        <w:t>cyclopropan</w:t>
      </w:r>
      <w:proofErr w:type="spellEnd"/>
      <w:r w:rsidRPr="009445D8">
        <w:rPr>
          <w:sz w:val="24"/>
          <w:szCs w:val="24"/>
        </w:rPr>
        <w:t xml:space="preserve">, </w:t>
      </w:r>
      <w:proofErr w:type="spellStart"/>
      <w:r w:rsidRPr="009445D8">
        <w:rPr>
          <w:sz w:val="24"/>
          <w:szCs w:val="24"/>
        </w:rPr>
        <w:t>halotan</w:t>
      </w:r>
      <w:proofErr w:type="spellEnd"/>
      <w:r w:rsidRPr="009445D8">
        <w:rPr>
          <w:sz w:val="24"/>
          <w:szCs w:val="24"/>
        </w:rPr>
        <w:t xml:space="preserve">), thiobarbiturater og digitalis-derivater kan risikoen for </w:t>
      </w:r>
      <w:proofErr w:type="spellStart"/>
      <w:r w:rsidRPr="009445D8">
        <w:rPr>
          <w:sz w:val="24"/>
          <w:szCs w:val="24"/>
        </w:rPr>
        <w:t>arytmi</w:t>
      </w:r>
      <w:proofErr w:type="spellEnd"/>
      <w:r w:rsidRPr="009445D8">
        <w:rPr>
          <w:sz w:val="24"/>
          <w:szCs w:val="24"/>
        </w:rPr>
        <w:t xml:space="preserve"> øges.</w:t>
      </w:r>
    </w:p>
    <w:p w14:paraId="3306E701" w14:textId="77777777" w:rsidR="008203A8" w:rsidRPr="009445D8" w:rsidRDefault="008203A8" w:rsidP="008203A8">
      <w:pPr>
        <w:tabs>
          <w:tab w:val="left" w:pos="851"/>
        </w:tabs>
        <w:ind w:left="851"/>
        <w:rPr>
          <w:sz w:val="24"/>
          <w:szCs w:val="24"/>
        </w:rPr>
      </w:pPr>
    </w:p>
    <w:p w14:paraId="2AD8E25D" w14:textId="77777777" w:rsidR="008203A8" w:rsidRPr="009445D8" w:rsidRDefault="008203A8" w:rsidP="008203A8">
      <w:pPr>
        <w:tabs>
          <w:tab w:val="left" w:pos="851"/>
        </w:tabs>
        <w:ind w:left="851" w:hanging="851"/>
        <w:rPr>
          <w:b/>
          <w:sz w:val="24"/>
          <w:szCs w:val="24"/>
        </w:rPr>
      </w:pPr>
      <w:r w:rsidRPr="009445D8">
        <w:rPr>
          <w:b/>
          <w:sz w:val="24"/>
          <w:szCs w:val="24"/>
        </w:rPr>
        <w:t>3.9</w:t>
      </w:r>
      <w:r w:rsidRPr="009445D8">
        <w:rPr>
          <w:b/>
          <w:sz w:val="24"/>
          <w:szCs w:val="24"/>
        </w:rPr>
        <w:tab/>
        <w:t>Administrationsveje og dosering</w:t>
      </w:r>
    </w:p>
    <w:p w14:paraId="1A8A3BDA" w14:textId="77777777" w:rsidR="00EA555A" w:rsidRPr="009445D8" w:rsidRDefault="00EA555A" w:rsidP="009445D8">
      <w:pPr>
        <w:ind w:left="851"/>
        <w:rPr>
          <w:spacing w:val="-2"/>
          <w:sz w:val="24"/>
          <w:szCs w:val="24"/>
        </w:rPr>
      </w:pPr>
      <w:r w:rsidRPr="009445D8">
        <w:rPr>
          <w:sz w:val="24"/>
          <w:szCs w:val="24"/>
        </w:rPr>
        <w:t xml:space="preserve">Oral administration af 3 mg </w:t>
      </w:r>
      <w:proofErr w:type="spellStart"/>
      <w:r w:rsidRPr="009445D8">
        <w:rPr>
          <w:sz w:val="24"/>
          <w:szCs w:val="24"/>
        </w:rPr>
        <w:t>phenylpropanolaminhydrochlorid</w:t>
      </w:r>
      <w:proofErr w:type="spellEnd"/>
      <w:r w:rsidRPr="009445D8">
        <w:rPr>
          <w:sz w:val="24"/>
          <w:szCs w:val="24"/>
        </w:rPr>
        <w:t xml:space="preserve"> pr. kg legemsvægt pr. dag fordelt på 2 eller 3 indgivelser i 3-4 uger.</w:t>
      </w:r>
    </w:p>
    <w:p w14:paraId="4426EA25" w14:textId="77777777" w:rsidR="00EA555A" w:rsidRPr="009445D8" w:rsidRDefault="00EA555A" w:rsidP="009445D8">
      <w:pPr>
        <w:ind w:left="851"/>
        <w:rPr>
          <w:spacing w:val="-2"/>
          <w:sz w:val="24"/>
          <w:szCs w:val="24"/>
        </w:rPr>
      </w:pPr>
    </w:p>
    <w:p w14:paraId="23F16004" w14:textId="77777777" w:rsidR="00EA555A" w:rsidRPr="009445D8" w:rsidRDefault="00EA555A" w:rsidP="009445D8">
      <w:pPr>
        <w:ind w:left="851"/>
        <w:rPr>
          <w:sz w:val="24"/>
          <w:szCs w:val="24"/>
        </w:rPr>
      </w:pPr>
      <w:r w:rsidRPr="009445D8">
        <w:rPr>
          <w:sz w:val="24"/>
          <w:szCs w:val="24"/>
        </w:rPr>
        <w:t>Hvis symptomerne vender tilbage, kan behandlingen påbegyndes igen.</w:t>
      </w:r>
    </w:p>
    <w:p w14:paraId="7DFD335F" w14:textId="411CFA13" w:rsidR="009445D8" w:rsidRPr="009445D8" w:rsidRDefault="009445D8" w:rsidP="009445D8">
      <w:pPr>
        <w:ind w:left="851"/>
        <w:rPr>
          <w:spacing w:val="-2"/>
          <w:sz w:val="24"/>
          <w:szCs w:val="24"/>
        </w:rPr>
      </w:pPr>
      <w:r w:rsidRPr="009445D8">
        <w:rPr>
          <w:spacing w:val="-2"/>
          <w:sz w:val="24"/>
          <w:szCs w:val="24"/>
        </w:rPr>
        <w:br w:type="page"/>
      </w:r>
    </w:p>
    <w:p w14:paraId="0FB280B3" w14:textId="77777777" w:rsidR="00EA555A" w:rsidRPr="009445D8" w:rsidRDefault="00EA555A" w:rsidP="0006548E">
      <w:pPr>
        <w:pStyle w:val="Ingenafstand"/>
        <w:ind w:left="851"/>
        <w:rPr>
          <w:spacing w:val="-2"/>
        </w:rPr>
      </w:pPr>
    </w:p>
    <w:p w14:paraId="75A8AD02" w14:textId="77777777" w:rsidR="00EA555A" w:rsidRPr="009445D8" w:rsidRDefault="00EA555A" w:rsidP="009445D8">
      <w:pPr>
        <w:pStyle w:val="Ingenafstand"/>
        <w:keepNext/>
        <w:widowControl/>
        <w:ind w:left="851"/>
        <w:rPr>
          <w:spacing w:val="-2"/>
        </w:rPr>
      </w:pPr>
      <w:r w:rsidRPr="009445D8">
        <w:t>Doseringstabel med eksempler:</w:t>
      </w:r>
    </w:p>
    <w:p w14:paraId="63021C56" w14:textId="77777777" w:rsidR="00EA555A" w:rsidRPr="009445D8" w:rsidRDefault="00EA555A" w:rsidP="009445D8">
      <w:pPr>
        <w:pStyle w:val="Ingenafstand"/>
        <w:keepNext/>
        <w:widowControl/>
        <w:rPr>
          <w:spacing w:val="-2"/>
        </w:rPr>
      </w:pPr>
    </w:p>
    <w:tbl>
      <w:tblPr>
        <w:tblW w:w="7518" w:type="dxa"/>
        <w:tblInd w:w="846" w:type="dxa"/>
        <w:tblLook w:val="04A0" w:firstRow="1" w:lastRow="0" w:firstColumn="1" w:lastColumn="0" w:noHBand="0" w:noVBand="1"/>
      </w:tblPr>
      <w:tblGrid>
        <w:gridCol w:w="1414"/>
        <w:gridCol w:w="1182"/>
        <w:gridCol w:w="1231"/>
        <w:gridCol w:w="1304"/>
        <w:gridCol w:w="1145"/>
        <w:gridCol w:w="1242"/>
      </w:tblGrid>
      <w:tr w:rsidR="00EA555A" w:rsidRPr="009E7618" w14:paraId="237A1D8F" w14:textId="77777777" w:rsidTr="0006548E">
        <w:trPr>
          <w:trHeight w:val="300"/>
        </w:trPr>
        <w:tc>
          <w:tcPr>
            <w:tcW w:w="1414" w:type="dxa"/>
            <w:vMerge w:val="restart"/>
            <w:tcBorders>
              <w:top w:val="single" w:sz="4" w:space="0" w:color="auto"/>
              <w:left w:val="single" w:sz="4" w:space="0" w:color="auto"/>
              <w:bottom w:val="single" w:sz="4" w:space="0" w:color="000000"/>
              <w:right w:val="single" w:sz="4" w:space="0" w:color="auto"/>
            </w:tcBorders>
            <w:noWrap/>
            <w:vAlign w:val="bottom"/>
            <w:hideMark/>
          </w:tcPr>
          <w:p w14:paraId="6305FDC2"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Kg legemsvægt</w:t>
            </w:r>
          </w:p>
        </w:tc>
        <w:tc>
          <w:tcPr>
            <w:tcW w:w="2413" w:type="dxa"/>
            <w:gridSpan w:val="2"/>
            <w:tcBorders>
              <w:top w:val="single" w:sz="4" w:space="0" w:color="auto"/>
              <w:left w:val="nil"/>
              <w:bottom w:val="single" w:sz="4" w:space="0" w:color="auto"/>
              <w:right w:val="single" w:sz="4" w:space="0" w:color="auto"/>
            </w:tcBorders>
            <w:noWrap/>
            <w:vAlign w:val="bottom"/>
            <w:hideMark/>
          </w:tcPr>
          <w:p w14:paraId="77E4F89B" w14:textId="77777777" w:rsidR="00EA555A" w:rsidRPr="009E7618" w:rsidRDefault="00EA555A" w:rsidP="009445D8">
            <w:pPr>
              <w:pStyle w:val="Ingenafstand"/>
              <w:keepNext/>
              <w:widowControl/>
              <w:jc w:val="center"/>
              <w:rPr>
                <w:color w:val="000000"/>
                <w:sz w:val="22"/>
                <w:szCs w:val="22"/>
              </w:rPr>
            </w:pPr>
            <w:r w:rsidRPr="009E7618">
              <w:rPr>
                <w:color w:val="000000"/>
                <w:sz w:val="22"/>
                <w:szCs w:val="22"/>
              </w:rPr>
              <w:t>Individuel dosis (ml)</w:t>
            </w:r>
          </w:p>
        </w:tc>
        <w:tc>
          <w:tcPr>
            <w:tcW w:w="1304" w:type="dxa"/>
            <w:vMerge w:val="restart"/>
            <w:tcBorders>
              <w:top w:val="single" w:sz="4" w:space="0" w:color="auto"/>
              <w:left w:val="single" w:sz="4" w:space="0" w:color="auto"/>
              <w:bottom w:val="single" w:sz="4" w:space="0" w:color="000000"/>
              <w:right w:val="single" w:sz="4" w:space="0" w:color="auto"/>
            </w:tcBorders>
            <w:noWrap/>
            <w:vAlign w:val="bottom"/>
            <w:hideMark/>
          </w:tcPr>
          <w:p w14:paraId="26223930"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Kg legemsvægt</w:t>
            </w:r>
          </w:p>
        </w:tc>
        <w:tc>
          <w:tcPr>
            <w:tcW w:w="2387" w:type="dxa"/>
            <w:gridSpan w:val="2"/>
            <w:tcBorders>
              <w:top w:val="single" w:sz="4" w:space="0" w:color="auto"/>
              <w:left w:val="nil"/>
              <w:bottom w:val="single" w:sz="4" w:space="0" w:color="auto"/>
              <w:right w:val="single" w:sz="4" w:space="0" w:color="auto"/>
            </w:tcBorders>
            <w:noWrap/>
            <w:vAlign w:val="bottom"/>
            <w:hideMark/>
          </w:tcPr>
          <w:p w14:paraId="09F8A90D" w14:textId="77777777" w:rsidR="00EA555A" w:rsidRPr="009E7618" w:rsidRDefault="00EA555A" w:rsidP="009445D8">
            <w:pPr>
              <w:pStyle w:val="Ingenafstand"/>
              <w:keepNext/>
              <w:widowControl/>
              <w:jc w:val="center"/>
              <w:rPr>
                <w:color w:val="000000"/>
                <w:sz w:val="22"/>
                <w:szCs w:val="22"/>
              </w:rPr>
            </w:pPr>
            <w:r w:rsidRPr="009E7618">
              <w:rPr>
                <w:color w:val="000000"/>
                <w:sz w:val="22"/>
                <w:szCs w:val="22"/>
              </w:rPr>
              <w:t>Individuel dosis (ml)</w:t>
            </w:r>
          </w:p>
        </w:tc>
      </w:tr>
      <w:tr w:rsidR="00EA555A" w:rsidRPr="009E7618" w14:paraId="06E853C1" w14:textId="77777777" w:rsidTr="0006548E">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ECCB584" w14:textId="77777777" w:rsidR="00EA555A" w:rsidRPr="009E7618" w:rsidRDefault="00EA555A" w:rsidP="009445D8">
            <w:pPr>
              <w:keepNext/>
              <w:rPr>
                <w:b/>
                <w:bCs/>
                <w:color w:val="000000"/>
                <w:sz w:val="22"/>
                <w:szCs w:val="22"/>
              </w:rPr>
            </w:pPr>
          </w:p>
        </w:tc>
        <w:tc>
          <w:tcPr>
            <w:tcW w:w="1182" w:type="dxa"/>
            <w:tcBorders>
              <w:top w:val="nil"/>
              <w:left w:val="nil"/>
              <w:bottom w:val="single" w:sz="4" w:space="0" w:color="auto"/>
              <w:right w:val="single" w:sz="4" w:space="0" w:color="auto"/>
            </w:tcBorders>
            <w:noWrap/>
            <w:vAlign w:val="bottom"/>
            <w:hideMark/>
          </w:tcPr>
          <w:p w14:paraId="2E5C5621" w14:textId="77777777" w:rsidR="00EA555A" w:rsidRPr="009E7618" w:rsidRDefault="00EA555A" w:rsidP="009445D8">
            <w:pPr>
              <w:pStyle w:val="Ingenafstand"/>
              <w:keepNext/>
              <w:widowControl/>
              <w:rPr>
                <w:color w:val="000000"/>
                <w:sz w:val="22"/>
                <w:szCs w:val="22"/>
              </w:rPr>
            </w:pPr>
            <w:r w:rsidRPr="009E7618">
              <w:rPr>
                <w:color w:val="000000"/>
                <w:sz w:val="22"/>
                <w:szCs w:val="22"/>
              </w:rPr>
              <w:t>to gange dagligt</w:t>
            </w:r>
          </w:p>
        </w:tc>
        <w:tc>
          <w:tcPr>
            <w:tcW w:w="1231" w:type="dxa"/>
            <w:tcBorders>
              <w:top w:val="nil"/>
              <w:left w:val="nil"/>
              <w:bottom w:val="single" w:sz="4" w:space="0" w:color="auto"/>
              <w:right w:val="single" w:sz="4" w:space="0" w:color="auto"/>
            </w:tcBorders>
            <w:noWrap/>
            <w:vAlign w:val="bottom"/>
            <w:hideMark/>
          </w:tcPr>
          <w:p w14:paraId="27610D47" w14:textId="77777777" w:rsidR="00EA555A" w:rsidRPr="009E7618" w:rsidRDefault="00EA555A" w:rsidP="009445D8">
            <w:pPr>
              <w:pStyle w:val="Ingenafstand"/>
              <w:keepNext/>
              <w:widowControl/>
              <w:rPr>
                <w:color w:val="000000"/>
                <w:sz w:val="22"/>
                <w:szCs w:val="22"/>
              </w:rPr>
            </w:pPr>
            <w:r w:rsidRPr="009E7618">
              <w:rPr>
                <w:color w:val="000000"/>
                <w:sz w:val="22"/>
                <w:szCs w:val="22"/>
              </w:rPr>
              <w:t>tre gange dagligt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14715BD" w14:textId="77777777" w:rsidR="00EA555A" w:rsidRPr="009E7618" w:rsidRDefault="00EA555A" w:rsidP="009445D8">
            <w:pPr>
              <w:keepNext/>
              <w:rPr>
                <w:b/>
                <w:bCs/>
                <w:color w:val="000000"/>
                <w:sz w:val="22"/>
                <w:szCs w:val="22"/>
              </w:rPr>
            </w:pPr>
          </w:p>
        </w:tc>
        <w:tc>
          <w:tcPr>
            <w:tcW w:w="1145" w:type="dxa"/>
            <w:tcBorders>
              <w:top w:val="nil"/>
              <w:left w:val="nil"/>
              <w:bottom w:val="single" w:sz="4" w:space="0" w:color="auto"/>
              <w:right w:val="single" w:sz="4" w:space="0" w:color="auto"/>
            </w:tcBorders>
            <w:noWrap/>
            <w:vAlign w:val="bottom"/>
            <w:hideMark/>
          </w:tcPr>
          <w:p w14:paraId="2F19CF4C" w14:textId="77777777" w:rsidR="00EA555A" w:rsidRPr="009E7618" w:rsidRDefault="00EA555A" w:rsidP="009445D8">
            <w:pPr>
              <w:pStyle w:val="Ingenafstand"/>
              <w:keepNext/>
              <w:widowControl/>
              <w:rPr>
                <w:color w:val="000000"/>
                <w:sz w:val="22"/>
                <w:szCs w:val="22"/>
              </w:rPr>
            </w:pPr>
            <w:r w:rsidRPr="009E7618">
              <w:rPr>
                <w:color w:val="000000"/>
                <w:sz w:val="22"/>
                <w:szCs w:val="22"/>
              </w:rPr>
              <w:t>to gange dagligt</w:t>
            </w:r>
          </w:p>
        </w:tc>
        <w:tc>
          <w:tcPr>
            <w:tcW w:w="1242" w:type="dxa"/>
            <w:tcBorders>
              <w:top w:val="nil"/>
              <w:left w:val="nil"/>
              <w:bottom w:val="single" w:sz="4" w:space="0" w:color="auto"/>
              <w:right w:val="single" w:sz="4" w:space="0" w:color="auto"/>
            </w:tcBorders>
            <w:noWrap/>
            <w:vAlign w:val="bottom"/>
            <w:hideMark/>
          </w:tcPr>
          <w:p w14:paraId="0C327612" w14:textId="77777777" w:rsidR="00EA555A" w:rsidRPr="009E7618" w:rsidRDefault="00EA555A" w:rsidP="009445D8">
            <w:pPr>
              <w:pStyle w:val="Ingenafstand"/>
              <w:keepNext/>
              <w:widowControl/>
              <w:rPr>
                <w:color w:val="000000"/>
                <w:sz w:val="22"/>
                <w:szCs w:val="22"/>
              </w:rPr>
            </w:pPr>
            <w:r w:rsidRPr="009E7618">
              <w:rPr>
                <w:color w:val="000000"/>
                <w:sz w:val="22"/>
                <w:szCs w:val="22"/>
              </w:rPr>
              <w:t>tre gange dagligt</w:t>
            </w:r>
          </w:p>
        </w:tc>
      </w:tr>
      <w:tr w:rsidR="00EA555A" w:rsidRPr="009E7618" w14:paraId="50D6D7A9"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19E1C3F8"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2</w:t>
            </w:r>
          </w:p>
        </w:tc>
        <w:tc>
          <w:tcPr>
            <w:tcW w:w="1182" w:type="dxa"/>
            <w:tcBorders>
              <w:top w:val="nil"/>
              <w:left w:val="nil"/>
              <w:bottom w:val="nil"/>
              <w:right w:val="single" w:sz="4" w:space="0" w:color="auto"/>
            </w:tcBorders>
            <w:noWrap/>
            <w:vAlign w:val="bottom"/>
            <w:hideMark/>
          </w:tcPr>
          <w:p w14:paraId="0527C50F" w14:textId="77777777" w:rsidR="00EA555A" w:rsidRPr="009E7618" w:rsidRDefault="00EA555A" w:rsidP="009445D8">
            <w:pPr>
              <w:pStyle w:val="Ingenafstand"/>
              <w:keepNext/>
              <w:widowControl/>
              <w:rPr>
                <w:color w:val="000000"/>
                <w:sz w:val="22"/>
                <w:szCs w:val="22"/>
              </w:rPr>
            </w:pPr>
            <w:r w:rsidRPr="009E7618">
              <w:rPr>
                <w:color w:val="000000"/>
                <w:sz w:val="22"/>
                <w:szCs w:val="22"/>
              </w:rPr>
              <w:t>0,06</w:t>
            </w:r>
          </w:p>
        </w:tc>
        <w:tc>
          <w:tcPr>
            <w:tcW w:w="1231" w:type="dxa"/>
            <w:tcBorders>
              <w:top w:val="nil"/>
              <w:left w:val="nil"/>
              <w:bottom w:val="nil"/>
              <w:right w:val="single" w:sz="4" w:space="0" w:color="auto"/>
            </w:tcBorders>
            <w:noWrap/>
            <w:vAlign w:val="bottom"/>
          </w:tcPr>
          <w:p w14:paraId="61BF7A42" w14:textId="77777777" w:rsidR="00EA555A" w:rsidRPr="009E7618" w:rsidRDefault="00EA555A" w:rsidP="009445D8">
            <w:pPr>
              <w:pStyle w:val="Ingenafstand"/>
              <w:keepNext/>
              <w:widowControl/>
              <w:rPr>
                <w:color w:val="000000"/>
                <w:sz w:val="22"/>
                <w:szCs w:val="22"/>
              </w:rPr>
            </w:pPr>
          </w:p>
        </w:tc>
        <w:tc>
          <w:tcPr>
            <w:tcW w:w="1304" w:type="dxa"/>
            <w:tcBorders>
              <w:top w:val="nil"/>
              <w:left w:val="nil"/>
              <w:bottom w:val="nil"/>
              <w:right w:val="single" w:sz="4" w:space="0" w:color="auto"/>
            </w:tcBorders>
            <w:noWrap/>
            <w:vAlign w:val="bottom"/>
            <w:hideMark/>
          </w:tcPr>
          <w:p w14:paraId="09C21D75"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32</w:t>
            </w:r>
          </w:p>
        </w:tc>
        <w:tc>
          <w:tcPr>
            <w:tcW w:w="1145" w:type="dxa"/>
            <w:tcBorders>
              <w:top w:val="nil"/>
              <w:left w:val="nil"/>
              <w:bottom w:val="nil"/>
              <w:right w:val="single" w:sz="4" w:space="0" w:color="auto"/>
            </w:tcBorders>
            <w:noWrap/>
            <w:vAlign w:val="bottom"/>
            <w:hideMark/>
          </w:tcPr>
          <w:p w14:paraId="76F0BF0F" w14:textId="77777777" w:rsidR="00EA555A" w:rsidRPr="009E7618" w:rsidRDefault="00EA555A" w:rsidP="009445D8">
            <w:pPr>
              <w:pStyle w:val="Ingenafstand"/>
              <w:keepNext/>
              <w:widowControl/>
              <w:rPr>
                <w:color w:val="000000"/>
                <w:sz w:val="22"/>
                <w:szCs w:val="22"/>
              </w:rPr>
            </w:pPr>
            <w:r w:rsidRPr="009E7618">
              <w:rPr>
                <w:color w:val="000000"/>
                <w:sz w:val="22"/>
                <w:szCs w:val="22"/>
              </w:rPr>
              <w:t>0,96</w:t>
            </w:r>
          </w:p>
        </w:tc>
        <w:tc>
          <w:tcPr>
            <w:tcW w:w="1242" w:type="dxa"/>
            <w:tcBorders>
              <w:top w:val="nil"/>
              <w:left w:val="nil"/>
              <w:bottom w:val="nil"/>
              <w:right w:val="single" w:sz="4" w:space="0" w:color="auto"/>
            </w:tcBorders>
            <w:noWrap/>
            <w:vAlign w:val="bottom"/>
            <w:hideMark/>
          </w:tcPr>
          <w:p w14:paraId="0CDE8D13" w14:textId="77777777" w:rsidR="00EA555A" w:rsidRPr="009E7618" w:rsidRDefault="00EA555A" w:rsidP="009445D8">
            <w:pPr>
              <w:pStyle w:val="Ingenafstand"/>
              <w:keepNext/>
              <w:widowControl/>
              <w:rPr>
                <w:color w:val="000000"/>
                <w:sz w:val="22"/>
                <w:szCs w:val="22"/>
              </w:rPr>
            </w:pPr>
            <w:r w:rsidRPr="009E7618">
              <w:rPr>
                <w:color w:val="000000"/>
                <w:sz w:val="22"/>
                <w:szCs w:val="22"/>
              </w:rPr>
              <w:t>0,64</w:t>
            </w:r>
          </w:p>
        </w:tc>
      </w:tr>
      <w:tr w:rsidR="00EA555A" w:rsidRPr="009E7618" w14:paraId="06E81E9B"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5D1C4C5A"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4</w:t>
            </w:r>
          </w:p>
        </w:tc>
        <w:tc>
          <w:tcPr>
            <w:tcW w:w="1182" w:type="dxa"/>
            <w:tcBorders>
              <w:top w:val="nil"/>
              <w:left w:val="nil"/>
              <w:bottom w:val="nil"/>
              <w:right w:val="single" w:sz="4" w:space="0" w:color="auto"/>
            </w:tcBorders>
            <w:noWrap/>
            <w:vAlign w:val="bottom"/>
            <w:hideMark/>
          </w:tcPr>
          <w:p w14:paraId="21AA105C" w14:textId="77777777" w:rsidR="00EA555A" w:rsidRPr="009E7618" w:rsidRDefault="00EA555A" w:rsidP="009445D8">
            <w:pPr>
              <w:pStyle w:val="Ingenafstand"/>
              <w:keepNext/>
              <w:widowControl/>
              <w:rPr>
                <w:color w:val="000000"/>
                <w:sz w:val="22"/>
                <w:szCs w:val="22"/>
              </w:rPr>
            </w:pPr>
            <w:r w:rsidRPr="009E7618">
              <w:rPr>
                <w:color w:val="000000"/>
                <w:sz w:val="22"/>
                <w:szCs w:val="22"/>
              </w:rPr>
              <w:t>0,12</w:t>
            </w:r>
          </w:p>
        </w:tc>
        <w:tc>
          <w:tcPr>
            <w:tcW w:w="1231" w:type="dxa"/>
            <w:tcBorders>
              <w:top w:val="nil"/>
              <w:left w:val="nil"/>
              <w:bottom w:val="nil"/>
              <w:right w:val="single" w:sz="4" w:space="0" w:color="auto"/>
            </w:tcBorders>
            <w:noWrap/>
            <w:vAlign w:val="bottom"/>
            <w:hideMark/>
          </w:tcPr>
          <w:p w14:paraId="14424FF9" w14:textId="77777777" w:rsidR="00EA555A" w:rsidRPr="009E7618" w:rsidRDefault="00EA555A" w:rsidP="009445D8">
            <w:pPr>
              <w:pStyle w:val="Ingenafstand"/>
              <w:keepNext/>
              <w:widowControl/>
              <w:rPr>
                <w:color w:val="000000"/>
                <w:sz w:val="22"/>
                <w:szCs w:val="22"/>
              </w:rPr>
            </w:pPr>
            <w:r w:rsidRPr="009E7618">
              <w:rPr>
                <w:color w:val="000000"/>
                <w:sz w:val="22"/>
                <w:szCs w:val="22"/>
              </w:rPr>
              <w:t>0,08</w:t>
            </w:r>
          </w:p>
        </w:tc>
        <w:tc>
          <w:tcPr>
            <w:tcW w:w="1304" w:type="dxa"/>
            <w:tcBorders>
              <w:top w:val="nil"/>
              <w:left w:val="nil"/>
              <w:bottom w:val="nil"/>
              <w:right w:val="single" w:sz="4" w:space="0" w:color="auto"/>
            </w:tcBorders>
            <w:noWrap/>
            <w:vAlign w:val="bottom"/>
            <w:hideMark/>
          </w:tcPr>
          <w:p w14:paraId="4F02BFEC"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34</w:t>
            </w:r>
          </w:p>
        </w:tc>
        <w:tc>
          <w:tcPr>
            <w:tcW w:w="1145" w:type="dxa"/>
            <w:tcBorders>
              <w:top w:val="nil"/>
              <w:left w:val="nil"/>
              <w:bottom w:val="nil"/>
              <w:right w:val="single" w:sz="4" w:space="0" w:color="auto"/>
            </w:tcBorders>
            <w:noWrap/>
            <w:vAlign w:val="bottom"/>
            <w:hideMark/>
          </w:tcPr>
          <w:p w14:paraId="3789B0FA" w14:textId="77777777" w:rsidR="00EA555A" w:rsidRPr="009E7618" w:rsidRDefault="00EA555A" w:rsidP="009445D8">
            <w:pPr>
              <w:pStyle w:val="Ingenafstand"/>
              <w:keepNext/>
              <w:widowControl/>
              <w:rPr>
                <w:color w:val="000000"/>
                <w:sz w:val="22"/>
                <w:szCs w:val="22"/>
              </w:rPr>
            </w:pPr>
            <w:r w:rsidRPr="009E7618">
              <w:rPr>
                <w:color w:val="000000"/>
                <w:sz w:val="22"/>
                <w:szCs w:val="22"/>
              </w:rPr>
              <w:t>1,02</w:t>
            </w:r>
          </w:p>
        </w:tc>
        <w:tc>
          <w:tcPr>
            <w:tcW w:w="1242" w:type="dxa"/>
            <w:tcBorders>
              <w:top w:val="nil"/>
              <w:left w:val="nil"/>
              <w:bottom w:val="nil"/>
              <w:right w:val="single" w:sz="4" w:space="0" w:color="auto"/>
            </w:tcBorders>
            <w:noWrap/>
            <w:vAlign w:val="bottom"/>
            <w:hideMark/>
          </w:tcPr>
          <w:p w14:paraId="38574468" w14:textId="77777777" w:rsidR="00EA555A" w:rsidRPr="009E7618" w:rsidRDefault="00EA555A" w:rsidP="009445D8">
            <w:pPr>
              <w:pStyle w:val="Ingenafstand"/>
              <w:keepNext/>
              <w:widowControl/>
              <w:rPr>
                <w:color w:val="000000"/>
                <w:sz w:val="22"/>
                <w:szCs w:val="22"/>
              </w:rPr>
            </w:pPr>
            <w:r w:rsidRPr="009E7618">
              <w:rPr>
                <w:color w:val="000000"/>
                <w:sz w:val="22"/>
                <w:szCs w:val="22"/>
              </w:rPr>
              <w:t>0,68</w:t>
            </w:r>
          </w:p>
        </w:tc>
      </w:tr>
      <w:tr w:rsidR="00EA555A" w:rsidRPr="009E7618" w14:paraId="32AB38CE"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11EAC51A"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6</w:t>
            </w:r>
          </w:p>
        </w:tc>
        <w:tc>
          <w:tcPr>
            <w:tcW w:w="1182" w:type="dxa"/>
            <w:tcBorders>
              <w:top w:val="nil"/>
              <w:left w:val="nil"/>
              <w:bottom w:val="nil"/>
              <w:right w:val="single" w:sz="4" w:space="0" w:color="auto"/>
            </w:tcBorders>
            <w:noWrap/>
            <w:vAlign w:val="bottom"/>
            <w:hideMark/>
          </w:tcPr>
          <w:p w14:paraId="76983109" w14:textId="77777777" w:rsidR="00EA555A" w:rsidRPr="009E7618" w:rsidRDefault="00EA555A" w:rsidP="009445D8">
            <w:pPr>
              <w:pStyle w:val="Ingenafstand"/>
              <w:keepNext/>
              <w:widowControl/>
              <w:rPr>
                <w:color w:val="000000"/>
                <w:sz w:val="22"/>
                <w:szCs w:val="22"/>
              </w:rPr>
            </w:pPr>
            <w:r w:rsidRPr="009E7618">
              <w:rPr>
                <w:color w:val="000000"/>
                <w:sz w:val="22"/>
                <w:szCs w:val="22"/>
              </w:rPr>
              <w:t>0,18</w:t>
            </w:r>
          </w:p>
        </w:tc>
        <w:tc>
          <w:tcPr>
            <w:tcW w:w="1231" w:type="dxa"/>
            <w:tcBorders>
              <w:top w:val="nil"/>
              <w:left w:val="nil"/>
              <w:bottom w:val="nil"/>
              <w:right w:val="single" w:sz="4" w:space="0" w:color="auto"/>
            </w:tcBorders>
            <w:noWrap/>
            <w:vAlign w:val="bottom"/>
            <w:hideMark/>
          </w:tcPr>
          <w:p w14:paraId="479E281F" w14:textId="77777777" w:rsidR="00EA555A" w:rsidRPr="009E7618" w:rsidRDefault="00EA555A" w:rsidP="009445D8">
            <w:pPr>
              <w:pStyle w:val="Ingenafstand"/>
              <w:keepNext/>
              <w:widowControl/>
              <w:rPr>
                <w:color w:val="000000"/>
                <w:sz w:val="22"/>
                <w:szCs w:val="22"/>
              </w:rPr>
            </w:pPr>
            <w:r w:rsidRPr="009E7618">
              <w:rPr>
                <w:color w:val="000000"/>
                <w:sz w:val="22"/>
                <w:szCs w:val="22"/>
              </w:rPr>
              <w:t>0,12</w:t>
            </w:r>
          </w:p>
        </w:tc>
        <w:tc>
          <w:tcPr>
            <w:tcW w:w="1304" w:type="dxa"/>
            <w:tcBorders>
              <w:top w:val="nil"/>
              <w:left w:val="nil"/>
              <w:bottom w:val="nil"/>
              <w:right w:val="single" w:sz="4" w:space="0" w:color="auto"/>
            </w:tcBorders>
            <w:noWrap/>
            <w:vAlign w:val="bottom"/>
            <w:hideMark/>
          </w:tcPr>
          <w:p w14:paraId="1975FEDC"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36</w:t>
            </w:r>
          </w:p>
        </w:tc>
        <w:tc>
          <w:tcPr>
            <w:tcW w:w="1145" w:type="dxa"/>
            <w:tcBorders>
              <w:top w:val="nil"/>
              <w:left w:val="nil"/>
              <w:bottom w:val="nil"/>
              <w:right w:val="single" w:sz="4" w:space="0" w:color="auto"/>
            </w:tcBorders>
            <w:noWrap/>
            <w:vAlign w:val="bottom"/>
            <w:hideMark/>
          </w:tcPr>
          <w:p w14:paraId="5EBF1057" w14:textId="77777777" w:rsidR="00EA555A" w:rsidRPr="009E7618" w:rsidRDefault="00EA555A" w:rsidP="009445D8">
            <w:pPr>
              <w:pStyle w:val="Ingenafstand"/>
              <w:keepNext/>
              <w:widowControl/>
              <w:rPr>
                <w:color w:val="000000"/>
                <w:sz w:val="22"/>
                <w:szCs w:val="22"/>
              </w:rPr>
            </w:pPr>
            <w:r w:rsidRPr="009E7618">
              <w:rPr>
                <w:color w:val="000000"/>
                <w:sz w:val="22"/>
                <w:szCs w:val="22"/>
              </w:rPr>
              <w:t>1,08</w:t>
            </w:r>
          </w:p>
        </w:tc>
        <w:tc>
          <w:tcPr>
            <w:tcW w:w="1242" w:type="dxa"/>
            <w:tcBorders>
              <w:top w:val="nil"/>
              <w:left w:val="nil"/>
              <w:bottom w:val="nil"/>
              <w:right w:val="single" w:sz="4" w:space="0" w:color="auto"/>
            </w:tcBorders>
            <w:noWrap/>
            <w:vAlign w:val="bottom"/>
            <w:hideMark/>
          </w:tcPr>
          <w:p w14:paraId="62E2D250" w14:textId="77777777" w:rsidR="00EA555A" w:rsidRPr="009E7618" w:rsidRDefault="00EA555A" w:rsidP="009445D8">
            <w:pPr>
              <w:pStyle w:val="Ingenafstand"/>
              <w:keepNext/>
              <w:widowControl/>
              <w:rPr>
                <w:color w:val="000000"/>
                <w:sz w:val="22"/>
                <w:szCs w:val="22"/>
              </w:rPr>
            </w:pPr>
            <w:r w:rsidRPr="009E7618">
              <w:rPr>
                <w:color w:val="000000"/>
                <w:sz w:val="22"/>
                <w:szCs w:val="22"/>
              </w:rPr>
              <w:t>0,72</w:t>
            </w:r>
          </w:p>
        </w:tc>
      </w:tr>
      <w:tr w:rsidR="00EA555A" w:rsidRPr="009E7618" w14:paraId="4F75F407"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6DAF0655"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8</w:t>
            </w:r>
          </w:p>
        </w:tc>
        <w:tc>
          <w:tcPr>
            <w:tcW w:w="1182" w:type="dxa"/>
            <w:tcBorders>
              <w:top w:val="nil"/>
              <w:left w:val="nil"/>
              <w:bottom w:val="nil"/>
              <w:right w:val="single" w:sz="4" w:space="0" w:color="auto"/>
            </w:tcBorders>
            <w:noWrap/>
            <w:vAlign w:val="bottom"/>
            <w:hideMark/>
          </w:tcPr>
          <w:p w14:paraId="6E92E05D" w14:textId="77777777" w:rsidR="00EA555A" w:rsidRPr="009E7618" w:rsidRDefault="00EA555A" w:rsidP="009445D8">
            <w:pPr>
              <w:pStyle w:val="Ingenafstand"/>
              <w:keepNext/>
              <w:widowControl/>
              <w:rPr>
                <w:color w:val="000000"/>
                <w:sz w:val="22"/>
                <w:szCs w:val="22"/>
              </w:rPr>
            </w:pPr>
            <w:r w:rsidRPr="009E7618">
              <w:rPr>
                <w:color w:val="000000"/>
                <w:sz w:val="22"/>
                <w:szCs w:val="22"/>
              </w:rPr>
              <w:t>0,24</w:t>
            </w:r>
          </w:p>
        </w:tc>
        <w:tc>
          <w:tcPr>
            <w:tcW w:w="1231" w:type="dxa"/>
            <w:tcBorders>
              <w:top w:val="nil"/>
              <w:left w:val="nil"/>
              <w:bottom w:val="nil"/>
              <w:right w:val="single" w:sz="4" w:space="0" w:color="auto"/>
            </w:tcBorders>
            <w:noWrap/>
            <w:vAlign w:val="bottom"/>
            <w:hideMark/>
          </w:tcPr>
          <w:p w14:paraId="13B648CC" w14:textId="77777777" w:rsidR="00EA555A" w:rsidRPr="009E7618" w:rsidRDefault="00EA555A" w:rsidP="009445D8">
            <w:pPr>
              <w:pStyle w:val="Ingenafstand"/>
              <w:keepNext/>
              <w:widowControl/>
              <w:rPr>
                <w:color w:val="000000"/>
                <w:sz w:val="22"/>
                <w:szCs w:val="22"/>
              </w:rPr>
            </w:pPr>
            <w:r w:rsidRPr="009E7618">
              <w:rPr>
                <w:color w:val="000000"/>
                <w:sz w:val="22"/>
                <w:szCs w:val="22"/>
              </w:rPr>
              <w:t>0,16</w:t>
            </w:r>
          </w:p>
        </w:tc>
        <w:tc>
          <w:tcPr>
            <w:tcW w:w="1304" w:type="dxa"/>
            <w:tcBorders>
              <w:top w:val="nil"/>
              <w:left w:val="nil"/>
              <w:bottom w:val="nil"/>
              <w:right w:val="single" w:sz="4" w:space="0" w:color="auto"/>
            </w:tcBorders>
            <w:noWrap/>
            <w:vAlign w:val="bottom"/>
            <w:hideMark/>
          </w:tcPr>
          <w:p w14:paraId="53137B12"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38</w:t>
            </w:r>
          </w:p>
        </w:tc>
        <w:tc>
          <w:tcPr>
            <w:tcW w:w="1145" w:type="dxa"/>
            <w:tcBorders>
              <w:top w:val="nil"/>
              <w:left w:val="nil"/>
              <w:bottom w:val="nil"/>
              <w:right w:val="single" w:sz="4" w:space="0" w:color="auto"/>
            </w:tcBorders>
            <w:noWrap/>
            <w:vAlign w:val="bottom"/>
            <w:hideMark/>
          </w:tcPr>
          <w:p w14:paraId="2D654DE3" w14:textId="77777777" w:rsidR="00EA555A" w:rsidRPr="009E7618" w:rsidRDefault="00EA555A" w:rsidP="009445D8">
            <w:pPr>
              <w:pStyle w:val="Ingenafstand"/>
              <w:keepNext/>
              <w:widowControl/>
              <w:rPr>
                <w:color w:val="000000"/>
                <w:sz w:val="22"/>
                <w:szCs w:val="22"/>
              </w:rPr>
            </w:pPr>
            <w:r w:rsidRPr="009E7618">
              <w:rPr>
                <w:color w:val="000000"/>
                <w:sz w:val="22"/>
                <w:szCs w:val="22"/>
              </w:rPr>
              <w:t>1,14</w:t>
            </w:r>
          </w:p>
        </w:tc>
        <w:tc>
          <w:tcPr>
            <w:tcW w:w="1242" w:type="dxa"/>
            <w:tcBorders>
              <w:top w:val="nil"/>
              <w:left w:val="nil"/>
              <w:bottom w:val="nil"/>
              <w:right w:val="single" w:sz="4" w:space="0" w:color="auto"/>
            </w:tcBorders>
            <w:noWrap/>
            <w:vAlign w:val="bottom"/>
            <w:hideMark/>
          </w:tcPr>
          <w:p w14:paraId="2269C9F8" w14:textId="77777777" w:rsidR="00EA555A" w:rsidRPr="009E7618" w:rsidRDefault="00EA555A" w:rsidP="009445D8">
            <w:pPr>
              <w:pStyle w:val="Ingenafstand"/>
              <w:keepNext/>
              <w:widowControl/>
              <w:rPr>
                <w:color w:val="000000"/>
                <w:sz w:val="22"/>
                <w:szCs w:val="22"/>
              </w:rPr>
            </w:pPr>
            <w:r w:rsidRPr="009E7618">
              <w:rPr>
                <w:color w:val="000000"/>
                <w:sz w:val="22"/>
                <w:szCs w:val="22"/>
              </w:rPr>
              <w:t>0,76</w:t>
            </w:r>
          </w:p>
        </w:tc>
      </w:tr>
      <w:tr w:rsidR="00EA555A" w:rsidRPr="009E7618" w14:paraId="490CE334"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7B1F8E93"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10</w:t>
            </w:r>
          </w:p>
        </w:tc>
        <w:tc>
          <w:tcPr>
            <w:tcW w:w="1182" w:type="dxa"/>
            <w:tcBorders>
              <w:top w:val="nil"/>
              <w:left w:val="nil"/>
              <w:bottom w:val="nil"/>
              <w:right w:val="single" w:sz="4" w:space="0" w:color="auto"/>
            </w:tcBorders>
            <w:noWrap/>
            <w:vAlign w:val="bottom"/>
            <w:hideMark/>
          </w:tcPr>
          <w:p w14:paraId="04AD9C09" w14:textId="77777777" w:rsidR="00EA555A" w:rsidRPr="009E7618" w:rsidRDefault="00EA555A" w:rsidP="009445D8">
            <w:pPr>
              <w:pStyle w:val="Ingenafstand"/>
              <w:keepNext/>
              <w:widowControl/>
              <w:rPr>
                <w:color w:val="000000"/>
                <w:sz w:val="22"/>
                <w:szCs w:val="22"/>
              </w:rPr>
            </w:pPr>
            <w:r w:rsidRPr="009E7618">
              <w:rPr>
                <w:color w:val="000000"/>
                <w:sz w:val="22"/>
                <w:szCs w:val="22"/>
              </w:rPr>
              <w:t>0,3</w:t>
            </w:r>
          </w:p>
        </w:tc>
        <w:tc>
          <w:tcPr>
            <w:tcW w:w="1231" w:type="dxa"/>
            <w:tcBorders>
              <w:top w:val="nil"/>
              <w:left w:val="nil"/>
              <w:bottom w:val="nil"/>
              <w:right w:val="single" w:sz="4" w:space="0" w:color="auto"/>
            </w:tcBorders>
            <w:noWrap/>
            <w:vAlign w:val="bottom"/>
            <w:hideMark/>
          </w:tcPr>
          <w:p w14:paraId="1347B7D9" w14:textId="77777777" w:rsidR="00EA555A" w:rsidRPr="009E7618" w:rsidRDefault="00EA555A" w:rsidP="009445D8">
            <w:pPr>
              <w:pStyle w:val="Ingenafstand"/>
              <w:keepNext/>
              <w:widowControl/>
              <w:rPr>
                <w:color w:val="000000"/>
                <w:sz w:val="22"/>
                <w:szCs w:val="22"/>
              </w:rPr>
            </w:pPr>
            <w:r w:rsidRPr="009E7618">
              <w:rPr>
                <w:color w:val="000000"/>
                <w:sz w:val="22"/>
                <w:szCs w:val="22"/>
              </w:rPr>
              <w:t>0,2</w:t>
            </w:r>
          </w:p>
        </w:tc>
        <w:tc>
          <w:tcPr>
            <w:tcW w:w="1304" w:type="dxa"/>
            <w:tcBorders>
              <w:top w:val="nil"/>
              <w:left w:val="nil"/>
              <w:bottom w:val="nil"/>
              <w:right w:val="single" w:sz="4" w:space="0" w:color="auto"/>
            </w:tcBorders>
            <w:noWrap/>
            <w:vAlign w:val="bottom"/>
            <w:hideMark/>
          </w:tcPr>
          <w:p w14:paraId="4164CA9C"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40</w:t>
            </w:r>
          </w:p>
        </w:tc>
        <w:tc>
          <w:tcPr>
            <w:tcW w:w="1145" w:type="dxa"/>
            <w:tcBorders>
              <w:top w:val="nil"/>
              <w:left w:val="nil"/>
              <w:bottom w:val="nil"/>
              <w:right w:val="single" w:sz="4" w:space="0" w:color="auto"/>
            </w:tcBorders>
            <w:noWrap/>
            <w:vAlign w:val="bottom"/>
            <w:hideMark/>
          </w:tcPr>
          <w:p w14:paraId="52BDA726" w14:textId="77777777" w:rsidR="00EA555A" w:rsidRPr="009E7618" w:rsidRDefault="00EA555A" w:rsidP="009445D8">
            <w:pPr>
              <w:pStyle w:val="Ingenafstand"/>
              <w:keepNext/>
              <w:widowControl/>
              <w:rPr>
                <w:color w:val="000000"/>
                <w:sz w:val="22"/>
                <w:szCs w:val="22"/>
              </w:rPr>
            </w:pPr>
            <w:r w:rsidRPr="009E7618">
              <w:rPr>
                <w:color w:val="000000"/>
                <w:sz w:val="22"/>
                <w:szCs w:val="22"/>
              </w:rPr>
              <w:t>1,2</w:t>
            </w:r>
          </w:p>
        </w:tc>
        <w:tc>
          <w:tcPr>
            <w:tcW w:w="1242" w:type="dxa"/>
            <w:tcBorders>
              <w:top w:val="nil"/>
              <w:left w:val="nil"/>
              <w:bottom w:val="nil"/>
              <w:right w:val="single" w:sz="4" w:space="0" w:color="auto"/>
            </w:tcBorders>
            <w:noWrap/>
            <w:vAlign w:val="bottom"/>
            <w:hideMark/>
          </w:tcPr>
          <w:p w14:paraId="50C24CE6" w14:textId="77777777" w:rsidR="00EA555A" w:rsidRPr="009E7618" w:rsidRDefault="00EA555A" w:rsidP="009445D8">
            <w:pPr>
              <w:pStyle w:val="Ingenafstand"/>
              <w:keepNext/>
              <w:widowControl/>
              <w:rPr>
                <w:color w:val="000000"/>
                <w:sz w:val="22"/>
                <w:szCs w:val="22"/>
              </w:rPr>
            </w:pPr>
            <w:r w:rsidRPr="009E7618">
              <w:rPr>
                <w:color w:val="000000"/>
                <w:sz w:val="22"/>
                <w:szCs w:val="22"/>
              </w:rPr>
              <w:t>0,8</w:t>
            </w:r>
          </w:p>
        </w:tc>
      </w:tr>
      <w:tr w:rsidR="00EA555A" w:rsidRPr="009E7618" w14:paraId="57E06C72"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0E751EF4"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12</w:t>
            </w:r>
          </w:p>
        </w:tc>
        <w:tc>
          <w:tcPr>
            <w:tcW w:w="1182" w:type="dxa"/>
            <w:tcBorders>
              <w:top w:val="nil"/>
              <w:left w:val="nil"/>
              <w:bottom w:val="nil"/>
              <w:right w:val="single" w:sz="4" w:space="0" w:color="auto"/>
            </w:tcBorders>
            <w:noWrap/>
            <w:vAlign w:val="bottom"/>
            <w:hideMark/>
          </w:tcPr>
          <w:p w14:paraId="3E31410B" w14:textId="77777777" w:rsidR="00EA555A" w:rsidRPr="009E7618" w:rsidRDefault="00EA555A" w:rsidP="009445D8">
            <w:pPr>
              <w:pStyle w:val="Ingenafstand"/>
              <w:keepNext/>
              <w:widowControl/>
              <w:rPr>
                <w:color w:val="000000"/>
                <w:sz w:val="22"/>
                <w:szCs w:val="22"/>
              </w:rPr>
            </w:pPr>
            <w:r w:rsidRPr="009E7618">
              <w:rPr>
                <w:color w:val="000000"/>
                <w:sz w:val="22"/>
                <w:szCs w:val="22"/>
              </w:rPr>
              <w:t>0,36</w:t>
            </w:r>
          </w:p>
        </w:tc>
        <w:tc>
          <w:tcPr>
            <w:tcW w:w="1231" w:type="dxa"/>
            <w:tcBorders>
              <w:top w:val="nil"/>
              <w:left w:val="nil"/>
              <w:bottom w:val="nil"/>
              <w:right w:val="single" w:sz="4" w:space="0" w:color="auto"/>
            </w:tcBorders>
            <w:noWrap/>
            <w:vAlign w:val="bottom"/>
            <w:hideMark/>
          </w:tcPr>
          <w:p w14:paraId="02992B00" w14:textId="77777777" w:rsidR="00EA555A" w:rsidRPr="009E7618" w:rsidRDefault="00EA555A" w:rsidP="009445D8">
            <w:pPr>
              <w:pStyle w:val="Ingenafstand"/>
              <w:keepNext/>
              <w:widowControl/>
              <w:rPr>
                <w:color w:val="000000"/>
                <w:sz w:val="22"/>
                <w:szCs w:val="22"/>
              </w:rPr>
            </w:pPr>
            <w:r w:rsidRPr="009E7618">
              <w:rPr>
                <w:color w:val="000000"/>
                <w:sz w:val="22"/>
                <w:szCs w:val="22"/>
              </w:rPr>
              <w:t>0,24</w:t>
            </w:r>
          </w:p>
        </w:tc>
        <w:tc>
          <w:tcPr>
            <w:tcW w:w="1304" w:type="dxa"/>
            <w:tcBorders>
              <w:top w:val="nil"/>
              <w:left w:val="nil"/>
              <w:bottom w:val="nil"/>
              <w:right w:val="single" w:sz="4" w:space="0" w:color="auto"/>
            </w:tcBorders>
            <w:noWrap/>
            <w:vAlign w:val="bottom"/>
            <w:hideMark/>
          </w:tcPr>
          <w:p w14:paraId="491356F9"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42</w:t>
            </w:r>
          </w:p>
        </w:tc>
        <w:tc>
          <w:tcPr>
            <w:tcW w:w="1145" w:type="dxa"/>
            <w:tcBorders>
              <w:top w:val="nil"/>
              <w:left w:val="nil"/>
              <w:bottom w:val="nil"/>
              <w:right w:val="single" w:sz="4" w:space="0" w:color="auto"/>
            </w:tcBorders>
            <w:noWrap/>
            <w:vAlign w:val="bottom"/>
            <w:hideMark/>
          </w:tcPr>
          <w:p w14:paraId="05FC5C3D" w14:textId="77777777" w:rsidR="00EA555A" w:rsidRPr="009E7618" w:rsidRDefault="00EA555A" w:rsidP="009445D8">
            <w:pPr>
              <w:pStyle w:val="Ingenafstand"/>
              <w:keepNext/>
              <w:widowControl/>
              <w:rPr>
                <w:color w:val="000000"/>
                <w:sz w:val="22"/>
                <w:szCs w:val="22"/>
              </w:rPr>
            </w:pPr>
            <w:r w:rsidRPr="009E7618">
              <w:rPr>
                <w:color w:val="000000"/>
                <w:sz w:val="22"/>
                <w:szCs w:val="22"/>
              </w:rPr>
              <w:t>1,26</w:t>
            </w:r>
          </w:p>
        </w:tc>
        <w:tc>
          <w:tcPr>
            <w:tcW w:w="1242" w:type="dxa"/>
            <w:tcBorders>
              <w:top w:val="nil"/>
              <w:left w:val="nil"/>
              <w:bottom w:val="nil"/>
              <w:right w:val="single" w:sz="4" w:space="0" w:color="auto"/>
            </w:tcBorders>
            <w:noWrap/>
            <w:vAlign w:val="bottom"/>
            <w:hideMark/>
          </w:tcPr>
          <w:p w14:paraId="3D6B491B" w14:textId="77777777" w:rsidR="00EA555A" w:rsidRPr="009E7618" w:rsidRDefault="00EA555A" w:rsidP="009445D8">
            <w:pPr>
              <w:pStyle w:val="Ingenafstand"/>
              <w:keepNext/>
              <w:widowControl/>
              <w:rPr>
                <w:color w:val="000000"/>
                <w:sz w:val="22"/>
                <w:szCs w:val="22"/>
              </w:rPr>
            </w:pPr>
            <w:r w:rsidRPr="009E7618">
              <w:rPr>
                <w:color w:val="000000"/>
                <w:sz w:val="22"/>
                <w:szCs w:val="22"/>
              </w:rPr>
              <w:t>0,84</w:t>
            </w:r>
          </w:p>
        </w:tc>
      </w:tr>
      <w:tr w:rsidR="00EA555A" w:rsidRPr="009E7618" w14:paraId="42BA6BA4"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57AD30DF"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14</w:t>
            </w:r>
          </w:p>
        </w:tc>
        <w:tc>
          <w:tcPr>
            <w:tcW w:w="1182" w:type="dxa"/>
            <w:tcBorders>
              <w:top w:val="nil"/>
              <w:left w:val="nil"/>
              <w:bottom w:val="nil"/>
              <w:right w:val="single" w:sz="4" w:space="0" w:color="auto"/>
            </w:tcBorders>
            <w:noWrap/>
            <w:vAlign w:val="bottom"/>
            <w:hideMark/>
          </w:tcPr>
          <w:p w14:paraId="2A38C496" w14:textId="77777777" w:rsidR="00EA555A" w:rsidRPr="009E7618" w:rsidRDefault="00EA555A" w:rsidP="009445D8">
            <w:pPr>
              <w:pStyle w:val="Ingenafstand"/>
              <w:keepNext/>
              <w:widowControl/>
              <w:rPr>
                <w:color w:val="000000"/>
                <w:sz w:val="22"/>
                <w:szCs w:val="22"/>
              </w:rPr>
            </w:pPr>
            <w:r w:rsidRPr="009E7618">
              <w:rPr>
                <w:color w:val="000000"/>
                <w:sz w:val="22"/>
                <w:szCs w:val="22"/>
              </w:rPr>
              <w:t>0,42</w:t>
            </w:r>
          </w:p>
        </w:tc>
        <w:tc>
          <w:tcPr>
            <w:tcW w:w="1231" w:type="dxa"/>
            <w:tcBorders>
              <w:top w:val="nil"/>
              <w:left w:val="nil"/>
              <w:bottom w:val="nil"/>
              <w:right w:val="single" w:sz="4" w:space="0" w:color="auto"/>
            </w:tcBorders>
            <w:noWrap/>
            <w:vAlign w:val="bottom"/>
            <w:hideMark/>
          </w:tcPr>
          <w:p w14:paraId="5EDA85B5" w14:textId="77777777" w:rsidR="00EA555A" w:rsidRPr="009E7618" w:rsidRDefault="00EA555A" w:rsidP="009445D8">
            <w:pPr>
              <w:pStyle w:val="Ingenafstand"/>
              <w:keepNext/>
              <w:widowControl/>
              <w:rPr>
                <w:color w:val="000000"/>
                <w:sz w:val="22"/>
                <w:szCs w:val="22"/>
              </w:rPr>
            </w:pPr>
            <w:r w:rsidRPr="009E7618">
              <w:rPr>
                <w:color w:val="000000"/>
                <w:sz w:val="22"/>
                <w:szCs w:val="22"/>
              </w:rPr>
              <w:t>0,28</w:t>
            </w:r>
          </w:p>
        </w:tc>
        <w:tc>
          <w:tcPr>
            <w:tcW w:w="1304" w:type="dxa"/>
            <w:tcBorders>
              <w:top w:val="nil"/>
              <w:left w:val="nil"/>
              <w:bottom w:val="nil"/>
              <w:right w:val="single" w:sz="4" w:space="0" w:color="auto"/>
            </w:tcBorders>
            <w:noWrap/>
            <w:vAlign w:val="bottom"/>
            <w:hideMark/>
          </w:tcPr>
          <w:p w14:paraId="00485B15"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44</w:t>
            </w:r>
          </w:p>
        </w:tc>
        <w:tc>
          <w:tcPr>
            <w:tcW w:w="1145" w:type="dxa"/>
            <w:tcBorders>
              <w:top w:val="nil"/>
              <w:left w:val="nil"/>
              <w:bottom w:val="nil"/>
              <w:right w:val="single" w:sz="4" w:space="0" w:color="auto"/>
            </w:tcBorders>
            <w:noWrap/>
            <w:vAlign w:val="bottom"/>
            <w:hideMark/>
          </w:tcPr>
          <w:p w14:paraId="72DADE70" w14:textId="77777777" w:rsidR="00EA555A" w:rsidRPr="009E7618" w:rsidRDefault="00EA555A" w:rsidP="009445D8">
            <w:pPr>
              <w:pStyle w:val="Ingenafstand"/>
              <w:keepNext/>
              <w:widowControl/>
              <w:rPr>
                <w:color w:val="000000"/>
                <w:sz w:val="22"/>
                <w:szCs w:val="22"/>
              </w:rPr>
            </w:pPr>
            <w:r w:rsidRPr="009E7618">
              <w:rPr>
                <w:color w:val="000000"/>
                <w:sz w:val="22"/>
                <w:szCs w:val="22"/>
              </w:rPr>
              <w:t>1,32</w:t>
            </w:r>
          </w:p>
        </w:tc>
        <w:tc>
          <w:tcPr>
            <w:tcW w:w="1242" w:type="dxa"/>
            <w:tcBorders>
              <w:top w:val="nil"/>
              <w:left w:val="nil"/>
              <w:bottom w:val="nil"/>
              <w:right w:val="single" w:sz="4" w:space="0" w:color="auto"/>
            </w:tcBorders>
            <w:noWrap/>
            <w:vAlign w:val="bottom"/>
            <w:hideMark/>
          </w:tcPr>
          <w:p w14:paraId="5194562A" w14:textId="77777777" w:rsidR="00EA555A" w:rsidRPr="009E7618" w:rsidRDefault="00EA555A" w:rsidP="009445D8">
            <w:pPr>
              <w:pStyle w:val="Ingenafstand"/>
              <w:keepNext/>
              <w:widowControl/>
              <w:rPr>
                <w:color w:val="000000"/>
                <w:sz w:val="22"/>
                <w:szCs w:val="22"/>
              </w:rPr>
            </w:pPr>
            <w:r w:rsidRPr="009E7618">
              <w:rPr>
                <w:color w:val="000000"/>
                <w:sz w:val="22"/>
                <w:szCs w:val="22"/>
              </w:rPr>
              <w:t>0,88</w:t>
            </w:r>
          </w:p>
        </w:tc>
      </w:tr>
      <w:tr w:rsidR="00EA555A" w:rsidRPr="009E7618" w14:paraId="524A06C4"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04C03904"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16</w:t>
            </w:r>
          </w:p>
        </w:tc>
        <w:tc>
          <w:tcPr>
            <w:tcW w:w="1182" w:type="dxa"/>
            <w:tcBorders>
              <w:top w:val="nil"/>
              <w:left w:val="nil"/>
              <w:bottom w:val="nil"/>
              <w:right w:val="single" w:sz="4" w:space="0" w:color="auto"/>
            </w:tcBorders>
            <w:noWrap/>
            <w:vAlign w:val="bottom"/>
            <w:hideMark/>
          </w:tcPr>
          <w:p w14:paraId="5D57F809" w14:textId="77777777" w:rsidR="00EA555A" w:rsidRPr="009E7618" w:rsidRDefault="00EA555A" w:rsidP="009445D8">
            <w:pPr>
              <w:pStyle w:val="Ingenafstand"/>
              <w:keepNext/>
              <w:widowControl/>
              <w:rPr>
                <w:color w:val="000000"/>
                <w:sz w:val="22"/>
                <w:szCs w:val="22"/>
              </w:rPr>
            </w:pPr>
            <w:r w:rsidRPr="009E7618">
              <w:rPr>
                <w:color w:val="000000"/>
                <w:sz w:val="22"/>
                <w:szCs w:val="22"/>
              </w:rPr>
              <w:t>0,48</w:t>
            </w:r>
          </w:p>
        </w:tc>
        <w:tc>
          <w:tcPr>
            <w:tcW w:w="1231" w:type="dxa"/>
            <w:tcBorders>
              <w:top w:val="nil"/>
              <w:left w:val="nil"/>
              <w:bottom w:val="nil"/>
              <w:right w:val="single" w:sz="4" w:space="0" w:color="auto"/>
            </w:tcBorders>
            <w:noWrap/>
            <w:vAlign w:val="bottom"/>
            <w:hideMark/>
          </w:tcPr>
          <w:p w14:paraId="12D36A35" w14:textId="77777777" w:rsidR="00EA555A" w:rsidRPr="009E7618" w:rsidRDefault="00EA555A" w:rsidP="009445D8">
            <w:pPr>
              <w:pStyle w:val="Ingenafstand"/>
              <w:keepNext/>
              <w:widowControl/>
              <w:rPr>
                <w:color w:val="000000"/>
                <w:sz w:val="22"/>
                <w:szCs w:val="22"/>
              </w:rPr>
            </w:pPr>
            <w:r w:rsidRPr="009E7618">
              <w:rPr>
                <w:color w:val="000000"/>
                <w:sz w:val="22"/>
                <w:szCs w:val="22"/>
              </w:rPr>
              <w:t>0,32</w:t>
            </w:r>
          </w:p>
        </w:tc>
        <w:tc>
          <w:tcPr>
            <w:tcW w:w="1304" w:type="dxa"/>
            <w:tcBorders>
              <w:top w:val="nil"/>
              <w:left w:val="nil"/>
              <w:bottom w:val="nil"/>
              <w:right w:val="single" w:sz="4" w:space="0" w:color="auto"/>
            </w:tcBorders>
            <w:noWrap/>
            <w:vAlign w:val="bottom"/>
            <w:hideMark/>
          </w:tcPr>
          <w:p w14:paraId="539E2D2C"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46</w:t>
            </w:r>
          </w:p>
        </w:tc>
        <w:tc>
          <w:tcPr>
            <w:tcW w:w="1145" w:type="dxa"/>
            <w:tcBorders>
              <w:top w:val="nil"/>
              <w:left w:val="nil"/>
              <w:bottom w:val="nil"/>
              <w:right w:val="single" w:sz="4" w:space="0" w:color="auto"/>
            </w:tcBorders>
            <w:noWrap/>
            <w:vAlign w:val="bottom"/>
            <w:hideMark/>
          </w:tcPr>
          <w:p w14:paraId="7637DA7B" w14:textId="77777777" w:rsidR="00EA555A" w:rsidRPr="009E7618" w:rsidRDefault="00EA555A" w:rsidP="009445D8">
            <w:pPr>
              <w:pStyle w:val="Ingenafstand"/>
              <w:keepNext/>
              <w:widowControl/>
              <w:rPr>
                <w:color w:val="000000"/>
                <w:sz w:val="22"/>
                <w:szCs w:val="22"/>
              </w:rPr>
            </w:pPr>
            <w:r w:rsidRPr="009E7618">
              <w:rPr>
                <w:color w:val="000000"/>
                <w:sz w:val="22"/>
                <w:szCs w:val="22"/>
              </w:rPr>
              <w:t>1,38</w:t>
            </w:r>
          </w:p>
        </w:tc>
        <w:tc>
          <w:tcPr>
            <w:tcW w:w="1242" w:type="dxa"/>
            <w:tcBorders>
              <w:top w:val="nil"/>
              <w:left w:val="nil"/>
              <w:bottom w:val="nil"/>
              <w:right w:val="single" w:sz="4" w:space="0" w:color="auto"/>
            </w:tcBorders>
            <w:noWrap/>
            <w:vAlign w:val="bottom"/>
            <w:hideMark/>
          </w:tcPr>
          <w:p w14:paraId="57C5974B" w14:textId="77777777" w:rsidR="00EA555A" w:rsidRPr="009E7618" w:rsidRDefault="00EA555A" w:rsidP="009445D8">
            <w:pPr>
              <w:pStyle w:val="Ingenafstand"/>
              <w:keepNext/>
              <w:widowControl/>
              <w:rPr>
                <w:color w:val="000000"/>
                <w:sz w:val="22"/>
                <w:szCs w:val="22"/>
              </w:rPr>
            </w:pPr>
            <w:r w:rsidRPr="009E7618">
              <w:rPr>
                <w:color w:val="000000"/>
                <w:sz w:val="22"/>
                <w:szCs w:val="22"/>
              </w:rPr>
              <w:t>0,92</w:t>
            </w:r>
          </w:p>
        </w:tc>
      </w:tr>
      <w:tr w:rsidR="00EA555A" w:rsidRPr="009E7618" w14:paraId="738969A2"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7CF263F7"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18</w:t>
            </w:r>
          </w:p>
        </w:tc>
        <w:tc>
          <w:tcPr>
            <w:tcW w:w="1182" w:type="dxa"/>
            <w:tcBorders>
              <w:top w:val="nil"/>
              <w:left w:val="nil"/>
              <w:bottom w:val="nil"/>
              <w:right w:val="single" w:sz="4" w:space="0" w:color="auto"/>
            </w:tcBorders>
            <w:noWrap/>
            <w:vAlign w:val="bottom"/>
            <w:hideMark/>
          </w:tcPr>
          <w:p w14:paraId="79F207F8" w14:textId="77777777" w:rsidR="00EA555A" w:rsidRPr="009E7618" w:rsidRDefault="00EA555A" w:rsidP="009445D8">
            <w:pPr>
              <w:pStyle w:val="Ingenafstand"/>
              <w:keepNext/>
              <w:widowControl/>
              <w:rPr>
                <w:color w:val="000000"/>
                <w:sz w:val="22"/>
                <w:szCs w:val="22"/>
              </w:rPr>
            </w:pPr>
            <w:r w:rsidRPr="009E7618">
              <w:rPr>
                <w:color w:val="000000"/>
                <w:sz w:val="22"/>
                <w:szCs w:val="22"/>
              </w:rPr>
              <w:t>0,54</w:t>
            </w:r>
          </w:p>
        </w:tc>
        <w:tc>
          <w:tcPr>
            <w:tcW w:w="1231" w:type="dxa"/>
            <w:tcBorders>
              <w:top w:val="nil"/>
              <w:left w:val="nil"/>
              <w:bottom w:val="nil"/>
              <w:right w:val="single" w:sz="4" w:space="0" w:color="auto"/>
            </w:tcBorders>
            <w:noWrap/>
            <w:vAlign w:val="bottom"/>
            <w:hideMark/>
          </w:tcPr>
          <w:p w14:paraId="55289E11" w14:textId="77777777" w:rsidR="00EA555A" w:rsidRPr="009E7618" w:rsidRDefault="00EA555A" w:rsidP="009445D8">
            <w:pPr>
              <w:pStyle w:val="Ingenafstand"/>
              <w:keepNext/>
              <w:widowControl/>
              <w:rPr>
                <w:color w:val="000000"/>
                <w:sz w:val="22"/>
                <w:szCs w:val="22"/>
              </w:rPr>
            </w:pPr>
            <w:r w:rsidRPr="009E7618">
              <w:rPr>
                <w:color w:val="000000"/>
                <w:sz w:val="22"/>
                <w:szCs w:val="22"/>
              </w:rPr>
              <w:t>0,36</w:t>
            </w:r>
          </w:p>
        </w:tc>
        <w:tc>
          <w:tcPr>
            <w:tcW w:w="1304" w:type="dxa"/>
            <w:tcBorders>
              <w:top w:val="nil"/>
              <w:left w:val="nil"/>
              <w:bottom w:val="nil"/>
              <w:right w:val="single" w:sz="4" w:space="0" w:color="auto"/>
            </w:tcBorders>
            <w:noWrap/>
            <w:vAlign w:val="bottom"/>
            <w:hideMark/>
          </w:tcPr>
          <w:p w14:paraId="1244DE73"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48</w:t>
            </w:r>
          </w:p>
        </w:tc>
        <w:tc>
          <w:tcPr>
            <w:tcW w:w="1145" w:type="dxa"/>
            <w:tcBorders>
              <w:top w:val="nil"/>
              <w:left w:val="nil"/>
              <w:bottom w:val="nil"/>
              <w:right w:val="single" w:sz="4" w:space="0" w:color="auto"/>
            </w:tcBorders>
            <w:noWrap/>
            <w:vAlign w:val="bottom"/>
            <w:hideMark/>
          </w:tcPr>
          <w:p w14:paraId="7716A74F" w14:textId="77777777" w:rsidR="00EA555A" w:rsidRPr="009E7618" w:rsidRDefault="00EA555A" w:rsidP="009445D8">
            <w:pPr>
              <w:pStyle w:val="Ingenafstand"/>
              <w:keepNext/>
              <w:widowControl/>
              <w:rPr>
                <w:color w:val="000000"/>
                <w:sz w:val="22"/>
                <w:szCs w:val="22"/>
              </w:rPr>
            </w:pPr>
            <w:r w:rsidRPr="009E7618">
              <w:rPr>
                <w:color w:val="000000"/>
                <w:sz w:val="22"/>
                <w:szCs w:val="22"/>
              </w:rPr>
              <w:t>1,44</w:t>
            </w:r>
          </w:p>
        </w:tc>
        <w:tc>
          <w:tcPr>
            <w:tcW w:w="1242" w:type="dxa"/>
            <w:tcBorders>
              <w:top w:val="nil"/>
              <w:left w:val="nil"/>
              <w:bottom w:val="nil"/>
              <w:right w:val="single" w:sz="4" w:space="0" w:color="auto"/>
            </w:tcBorders>
            <w:noWrap/>
            <w:vAlign w:val="bottom"/>
            <w:hideMark/>
          </w:tcPr>
          <w:p w14:paraId="3B1D711E" w14:textId="77777777" w:rsidR="00EA555A" w:rsidRPr="009E7618" w:rsidRDefault="00EA555A" w:rsidP="009445D8">
            <w:pPr>
              <w:pStyle w:val="Ingenafstand"/>
              <w:keepNext/>
              <w:widowControl/>
              <w:rPr>
                <w:color w:val="000000"/>
                <w:sz w:val="22"/>
                <w:szCs w:val="22"/>
              </w:rPr>
            </w:pPr>
            <w:r w:rsidRPr="009E7618">
              <w:rPr>
                <w:color w:val="000000"/>
                <w:sz w:val="22"/>
                <w:szCs w:val="22"/>
              </w:rPr>
              <w:t>0,96</w:t>
            </w:r>
          </w:p>
        </w:tc>
      </w:tr>
      <w:tr w:rsidR="00EA555A" w:rsidRPr="009E7618" w14:paraId="3803A64C"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79A64E9B"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20</w:t>
            </w:r>
          </w:p>
        </w:tc>
        <w:tc>
          <w:tcPr>
            <w:tcW w:w="1182" w:type="dxa"/>
            <w:tcBorders>
              <w:top w:val="nil"/>
              <w:left w:val="nil"/>
              <w:bottom w:val="nil"/>
              <w:right w:val="single" w:sz="4" w:space="0" w:color="auto"/>
            </w:tcBorders>
            <w:noWrap/>
            <w:vAlign w:val="bottom"/>
            <w:hideMark/>
          </w:tcPr>
          <w:p w14:paraId="7C2279BB" w14:textId="77777777" w:rsidR="00EA555A" w:rsidRPr="009E7618" w:rsidRDefault="00EA555A" w:rsidP="009445D8">
            <w:pPr>
              <w:pStyle w:val="Ingenafstand"/>
              <w:keepNext/>
              <w:widowControl/>
              <w:rPr>
                <w:color w:val="000000"/>
                <w:sz w:val="22"/>
                <w:szCs w:val="22"/>
              </w:rPr>
            </w:pPr>
            <w:r w:rsidRPr="009E7618">
              <w:rPr>
                <w:color w:val="000000"/>
                <w:sz w:val="22"/>
                <w:szCs w:val="22"/>
              </w:rPr>
              <w:t>0,6</w:t>
            </w:r>
          </w:p>
        </w:tc>
        <w:tc>
          <w:tcPr>
            <w:tcW w:w="1231" w:type="dxa"/>
            <w:tcBorders>
              <w:top w:val="nil"/>
              <w:left w:val="nil"/>
              <w:bottom w:val="nil"/>
              <w:right w:val="single" w:sz="4" w:space="0" w:color="auto"/>
            </w:tcBorders>
            <w:noWrap/>
            <w:vAlign w:val="bottom"/>
            <w:hideMark/>
          </w:tcPr>
          <w:p w14:paraId="51A4EAA7" w14:textId="77777777" w:rsidR="00EA555A" w:rsidRPr="009E7618" w:rsidRDefault="00EA555A" w:rsidP="009445D8">
            <w:pPr>
              <w:pStyle w:val="Ingenafstand"/>
              <w:keepNext/>
              <w:widowControl/>
              <w:rPr>
                <w:color w:val="000000"/>
                <w:sz w:val="22"/>
                <w:szCs w:val="22"/>
              </w:rPr>
            </w:pPr>
            <w:r w:rsidRPr="009E7618">
              <w:rPr>
                <w:color w:val="000000"/>
                <w:sz w:val="22"/>
                <w:szCs w:val="22"/>
              </w:rPr>
              <w:t>0,4</w:t>
            </w:r>
          </w:p>
        </w:tc>
        <w:tc>
          <w:tcPr>
            <w:tcW w:w="1304" w:type="dxa"/>
            <w:tcBorders>
              <w:top w:val="nil"/>
              <w:left w:val="nil"/>
              <w:bottom w:val="nil"/>
              <w:right w:val="single" w:sz="4" w:space="0" w:color="auto"/>
            </w:tcBorders>
            <w:noWrap/>
            <w:vAlign w:val="bottom"/>
            <w:hideMark/>
          </w:tcPr>
          <w:p w14:paraId="3ECADBEA"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50</w:t>
            </w:r>
          </w:p>
        </w:tc>
        <w:tc>
          <w:tcPr>
            <w:tcW w:w="1145" w:type="dxa"/>
            <w:tcBorders>
              <w:top w:val="nil"/>
              <w:left w:val="nil"/>
              <w:bottom w:val="nil"/>
              <w:right w:val="single" w:sz="4" w:space="0" w:color="auto"/>
            </w:tcBorders>
            <w:noWrap/>
            <w:vAlign w:val="bottom"/>
            <w:hideMark/>
          </w:tcPr>
          <w:p w14:paraId="07637248" w14:textId="77777777" w:rsidR="00EA555A" w:rsidRPr="009E7618" w:rsidRDefault="00EA555A" w:rsidP="009445D8">
            <w:pPr>
              <w:pStyle w:val="Ingenafstand"/>
              <w:keepNext/>
              <w:widowControl/>
              <w:rPr>
                <w:color w:val="000000"/>
                <w:sz w:val="22"/>
                <w:szCs w:val="22"/>
              </w:rPr>
            </w:pPr>
            <w:r w:rsidRPr="009E7618">
              <w:rPr>
                <w:color w:val="000000"/>
                <w:sz w:val="22"/>
                <w:szCs w:val="22"/>
              </w:rPr>
              <w:t>1,5</w:t>
            </w:r>
          </w:p>
        </w:tc>
        <w:tc>
          <w:tcPr>
            <w:tcW w:w="1242" w:type="dxa"/>
            <w:tcBorders>
              <w:top w:val="nil"/>
              <w:left w:val="nil"/>
              <w:bottom w:val="nil"/>
              <w:right w:val="single" w:sz="4" w:space="0" w:color="auto"/>
            </w:tcBorders>
            <w:noWrap/>
            <w:vAlign w:val="bottom"/>
            <w:hideMark/>
          </w:tcPr>
          <w:p w14:paraId="0D23F892" w14:textId="77777777" w:rsidR="00EA555A" w:rsidRPr="009E7618" w:rsidRDefault="00EA555A" w:rsidP="009445D8">
            <w:pPr>
              <w:pStyle w:val="Ingenafstand"/>
              <w:keepNext/>
              <w:widowControl/>
              <w:rPr>
                <w:color w:val="000000"/>
                <w:sz w:val="22"/>
                <w:szCs w:val="22"/>
              </w:rPr>
            </w:pPr>
            <w:r w:rsidRPr="009E7618">
              <w:rPr>
                <w:color w:val="000000"/>
                <w:sz w:val="22"/>
                <w:szCs w:val="22"/>
              </w:rPr>
              <w:t>1</w:t>
            </w:r>
          </w:p>
        </w:tc>
      </w:tr>
      <w:tr w:rsidR="00EA555A" w:rsidRPr="009E7618" w14:paraId="31A6AE5B" w14:textId="77777777" w:rsidTr="0006548E">
        <w:trPr>
          <w:trHeight w:val="122"/>
        </w:trPr>
        <w:tc>
          <w:tcPr>
            <w:tcW w:w="1414" w:type="dxa"/>
            <w:tcBorders>
              <w:top w:val="nil"/>
              <w:left w:val="single" w:sz="4" w:space="0" w:color="auto"/>
              <w:bottom w:val="nil"/>
              <w:right w:val="single" w:sz="4" w:space="0" w:color="auto"/>
            </w:tcBorders>
            <w:noWrap/>
            <w:vAlign w:val="bottom"/>
            <w:hideMark/>
          </w:tcPr>
          <w:p w14:paraId="7F0F805B"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22</w:t>
            </w:r>
          </w:p>
        </w:tc>
        <w:tc>
          <w:tcPr>
            <w:tcW w:w="1182" w:type="dxa"/>
            <w:tcBorders>
              <w:top w:val="nil"/>
              <w:left w:val="nil"/>
              <w:bottom w:val="nil"/>
              <w:right w:val="single" w:sz="4" w:space="0" w:color="auto"/>
            </w:tcBorders>
            <w:noWrap/>
            <w:vAlign w:val="bottom"/>
            <w:hideMark/>
          </w:tcPr>
          <w:p w14:paraId="10BC1F98" w14:textId="77777777" w:rsidR="00EA555A" w:rsidRPr="009E7618" w:rsidRDefault="00EA555A" w:rsidP="009445D8">
            <w:pPr>
              <w:pStyle w:val="Ingenafstand"/>
              <w:keepNext/>
              <w:widowControl/>
              <w:rPr>
                <w:color w:val="000000"/>
                <w:sz w:val="22"/>
                <w:szCs w:val="22"/>
              </w:rPr>
            </w:pPr>
            <w:r w:rsidRPr="009E7618">
              <w:rPr>
                <w:color w:val="000000"/>
                <w:sz w:val="22"/>
                <w:szCs w:val="22"/>
              </w:rPr>
              <w:t>0,66</w:t>
            </w:r>
          </w:p>
        </w:tc>
        <w:tc>
          <w:tcPr>
            <w:tcW w:w="1231" w:type="dxa"/>
            <w:tcBorders>
              <w:top w:val="nil"/>
              <w:left w:val="nil"/>
              <w:bottom w:val="nil"/>
              <w:right w:val="single" w:sz="4" w:space="0" w:color="auto"/>
            </w:tcBorders>
            <w:noWrap/>
            <w:vAlign w:val="bottom"/>
            <w:hideMark/>
          </w:tcPr>
          <w:p w14:paraId="1C14B980" w14:textId="77777777" w:rsidR="00EA555A" w:rsidRPr="009E7618" w:rsidRDefault="00EA555A" w:rsidP="009445D8">
            <w:pPr>
              <w:pStyle w:val="Ingenafstand"/>
              <w:keepNext/>
              <w:widowControl/>
              <w:rPr>
                <w:color w:val="000000"/>
                <w:sz w:val="22"/>
                <w:szCs w:val="22"/>
              </w:rPr>
            </w:pPr>
            <w:r w:rsidRPr="009E7618">
              <w:rPr>
                <w:color w:val="000000"/>
                <w:sz w:val="22"/>
                <w:szCs w:val="22"/>
              </w:rPr>
              <w:t>0,44</w:t>
            </w:r>
          </w:p>
        </w:tc>
        <w:tc>
          <w:tcPr>
            <w:tcW w:w="1304" w:type="dxa"/>
            <w:tcBorders>
              <w:top w:val="nil"/>
              <w:left w:val="nil"/>
              <w:bottom w:val="nil"/>
              <w:right w:val="single" w:sz="4" w:space="0" w:color="auto"/>
            </w:tcBorders>
            <w:noWrap/>
            <w:vAlign w:val="bottom"/>
            <w:hideMark/>
          </w:tcPr>
          <w:p w14:paraId="621D2E94"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52</w:t>
            </w:r>
          </w:p>
        </w:tc>
        <w:tc>
          <w:tcPr>
            <w:tcW w:w="1145" w:type="dxa"/>
            <w:tcBorders>
              <w:top w:val="nil"/>
              <w:left w:val="nil"/>
              <w:bottom w:val="nil"/>
              <w:right w:val="single" w:sz="4" w:space="0" w:color="auto"/>
            </w:tcBorders>
            <w:noWrap/>
            <w:vAlign w:val="bottom"/>
            <w:hideMark/>
          </w:tcPr>
          <w:p w14:paraId="1490BDC2" w14:textId="77777777" w:rsidR="00EA555A" w:rsidRPr="009E7618" w:rsidRDefault="00EA555A" w:rsidP="009445D8">
            <w:pPr>
              <w:pStyle w:val="Ingenafstand"/>
              <w:keepNext/>
              <w:widowControl/>
              <w:rPr>
                <w:color w:val="000000"/>
                <w:sz w:val="22"/>
                <w:szCs w:val="22"/>
              </w:rPr>
            </w:pPr>
            <w:r w:rsidRPr="009E7618">
              <w:rPr>
                <w:color w:val="000000"/>
                <w:sz w:val="22"/>
                <w:szCs w:val="22"/>
              </w:rPr>
              <w:t>1,56</w:t>
            </w:r>
          </w:p>
        </w:tc>
        <w:tc>
          <w:tcPr>
            <w:tcW w:w="1242" w:type="dxa"/>
            <w:tcBorders>
              <w:top w:val="nil"/>
              <w:left w:val="nil"/>
              <w:bottom w:val="nil"/>
              <w:right w:val="single" w:sz="4" w:space="0" w:color="auto"/>
            </w:tcBorders>
            <w:noWrap/>
            <w:vAlign w:val="bottom"/>
            <w:hideMark/>
          </w:tcPr>
          <w:p w14:paraId="0FCC74BA" w14:textId="77777777" w:rsidR="00EA555A" w:rsidRPr="009E7618" w:rsidRDefault="00EA555A" w:rsidP="009445D8">
            <w:pPr>
              <w:pStyle w:val="Ingenafstand"/>
              <w:keepNext/>
              <w:widowControl/>
              <w:rPr>
                <w:color w:val="000000"/>
                <w:sz w:val="22"/>
                <w:szCs w:val="22"/>
              </w:rPr>
            </w:pPr>
            <w:r w:rsidRPr="009E7618">
              <w:rPr>
                <w:color w:val="000000"/>
                <w:sz w:val="22"/>
                <w:szCs w:val="22"/>
              </w:rPr>
              <w:t>1,04</w:t>
            </w:r>
          </w:p>
        </w:tc>
      </w:tr>
      <w:tr w:rsidR="00EA555A" w:rsidRPr="009E7618" w14:paraId="3C45F45A"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627BA808"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24</w:t>
            </w:r>
          </w:p>
        </w:tc>
        <w:tc>
          <w:tcPr>
            <w:tcW w:w="1182" w:type="dxa"/>
            <w:tcBorders>
              <w:top w:val="nil"/>
              <w:left w:val="nil"/>
              <w:bottom w:val="nil"/>
              <w:right w:val="single" w:sz="4" w:space="0" w:color="auto"/>
            </w:tcBorders>
            <w:noWrap/>
            <w:vAlign w:val="bottom"/>
            <w:hideMark/>
          </w:tcPr>
          <w:p w14:paraId="3CEA25FB" w14:textId="77777777" w:rsidR="00EA555A" w:rsidRPr="009E7618" w:rsidRDefault="00EA555A" w:rsidP="009445D8">
            <w:pPr>
              <w:pStyle w:val="Ingenafstand"/>
              <w:keepNext/>
              <w:widowControl/>
              <w:rPr>
                <w:color w:val="000000"/>
                <w:sz w:val="22"/>
                <w:szCs w:val="22"/>
              </w:rPr>
            </w:pPr>
            <w:r w:rsidRPr="009E7618">
              <w:rPr>
                <w:color w:val="000000"/>
                <w:sz w:val="22"/>
                <w:szCs w:val="22"/>
              </w:rPr>
              <w:t>0,72</w:t>
            </w:r>
          </w:p>
        </w:tc>
        <w:tc>
          <w:tcPr>
            <w:tcW w:w="1231" w:type="dxa"/>
            <w:tcBorders>
              <w:top w:val="nil"/>
              <w:left w:val="nil"/>
              <w:bottom w:val="nil"/>
              <w:right w:val="single" w:sz="4" w:space="0" w:color="auto"/>
            </w:tcBorders>
            <w:noWrap/>
            <w:vAlign w:val="bottom"/>
            <w:hideMark/>
          </w:tcPr>
          <w:p w14:paraId="7DBFD74F" w14:textId="77777777" w:rsidR="00EA555A" w:rsidRPr="009E7618" w:rsidRDefault="00EA555A" w:rsidP="009445D8">
            <w:pPr>
              <w:pStyle w:val="Ingenafstand"/>
              <w:keepNext/>
              <w:widowControl/>
              <w:rPr>
                <w:color w:val="000000"/>
                <w:sz w:val="22"/>
                <w:szCs w:val="22"/>
              </w:rPr>
            </w:pPr>
            <w:r w:rsidRPr="009E7618">
              <w:rPr>
                <w:color w:val="000000"/>
                <w:sz w:val="22"/>
                <w:szCs w:val="22"/>
              </w:rPr>
              <w:t>0,48</w:t>
            </w:r>
          </w:p>
        </w:tc>
        <w:tc>
          <w:tcPr>
            <w:tcW w:w="1304" w:type="dxa"/>
            <w:tcBorders>
              <w:top w:val="nil"/>
              <w:left w:val="nil"/>
              <w:bottom w:val="nil"/>
              <w:right w:val="single" w:sz="4" w:space="0" w:color="auto"/>
            </w:tcBorders>
            <w:noWrap/>
            <w:vAlign w:val="bottom"/>
            <w:hideMark/>
          </w:tcPr>
          <w:p w14:paraId="43B3FCB1"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54</w:t>
            </w:r>
          </w:p>
        </w:tc>
        <w:tc>
          <w:tcPr>
            <w:tcW w:w="1145" w:type="dxa"/>
            <w:tcBorders>
              <w:top w:val="nil"/>
              <w:left w:val="nil"/>
              <w:bottom w:val="nil"/>
              <w:right w:val="single" w:sz="4" w:space="0" w:color="auto"/>
            </w:tcBorders>
            <w:noWrap/>
            <w:vAlign w:val="bottom"/>
            <w:hideMark/>
          </w:tcPr>
          <w:p w14:paraId="6AF1EA0A" w14:textId="77777777" w:rsidR="00EA555A" w:rsidRPr="009E7618" w:rsidRDefault="00EA555A" w:rsidP="009445D8">
            <w:pPr>
              <w:pStyle w:val="Ingenafstand"/>
              <w:keepNext/>
              <w:widowControl/>
              <w:rPr>
                <w:color w:val="000000"/>
                <w:sz w:val="22"/>
                <w:szCs w:val="22"/>
              </w:rPr>
            </w:pPr>
            <w:r w:rsidRPr="009E7618">
              <w:rPr>
                <w:color w:val="000000"/>
                <w:sz w:val="22"/>
                <w:szCs w:val="22"/>
              </w:rPr>
              <w:t>1,62</w:t>
            </w:r>
          </w:p>
        </w:tc>
        <w:tc>
          <w:tcPr>
            <w:tcW w:w="1242" w:type="dxa"/>
            <w:tcBorders>
              <w:top w:val="nil"/>
              <w:left w:val="nil"/>
              <w:bottom w:val="nil"/>
              <w:right w:val="single" w:sz="4" w:space="0" w:color="auto"/>
            </w:tcBorders>
            <w:noWrap/>
            <w:vAlign w:val="bottom"/>
            <w:hideMark/>
          </w:tcPr>
          <w:p w14:paraId="5DAC765F" w14:textId="77777777" w:rsidR="00EA555A" w:rsidRPr="009E7618" w:rsidRDefault="00EA555A" w:rsidP="009445D8">
            <w:pPr>
              <w:pStyle w:val="Ingenafstand"/>
              <w:keepNext/>
              <w:widowControl/>
              <w:rPr>
                <w:color w:val="000000"/>
                <w:sz w:val="22"/>
                <w:szCs w:val="22"/>
              </w:rPr>
            </w:pPr>
            <w:r w:rsidRPr="009E7618">
              <w:rPr>
                <w:color w:val="000000"/>
                <w:sz w:val="22"/>
                <w:szCs w:val="22"/>
              </w:rPr>
              <w:t>1,08</w:t>
            </w:r>
          </w:p>
        </w:tc>
      </w:tr>
      <w:tr w:rsidR="00EA555A" w:rsidRPr="009E7618" w14:paraId="7914FEDC"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62BBF25E"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26</w:t>
            </w:r>
          </w:p>
        </w:tc>
        <w:tc>
          <w:tcPr>
            <w:tcW w:w="1182" w:type="dxa"/>
            <w:tcBorders>
              <w:top w:val="nil"/>
              <w:left w:val="nil"/>
              <w:bottom w:val="nil"/>
              <w:right w:val="single" w:sz="4" w:space="0" w:color="auto"/>
            </w:tcBorders>
            <w:noWrap/>
            <w:vAlign w:val="bottom"/>
            <w:hideMark/>
          </w:tcPr>
          <w:p w14:paraId="5F4DD989" w14:textId="77777777" w:rsidR="00EA555A" w:rsidRPr="009E7618" w:rsidRDefault="00EA555A" w:rsidP="009445D8">
            <w:pPr>
              <w:pStyle w:val="Ingenafstand"/>
              <w:keepNext/>
              <w:widowControl/>
              <w:rPr>
                <w:color w:val="000000"/>
                <w:sz w:val="22"/>
                <w:szCs w:val="22"/>
              </w:rPr>
            </w:pPr>
            <w:r w:rsidRPr="009E7618">
              <w:rPr>
                <w:color w:val="000000"/>
                <w:sz w:val="22"/>
                <w:szCs w:val="22"/>
              </w:rPr>
              <w:t>0,78</w:t>
            </w:r>
          </w:p>
        </w:tc>
        <w:tc>
          <w:tcPr>
            <w:tcW w:w="1231" w:type="dxa"/>
            <w:tcBorders>
              <w:top w:val="nil"/>
              <w:left w:val="nil"/>
              <w:bottom w:val="nil"/>
              <w:right w:val="single" w:sz="4" w:space="0" w:color="auto"/>
            </w:tcBorders>
            <w:noWrap/>
            <w:vAlign w:val="bottom"/>
            <w:hideMark/>
          </w:tcPr>
          <w:p w14:paraId="489F515C" w14:textId="77777777" w:rsidR="00EA555A" w:rsidRPr="009E7618" w:rsidRDefault="00EA555A" w:rsidP="009445D8">
            <w:pPr>
              <w:pStyle w:val="Ingenafstand"/>
              <w:keepNext/>
              <w:widowControl/>
              <w:rPr>
                <w:color w:val="000000"/>
                <w:sz w:val="22"/>
                <w:szCs w:val="22"/>
              </w:rPr>
            </w:pPr>
            <w:r w:rsidRPr="009E7618">
              <w:rPr>
                <w:color w:val="000000"/>
                <w:sz w:val="22"/>
                <w:szCs w:val="22"/>
              </w:rPr>
              <w:t>0,52</w:t>
            </w:r>
          </w:p>
        </w:tc>
        <w:tc>
          <w:tcPr>
            <w:tcW w:w="1304" w:type="dxa"/>
            <w:tcBorders>
              <w:top w:val="nil"/>
              <w:left w:val="nil"/>
              <w:bottom w:val="nil"/>
              <w:right w:val="single" w:sz="4" w:space="0" w:color="auto"/>
            </w:tcBorders>
            <w:noWrap/>
            <w:vAlign w:val="bottom"/>
            <w:hideMark/>
          </w:tcPr>
          <w:p w14:paraId="2301022D"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56</w:t>
            </w:r>
          </w:p>
        </w:tc>
        <w:tc>
          <w:tcPr>
            <w:tcW w:w="1145" w:type="dxa"/>
            <w:tcBorders>
              <w:top w:val="nil"/>
              <w:left w:val="nil"/>
              <w:bottom w:val="nil"/>
              <w:right w:val="single" w:sz="4" w:space="0" w:color="auto"/>
            </w:tcBorders>
            <w:noWrap/>
            <w:vAlign w:val="bottom"/>
            <w:hideMark/>
          </w:tcPr>
          <w:p w14:paraId="78BD4452" w14:textId="77777777" w:rsidR="00EA555A" w:rsidRPr="009E7618" w:rsidRDefault="00EA555A" w:rsidP="009445D8">
            <w:pPr>
              <w:pStyle w:val="Ingenafstand"/>
              <w:keepNext/>
              <w:widowControl/>
              <w:rPr>
                <w:color w:val="000000"/>
                <w:sz w:val="22"/>
                <w:szCs w:val="22"/>
              </w:rPr>
            </w:pPr>
            <w:r w:rsidRPr="009E7618">
              <w:rPr>
                <w:color w:val="000000"/>
                <w:sz w:val="22"/>
                <w:szCs w:val="22"/>
              </w:rPr>
              <w:t>1,68</w:t>
            </w:r>
          </w:p>
        </w:tc>
        <w:tc>
          <w:tcPr>
            <w:tcW w:w="1242" w:type="dxa"/>
            <w:tcBorders>
              <w:top w:val="nil"/>
              <w:left w:val="nil"/>
              <w:bottom w:val="nil"/>
              <w:right w:val="single" w:sz="4" w:space="0" w:color="auto"/>
            </w:tcBorders>
            <w:noWrap/>
            <w:vAlign w:val="bottom"/>
            <w:hideMark/>
          </w:tcPr>
          <w:p w14:paraId="0FF3050A" w14:textId="77777777" w:rsidR="00EA555A" w:rsidRPr="009E7618" w:rsidRDefault="00EA555A" w:rsidP="009445D8">
            <w:pPr>
              <w:pStyle w:val="Ingenafstand"/>
              <w:keepNext/>
              <w:widowControl/>
              <w:rPr>
                <w:color w:val="000000"/>
                <w:sz w:val="22"/>
                <w:szCs w:val="22"/>
              </w:rPr>
            </w:pPr>
            <w:r w:rsidRPr="009E7618">
              <w:rPr>
                <w:color w:val="000000"/>
                <w:sz w:val="22"/>
                <w:szCs w:val="22"/>
              </w:rPr>
              <w:t>1,12</w:t>
            </w:r>
          </w:p>
        </w:tc>
      </w:tr>
      <w:tr w:rsidR="00EA555A" w:rsidRPr="009E7618" w14:paraId="36EB48FA" w14:textId="77777777" w:rsidTr="0006548E">
        <w:trPr>
          <w:trHeight w:val="300"/>
        </w:trPr>
        <w:tc>
          <w:tcPr>
            <w:tcW w:w="1414" w:type="dxa"/>
            <w:tcBorders>
              <w:top w:val="nil"/>
              <w:left w:val="single" w:sz="4" w:space="0" w:color="auto"/>
              <w:bottom w:val="nil"/>
              <w:right w:val="single" w:sz="4" w:space="0" w:color="auto"/>
            </w:tcBorders>
            <w:noWrap/>
            <w:vAlign w:val="bottom"/>
            <w:hideMark/>
          </w:tcPr>
          <w:p w14:paraId="358240E6"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28</w:t>
            </w:r>
          </w:p>
        </w:tc>
        <w:tc>
          <w:tcPr>
            <w:tcW w:w="1182" w:type="dxa"/>
            <w:tcBorders>
              <w:top w:val="nil"/>
              <w:left w:val="nil"/>
              <w:bottom w:val="nil"/>
              <w:right w:val="single" w:sz="4" w:space="0" w:color="auto"/>
            </w:tcBorders>
            <w:noWrap/>
            <w:vAlign w:val="bottom"/>
            <w:hideMark/>
          </w:tcPr>
          <w:p w14:paraId="61007E83" w14:textId="77777777" w:rsidR="00EA555A" w:rsidRPr="009E7618" w:rsidRDefault="00EA555A" w:rsidP="009445D8">
            <w:pPr>
              <w:pStyle w:val="Ingenafstand"/>
              <w:keepNext/>
              <w:widowControl/>
              <w:rPr>
                <w:color w:val="000000"/>
                <w:sz w:val="22"/>
                <w:szCs w:val="22"/>
              </w:rPr>
            </w:pPr>
            <w:r w:rsidRPr="009E7618">
              <w:rPr>
                <w:color w:val="000000"/>
                <w:sz w:val="22"/>
                <w:szCs w:val="22"/>
              </w:rPr>
              <w:t>0,84</w:t>
            </w:r>
          </w:p>
        </w:tc>
        <w:tc>
          <w:tcPr>
            <w:tcW w:w="1231" w:type="dxa"/>
            <w:tcBorders>
              <w:top w:val="nil"/>
              <w:left w:val="nil"/>
              <w:bottom w:val="nil"/>
              <w:right w:val="single" w:sz="4" w:space="0" w:color="auto"/>
            </w:tcBorders>
            <w:noWrap/>
            <w:vAlign w:val="bottom"/>
            <w:hideMark/>
          </w:tcPr>
          <w:p w14:paraId="6B0241F3" w14:textId="77777777" w:rsidR="00EA555A" w:rsidRPr="009E7618" w:rsidRDefault="00EA555A" w:rsidP="009445D8">
            <w:pPr>
              <w:pStyle w:val="Ingenafstand"/>
              <w:keepNext/>
              <w:widowControl/>
              <w:rPr>
                <w:color w:val="000000"/>
                <w:sz w:val="22"/>
                <w:szCs w:val="22"/>
              </w:rPr>
            </w:pPr>
            <w:r w:rsidRPr="009E7618">
              <w:rPr>
                <w:color w:val="000000"/>
                <w:sz w:val="22"/>
                <w:szCs w:val="22"/>
              </w:rPr>
              <w:t>0,56</w:t>
            </w:r>
          </w:p>
        </w:tc>
        <w:tc>
          <w:tcPr>
            <w:tcW w:w="1304" w:type="dxa"/>
            <w:tcBorders>
              <w:top w:val="nil"/>
              <w:left w:val="nil"/>
              <w:bottom w:val="nil"/>
              <w:right w:val="single" w:sz="4" w:space="0" w:color="auto"/>
            </w:tcBorders>
            <w:noWrap/>
            <w:vAlign w:val="bottom"/>
            <w:hideMark/>
          </w:tcPr>
          <w:p w14:paraId="50A909BA"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58</w:t>
            </w:r>
          </w:p>
        </w:tc>
        <w:tc>
          <w:tcPr>
            <w:tcW w:w="1145" w:type="dxa"/>
            <w:tcBorders>
              <w:top w:val="nil"/>
              <w:left w:val="nil"/>
              <w:bottom w:val="nil"/>
              <w:right w:val="single" w:sz="4" w:space="0" w:color="auto"/>
            </w:tcBorders>
            <w:noWrap/>
            <w:vAlign w:val="bottom"/>
            <w:hideMark/>
          </w:tcPr>
          <w:p w14:paraId="7FE7078C" w14:textId="77777777" w:rsidR="00EA555A" w:rsidRPr="009E7618" w:rsidRDefault="00EA555A" w:rsidP="009445D8">
            <w:pPr>
              <w:pStyle w:val="Ingenafstand"/>
              <w:keepNext/>
              <w:widowControl/>
              <w:rPr>
                <w:color w:val="000000"/>
                <w:sz w:val="22"/>
                <w:szCs w:val="22"/>
              </w:rPr>
            </w:pPr>
            <w:r w:rsidRPr="009E7618">
              <w:rPr>
                <w:color w:val="000000"/>
                <w:sz w:val="22"/>
                <w:szCs w:val="22"/>
              </w:rPr>
              <w:t>1,74</w:t>
            </w:r>
          </w:p>
        </w:tc>
        <w:tc>
          <w:tcPr>
            <w:tcW w:w="1242" w:type="dxa"/>
            <w:tcBorders>
              <w:top w:val="nil"/>
              <w:left w:val="nil"/>
              <w:bottom w:val="nil"/>
              <w:right w:val="single" w:sz="4" w:space="0" w:color="auto"/>
            </w:tcBorders>
            <w:noWrap/>
            <w:vAlign w:val="bottom"/>
            <w:hideMark/>
          </w:tcPr>
          <w:p w14:paraId="5D19840A" w14:textId="77777777" w:rsidR="00EA555A" w:rsidRPr="009E7618" w:rsidRDefault="00EA555A" w:rsidP="009445D8">
            <w:pPr>
              <w:pStyle w:val="Ingenafstand"/>
              <w:keepNext/>
              <w:widowControl/>
              <w:rPr>
                <w:color w:val="000000"/>
                <w:sz w:val="22"/>
                <w:szCs w:val="22"/>
              </w:rPr>
            </w:pPr>
            <w:r w:rsidRPr="009E7618">
              <w:rPr>
                <w:color w:val="000000"/>
                <w:sz w:val="22"/>
                <w:szCs w:val="22"/>
              </w:rPr>
              <w:t>1,16</w:t>
            </w:r>
          </w:p>
        </w:tc>
      </w:tr>
      <w:tr w:rsidR="00EA555A" w:rsidRPr="009E7618" w14:paraId="762CE968" w14:textId="77777777" w:rsidTr="0006548E">
        <w:trPr>
          <w:trHeight w:val="300"/>
        </w:trPr>
        <w:tc>
          <w:tcPr>
            <w:tcW w:w="1414" w:type="dxa"/>
            <w:tcBorders>
              <w:top w:val="nil"/>
              <w:left w:val="single" w:sz="4" w:space="0" w:color="auto"/>
              <w:bottom w:val="single" w:sz="4" w:space="0" w:color="auto"/>
              <w:right w:val="single" w:sz="4" w:space="0" w:color="auto"/>
            </w:tcBorders>
            <w:noWrap/>
            <w:vAlign w:val="bottom"/>
            <w:hideMark/>
          </w:tcPr>
          <w:p w14:paraId="7B5B7463"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30</w:t>
            </w:r>
          </w:p>
        </w:tc>
        <w:tc>
          <w:tcPr>
            <w:tcW w:w="1182" w:type="dxa"/>
            <w:tcBorders>
              <w:top w:val="nil"/>
              <w:left w:val="nil"/>
              <w:bottom w:val="single" w:sz="4" w:space="0" w:color="auto"/>
              <w:right w:val="single" w:sz="4" w:space="0" w:color="auto"/>
            </w:tcBorders>
            <w:noWrap/>
            <w:vAlign w:val="bottom"/>
            <w:hideMark/>
          </w:tcPr>
          <w:p w14:paraId="7E8CE46F" w14:textId="77777777" w:rsidR="00EA555A" w:rsidRPr="009E7618" w:rsidRDefault="00EA555A" w:rsidP="009445D8">
            <w:pPr>
              <w:pStyle w:val="Ingenafstand"/>
              <w:keepNext/>
              <w:widowControl/>
              <w:rPr>
                <w:color w:val="000000"/>
                <w:sz w:val="22"/>
                <w:szCs w:val="22"/>
              </w:rPr>
            </w:pPr>
            <w:r w:rsidRPr="009E7618">
              <w:rPr>
                <w:color w:val="000000"/>
                <w:sz w:val="22"/>
                <w:szCs w:val="22"/>
              </w:rPr>
              <w:t>0,9</w:t>
            </w:r>
          </w:p>
        </w:tc>
        <w:tc>
          <w:tcPr>
            <w:tcW w:w="1231" w:type="dxa"/>
            <w:tcBorders>
              <w:top w:val="nil"/>
              <w:left w:val="nil"/>
              <w:bottom w:val="single" w:sz="4" w:space="0" w:color="auto"/>
              <w:right w:val="single" w:sz="4" w:space="0" w:color="auto"/>
            </w:tcBorders>
            <w:noWrap/>
            <w:vAlign w:val="bottom"/>
            <w:hideMark/>
          </w:tcPr>
          <w:p w14:paraId="7E247ADE" w14:textId="77777777" w:rsidR="00EA555A" w:rsidRPr="009E7618" w:rsidRDefault="00EA555A" w:rsidP="009445D8">
            <w:pPr>
              <w:pStyle w:val="Ingenafstand"/>
              <w:keepNext/>
              <w:widowControl/>
              <w:rPr>
                <w:color w:val="000000"/>
                <w:sz w:val="22"/>
                <w:szCs w:val="22"/>
              </w:rPr>
            </w:pPr>
            <w:r w:rsidRPr="009E7618">
              <w:rPr>
                <w:color w:val="000000"/>
                <w:sz w:val="22"/>
                <w:szCs w:val="22"/>
              </w:rPr>
              <w:t>0,6</w:t>
            </w:r>
          </w:p>
        </w:tc>
        <w:tc>
          <w:tcPr>
            <w:tcW w:w="1304" w:type="dxa"/>
            <w:tcBorders>
              <w:top w:val="nil"/>
              <w:left w:val="nil"/>
              <w:bottom w:val="single" w:sz="4" w:space="0" w:color="auto"/>
              <w:right w:val="single" w:sz="4" w:space="0" w:color="auto"/>
            </w:tcBorders>
            <w:noWrap/>
            <w:vAlign w:val="bottom"/>
            <w:hideMark/>
          </w:tcPr>
          <w:p w14:paraId="588AA34A" w14:textId="77777777" w:rsidR="00EA555A" w:rsidRPr="009E7618" w:rsidRDefault="00EA555A" w:rsidP="009445D8">
            <w:pPr>
              <w:pStyle w:val="Ingenafstand"/>
              <w:keepNext/>
              <w:widowControl/>
              <w:rPr>
                <w:b/>
                <w:bCs/>
                <w:color w:val="000000"/>
                <w:sz w:val="22"/>
                <w:szCs w:val="22"/>
              </w:rPr>
            </w:pPr>
            <w:r w:rsidRPr="009E7618">
              <w:rPr>
                <w:b/>
                <w:color w:val="000000"/>
                <w:sz w:val="22"/>
                <w:szCs w:val="22"/>
              </w:rPr>
              <w:t>60</w:t>
            </w:r>
          </w:p>
        </w:tc>
        <w:tc>
          <w:tcPr>
            <w:tcW w:w="1145" w:type="dxa"/>
            <w:tcBorders>
              <w:top w:val="nil"/>
              <w:left w:val="nil"/>
              <w:bottom w:val="single" w:sz="4" w:space="0" w:color="auto"/>
              <w:right w:val="single" w:sz="4" w:space="0" w:color="auto"/>
            </w:tcBorders>
            <w:noWrap/>
            <w:vAlign w:val="bottom"/>
            <w:hideMark/>
          </w:tcPr>
          <w:p w14:paraId="59A72579" w14:textId="77777777" w:rsidR="00EA555A" w:rsidRPr="009E7618" w:rsidRDefault="00EA555A" w:rsidP="009445D8">
            <w:pPr>
              <w:pStyle w:val="Ingenafstand"/>
              <w:keepNext/>
              <w:widowControl/>
              <w:rPr>
                <w:color w:val="000000"/>
                <w:sz w:val="22"/>
                <w:szCs w:val="22"/>
              </w:rPr>
            </w:pPr>
            <w:r w:rsidRPr="009E7618">
              <w:rPr>
                <w:color w:val="000000"/>
                <w:sz w:val="22"/>
                <w:szCs w:val="22"/>
              </w:rPr>
              <w:t>1,8</w:t>
            </w:r>
          </w:p>
        </w:tc>
        <w:tc>
          <w:tcPr>
            <w:tcW w:w="1242" w:type="dxa"/>
            <w:tcBorders>
              <w:top w:val="nil"/>
              <w:left w:val="nil"/>
              <w:bottom w:val="single" w:sz="4" w:space="0" w:color="auto"/>
              <w:right w:val="single" w:sz="4" w:space="0" w:color="auto"/>
            </w:tcBorders>
            <w:noWrap/>
            <w:vAlign w:val="bottom"/>
            <w:hideMark/>
          </w:tcPr>
          <w:p w14:paraId="7C5579C1" w14:textId="77777777" w:rsidR="00EA555A" w:rsidRPr="009E7618" w:rsidRDefault="00EA555A" w:rsidP="009445D8">
            <w:pPr>
              <w:pStyle w:val="Ingenafstand"/>
              <w:keepNext/>
              <w:widowControl/>
              <w:rPr>
                <w:color w:val="000000"/>
                <w:sz w:val="22"/>
                <w:szCs w:val="22"/>
              </w:rPr>
            </w:pPr>
            <w:r w:rsidRPr="009E7618">
              <w:rPr>
                <w:color w:val="000000"/>
                <w:sz w:val="22"/>
                <w:szCs w:val="22"/>
              </w:rPr>
              <w:t>1,2</w:t>
            </w:r>
          </w:p>
        </w:tc>
      </w:tr>
    </w:tbl>
    <w:p w14:paraId="34032435" w14:textId="77777777" w:rsidR="00EA555A" w:rsidRPr="009445D8" w:rsidRDefault="00EA555A" w:rsidP="0006548E">
      <w:pPr>
        <w:pStyle w:val="Ingenafstand"/>
        <w:ind w:left="851"/>
      </w:pPr>
    </w:p>
    <w:p w14:paraId="7790CE9B" w14:textId="77777777" w:rsidR="00EA555A" w:rsidRPr="009445D8" w:rsidRDefault="00EA555A" w:rsidP="009445D8">
      <w:pPr>
        <w:ind w:left="851"/>
        <w:rPr>
          <w:sz w:val="24"/>
          <w:szCs w:val="24"/>
        </w:rPr>
      </w:pPr>
      <w:r w:rsidRPr="009445D8">
        <w:rPr>
          <w:sz w:val="24"/>
          <w:szCs w:val="24"/>
        </w:rPr>
        <w:t xml:space="preserve">For at sikre korrekt dosering bør legemsvægten beregnes så nøjagtigt som muligt. </w:t>
      </w:r>
    </w:p>
    <w:p w14:paraId="095309D9" w14:textId="77777777" w:rsidR="00EA555A" w:rsidRPr="009445D8" w:rsidRDefault="00EA555A" w:rsidP="009445D8">
      <w:pPr>
        <w:ind w:left="851"/>
        <w:rPr>
          <w:sz w:val="24"/>
          <w:szCs w:val="24"/>
        </w:rPr>
      </w:pPr>
      <w:r w:rsidRPr="009445D8">
        <w:rPr>
          <w:sz w:val="24"/>
          <w:szCs w:val="24"/>
        </w:rPr>
        <w:t>Ved to daglige indgivelser bør hunden veje mindst 1,6 kg. Ved tre daglige indgivelser bør hunden veje mindst 2,5 kg.</w:t>
      </w:r>
    </w:p>
    <w:p w14:paraId="4B21CD9A" w14:textId="77777777" w:rsidR="008203A8" w:rsidRPr="009445D8" w:rsidRDefault="008203A8" w:rsidP="008203A8">
      <w:pPr>
        <w:tabs>
          <w:tab w:val="left" w:pos="851"/>
        </w:tabs>
        <w:ind w:left="851"/>
        <w:rPr>
          <w:sz w:val="24"/>
          <w:szCs w:val="24"/>
        </w:rPr>
      </w:pPr>
    </w:p>
    <w:p w14:paraId="6AD97BB0" w14:textId="77777777" w:rsidR="008203A8" w:rsidRPr="009445D8" w:rsidRDefault="008203A8" w:rsidP="008203A8">
      <w:pPr>
        <w:tabs>
          <w:tab w:val="left" w:pos="851"/>
        </w:tabs>
        <w:ind w:left="851" w:hanging="851"/>
        <w:rPr>
          <w:b/>
          <w:sz w:val="24"/>
          <w:szCs w:val="24"/>
        </w:rPr>
      </w:pPr>
      <w:r w:rsidRPr="009445D8">
        <w:rPr>
          <w:b/>
          <w:sz w:val="24"/>
          <w:szCs w:val="24"/>
        </w:rPr>
        <w:t>3.10</w:t>
      </w:r>
      <w:r w:rsidRPr="009445D8">
        <w:rPr>
          <w:b/>
          <w:sz w:val="24"/>
          <w:szCs w:val="24"/>
        </w:rPr>
        <w:tab/>
        <w:t>Symptomer på overdosering (og, hvis relevant, nødforanstaltninger og modgift)</w:t>
      </w:r>
    </w:p>
    <w:p w14:paraId="07DB8E8B" w14:textId="77777777" w:rsidR="00EA555A" w:rsidRPr="009445D8" w:rsidRDefault="00EA555A" w:rsidP="009445D8">
      <w:pPr>
        <w:ind w:left="851"/>
        <w:rPr>
          <w:sz w:val="24"/>
          <w:szCs w:val="24"/>
        </w:rPr>
      </w:pPr>
      <w:r w:rsidRPr="009445D8">
        <w:rPr>
          <w:sz w:val="24"/>
          <w:szCs w:val="24"/>
        </w:rPr>
        <w:t>Hos raske hunde sås ingen bivirkninger ved doser på op til 5 gange den anbefalede dosis. Ved overdosering kan der dog ses symptomer på kraftig stimulation af det sympatiske nervesystem.</w:t>
      </w:r>
    </w:p>
    <w:p w14:paraId="0CF83222" w14:textId="77777777" w:rsidR="00EA555A" w:rsidRPr="009445D8" w:rsidRDefault="00EA555A" w:rsidP="009445D8">
      <w:pPr>
        <w:ind w:left="851"/>
        <w:rPr>
          <w:sz w:val="24"/>
          <w:szCs w:val="24"/>
        </w:rPr>
      </w:pPr>
      <w:r w:rsidRPr="009445D8">
        <w:rPr>
          <w:sz w:val="24"/>
          <w:szCs w:val="24"/>
        </w:rPr>
        <w:t>Behandlingen bør være symptomatisk. Alfa-</w:t>
      </w:r>
      <w:proofErr w:type="spellStart"/>
      <w:r w:rsidRPr="009445D8">
        <w:rPr>
          <w:sz w:val="24"/>
          <w:szCs w:val="24"/>
        </w:rPr>
        <w:t>blokkere</w:t>
      </w:r>
      <w:proofErr w:type="spellEnd"/>
      <w:r w:rsidRPr="009445D8">
        <w:rPr>
          <w:sz w:val="24"/>
          <w:szCs w:val="24"/>
        </w:rPr>
        <w:t xml:space="preserve"> kan være effektivt ved kraftig overdosering.</w:t>
      </w:r>
    </w:p>
    <w:p w14:paraId="071D0D44" w14:textId="77777777" w:rsidR="008203A8" w:rsidRPr="009445D8" w:rsidRDefault="008203A8" w:rsidP="008203A8">
      <w:pPr>
        <w:tabs>
          <w:tab w:val="left" w:pos="851"/>
        </w:tabs>
        <w:ind w:left="851"/>
        <w:rPr>
          <w:sz w:val="24"/>
          <w:szCs w:val="24"/>
        </w:rPr>
      </w:pPr>
    </w:p>
    <w:p w14:paraId="00928DF9" w14:textId="77777777" w:rsidR="008203A8" w:rsidRPr="009445D8" w:rsidRDefault="008203A8" w:rsidP="008203A8">
      <w:pPr>
        <w:tabs>
          <w:tab w:val="left" w:pos="851"/>
        </w:tabs>
        <w:ind w:left="851" w:hanging="851"/>
        <w:rPr>
          <w:sz w:val="24"/>
          <w:szCs w:val="24"/>
        </w:rPr>
      </w:pPr>
      <w:r w:rsidRPr="009445D8">
        <w:rPr>
          <w:b/>
          <w:sz w:val="24"/>
          <w:szCs w:val="24"/>
        </w:rPr>
        <w:t>3.11</w:t>
      </w:r>
      <w:r w:rsidRPr="009445D8">
        <w:rPr>
          <w:sz w:val="24"/>
          <w:szCs w:val="24"/>
        </w:rPr>
        <w:tab/>
      </w:r>
      <w:r w:rsidRPr="009445D8">
        <w:rPr>
          <w:b/>
          <w:sz w:val="24"/>
          <w:szCs w:val="24"/>
        </w:rPr>
        <w:t>Særlige begrænsninger og betingelser for anvendelse, herunder begrænsninger for anvendelsen af antimikrobielle og antiparasitære veterinærlægemidler for at begrænse risikoen for udvikling af resistens</w:t>
      </w:r>
    </w:p>
    <w:p w14:paraId="38832E26" w14:textId="77777777" w:rsidR="00EA555A" w:rsidRPr="009445D8" w:rsidRDefault="00EA555A" w:rsidP="009445D8">
      <w:pPr>
        <w:ind w:left="851"/>
        <w:rPr>
          <w:sz w:val="24"/>
          <w:szCs w:val="24"/>
        </w:rPr>
      </w:pPr>
      <w:r w:rsidRPr="009445D8">
        <w:rPr>
          <w:sz w:val="24"/>
          <w:szCs w:val="24"/>
        </w:rPr>
        <w:t>Ikke relevant.</w:t>
      </w:r>
    </w:p>
    <w:p w14:paraId="4078F430" w14:textId="77777777" w:rsidR="008203A8" w:rsidRPr="009445D8" w:rsidRDefault="008203A8" w:rsidP="008203A8">
      <w:pPr>
        <w:tabs>
          <w:tab w:val="left" w:pos="851"/>
        </w:tabs>
        <w:ind w:left="851"/>
        <w:rPr>
          <w:sz w:val="24"/>
          <w:szCs w:val="24"/>
        </w:rPr>
      </w:pPr>
    </w:p>
    <w:p w14:paraId="7B3CAFD6" w14:textId="77777777" w:rsidR="008203A8" w:rsidRPr="009445D8" w:rsidRDefault="008203A8" w:rsidP="008203A8">
      <w:pPr>
        <w:tabs>
          <w:tab w:val="left" w:pos="851"/>
        </w:tabs>
        <w:ind w:left="851" w:hanging="851"/>
        <w:rPr>
          <w:b/>
          <w:sz w:val="24"/>
          <w:szCs w:val="24"/>
        </w:rPr>
      </w:pPr>
      <w:r w:rsidRPr="009445D8">
        <w:rPr>
          <w:b/>
          <w:sz w:val="24"/>
          <w:szCs w:val="24"/>
        </w:rPr>
        <w:t>3.12</w:t>
      </w:r>
      <w:r w:rsidRPr="009445D8">
        <w:rPr>
          <w:b/>
          <w:sz w:val="24"/>
          <w:szCs w:val="24"/>
        </w:rPr>
        <w:tab/>
        <w:t>Tilbageholdelsestid(er)</w:t>
      </w:r>
    </w:p>
    <w:p w14:paraId="2A221832" w14:textId="77777777" w:rsidR="00EA555A" w:rsidRPr="009445D8" w:rsidRDefault="00EA555A" w:rsidP="009445D8">
      <w:pPr>
        <w:ind w:left="851"/>
        <w:rPr>
          <w:spacing w:val="-2"/>
          <w:sz w:val="24"/>
          <w:szCs w:val="24"/>
        </w:rPr>
      </w:pPr>
      <w:r w:rsidRPr="009445D8">
        <w:rPr>
          <w:sz w:val="24"/>
          <w:szCs w:val="24"/>
        </w:rPr>
        <w:t>Ikke relevant.</w:t>
      </w:r>
    </w:p>
    <w:p w14:paraId="49EC20BC" w14:textId="77777777" w:rsidR="008203A8" w:rsidRPr="009445D8" w:rsidRDefault="008203A8" w:rsidP="008203A8">
      <w:pPr>
        <w:pStyle w:val="Sidehoved"/>
        <w:tabs>
          <w:tab w:val="clear" w:pos="4819"/>
        </w:tabs>
        <w:ind w:left="851"/>
        <w:rPr>
          <w:szCs w:val="24"/>
        </w:rPr>
      </w:pPr>
    </w:p>
    <w:p w14:paraId="02B0AE75" w14:textId="77777777" w:rsidR="008203A8" w:rsidRPr="009445D8" w:rsidRDefault="008203A8" w:rsidP="008203A8">
      <w:pPr>
        <w:tabs>
          <w:tab w:val="left" w:pos="851"/>
        </w:tabs>
        <w:ind w:left="851"/>
        <w:rPr>
          <w:sz w:val="24"/>
          <w:szCs w:val="24"/>
        </w:rPr>
      </w:pPr>
    </w:p>
    <w:p w14:paraId="4F217008" w14:textId="57A7646A" w:rsidR="008203A8" w:rsidRPr="009445D8" w:rsidRDefault="008203A8" w:rsidP="008203A8">
      <w:pPr>
        <w:ind w:left="851" w:hanging="851"/>
        <w:rPr>
          <w:b/>
          <w:sz w:val="24"/>
          <w:szCs w:val="24"/>
        </w:rPr>
      </w:pPr>
      <w:r w:rsidRPr="009445D8">
        <w:rPr>
          <w:b/>
          <w:sz w:val="24"/>
          <w:szCs w:val="24"/>
        </w:rPr>
        <w:t>4.</w:t>
      </w:r>
      <w:r w:rsidRPr="009445D8">
        <w:rPr>
          <w:b/>
          <w:sz w:val="24"/>
          <w:szCs w:val="24"/>
        </w:rPr>
        <w:tab/>
        <w:t>FARMAKOLOGISKE OPLYSNINGER</w:t>
      </w:r>
    </w:p>
    <w:p w14:paraId="50D3BF38" w14:textId="77777777" w:rsidR="008203A8" w:rsidRPr="009445D8" w:rsidRDefault="008203A8" w:rsidP="008203A8">
      <w:pPr>
        <w:ind w:left="851"/>
        <w:rPr>
          <w:sz w:val="24"/>
          <w:szCs w:val="24"/>
        </w:rPr>
      </w:pPr>
    </w:p>
    <w:p w14:paraId="665BAFCB" w14:textId="77777777" w:rsidR="008203A8" w:rsidRPr="009445D8" w:rsidRDefault="008203A8" w:rsidP="008203A8">
      <w:pPr>
        <w:ind w:left="851" w:hanging="851"/>
        <w:rPr>
          <w:b/>
          <w:sz w:val="24"/>
          <w:szCs w:val="24"/>
        </w:rPr>
      </w:pPr>
      <w:r w:rsidRPr="009445D8">
        <w:rPr>
          <w:b/>
          <w:sz w:val="24"/>
          <w:szCs w:val="24"/>
        </w:rPr>
        <w:t>4.1</w:t>
      </w:r>
      <w:r w:rsidRPr="009445D8">
        <w:rPr>
          <w:b/>
          <w:sz w:val="24"/>
          <w:szCs w:val="24"/>
        </w:rPr>
        <w:tab/>
      </w:r>
      <w:proofErr w:type="spellStart"/>
      <w:r w:rsidRPr="009445D8">
        <w:rPr>
          <w:b/>
          <w:sz w:val="24"/>
          <w:szCs w:val="24"/>
        </w:rPr>
        <w:t>ATCvet</w:t>
      </w:r>
      <w:proofErr w:type="spellEnd"/>
      <w:r w:rsidRPr="009445D8">
        <w:rPr>
          <w:b/>
          <w:sz w:val="24"/>
          <w:szCs w:val="24"/>
        </w:rPr>
        <w:t>-kode</w:t>
      </w:r>
    </w:p>
    <w:p w14:paraId="6673E087" w14:textId="63712BA4" w:rsidR="008203A8" w:rsidRPr="009445D8" w:rsidRDefault="00EA555A" w:rsidP="008203A8">
      <w:pPr>
        <w:ind w:left="851"/>
        <w:rPr>
          <w:sz w:val="24"/>
          <w:szCs w:val="24"/>
        </w:rPr>
      </w:pPr>
      <w:r w:rsidRPr="009445D8">
        <w:rPr>
          <w:sz w:val="24"/>
          <w:szCs w:val="24"/>
        </w:rPr>
        <w:t>QG04BX91</w:t>
      </w:r>
    </w:p>
    <w:p w14:paraId="06797676" w14:textId="77777777" w:rsidR="008203A8" w:rsidRPr="009445D8" w:rsidRDefault="008203A8" w:rsidP="008203A8">
      <w:pPr>
        <w:ind w:left="851"/>
        <w:rPr>
          <w:sz w:val="24"/>
          <w:szCs w:val="24"/>
        </w:rPr>
      </w:pPr>
    </w:p>
    <w:p w14:paraId="7CC2310E" w14:textId="77777777" w:rsidR="008203A8" w:rsidRPr="009445D8" w:rsidRDefault="008203A8" w:rsidP="008203A8">
      <w:pPr>
        <w:tabs>
          <w:tab w:val="left" w:pos="851"/>
        </w:tabs>
        <w:ind w:left="851" w:hanging="851"/>
        <w:rPr>
          <w:b/>
          <w:sz w:val="24"/>
          <w:szCs w:val="24"/>
        </w:rPr>
      </w:pPr>
      <w:r w:rsidRPr="009445D8">
        <w:rPr>
          <w:b/>
          <w:sz w:val="24"/>
          <w:szCs w:val="24"/>
        </w:rPr>
        <w:t>4.2</w:t>
      </w:r>
      <w:r w:rsidRPr="009445D8">
        <w:rPr>
          <w:b/>
          <w:sz w:val="24"/>
          <w:szCs w:val="24"/>
        </w:rPr>
        <w:tab/>
      </w:r>
      <w:proofErr w:type="spellStart"/>
      <w:r w:rsidRPr="009445D8">
        <w:rPr>
          <w:b/>
          <w:sz w:val="24"/>
          <w:szCs w:val="24"/>
        </w:rPr>
        <w:t>Farmakodynamiske</w:t>
      </w:r>
      <w:proofErr w:type="spellEnd"/>
      <w:r w:rsidRPr="009445D8">
        <w:rPr>
          <w:b/>
          <w:sz w:val="24"/>
          <w:szCs w:val="24"/>
        </w:rPr>
        <w:t xml:space="preserve"> oplysninger</w:t>
      </w:r>
    </w:p>
    <w:p w14:paraId="15155F4C" w14:textId="77777777" w:rsidR="00EA555A" w:rsidRPr="009445D8" w:rsidRDefault="00EA555A" w:rsidP="009445D8">
      <w:pPr>
        <w:ind w:left="851"/>
        <w:rPr>
          <w:spacing w:val="-2"/>
          <w:sz w:val="24"/>
          <w:szCs w:val="24"/>
        </w:rPr>
      </w:pPr>
      <w:proofErr w:type="spellStart"/>
      <w:r w:rsidRPr="009445D8">
        <w:rPr>
          <w:sz w:val="24"/>
          <w:szCs w:val="24"/>
        </w:rPr>
        <w:t>Phenylpropanolamin</w:t>
      </w:r>
      <w:proofErr w:type="spellEnd"/>
      <w:r w:rsidRPr="009445D8">
        <w:rPr>
          <w:sz w:val="24"/>
          <w:szCs w:val="24"/>
        </w:rPr>
        <w:t xml:space="preserve"> er en </w:t>
      </w:r>
      <w:proofErr w:type="spellStart"/>
      <w:r w:rsidRPr="009445D8">
        <w:rPr>
          <w:sz w:val="24"/>
          <w:szCs w:val="24"/>
        </w:rPr>
        <w:t>racemisk</w:t>
      </w:r>
      <w:proofErr w:type="spellEnd"/>
      <w:r w:rsidRPr="009445D8">
        <w:rPr>
          <w:sz w:val="24"/>
          <w:szCs w:val="24"/>
        </w:rPr>
        <w:t xml:space="preserve"> blanding af D- og L-</w:t>
      </w:r>
      <w:proofErr w:type="spellStart"/>
      <w:r w:rsidRPr="009445D8">
        <w:rPr>
          <w:sz w:val="24"/>
          <w:szCs w:val="24"/>
        </w:rPr>
        <w:t>enantiomerer</w:t>
      </w:r>
      <w:proofErr w:type="spellEnd"/>
      <w:r w:rsidRPr="009445D8">
        <w:rPr>
          <w:sz w:val="24"/>
          <w:szCs w:val="24"/>
        </w:rPr>
        <w:t>.</w:t>
      </w:r>
    </w:p>
    <w:p w14:paraId="6FF59EBA" w14:textId="77777777" w:rsidR="00EA555A" w:rsidRPr="009445D8" w:rsidRDefault="00EA555A" w:rsidP="009445D8">
      <w:pPr>
        <w:ind w:left="851"/>
        <w:rPr>
          <w:spacing w:val="-2"/>
          <w:sz w:val="24"/>
          <w:szCs w:val="24"/>
        </w:rPr>
      </w:pPr>
      <w:proofErr w:type="spellStart"/>
      <w:r w:rsidRPr="009445D8">
        <w:rPr>
          <w:sz w:val="24"/>
          <w:szCs w:val="24"/>
        </w:rPr>
        <w:t>Phenylpropanolaminhydrochlorid</w:t>
      </w:r>
      <w:proofErr w:type="spellEnd"/>
      <w:r w:rsidRPr="009445D8">
        <w:rPr>
          <w:sz w:val="24"/>
          <w:szCs w:val="24"/>
        </w:rPr>
        <w:t xml:space="preserve"> er et </w:t>
      </w:r>
      <w:proofErr w:type="spellStart"/>
      <w:r w:rsidRPr="009445D8">
        <w:rPr>
          <w:sz w:val="24"/>
          <w:szCs w:val="24"/>
        </w:rPr>
        <w:t>sympatomimetisk</w:t>
      </w:r>
      <w:proofErr w:type="spellEnd"/>
      <w:r w:rsidRPr="009445D8">
        <w:rPr>
          <w:sz w:val="24"/>
          <w:szCs w:val="24"/>
        </w:rPr>
        <w:t xml:space="preserve"> stof, der virker ved direkte stimulation af den glatte muskulatur i den interne </w:t>
      </w:r>
      <w:proofErr w:type="spellStart"/>
      <w:r w:rsidRPr="009445D8">
        <w:rPr>
          <w:sz w:val="24"/>
          <w:szCs w:val="24"/>
        </w:rPr>
        <w:t>uretrale</w:t>
      </w:r>
      <w:proofErr w:type="spellEnd"/>
      <w:r w:rsidRPr="009445D8">
        <w:rPr>
          <w:sz w:val="24"/>
          <w:szCs w:val="24"/>
        </w:rPr>
        <w:t xml:space="preserve"> </w:t>
      </w:r>
      <w:proofErr w:type="spellStart"/>
      <w:r w:rsidRPr="009445D8">
        <w:rPr>
          <w:sz w:val="24"/>
          <w:szCs w:val="24"/>
        </w:rPr>
        <w:t>sfinkter</w:t>
      </w:r>
      <w:proofErr w:type="spellEnd"/>
      <w:r w:rsidRPr="009445D8">
        <w:rPr>
          <w:sz w:val="24"/>
          <w:szCs w:val="24"/>
        </w:rPr>
        <w:t xml:space="preserve">. Det er en analog til de endogene </w:t>
      </w:r>
      <w:proofErr w:type="spellStart"/>
      <w:r w:rsidRPr="009445D8">
        <w:rPr>
          <w:sz w:val="24"/>
          <w:szCs w:val="24"/>
        </w:rPr>
        <w:t>sympatomimetiske</w:t>
      </w:r>
      <w:proofErr w:type="spellEnd"/>
      <w:r w:rsidRPr="009445D8">
        <w:rPr>
          <w:sz w:val="24"/>
          <w:szCs w:val="24"/>
        </w:rPr>
        <w:t xml:space="preserve"> </w:t>
      </w:r>
      <w:proofErr w:type="spellStart"/>
      <w:r w:rsidRPr="009445D8">
        <w:rPr>
          <w:sz w:val="24"/>
          <w:szCs w:val="24"/>
        </w:rPr>
        <w:t>aminer</w:t>
      </w:r>
      <w:proofErr w:type="spellEnd"/>
      <w:r w:rsidRPr="009445D8">
        <w:rPr>
          <w:sz w:val="24"/>
          <w:szCs w:val="24"/>
        </w:rPr>
        <w:t>.</w:t>
      </w:r>
    </w:p>
    <w:p w14:paraId="3CD747A5" w14:textId="77777777" w:rsidR="00EA555A" w:rsidRPr="009445D8" w:rsidRDefault="00EA555A" w:rsidP="009445D8">
      <w:pPr>
        <w:ind w:left="851"/>
        <w:rPr>
          <w:spacing w:val="-2"/>
          <w:sz w:val="24"/>
          <w:szCs w:val="24"/>
        </w:rPr>
      </w:pPr>
      <w:proofErr w:type="spellStart"/>
      <w:r w:rsidRPr="009445D8">
        <w:rPr>
          <w:sz w:val="24"/>
          <w:szCs w:val="24"/>
        </w:rPr>
        <w:t>Phenylpropanolaminhydrochlorid</w:t>
      </w:r>
      <w:proofErr w:type="spellEnd"/>
      <w:r w:rsidRPr="009445D8">
        <w:rPr>
          <w:sz w:val="24"/>
          <w:szCs w:val="24"/>
        </w:rPr>
        <w:t xml:space="preserve"> har svag </w:t>
      </w:r>
      <w:proofErr w:type="spellStart"/>
      <w:r w:rsidRPr="009445D8">
        <w:rPr>
          <w:sz w:val="24"/>
          <w:szCs w:val="24"/>
        </w:rPr>
        <w:t>sympatomimetisk</w:t>
      </w:r>
      <w:proofErr w:type="spellEnd"/>
      <w:r w:rsidRPr="009445D8">
        <w:rPr>
          <w:sz w:val="24"/>
          <w:szCs w:val="24"/>
        </w:rPr>
        <w:t xml:space="preserve"> aktivitet og giver en lang række farmakologiske effekter. Det synes at virke direkte på den glatte muskulatur i de nedre urinveje. Det menes, at den glatte muskulatur i vid udstrækning er ansvarlig for opretholdelse af </w:t>
      </w:r>
      <w:proofErr w:type="spellStart"/>
      <w:r w:rsidRPr="009445D8">
        <w:rPr>
          <w:sz w:val="24"/>
          <w:szCs w:val="24"/>
        </w:rPr>
        <w:t>tonus</w:t>
      </w:r>
      <w:proofErr w:type="spellEnd"/>
      <w:r w:rsidRPr="009445D8">
        <w:rPr>
          <w:sz w:val="24"/>
          <w:szCs w:val="24"/>
        </w:rPr>
        <w:t xml:space="preserve"> i hviletilstand.</w:t>
      </w:r>
    </w:p>
    <w:p w14:paraId="29E46B5F" w14:textId="77777777" w:rsidR="00EA555A" w:rsidRPr="009445D8" w:rsidRDefault="00EA555A" w:rsidP="009445D8">
      <w:pPr>
        <w:ind w:left="851"/>
        <w:rPr>
          <w:spacing w:val="-2"/>
          <w:sz w:val="24"/>
          <w:szCs w:val="24"/>
        </w:rPr>
      </w:pPr>
      <w:proofErr w:type="spellStart"/>
      <w:r w:rsidRPr="009445D8">
        <w:rPr>
          <w:sz w:val="24"/>
          <w:szCs w:val="24"/>
        </w:rPr>
        <w:t>Phenylpropanolamins</w:t>
      </w:r>
      <w:proofErr w:type="spellEnd"/>
      <w:r w:rsidRPr="009445D8">
        <w:rPr>
          <w:sz w:val="24"/>
          <w:szCs w:val="24"/>
        </w:rPr>
        <w:t xml:space="preserve"> kliniske virkning ved urininkontinens er baseret på stoffets stimulation af de α-</w:t>
      </w:r>
      <w:proofErr w:type="spellStart"/>
      <w:r w:rsidRPr="009445D8">
        <w:rPr>
          <w:sz w:val="24"/>
          <w:szCs w:val="24"/>
        </w:rPr>
        <w:t>adrenerge</w:t>
      </w:r>
      <w:proofErr w:type="spellEnd"/>
      <w:r w:rsidRPr="009445D8">
        <w:rPr>
          <w:sz w:val="24"/>
          <w:szCs w:val="24"/>
        </w:rPr>
        <w:t xml:space="preserve"> receptorer. Dette medfører en øgning og en stabilisering af lukketrykket i </w:t>
      </w:r>
      <w:proofErr w:type="spellStart"/>
      <w:r w:rsidRPr="009445D8">
        <w:rPr>
          <w:sz w:val="24"/>
          <w:szCs w:val="24"/>
        </w:rPr>
        <w:t>uretra</w:t>
      </w:r>
      <w:proofErr w:type="spellEnd"/>
      <w:r w:rsidRPr="009445D8">
        <w:rPr>
          <w:sz w:val="24"/>
          <w:szCs w:val="24"/>
        </w:rPr>
        <w:t xml:space="preserve">, der hovedsagelig </w:t>
      </w:r>
      <w:proofErr w:type="spellStart"/>
      <w:r w:rsidRPr="009445D8">
        <w:rPr>
          <w:sz w:val="24"/>
          <w:szCs w:val="24"/>
        </w:rPr>
        <w:t>innerveres</w:t>
      </w:r>
      <w:proofErr w:type="spellEnd"/>
      <w:r w:rsidRPr="009445D8">
        <w:rPr>
          <w:sz w:val="24"/>
          <w:szCs w:val="24"/>
        </w:rPr>
        <w:t xml:space="preserve"> af </w:t>
      </w:r>
      <w:proofErr w:type="spellStart"/>
      <w:r w:rsidRPr="009445D8">
        <w:rPr>
          <w:sz w:val="24"/>
          <w:szCs w:val="24"/>
        </w:rPr>
        <w:t>adrenerge</w:t>
      </w:r>
      <w:proofErr w:type="spellEnd"/>
      <w:r w:rsidRPr="009445D8">
        <w:rPr>
          <w:sz w:val="24"/>
          <w:szCs w:val="24"/>
        </w:rPr>
        <w:t xml:space="preserve"> nerver.</w:t>
      </w:r>
    </w:p>
    <w:p w14:paraId="0D65A86D" w14:textId="77777777" w:rsidR="008203A8" w:rsidRPr="009445D8" w:rsidRDefault="008203A8" w:rsidP="008203A8">
      <w:pPr>
        <w:tabs>
          <w:tab w:val="left" w:pos="851"/>
        </w:tabs>
        <w:ind w:left="851"/>
        <w:rPr>
          <w:sz w:val="24"/>
          <w:szCs w:val="24"/>
        </w:rPr>
      </w:pPr>
    </w:p>
    <w:p w14:paraId="0FFB13B3" w14:textId="77777777" w:rsidR="008203A8" w:rsidRPr="009445D8" w:rsidRDefault="008203A8" w:rsidP="008203A8">
      <w:pPr>
        <w:tabs>
          <w:tab w:val="left" w:pos="851"/>
        </w:tabs>
        <w:ind w:left="851" w:hanging="851"/>
        <w:rPr>
          <w:b/>
          <w:sz w:val="24"/>
          <w:szCs w:val="24"/>
        </w:rPr>
      </w:pPr>
      <w:r w:rsidRPr="009445D8">
        <w:rPr>
          <w:b/>
          <w:sz w:val="24"/>
          <w:szCs w:val="24"/>
        </w:rPr>
        <w:t>4.3</w:t>
      </w:r>
      <w:r w:rsidRPr="009445D8">
        <w:rPr>
          <w:b/>
          <w:sz w:val="24"/>
          <w:szCs w:val="24"/>
        </w:rPr>
        <w:tab/>
      </w:r>
      <w:proofErr w:type="spellStart"/>
      <w:r w:rsidRPr="009445D8">
        <w:rPr>
          <w:b/>
          <w:sz w:val="24"/>
          <w:szCs w:val="24"/>
        </w:rPr>
        <w:t>Farmakokinetiske</w:t>
      </w:r>
      <w:proofErr w:type="spellEnd"/>
      <w:r w:rsidRPr="009445D8">
        <w:rPr>
          <w:b/>
          <w:sz w:val="24"/>
          <w:szCs w:val="24"/>
        </w:rPr>
        <w:t xml:space="preserve"> oplysninger</w:t>
      </w:r>
    </w:p>
    <w:p w14:paraId="73BD8C46" w14:textId="77777777" w:rsidR="00EA555A" w:rsidRPr="009445D8" w:rsidRDefault="00EA555A" w:rsidP="009445D8">
      <w:pPr>
        <w:ind w:left="851"/>
        <w:rPr>
          <w:spacing w:val="-1"/>
          <w:sz w:val="24"/>
          <w:szCs w:val="24"/>
        </w:rPr>
      </w:pPr>
      <w:r w:rsidRPr="009445D8">
        <w:rPr>
          <w:sz w:val="24"/>
          <w:szCs w:val="24"/>
        </w:rPr>
        <w:t xml:space="preserve">Hos hunde er </w:t>
      </w:r>
      <w:proofErr w:type="spellStart"/>
      <w:r w:rsidRPr="009445D8">
        <w:rPr>
          <w:sz w:val="24"/>
          <w:szCs w:val="24"/>
        </w:rPr>
        <w:t>phenylpropanolamins</w:t>
      </w:r>
      <w:proofErr w:type="spellEnd"/>
      <w:r w:rsidRPr="009445D8">
        <w:rPr>
          <w:sz w:val="24"/>
          <w:szCs w:val="24"/>
        </w:rPr>
        <w:t xml:space="preserve"> gennemsnitlige halveringstid ca. 3 timer med maksimal plasmakoncentration efter ca. 1 time. Der er ikke set akkumulation af </w:t>
      </w:r>
      <w:proofErr w:type="spellStart"/>
      <w:r w:rsidRPr="009445D8">
        <w:rPr>
          <w:sz w:val="24"/>
          <w:szCs w:val="24"/>
        </w:rPr>
        <w:t>phenylpropanolamin</w:t>
      </w:r>
      <w:proofErr w:type="spellEnd"/>
      <w:r w:rsidRPr="009445D8">
        <w:rPr>
          <w:sz w:val="24"/>
          <w:szCs w:val="24"/>
        </w:rPr>
        <w:t xml:space="preserve"> efter en dosis på 1 mg/kg 3 gange dagligt i 15 dage.</w:t>
      </w:r>
    </w:p>
    <w:p w14:paraId="49BB4BC5" w14:textId="77777777" w:rsidR="00EA555A" w:rsidRPr="009445D8" w:rsidRDefault="00EA555A" w:rsidP="009445D8">
      <w:pPr>
        <w:ind w:left="851"/>
        <w:rPr>
          <w:spacing w:val="-2"/>
          <w:sz w:val="24"/>
          <w:szCs w:val="24"/>
        </w:rPr>
      </w:pPr>
      <w:r w:rsidRPr="009445D8">
        <w:rPr>
          <w:sz w:val="24"/>
          <w:szCs w:val="24"/>
        </w:rPr>
        <w:t>Ved indgivelse af veterinærlægemidlet til fastende hunde øges biotilgængeligheden signifikant.</w:t>
      </w:r>
    </w:p>
    <w:p w14:paraId="5D3CBD30" w14:textId="77777777" w:rsidR="008203A8" w:rsidRPr="009445D8" w:rsidRDefault="008203A8" w:rsidP="008203A8">
      <w:pPr>
        <w:ind w:left="851"/>
        <w:rPr>
          <w:sz w:val="24"/>
          <w:szCs w:val="24"/>
        </w:rPr>
      </w:pPr>
    </w:p>
    <w:p w14:paraId="7E32D265" w14:textId="77777777" w:rsidR="008203A8" w:rsidRPr="009445D8" w:rsidRDefault="008203A8" w:rsidP="008203A8">
      <w:pPr>
        <w:tabs>
          <w:tab w:val="left" w:pos="851"/>
        </w:tabs>
        <w:ind w:left="851"/>
        <w:rPr>
          <w:sz w:val="24"/>
          <w:szCs w:val="24"/>
        </w:rPr>
      </w:pPr>
    </w:p>
    <w:p w14:paraId="7EBE6579" w14:textId="77777777" w:rsidR="008203A8" w:rsidRPr="009445D8" w:rsidRDefault="008203A8" w:rsidP="008203A8">
      <w:pPr>
        <w:ind w:left="851" w:hanging="851"/>
        <w:rPr>
          <w:b/>
          <w:sz w:val="24"/>
          <w:szCs w:val="24"/>
        </w:rPr>
      </w:pPr>
      <w:r w:rsidRPr="009445D8">
        <w:rPr>
          <w:b/>
          <w:sz w:val="24"/>
          <w:szCs w:val="24"/>
        </w:rPr>
        <w:t>5.</w:t>
      </w:r>
      <w:r w:rsidRPr="009445D8">
        <w:rPr>
          <w:b/>
          <w:sz w:val="24"/>
          <w:szCs w:val="24"/>
        </w:rPr>
        <w:tab/>
        <w:t>FARMACEUTISKE OPLYSNINGER</w:t>
      </w:r>
    </w:p>
    <w:p w14:paraId="6947CBAA" w14:textId="77777777" w:rsidR="008203A8" w:rsidRPr="009445D8" w:rsidRDefault="008203A8" w:rsidP="008203A8">
      <w:pPr>
        <w:tabs>
          <w:tab w:val="left" w:pos="851"/>
        </w:tabs>
        <w:ind w:left="851"/>
        <w:rPr>
          <w:sz w:val="24"/>
          <w:szCs w:val="24"/>
        </w:rPr>
      </w:pPr>
    </w:p>
    <w:p w14:paraId="025D2A94" w14:textId="77777777" w:rsidR="008203A8" w:rsidRPr="009445D8" w:rsidRDefault="008203A8" w:rsidP="008203A8">
      <w:pPr>
        <w:ind w:left="851" w:hanging="851"/>
        <w:rPr>
          <w:b/>
          <w:sz w:val="24"/>
          <w:szCs w:val="24"/>
        </w:rPr>
      </w:pPr>
      <w:r w:rsidRPr="009445D8">
        <w:rPr>
          <w:b/>
          <w:sz w:val="24"/>
          <w:szCs w:val="24"/>
        </w:rPr>
        <w:t>5.1</w:t>
      </w:r>
      <w:r w:rsidRPr="009445D8">
        <w:rPr>
          <w:b/>
          <w:sz w:val="24"/>
          <w:szCs w:val="24"/>
        </w:rPr>
        <w:tab/>
        <w:t>Væsentlige uforligeligheder</w:t>
      </w:r>
    </w:p>
    <w:p w14:paraId="22D3DC4C" w14:textId="77777777" w:rsidR="00EA555A" w:rsidRPr="009445D8" w:rsidRDefault="00EA555A" w:rsidP="009445D8">
      <w:pPr>
        <w:ind w:left="851"/>
        <w:rPr>
          <w:sz w:val="24"/>
          <w:szCs w:val="24"/>
        </w:rPr>
      </w:pPr>
      <w:r w:rsidRPr="009445D8">
        <w:rPr>
          <w:sz w:val="24"/>
          <w:szCs w:val="24"/>
        </w:rPr>
        <w:t>Da der ikke foreligger undersøgelser vedrørende eventuelle uforligeligheder, bør dette veterinærlægemiddel ikke blandes med andre veterinærlægemidler.</w:t>
      </w:r>
    </w:p>
    <w:p w14:paraId="1CCE7905" w14:textId="77777777" w:rsidR="008203A8" w:rsidRPr="009445D8" w:rsidRDefault="008203A8" w:rsidP="009445D8">
      <w:pPr>
        <w:ind w:left="851"/>
        <w:rPr>
          <w:sz w:val="24"/>
          <w:szCs w:val="24"/>
        </w:rPr>
      </w:pPr>
    </w:p>
    <w:p w14:paraId="3805787A" w14:textId="77777777" w:rsidR="008203A8" w:rsidRPr="009445D8" w:rsidRDefault="008203A8" w:rsidP="008203A8">
      <w:pPr>
        <w:ind w:left="851" w:hanging="851"/>
        <w:rPr>
          <w:b/>
          <w:sz w:val="24"/>
          <w:szCs w:val="24"/>
        </w:rPr>
      </w:pPr>
      <w:r w:rsidRPr="009445D8">
        <w:rPr>
          <w:b/>
          <w:sz w:val="24"/>
          <w:szCs w:val="24"/>
        </w:rPr>
        <w:t>5.2</w:t>
      </w:r>
      <w:r w:rsidRPr="009445D8">
        <w:rPr>
          <w:b/>
          <w:sz w:val="24"/>
          <w:szCs w:val="24"/>
        </w:rPr>
        <w:tab/>
        <w:t>Opbevaringstid</w:t>
      </w:r>
    </w:p>
    <w:p w14:paraId="5AE4EFCB" w14:textId="77777777" w:rsidR="00EA555A" w:rsidRPr="009445D8" w:rsidRDefault="00EA555A" w:rsidP="009445D8">
      <w:pPr>
        <w:ind w:left="851"/>
        <w:rPr>
          <w:iCs/>
          <w:strike/>
          <w:spacing w:val="-2"/>
          <w:sz w:val="24"/>
          <w:szCs w:val="24"/>
        </w:rPr>
      </w:pPr>
      <w:r w:rsidRPr="009445D8">
        <w:rPr>
          <w:sz w:val="24"/>
          <w:szCs w:val="24"/>
        </w:rPr>
        <w:t xml:space="preserve">Opbevaringstid for veterinærlægemidlet i salgspakning: 3 år. </w:t>
      </w:r>
    </w:p>
    <w:p w14:paraId="1BD0222E" w14:textId="77777777" w:rsidR="00EA555A" w:rsidRPr="009445D8" w:rsidRDefault="00EA555A" w:rsidP="009445D8">
      <w:pPr>
        <w:ind w:left="851"/>
        <w:rPr>
          <w:sz w:val="24"/>
          <w:szCs w:val="24"/>
        </w:rPr>
      </w:pPr>
      <w:r w:rsidRPr="009445D8">
        <w:rPr>
          <w:sz w:val="24"/>
          <w:szCs w:val="24"/>
        </w:rPr>
        <w:t>Opbevaringstid efter første åbning af den indre emballage: 3 måneder.</w:t>
      </w:r>
    </w:p>
    <w:p w14:paraId="22712725" w14:textId="77777777" w:rsidR="008203A8" w:rsidRPr="009445D8" w:rsidRDefault="008203A8" w:rsidP="008203A8">
      <w:pPr>
        <w:tabs>
          <w:tab w:val="left" w:pos="851"/>
        </w:tabs>
        <w:ind w:left="851"/>
        <w:rPr>
          <w:sz w:val="24"/>
          <w:szCs w:val="24"/>
        </w:rPr>
      </w:pPr>
    </w:p>
    <w:p w14:paraId="69F788DC" w14:textId="77777777" w:rsidR="008203A8" w:rsidRPr="009445D8" w:rsidRDefault="008203A8" w:rsidP="008203A8">
      <w:pPr>
        <w:ind w:left="851" w:hanging="851"/>
        <w:rPr>
          <w:b/>
          <w:sz w:val="24"/>
          <w:szCs w:val="24"/>
        </w:rPr>
      </w:pPr>
      <w:r w:rsidRPr="009445D8">
        <w:rPr>
          <w:b/>
          <w:sz w:val="24"/>
          <w:szCs w:val="24"/>
        </w:rPr>
        <w:t>5.3</w:t>
      </w:r>
      <w:r w:rsidRPr="009445D8">
        <w:rPr>
          <w:b/>
          <w:sz w:val="24"/>
          <w:szCs w:val="24"/>
        </w:rPr>
        <w:tab/>
        <w:t>Særlige forholdsregler vedrørende opbevaring</w:t>
      </w:r>
    </w:p>
    <w:p w14:paraId="326EF1F2" w14:textId="77777777" w:rsidR="00EA555A" w:rsidRPr="009445D8" w:rsidRDefault="00EA555A" w:rsidP="009445D8">
      <w:pPr>
        <w:ind w:left="851"/>
        <w:rPr>
          <w:iCs/>
          <w:spacing w:val="-3"/>
          <w:sz w:val="24"/>
          <w:szCs w:val="24"/>
        </w:rPr>
      </w:pPr>
      <w:r w:rsidRPr="009445D8">
        <w:rPr>
          <w:sz w:val="24"/>
          <w:szCs w:val="24"/>
        </w:rPr>
        <w:t>Der er ingen særlige krav vedrørende opbevaringsforhold for dette veterinærlægemiddel.</w:t>
      </w:r>
    </w:p>
    <w:p w14:paraId="37370A3B" w14:textId="77777777" w:rsidR="008203A8" w:rsidRPr="009445D8" w:rsidRDefault="008203A8" w:rsidP="008203A8">
      <w:pPr>
        <w:tabs>
          <w:tab w:val="left" w:pos="851"/>
        </w:tabs>
        <w:ind w:left="851"/>
        <w:rPr>
          <w:sz w:val="24"/>
          <w:szCs w:val="24"/>
        </w:rPr>
      </w:pPr>
    </w:p>
    <w:p w14:paraId="559048EE" w14:textId="77777777" w:rsidR="008203A8" w:rsidRPr="009445D8" w:rsidRDefault="008203A8" w:rsidP="008203A8">
      <w:pPr>
        <w:ind w:left="851" w:hanging="851"/>
        <w:rPr>
          <w:b/>
          <w:sz w:val="24"/>
          <w:szCs w:val="24"/>
        </w:rPr>
      </w:pPr>
      <w:r w:rsidRPr="009445D8">
        <w:rPr>
          <w:b/>
          <w:sz w:val="24"/>
          <w:szCs w:val="24"/>
        </w:rPr>
        <w:t>5.4</w:t>
      </w:r>
      <w:r w:rsidRPr="009445D8">
        <w:rPr>
          <w:b/>
          <w:sz w:val="24"/>
          <w:szCs w:val="24"/>
        </w:rPr>
        <w:tab/>
        <w:t>Den indre emballages art og indhold</w:t>
      </w:r>
    </w:p>
    <w:p w14:paraId="662E3AAF" w14:textId="77777777" w:rsidR="00EA555A" w:rsidRPr="009445D8" w:rsidRDefault="00EA555A" w:rsidP="009445D8">
      <w:pPr>
        <w:ind w:left="851"/>
        <w:rPr>
          <w:spacing w:val="-2"/>
          <w:sz w:val="24"/>
          <w:szCs w:val="24"/>
        </w:rPr>
      </w:pPr>
      <w:r w:rsidRPr="009445D8">
        <w:rPr>
          <w:sz w:val="24"/>
          <w:szCs w:val="24"/>
        </w:rPr>
        <w:t xml:space="preserve">HDPE-beholder lukket med hvidt børnesikret låg af polypropylen og sprøjteadapter af LDPE. </w:t>
      </w:r>
    </w:p>
    <w:p w14:paraId="168E2FE8" w14:textId="77777777" w:rsidR="00EA555A" w:rsidRPr="009445D8" w:rsidRDefault="00EA555A" w:rsidP="009445D8">
      <w:pPr>
        <w:ind w:left="851"/>
        <w:rPr>
          <w:spacing w:val="-2"/>
          <w:sz w:val="24"/>
          <w:szCs w:val="24"/>
        </w:rPr>
      </w:pPr>
      <w:r w:rsidRPr="009445D8">
        <w:rPr>
          <w:sz w:val="24"/>
          <w:szCs w:val="24"/>
        </w:rPr>
        <w:t>En gradueret 1 ml-sprøjte af HDPE/polypropylen følger med hver beholder.</w:t>
      </w:r>
    </w:p>
    <w:p w14:paraId="67D09312" w14:textId="77777777" w:rsidR="00EA555A" w:rsidRPr="009445D8" w:rsidRDefault="00EA555A" w:rsidP="009445D8">
      <w:pPr>
        <w:ind w:left="851"/>
        <w:rPr>
          <w:spacing w:val="-2"/>
          <w:sz w:val="24"/>
          <w:szCs w:val="24"/>
        </w:rPr>
      </w:pPr>
    </w:p>
    <w:p w14:paraId="47A717CB" w14:textId="77777777" w:rsidR="00EA555A" w:rsidRPr="009445D8" w:rsidRDefault="00EA555A" w:rsidP="009445D8">
      <w:pPr>
        <w:ind w:left="851"/>
        <w:rPr>
          <w:spacing w:val="-2"/>
          <w:sz w:val="24"/>
          <w:szCs w:val="24"/>
          <w:u w:val="single"/>
        </w:rPr>
      </w:pPr>
      <w:r w:rsidRPr="009445D8">
        <w:rPr>
          <w:sz w:val="24"/>
          <w:szCs w:val="24"/>
          <w:u w:val="single"/>
        </w:rPr>
        <w:t>Pakningsstørrelser:</w:t>
      </w:r>
    </w:p>
    <w:p w14:paraId="7048A30E" w14:textId="77777777" w:rsidR="00EA555A" w:rsidRPr="009445D8" w:rsidRDefault="00EA555A" w:rsidP="009445D8">
      <w:pPr>
        <w:ind w:left="851"/>
        <w:rPr>
          <w:spacing w:val="-2"/>
          <w:sz w:val="24"/>
          <w:szCs w:val="24"/>
        </w:rPr>
      </w:pPr>
      <w:r w:rsidRPr="009445D8">
        <w:rPr>
          <w:sz w:val="24"/>
          <w:szCs w:val="24"/>
        </w:rPr>
        <w:t>Beholder á 30 ml</w:t>
      </w:r>
    </w:p>
    <w:p w14:paraId="2DA447E6" w14:textId="77777777" w:rsidR="00EA555A" w:rsidRPr="009445D8" w:rsidRDefault="00EA555A" w:rsidP="009445D8">
      <w:pPr>
        <w:ind w:left="851"/>
        <w:rPr>
          <w:spacing w:val="-2"/>
          <w:sz w:val="24"/>
          <w:szCs w:val="24"/>
        </w:rPr>
      </w:pPr>
      <w:r w:rsidRPr="009445D8">
        <w:rPr>
          <w:sz w:val="24"/>
          <w:szCs w:val="24"/>
        </w:rPr>
        <w:t>Beholder á 60 ml</w:t>
      </w:r>
    </w:p>
    <w:p w14:paraId="1267071E" w14:textId="77777777" w:rsidR="00EA555A" w:rsidRPr="009445D8" w:rsidRDefault="00EA555A" w:rsidP="009445D8">
      <w:pPr>
        <w:ind w:left="851"/>
        <w:rPr>
          <w:spacing w:val="59"/>
          <w:sz w:val="24"/>
          <w:szCs w:val="24"/>
        </w:rPr>
      </w:pPr>
      <w:r w:rsidRPr="009445D8">
        <w:rPr>
          <w:sz w:val="24"/>
          <w:szCs w:val="24"/>
        </w:rPr>
        <w:t>Beholder á 100 ml</w:t>
      </w:r>
    </w:p>
    <w:p w14:paraId="1588C518" w14:textId="77777777" w:rsidR="00EA555A" w:rsidRPr="009445D8" w:rsidRDefault="00EA555A" w:rsidP="009445D8">
      <w:pPr>
        <w:ind w:left="851"/>
        <w:rPr>
          <w:sz w:val="24"/>
          <w:szCs w:val="24"/>
        </w:rPr>
      </w:pPr>
    </w:p>
    <w:p w14:paraId="3AFDF03A" w14:textId="77777777" w:rsidR="00EA555A" w:rsidRPr="009445D8" w:rsidRDefault="00EA555A" w:rsidP="009445D8">
      <w:pPr>
        <w:ind w:left="851"/>
        <w:rPr>
          <w:sz w:val="24"/>
          <w:szCs w:val="24"/>
        </w:rPr>
      </w:pPr>
      <w:r w:rsidRPr="009445D8">
        <w:rPr>
          <w:sz w:val="24"/>
          <w:szCs w:val="24"/>
        </w:rPr>
        <w:t>Ikke alle pakningsstørrelser er nødvendigvis markedsført.</w:t>
      </w:r>
    </w:p>
    <w:p w14:paraId="1EE587ED" w14:textId="77777777" w:rsidR="008203A8" w:rsidRPr="009445D8" w:rsidRDefault="008203A8" w:rsidP="008203A8">
      <w:pPr>
        <w:tabs>
          <w:tab w:val="left" w:pos="851"/>
        </w:tabs>
        <w:ind w:left="851"/>
        <w:rPr>
          <w:sz w:val="24"/>
          <w:szCs w:val="24"/>
        </w:rPr>
      </w:pPr>
    </w:p>
    <w:p w14:paraId="669C4FFC" w14:textId="77777777" w:rsidR="008203A8" w:rsidRPr="009445D8" w:rsidRDefault="008203A8" w:rsidP="008203A8">
      <w:pPr>
        <w:tabs>
          <w:tab w:val="left" w:pos="851"/>
        </w:tabs>
        <w:ind w:left="851" w:hanging="851"/>
        <w:rPr>
          <w:sz w:val="24"/>
          <w:szCs w:val="24"/>
        </w:rPr>
      </w:pPr>
      <w:r w:rsidRPr="009445D8">
        <w:rPr>
          <w:b/>
          <w:sz w:val="24"/>
          <w:szCs w:val="24"/>
        </w:rPr>
        <w:t>5.5</w:t>
      </w:r>
      <w:r w:rsidRPr="009445D8">
        <w:rPr>
          <w:b/>
          <w:sz w:val="24"/>
          <w:szCs w:val="24"/>
        </w:rPr>
        <w:tab/>
        <w:t>Særlige forholdsregler vedrørende bortskaffelse af ubrugte veterinærlægemidler eller affaldsmaterialer fra brugen heraf</w:t>
      </w:r>
    </w:p>
    <w:p w14:paraId="6B8ECCCD" w14:textId="77777777" w:rsidR="00EA555A" w:rsidRPr="009445D8" w:rsidRDefault="00EA555A" w:rsidP="009445D8">
      <w:pPr>
        <w:ind w:left="851"/>
        <w:rPr>
          <w:sz w:val="24"/>
          <w:szCs w:val="24"/>
        </w:rPr>
      </w:pPr>
      <w:r w:rsidRPr="009445D8">
        <w:rPr>
          <w:sz w:val="24"/>
          <w:szCs w:val="24"/>
        </w:rPr>
        <w:t>Lægemidler må ikke bortskaffes sammen med spildevand eller husholdningsaffald.</w:t>
      </w:r>
    </w:p>
    <w:p w14:paraId="6053CCBB" w14:textId="77777777" w:rsidR="00EA555A" w:rsidRPr="009445D8" w:rsidRDefault="00EA555A" w:rsidP="009445D8">
      <w:pPr>
        <w:ind w:left="851"/>
        <w:rPr>
          <w:sz w:val="24"/>
          <w:szCs w:val="24"/>
        </w:rPr>
      </w:pPr>
    </w:p>
    <w:p w14:paraId="09E2104E" w14:textId="77777777" w:rsidR="00EA555A" w:rsidRPr="009445D8" w:rsidRDefault="00EA555A" w:rsidP="009445D8">
      <w:pPr>
        <w:ind w:left="851"/>
        <w:rPr>
          <w:sz w:val="24"/>
          <w:szCs w:val="24"/>
        </w:rPr>
      </w:pPr>
      <w:r w:rsidRPr="009445D8">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7CC274C3" w14:textId="77777777" w:rsidR="008203A8" w:rsidRPr="009445D8" w:rsidRDefault="008203A8" w:rsidP="008203A8">
      <w:pPr>
        <w:tabs>
          <w:tab w:val="left" w:pos="851"/>
        </w:tabs>
        <w:ind w:left="851"/>
        <w:rPr>
          <w:sz w:val="24"/>
          <w:szCs w:val="24"/>
        </w:rPr>
      </w:pPr>
    </w:p>
    <w:p w14:paraId="4B0664C2" w14:textId="77777777" w:rsidR="008203A8" w:rsidRPr="009445D8" w:rsidRDefault="008203A8" w:rsidP="008203A8">
      <w:pPr>
        <w:tabs>
          <w:tab w:val="left" w:pos="851"/>
        </w:tabs>
        <w:ind w:left="851" w:hanging="851"/>
        <w:rPr>
          <w:b/>
          <w:sz w:val="24"/>
          <w:szCs w:val="24"/>
        </w:rPr>
      </w:pPr>
      <w:r w:rsidRPr="009445D8">
        <w:rPr>
          <w:b/>
          <w:sz w:val="24"/>
          <w:szCs w:val="24"/>
        </w:rPr>
        <w:t>6.</w:t>
      </w:r>
      <w:r w:rsidRPr="009445D8">
        <w:rPr>
          <w:b/>
          <w:sz w:val="24"/>
          <w:szCs w:val="24"/>
        </w:rPr>
        <w:tab/>
        <w:t>NAVN PÅ INDEHAVEREN AF MARKEDSFØRINGSTILLADELSEN</w:t>
      </w:r>
    </w:p>
    <w:p w14:paraId="4F54537F" w14:textId="4C36AE9E" w:rsidR="008203A8" w:rsidRPr="009445D8" w:rsidRDefault="00EA555A" w:rsidP="009445D8">
      <w:pPr>
        <w:ind w:left="851"/>
        <w:rPr>
          <w:spacing w:val="22"/>
          <w:sz w:val="24"/>
          <w:szCs w:val="24"/>
        </w:rPr>
      </w:pPr>
      <w:proofErr w:type="spellStart"/>
      <w:r w:rsidRPr="009445D8">
        <w:rPr>
          <w:sz w:val="24"/>
          <w:szCs w:val="24"/>
        </w:rPr>
        <w:t>Alfasan</w:t>
      </w:r>
      <w:proofErr w:type="spellEnd"/>
      <w:r w:rsidRPr="009445D8">
        <w:rPr>
          <w:sz w:val="24"/>
          <w:szCs w:val="24"/>
        </w:rPr>
        <w:t xml:space="preserve"> Nederland B.V.</w:t>
      </w:r>
    </w:p>
    <w:p w14:paraId="68D5C4BA" w14:textId="7D47EA24" w:rsidR="00EA555A" w:rsidRPr="009445D8" w:rsidRDefault="00EA555A" w:rsidP="009445D8">
      <w:pPr>
        <w:ind w:left="851"/>
        <w:rPr>
          <w:sz w:val="24"/>
          <w:szCs w:val="24"/>
        </w:rPr>
      </w:pPr>
      <w:proofErr w:type="spellStart"/>
      <w:r w:rsidRPr="009445D8">
        <w:rPr>
          <w:sz w:val="24"/>
          <w:szCs w:val="24"/>
        </w:rPr>
        <w:t>Kuipersweg</w:t>
      </w:r>
      <w:proofErr w:type="spellEnd"/>
      <w:r w:rsidRPr="009445D8">
        <w:rPr>
          <w:sz w:val="24"/>
          <w:szCs w:val="24"/>
        </w:rPr>
        <w:t xml:space="preserve"> 9</w:t>
      </w:r>
    </w:p>
    <w:p w14:paraId="4AEE5945" w14:textId="2E07467A" w:rsidR="00EA555A" w:rsidRPr="009445D8" w:rsidRDefault="00EA555A" w:rsidP="009445D8">
      <w:pPr>
        <w:ind w:left="851"/>
        <w:rPr>
          <w:sz w:val="24"/>
          <w:szCs w:val="24"/>
        </w:rPr>
      </w:pPr>
      <w:proofErr w:type="spellStart"/>
      <w:r w:rsidRPr="009445D8">
        <w:rPr>
          <w:sz w:val="24"/>
          <w:szCs w:val="24"/>
        </w:rPr>
        <w:t>Woerden</w:t>
      </w:r>
      <w:proofErr w:type="spellEnd"/>
    </w:p>
    <w:p w14:paraId="68279328" w14:textId="3453EE20" w:rsidR="00EA555A" w:rsidRPr="009445D8" w:rsidRDefault="00EA555A" w:rsidP="009445D8">
      <w:pPr>
        <w:ind w:left="851"/>
        <w:rPr>
          <w:sz w:val="24"/>
          <w:szCs w:val="24"/>
        </w:rPr>
      </w:pPr>
      <w:r w:rsidRPr="009445D8">
        <w:rPr>
          <w:sz w:val="24"/>
          <w:szCs w:val="24"/>
        </w:rPr>
        <w:t>3449 JA Utrecht</w:t>
      </w:r>
    </w:p>
    <w:p w14:paraId="12E303CA" w14:textId="7A26B0C5" w:rsidR="00EA555A" w:rsidRDefault="00EA555A" w:rsidP="009445D8">
      <w:pPr>
        <w:ind w:left="851"/>
        <w:rPr>
          <w:sz w:val="24"/>
          <w:szCs w:val="24"/>
        </w:rPr>
      </w:pPr>
      <w:r w:rsidRPr="009445D8">
        <w:rPr>
          <w:sz w:val="24"/>
          <w:szCs w:val="24"/>
        </w:rPr>
        <w:t>Holland</w:t>
      </w:r>
    </w:p>
    <w:p w14:paraId="39587BB0" w14:textId="128DEE2D" w:rsidR="00096702" w:rsidRDefault="00096702" w:rsidP="009445D8">
      <w:pPr>
        <w:ind w:left="851"/>
        <w:rPr>
          <w:sz w:val="24"/>
          <w:szCs w:val="24"/>
        </w:rPr>
      </w:pPr>
    </w:p>
    <w:p w14:paraId="69F6E2A7" w14:textId="276D408E" w:rsidR="00096702" w:rsidRDefault="00096702" w:rsidP="009445D8">
      <w:pPr>
        <w:ind w:left="851"/>
        <w:rPr>
          <w:sz w:val="24"/>
          <w:szCs w:val="24"/>
        </w:rPr>
      </w:pPr>
      <w:r>
        <w:rPr>
          <w:b/>
          <w:sz w:val="24"/>
          <w:szCs w:val="24"/>
        </w:rPr>
        <w:t>Repræsentant</w:t>
      </w:r>
    </w:p>
    <w:p w14:paraId="6FE65F10" w14:textId="77777777" w:rsidR="00096702" w:rsidRPr="00096702" w:rsidRDefault="00096702" w:rsidP="00096702">
      <w:pPr>
        <w:ind w:left="851"/>
        <w:rPr>
          <w:sz w:val="24"/>
          <w:szCs w:val="24"/>
        </w:rPr>
      </w:pPr>
      <w:proofErr w:type="spellStart"/>
      <w:r w:rsidRPr="00096702">
        <w:rPr>
          <w:sz w:val="24"/>
          <w:szCs w:val="24"/>
        </w:rPr>
        <w:t>Salfarm</w:t>
      </w:r>
      <w:proofErr w:type="spellEnd"/>
      <w:r w:rsidRPr="00096702">
        <w:rPr>
          <w:sz w:val="24"/>
          <w:szCs w:val="24"/>
        </w:rPr>
        <w:t xml:space="preserve"> Danmark A/S</w:t>
      </w:r>
    </w:p>
    <w:p w14:paraId="73D9D694" w14:textId="77777777" w:rsidR="00096702" w:rsidRPr="00096702" w:rsidRDefault="00096702" w:rsidP="00096702">
      <w:pPr>
        <w:ind w:left="851"/>
        <w:rPr>
          <w:sz w:val="24"/>
          <w:szCs w:val="24"/>
        </w:rPr>
      </w:pPr>
      <w:r w:rsidRPr="00096702">
        <w:rPr>
          <w:sz w:val="24"/>
          <w:szCs w:val="24"/>
        </w:rPr>
        <w:t>Nordager 19</w:t>
      </w:r>
    </w:p>
    <w:p w14:paraId="25523F2F" w14:textId="0709F005" w:rsidR="00096702" w:rsidRPr="00096702" w:rsidRDefault="00096702" w:rsidP="00096702">
      <w:pPr>
        <w:ind w:left="851"/>
        <w:rPr>
          <w:sz w:val="24"/>
          <w:szCs w:val="24"/>
        </w:rPr>
      </w:pPr>
      <w:r w:rsidRPr="00096702">
        <w:rPr>
          <w:sz w:val="24"/>
          <w:szCs w:val="24"/>
        </w:rPr>
        <w:t>6000 Kolding</w:t>
      </w:r>
      <w:bookmarkStart w:id="3" w:name="_GoBack"/>
      <w:bookmarkEnd w:id="3"/>
    </w:p>
    <w:p w14:paraId="3577A629" w14:textId="77777777" w:rsidR="008203A8" w:rsidRPr="009445D8" w:rsidRDefault="008203A8" w:rsidP="008203A8">
      <w:pPr>
        <w:tabs>
          <w:tab w:val="left" w:pos="851"/>
        </w:tabs>
        <w:ind w:left="851"/>
        <w:rPr>
          <w:sz w:val="24"/>
          <w:szCs w:val="24"/>
        </w:rPr>
      </w:pPr>
    </w:p>
    <w:p w14:paraId="4A2E4DEF" w14:textId="77777777" w:rsidR="008203A8" w:rsidRPr="009445D8" w:rsidRDefault="008203A8" w:rsidP="008203A8">
      <w:pPr>
        <w:ind w:left="851" w:hanging="851"/>
        <w:rPr>
          <w:b/>
          <w:sz w:val="24"/>
          <w:szCs w:val="24"/>
        </w:rPr>
      </w:pPr>
      <w:r w:rsidRPr="009445D8">
        <w:rPr>
          <w:b/>
          <w:sz w:val="24"/>
          <w:szCs w:val="24"/>
        </w:rPr>
        <w:t>7.</w:t>
      </w:r>
      <w:r w:rsidRPr="009445D8">
        <w:rPr>
          <w:b/>
          <w:sz w:val="24"/>
          <w:szCs w:val="24"/>
        </w:rPr>
        <w:tab/>
        <w:t>MARKEDSFØRINGSTILLADELSESNUMMER (-NUMRE)</w:t>
      </w:r>
    </w:p>
    <w:p w14:paraId="6D7097E6" w14:textId="48E9C698" w:rsidR="008203A8" w:rsidRPr="009445D8" w:rsidRDefault="00EA555A" w:rsidP="008203A8">
      <w:pPr>
        <w:tabs>
          <w:tab w:val="left" w:pos="851"/>
        </w:tabs>
        <w:ind w:left="851"/>
        <w:rPr>
          <w:sz w:val="24"/>
          <w:szCs w:val="24"/>
        </w:rPr>
      </w:pPr>
      <w:r w:rsidRPr="009445D8">
        <w:rPr>
          <w:sz w:val="24"/>
          <w:szCs w:val="24"/>
        </w:rPr>
        <w:t>67602</w:t>
      </w:r>
    </w:p>
    <w:p w14:paraId="138036BD" w14:textId="77777777" w:rsidR="008203A8" w:rsidRPr="009445D8" w:rsidRDefault="008203A8" w:rsidP="008203A8">
      <w:pPr>
        <w:tabs>
          <w:tab w:val="left" w:pos="851"/>
        </w:tabs>
        <w:ind w:left="851"/>
        <w:rPr>
          <w:sz w:val="24"/>
          <w:szCs w:val="24"/>
        </w:rPr>
      </w:pPr>
    </w:p>
    <w:p w14:paraId="38C09E98" w14:textId="77777777" w:rsidR="008203A8" w:rsidRPr="009445D8" w:rsidRDefault="008203A8" w:rsidP="008203A8">
      <w:pPr>
        <w:tabs>
          <w:tab w:val="left" w:pos="851"/>
        </w:tabs>
        <w:ind w:left="851" w:hanging="851"/>
        <w:rPr>
          <w:b/>
          <w:sz w:val="24"/>
          <w:szCs w:val="24"/>
        </w:rPr>
      </w:pPr>
      <w:r w:rsidRPr="009445D8">
        <w:rPr>
          <w:b/>
          <w:sz w:val="24"/>
          <w:szCs w:val="24"/>
        </w:rPr>
        <w:t>8.</w:t>
      </w:r>
      <w:r w:rsidRPr="009445D8">
        <w:rPr>
          <w:b/>
          <w:sz w:val="24"/>
          <w:szCs w:val="24"/>
        </w:rPr>
        <w:tab/>
        <w:t>DATO FOR FØRSTE TILLADELSE</w:t>
      </w:r>
    </w:p>
    <w:p w14:paraId="5090EDF5" w14:textId="5A716554" w:rsidR="008203A8" w:rsidRPr="009445D8" w:rsidRDefault="00AB4A98" w:rsidP="008203A8">
      <w:pPr>
        <w:tabs>
          <w:tab w:val="left" w:pos="851"/>
        </w:tabs>
        <w:ind w:left="851"/>
        <w:rPr>
          <w:sz w:val="24"/>
          <w:szCs w:val="24"/>
        </w:rPr>
      </w:pPr>
      <w:r>
        <w:rPr>
          <w:sz w:val="24"/>
          <w:szCs w:val="24"/>
        </w:rPr>
        <w:t>4. juli 2024</w:t>
      </w:r>
    </w:p>
    <w:p w14:paraId="6305A772" w14:textId="77777777" w:rsidR="008203A8" w:rsidRPr="009445D8" w:rsidRDefault="008203A8" w:rsidP="008203A8">
      <w:pPr>
        <w:tabs>
          <w:tab w:val="left" w:pos="851"/>
        </w:tabs>
        <w:ind w:left="851"/>
        <w:rPr>
          <w:sz w:val="24"/>
          <w:szCs w:val="24"/>
        </w:rPr>
      </w:pPr>
    </w:p>
    <w:p w14:paraId="6AF59947" w14:textId="77777777" w:rsidR="008203A8" w:rsidRPr="009445D8" w:rsidRDefault="008203A8" w:rsidP="008203A8">
      <w:pPr>
        <w:tabs>
          <w:tab w:val="left" w:pos="851"/>
        </w:tabs>
        <w:ind w:left="851" w:hanging="851"/>
        <w:rPr>
          <w:b/>
          <w:sz w:val="24"/>
          <w:szCs w:val="24"/>
        </w:rPr>
      </w:pPr>
      <w:r w:rsidRPr="009445D8">
        <w:rPr>
          <w:b/>
          <w:sz w:val="24"/>
          <w:szCs w:val="24"/>
        </w:rPr>
        <w:t>9.</w:t>
      </w:r>
      <w:r w:rsidRPr="009445D8">
        <w:rPr>
          <w:b/>
          <w:sz w:val="24"/>
          <w:szCs w:val="24"/>
        </w:rPr>
        <w:tab/>
        <w:t>DATO FOR SENESTE ÆNDRING AF PRODUKTRESUMÉET</w:t>
      </w:r>
    </w:p>
    <w:p w14:paraId="6B0622F7" w14:textId="0A22F53C" w:rsidR="008203A8" w:rsidRPr="009445D8" w:rsidRDefault="00096702" w:rsidP="008203A8">
      <w:pPr>
        <w:tabs>
          <w:tab w:val="left" w:pos="851"/>
        </w:tabs>
        <w:ind w:left="851"/>
        <w:rPr>
          <w:sz w:val="24"/>
          <w:szCs w:val="24"/>
        </w:rPr>
      </w:pPr>
      <w:r>
        <w:rPr>
          <w:sz w:val="24"/>
          <w:szCs w:val="24"/>
        </w:rPr>
        <w:t>4. oktober 2024</w:t>
      </w:r>
    </w:p>
    <w:p w14:paraId="65784667" w14:textId="77777777" w:rsidR="008203A8" w:rsidRPr="009445D8" w:rsidRDefault="008203A8" w:rsidP="008203A8">
      <w:pPr>
        <w:tabs>
          <w:tab w:val="left" w:pos="851"/>
        </w:tabs>
        <w:ind w:left="851"/>
        <w:rPr>
          <w:sz w:val="24"/>
          <w:szCs w:val="24"/>
        </w:rPr>
      </w:pPr>
    </w:p>
    <w:p w14:paraId="5231D42E" w14:textId="77777777" w:rsidR="008203A8" w:rsidRPr="009445D8" w:rsidRDefault="008203A8" w:rsidP="008203A8">
      <w:pPr>
        <w:tabs>
          <w:tab w:val="left" w:pos="851"/>
        </w:tabs>
        <w:ind w:left="851" w:hanging="851"/>
        <w:rPr>
          <w:b/>
          <w:sz w:val="24"/>
          <w:szCs w:val="24"/>
        </w:rPr>
      </w:pPr>
      <w:r w:rsidRPr="009445D8">
        <w:rPr>
          <w:b/>
          <w:sz w:val="24"/>
          <w:szCs w:val="24"/>
        </w:rPr>
        <w:t>10.</w:t>
      </w:r>
      <w:r w:rsidRPr="009445D8">
        <w:rPr>
          <w:b/>
          <w:sz w:val="24"/>
          <w:szCs w:val="24"/>
        </w:rPr>
        <w:tab/>
        <w:t>KLASSIFICERING AF VETERINÆRLÆGEMIDLER</w:t>
      </w:r>
    </w:p>
    <w:p w14:paraId="13994485" w14:textId="77777777" w:rsidR="00F71B29" w:rsidRPr="009445D8" w:rsidRDefault="00F71B29" w:rsidP="0006548E">
      <w:pPr>
        <w:pStyle w:val="Ingenafstand"/>
        <w:ind w:left="851"/>
      </w:pPr>
      <w:r w:rsidRPr="009445D8">
        <w:t>B</w:t>
      </w:r>
    </w:p>
    <w:p w14:paraId="79E65F4E" w14:textId="77777777" w:rsidR="00F71B29" w:rsidRPr="009445D8" w:rsidRDefault="00F71B29" w:rsidP="009445D8">
      <w:pPr>
        <w:ind w:left="851"/>
        <w:rPr>
          <w:sz w:val="24"/>
          <w:szCs w:val="24"/>
        </w:rPr>
      </w:pPr>
    </w:p>
    <w:p w14:paraId="5D92D37D" w14:textId="7C5AE394" w:rsidR="0003527F" w:rsidRPr="009445D8" w:rsidRDefault="00F71B29" w:rsidP="009445D8">
      <w:pPr>
        <w:ind w:left="851"/>
        <w:rPr>
          <w:sz w:val="24"/>
          <w:szCs w:val="24"/>
        </w:rPr>
      </w:pPr>
      <w:bookmarkStart w:id="4" w:name="_Hlk73467306"/>
      <w:r w:rsidRPr="009445D8">
        <w:rPr>
          <w:sz w:val="24"/>
          <w:szCs w:val="24"/>
        </w:rPr>
        <w:t>Der findes detaljerede oplysninger om dette veterinærlægemiddel i EU-lægemiddeldatabasen.</w:t>
      </w:r>
      <w:bookmarkEnd w:id="4"/>
    </w:p>
    <w:sectPr w:rsidR="0003527F" w:rsidRPr="009445D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BCAD0" w14:textId="77777777" w:rsidR="009F212C" w:rsidRDefault="009F212C">
      <w:r>
        <w:separator/>
      </w:r>
    </w:p>
  </w:endnote>
  <w:endnote w:type="continuationSeparator" w:id="0">
    <w:p w14:paraId="2FA46AFC" w14:textId="77777777" w:rsidR="009F212C" w:rsidRDefault="009F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1E393" w14:textId="77777777" w:rsidR="004A62CC" w:rsidRDefault="004A62CC">
    <w:pPr>
      <w:pStyle w:val="Sidefod"/>
      <w:pBdr>
        <w:bottom w:val="single" w:sz="6" w:space="1" w:color="auto"/>
      </w:pBdr>
      <w:tabs>
        <w:tab w:val="clear" w:pos="4819"/>
        <w:tab w:val="left" w:pos="8647"/>
      </w:tabs>
      <w:rPr>
        <w:i/>
        <w:snapToGrid w:val="0"/>
        <w:sz w:val="18"/>
      </w:rPr>
    </w:pPr>
  </w:p>
  <w:p w14:paraId="2054620F" w14:textId="77777777" w:rsidR="004A62CC" w:rsidRDefault="004A62CC">
    <w:pPr>
      <w:pStyle w:val="Sidefod"/>
      <w:tabs>
        <w:tab w:val="clear" w:pos="4819"/>
        <w:tab w:val="left" w:pos="8647"/>
      </w:tabs>
      <w:rPr>
        <w:i/>
        <w:snapToGrid w:val="0"/>
        <w:sz w:val="18"/>
      </w:rPr>
    </w:pPr>
  </w:p>
  <w:p w14:paraId="6042A340" w14:textId="0744073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A39A5">
      <w:rPr>
        <w:i/>
        <w:noProof/>
        <w:snapToGrid w:val="0"/>
        <w:sz w:val="18"/>
      </w:rPr>
      <w:t>Uriphex Vet., oral opløsning 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A4B06" w14:textId="77777777" w:rsidR="004A62CC" w:rsidRDefault="004A62CC">
    <w:pPr>
      <w:pStyle w:val="Sidefod"/>
      <w:pBdr>
        <w:bottom w:val="single" w:sz="6" w:space="1" w:color="auto"/>
      </w:pBdr>
      <w:tabs>
        <w:tab w:val="clear" w:pos="4819"/>
        <w:tab w:val="left" w:pos="8647"/>
      </w:tabs>
      <w:rPr>
        <w:i/>
        <w:snapToGrid w:val="0"/>
        <w:sz w:val="18"/>
      </w:rPr>
    </w:pPr>
  </w:p>
  <w:p w14:paraId="05DCC46E" w14:textId="77777777" w:rsidR="004A62CC" w:rsidRDefault="004A62CC">
    <w:pPr>
      <w:pStyle w:val="Sidefod"/>
      <w:tabs>
        <w:tab w:val="clear" w:pos="4819"/>
        <w:tab w:val="left" w:pos="8647"/>
      </w:tabs>
      <w:rPr>
        <w:i/>
        <w:snapToGrid w:val="0"/>
        <w:sz w:val="18"/>
      </w:rPr>
    </w:pPr>
  </w:p>
  <w:p w14:paraId="016859A0" w14:textId="15E0021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A39A5">
      <w:rPr>
        <w:i/>
        <w:noProof/>
        <w:snapToGrid w:val="0"/>
        <w:sz w:val="18"/>
      </w:rPr>
      <w:t>Uriphex Vet., oral opløsning 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54086" w14:textId="77777777" w:rsidR="009F212C" w:rsidRDefault="009F212C">
      <w:r>
        <w:separator/>
      </w:r>
    </w:p>
  </w:footnote>
  <w:footnote w:type="continuationSeparator" w:id="0">
    <w:p w14:paraId="2B9AADCE" w14:textId="77777777" w:rsidR="009F212C" w:rsidRDefault="009F2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08B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6F60"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2C"/>
    <w:rsid w:val="000241E8"/>
    <w:rsid w:val="0003527F"/>
    <w:rsid w:val="0004390D"/>
    <w:rsid w:val="0005355A"/>
    <w:rsid w:val="0006548E"/>
    <w:rsid w:val="00065C7D"/>
    <w:rsid w:val="00092AFF"/>
    <w:rsid w:val="00096702"/>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445D8"/>
    <w:rsid w:val="00960F5F"/>
    <w:rsid w:val="00967486"/>
    <w:rsid w:val="009A39A5"/>
    <w:rsid w:val="009D66C6"/>
    <w:rsid w:val="009E300C"/>
    <w:rsid w:val="009E5184"/>
    <w:rsid w:val="009E7618"/>
    <w:rsid w:val="009F1F5E"/>
    <w:rsid w:val="009F212C"/>
    <w:rsid w:val="00A31E52"/>
    <w:rsid w:val="00A74A8A"/>
    <w:rsid w:val="00A85606"/>
    <w:rsid w:val="00A86C63"/>
    <w:rsid w:val="00A957A6"/>
    <w:rsid w:val="00A96525"/>
    <w:rsid w:val="00AA0D25"/>
    <w:rsid w:val="00AB4A98"/>
    <w:rsid w:val="00AC012D"/>
    <w:rsid w:val="00AD4D77"/>
    <w:rsid w:val="00AE29E5"/>
    <w:rsid w:val="00AE5757"/>
    <w:rsid w:val="00B25EB8"/>
    <w:rsid w:val="00B764E3"/>
    <w:rsid w:val="00B83E7B"/>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A555A"/>
    <w:rsid w:val="00EB5778"/>
    <w:rsid w:val="00EE14EA"/>
    <w:rsid w:val="00EE5253"/>
    <w:rsid w:val="00EF3C59"/>
    <w:rsid w:val="00F36781"/>
    <w:rsid w:val="00F41E3A"/>
    <w:rsid w:val="00F60B72"/>
    <w:rsid w:val="00F71B29"/>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81416"/>
  <w15:chartTrackingRefBased/>
  <w15:docId w15:val="{0F74049D-1F87-48F8-9002-3B1081A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Ingenafstand">
    <w:name w:val="No Spacing"/>
    <w:uiPriority w:val="1"/>
    <w:qFormat/>
    <w:rsid w:val="00EA555A"/>
    <w:pPr>
      <w:widowControl w:val="0"/>
      <w:autoSpaceDE w:val="0"/>
      <w:autoSpaceDN w:val="0"/>
      <w:adjustRightInd w:val="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5295957">
      <w:bodyDiv w:val="1"/>
      <w:marLeft w:val="0"/>
      <w:marRight w:val="0"/>
      <w:marTop w:val="0"/>
      <w:marBottom w:val="0"/>
      <w:divBdr>
        <w:top w:val="none" w:sz="0" w:space="0" w:color="auto"/>
        <w:left w:val="none" w:sz="0" w:space="0" w:color="auto"/>
        <w:bottom w:val="none" w:sz="0" w:space="0" w:color="auto"/>
        <w:right w:val="none" w:sz="0" w:space="0" w:color="auto"/>
      </w:divBdr>
    </w:div>
    <w:div w:id="4931009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9051485">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26371218">
      <w:bodyDiv w:val="1"/>
      <w:marLeft w:val="0"/>
      <w:marRight w:val="0"/>
      <w:marTop w:val="0"/>
      <w:marBottom w:val="0"/>
      <w:divBdr>
        <w:top w:val="none" w:sz="0" w:space="0" w:color="auto"/>
        <w:left w:val="none" w:sz="0" w:space="0" w:color="auto"/>
        <w:bottom w:val="none" w:sz="0" w:space="0" w:color="auto"/>
        <w:right w:val="none" w:sz="0" w:space="0" w:color="auto"/>
      </w:divBdr>
    </w:div>
    <w:div w:id="35785600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0068632">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8272349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3811795">
      <w:bodyDiv w:val="1"/>
      <w:marLeft w:val="0"/>
      <w:marRight w:val="0"/>
      <w:marTop w:val="0"/>
      <w:marBottom w:val="0"/>
      <w:divBdr>
        <w:top w:val="none" w:sz="0" w:space="0" w:color="auto"/>
        <w:left w:val="none" w:sz="0" w:space="0" w:color="auto"/>
        <w:bottom w:val="none" w:sz="0" w:space="0" w:color="auto"/>
        <w:right w:val="none" w:sz="0" w:space="0" w:color="auto"/>
      </w:divBdr>
    </w:div>
    <w:div w:id="983239798">
      <w:bodyDiv w:val="1"/>
      <w:marLeft w:val="0"/>
      <w:marRight w:val="0"/>
      <w:marTop w:val="0"/>
      <w:marBottom w:val="0"/>
      <w:divBdr>
        <w:top w:val="none" w:sz="0" w:space="0" w:color="auto"/>
        <w:left w:val="none" w:sz="0" w:space="0" w:color="auto"/>
        <w:bottom w:val="none" w:sz="0" w:space="0" w:color="auto"/>
        <w:right w:val="none" w:sz="0" w:space="0" w:color="auto"/>
      </w:divBdr>
    </w:div>
    <w:div w:id="1012680334">
      <w:bodyDiv w:val="1"/>
      <w:marLeft w:val="0"/>
      <w:marRight w:val="0"/>
      <w:marTop w:val="0"/>
      <w:marBottom w:val="0"/>
      <w:divBdr>
        <w:top w:val="none" w:sz="0" w:space="0" w:color="auto"/>
        <w:left w:val="none" w:sz="0" w:space="0" w:color="auto"/>
        <w:bottom w:val="none" w:sz="0" w:space="0" w:color="auto"/>
        <w:right w:val="none" w:sz="0" w:space="0" w:color="auto"/>
      </w:divBdr>
    </w:div>
    <w:div w:id="1071542378">
      <w:bodyDiv w:val="1"/>
      <w:marLeft w:val="0"/>
      <w:marRight w:val="0"/>
      <w:marTop w:val="0"/>
      <w:marBottom w:val="0"/>
      <w:divBdr>
        <w:top w:val="none" w:sz="0" w:space="0" w:color="auto"/>
        <w:left w:val="none" w:sz="0" w:space="0" w:color="auto"/>
        <w:bottom w:val="none" w:sz="0" w:space="0" w:color="auto"/>
        <w:right w:val="none" w:sz="0" w:space="0" w:color="auto"/>
      </w:divBdr>
    </w:div>
    <w:div w:id="117198581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11725191">
      <w:bodyDiv w:val="1"/>
      <w:marLeft w:val="0"/>
      <w:marRight w:val="0"/>
      <w:marTop w:val="0"/>
      <w:marBottom w:val="0"/>
      <w:divBdr>
        <w:top w:val="none" w:sz="0" w:space="0" w:color="auto"/>
        <w:left w:val="none" w:sz="0" w:space="0" w:color="auto"/>
        <w:bottom w:val="none" w:sz="0" w:space="0" w:color="auto"/>
        <w:right w:val="none" w:sz="0" w:space="0" w:color="auto"/>
      </w:divBdr>
    </w:div>
    <w:div w:id="128210877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3771205">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05628972">
      <w:bodyDiv w:val="1"/>
      <w:marLeft w:val="0"/>
      <w:marRight w:val="0"/>
      <w:marTop w:val="0"/>
      <w:marBottom w:val="0"/>
      <w:divBdr>
        <w:top w:val="none" w:sz="0" w:space="0" w:color="auto"/>
        <w:left w:val="none" w:sz="0" w:space="0" w:color="auto"/>
        <w:bottom w:val="none" w:sz="0" w:space="0" w:color="auto"/>
        <w:right w:val="none" w:sz="0" w:space="0" w:color="auto"/>
      </w:divBdr>
    </w:div>
    <w:div w:id="1553615073">
      <w:bodyDiv w:val="1"/>
      <w:marLeft w:val="0"/>
      <w:marRight w:val="0"/>
      <w:marTop w:val="0"/>
      <w:marBottom w:val="0"/>
      <w:divBdr>
        <w:top w:val="none" w:sz="0" w:space="0" w:color="auto"/>
        <w:left w:val="none" w:sz="0" w:space="0" w:color="auto"/>
        <w:bottom w:val="none" w:sz="0" w:space="0" w:color="auto"/>
        <w:right w:val="none" w:sz="0" w:space="0" w:color="auto"/>
      </w:divBdr>
    </w:div>
    <w:div w:id="1622178647">
      <w:bodyDiv w:val="1"/>
      <w:marLeft w:val="0"/>
      <w:marRight w:val="0"/>
      <w:marTop w:val="0"/>
      <w:marBottom w:val="0"/>
      <w:divBdr>
        <w:top w:val="none" w:sz="0" w:space="0" w:color="auto"/>
        <w:left w:val="none" w:sz="0" w:space="0" w:color="auto"/>
        <w:bottom w:val="none" w:sz="0" w:space="0" w:color="auto"/>
        <w:right w:val="none" w:sz="0" w:space="0" w:color="auto"/>
      </w:divBdr>
    </w:div>
    <w:div w:id="1715227976">
      <w:bodyDiv w:val="1"/>
      <w:marLeft w:val="0"/>
      <w:marRight w:val="0"/>
      <w:marTop w:val="0"/>
      <w:marBottom w:val="0"/>
      <w:divBdr>
        <w:top w:val="none" w:sz="0" w:space="0" w:color="auto"/>
        <w:left w:val="none" w:sz="0" w:space="0" w:color="auto"/>
        <w:bottom w:val="none" w:sz="0" w:space="0" w:color="auto"/>
        <w:right w:val="none" w:sz="0" w:space="0" w:color="auto"/>
      </w:divBdr>
    </w:div>
    <w:div w:id="1747460614">
      <w:bodyDiv w:val="1"/>
      <w:marLeft w:val="0"/>
      <w:marRight w:val="0"/>
      <w:marTop w:val="0"/>
      <w:marBottom w:val="0"/>
      <w:divBdr>
        <w:top w:val="none" w:sz="0" w:space="0" w:color="auto"/>
        <w:left w:val="none" w:sz="0" w:space="0" w:color="auto"/>
        <w:bottom w:val="none" w:sz="0" w:space="0" w:color="auto"/>
        <w:right w:val="none" w:sz="0" w:space="0" w:color="auto"/>
      </w:divBdr>
    </w:div>
    <w:div w:id="1960724747">
      <w:bodyDiv w:val="1"/>
      <w:marLeft w:val="0"/>
      <w:marRight w:val="0"/>
      <w:marTop w:val="0"/>
      <w:marBottom w:val="0"/>
      <w:divBdr>
        <w:top w:val="none" w:sz="0" w:space="0" w:color="auto"/>
        <w:left w:val="none" w:sz="0" w:space="0" w:color="auto"/>
        <w:bottom w:val="none" w:sz="0" w:space="0" w:color="auto"/>
        <w:right w:val="none" w:sz="0" w:space="0" w:color="auto"/>
      </w:divBdr>
    </w:div>
    <w:div w:id="2009668878">
      <w:bodyDiv w:val="1"/>
      <w:marLeft w:val="0"/>
      <w:marRight w:val="0"/>
      <w:marTop w:val="0"/>
      <w:marBottom w:val="0"/>
      <w:divBdr>
        <w:top w:val="none" w:sz="0" w:space="0" w:color="auto"/>
        <w:left w:val="none" w:sz="0" w:space="0" w:color="auto"/>
        <w:bottom w:val="none" w:sz="0" w:space="0" w:color="auto"/>
        <w:right w:val="none" w:sz="0" w:space="0" w:color="auto"/>
      </w:divBdr>
    </w:div>
    <w:div w:id="2060591136">
      <w:bodyDiv w:val="1"/>
      <w:marLeft w:val="0"/>
      <w:marRight w:val="0"/>
      <w:marTop w:val="0"/>
      <w:marBottom w:val="0"/>
      <w:divBdr>
        <w:top w:val="none" w:sz="0" w:space="0" w:color="auto"/>
        <w:left w:val="none" w:sz="0" w:space="0" w:color="auto"/>
        <w:bottom w:val="none" w:sz="0" w:space="0" w:color="auto"/>
        <w:right w:val="none" w:sz="0" w:space="0" w:color="auto"/>
      </w:divBdr>
    </w:div>
    <w:div w:id="208911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1</TotalTime>
  <Pages>6</Pages>
  <Words>1245</Words>
  <Characters>8331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2024090346_x000d_
Tilføjelse af repræsentant</dc:description>
  <cp:lastModifiedBy>Marianne Ott Jensen</cp:lastModifiedBy>
  <cp:revision>4</cp:revision>
  <cp:lastPrinted>2022-05-18T14:03:00Z</cp:lastPrinted>
  <dcterms:created xsi:type="dcterms:W3CDTF">2024-10-04T08:08:00Z</dcterms:created>
  <dcterms:modified xsi:type="dcterms:W3CDTF">2024-10-04T08:09:00Z</dcterms:modified>
</cp:coreProperties>
</file>