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A0D80" w14:textId="77777777" w:rsidR="005B0036" w:rsidRPr="00A36FF3" w:rsidRDefault="005B0036" w:rsidP="005B0036">
      <w:pPr>
        <w:rPr>
          <w:sz w:val="24"/>
          <w:szCs w:val="24"/>
        </w:rPr>
      </w:pPr>
      <w:r w:rsidRPr="00A36FF3">
        <w:rPr>
          <w:noProof/>
          <w:sz w:val="24"/>
          <w:szCs w:val="24"/>
          <w:lang w:eastAsia="da-DK"/>
        </w:rPr>
        <w:drawing>
          <wp:inline distT="0" distB="0" distL="0" distR="0" wp14:anchorId="40D188BB" wp14:editId="41774B2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494D3EC" w14:textId="77777777" w:rsidR="00C479BF" w:rsidRPr="00A36FF3" w:rsidRDefault="00C479BF" w:rsidP="005B0036">
      <w:pPr>
        <w:rPr>
          <w:sz w:val="24"/>
          <w:szCs w:val="24"/>
        </w:rPr>
      </w:pPr>
    </w:p>
    <w:p w14:paraId="587D2A11" w14:textId="35389CD5" w:rsidR="005B0036" w:rsidRPr="00A36FF3" w:rsidRDefault="005B0036" w:rsidP="005B0036">
      <w:pPr>
        <w:tabs>
          <w:tab w:val="right" w:pos="9356"/>
        </w:tabs>
        <w:rPr>
          <w:b/>
          <w:sz w:val="24"/>
          <w:szCs w:val="24"/>
        </w:rPr>
      </w:pPr>
      <w:r w:rsidRPr="00A36FF3">
        <w:rPr>
          <w:b/>
          <w:sz w:val="24"/>
          <w:szCs w:val="24"/>
        </w:rPr>
        <w:tab/>
      </w:r>
      <w:r w:rsidR="00C40D25">
        <w:rPr>
          <w:b/>
          <w:sz w:val="24"/>
          <w:szCs w:val="24"/>
        </w:rPr>
        <w:t>28</w:t>
      </w:r>
      <w:r w:rsidR="00AE6FD2" w:rsidRPr="00A36FF3">
        <w:rPr>
          <w:b/>
          <w:sz w:val="24"/>
          <w:szCs w:val="24"/>
        </w:rPr>
        <w:t xml:space="preserve">. </w:t>
      </w:r>
      <w:r w:rsidR="00C40D25">
        <w:rPr>
          <w:b/>
          <w:sz w:val="24"/>
          <w:szCs w:val="24"/>
        </w:rPr>
        <w:t>oktober</w:t>
      </w:r>
      <w:r w:rsidR="00AE6FD2" w:rsidRPr="00A36FF3">
        <w:rPr>
          <w:b/>
          <w:sz w:val="24"/>
          <w:szCs w:val="24"/>
        </w:rPr>
        <w:t xml:space="preserve"> 202</w:t>
      </w:r>
      <w:r w:rsidR="000B33DE">
        <w:rPr>
          <w:b/>
          <w:sz w:val="24"/>
          <w:szCs w:val="24"/>
        </w:rPr>
        <w:t>4</w:t>
      </w:r>
    </w:p>
    <w:p w14:paraId="54C3ACA9" w14:textId="77777777" w:rsidR="005B0036" w:rsidRPr="00A36FF3" w:rsidRDefault="005B0036" w:rsidP="005B0036">
      <w:pPr>
        <w:rPr>
          <w:sz w:val="24"/>
          <w:szCs w:val="24"/>
        </w:rPr>
      </w:pPr>
    </w:p>
    <w:p w14:paraId="76180A10" w14:textId="3BA25F46" w:rsidR="00AB05DB" w:rsidRPr="00A36FF3" w:rsidRDefault="00AB05DB" w:rsidP="005B0036">
      <w:pPr>
        <w:rPr>
          <w:sz w:val="24"/>
          <w:szCs w:val="24"/>
        </w:rPr>
      </w:pPr>
    </w:p>
    <w:p w14:paraId="15F1DE3E" w14:textId="77777777" w:rsidR="00AE6FD2" w:rsidRPr="00A36FF3" w:rsidRDefault="00AE6FD2" w:rsidP="005B0036">
      <w:pPr>
        <w:rPr>
          <w:sz w:val="24"/>
          <w:szCs w:val="24"/>
        </w:rPr>
      </w:pPr>
    </w:p>
    <w:p w14:paraId="0A211ECA" w14:textId="77777777" w:rsidR="005B0036" w:rsidRPr="00A36FF3" w:rsidRDefault="005B0036" w:rsidP="005B0036">
      <w:pPr>
        <w:tabs>
          <w:tab w:val="left" w:pos="8222"/>
        </w:tabs>
        <w:jc w:val="center"/>
        <w:rPr>
          <w:b/>
          <w:sz w:val="24"/>
          <w:szCs w:val="24"/>
        </w:rPr>
      </w:pPr>
      <w:r w:rsidRPr="00A36FF3">
        <w:rPr>
          <w:b/>
          <w:sz w:val="24"/>
          <w:szCs w:val="24"/>
        </w:rPr>
        <w:t>PRODUKTRESUMÉ</w:t>
      </w:r>
    </w:p>
    <w:p w14:paraId="33A6EEAB" w14:textId="77777777" w:rsidR="005B0036" w:rsidRPr="00A36FF3" w:rsidRDefault="005B0036" w:rsidP="005B0036">
      <w:pPr>
        <w:tabs>
          <w:tab w:val="left" w:pos="8222"/>
        </w:tabs>
        <w:jc w:val="center"/>
        <w:rPr>
          <w:b/>
          <w:sz w:val="24"/>
          <w:szCs w:val="24"/>
        </w:rPr>
      </w:pPr>
    </w:p>
    <w:p w14:paraId="261EF44F" w14:textId="77777777" w:rsidR="005B0036" w:rsidRPr="00A36FF3" w:rsidRDefault="005B0036" w:rsidP="005B0036">
      <w:pPr>
        <w:tabs>
          <w:tab w:val="left" w:pos="8222"/>
        </w:tabs>
        <w:jc w:val="center"/>
        <w:rPr>
          <w:b/>
          <w:sz w:val="24"/>
          <w:szCs w:val="24"/>
        </w:rPr>
      </w:pPr>
      <w:r w:rsidRPr="00A36FF3">
        <w:rPr>
          <w:b/>
          <w:sz w:val="24"/>
          <w:szCs w:val="24"/>
        </w:rPr>
        <w:t>for</w:t>
      </w:r>
    </w:p>
    <w:p w14:paraId="0C8F3A8B" w14:textId="77777777" w:rsidR="005B0036" w:rsidRPr="00A36FF3" w:rsidRDefault="005B0036" w:rsidP="005B0036">
      <w:pPr>
        <w:tabs>
          <w:tab w:val="left" w:pos="8222"/>
        </w:tabs>
        <w:jc w:val="center"/>
        <w:rPr>
          <w:b/>
          <w:sz w:val="24"/>
          <w:szCs w:val="24"/>
        </w:rPr>
      </w:pPr>
    </w:p>
    <w:p w14:paraId="6DC590AE" w14:textId="797AACB9" w:rsidR="005B0036" w:rsidRPr="00A36FF3" w:rsidRDefault="003460D0" w:rsidP="005B0036">
      <w:pPr>
        <w:tabs>
          <w:tab w:val="left" w:pos="8222"/>
        </w:tabs>
        <w:jc w:val="center"/>
        <w:rPr>
          <w:b/>
          <w:sz w:val="24"/>
          <w:szCs w:val="24"/>
        </w:rPr>
      </w:pPr>
      <w:proofErr w:type="spellStart"/>
      <w:r w:rsidRPr="00A36FF3">
        <w:rPr>
          <w:b/>
          <w:sz w:val="24"/>
          <w:szCs w:val="24"/>
        </w:rPr>
        <w:t>Vetdrax</w:t>
      </w:r>
      <w:proofErr w:type="spellEnd"/>
      <w:r w:rsidR="0015513F" w:rsidRPr="00A36FF3">
        <w:rPr>
          <w:b/>
          <w:sz w:val="24"/>
          <w:szCs w:val="24"/>
        </w:rPr>
        <w:t>, injektionsvæske, opløsning</w:t>
      </w:r>
      <w:r w:rsidR="00AE6FD2" w:rsidRPr="00A36FF3">
        <w:rPr>
          <w:b/>
          <w:sz w:val="24"/>
          <w:szCs w:val="24"/>
        </w:rPr>
        <w:t xml:space="preserve"> 100 mg/ml</w:t>
      </w:r>
    </w:p>
    <w:p w14:paraId="4F4C472A" w14:textId="77777777" w:rsidR="005B0036" w:rsidRPr="00A36FF3" w:rsidRDefault="005B0036" w:rsidP="005B0036">
      <w:pPr>
        <w:tabs>
          <w:tab w:val="left" w:pos="8222"/>
        </w:tabs>
        <w:jc w:val="both"/>
        <w:rPr>
          <w:sz w:val="24"/>
          <w:szCs w:val="24"/>
        </w:rPr>
      </w:pPr>
    </w:p>
    <w:p w14:paraId="3C52FC16" w14:textId="77777777" w:rsidR="005B0036" w:rsidRPr="00A36FF3" w:rsidRDefault="005B0036" w:rsidP="005B0036">
      <w:pPr>
        <w:tabs>
          <w:tab w:val="left" w:pos="8222"/>
        </w:tabs>
        <w:jc w:val="both"/>
        <w:rPr>
          <w:sz w:val="24"/>
          <w:szCs w:val="24"/>
        </w:rPr>
      </w:pPr>
    </w:p>
    <w:p w14:paraId="569DAC10" w14:textId="77777777" w:rsidR="005B0036" w:rsidRPr="00A36FF3" w:rsidRDefault="005B0036" w:rsidP="005B0036">
      <w:pPr>
        <w:tabs>
          <w:tab w:val="left" w:pos="8222"/>
        </w:tabs>
        <w:ind w:left="851" w:hanging="851"/>
        <w:rPr>
          <w:b/>
          <w:sz w:val="24"/>
          <w:szCs w:val="24"/>
        </w:rPr>
      </w:pPr>
      <w:r w:rsidRPr="00A36FF3">
        <w:rPr>
          <w:b/>
          <w:sz w:val="24"/>
          <w:szCs w:val="24"/>
        </w:rPr>
        <w:t>0.</w:t>
      </w:r>
      <w:r w:rsidRPr="00A36FF3">
        <w:rPr>
          <w:b/>
          <w:sz w:val="24"/>
          <w:szCs w:val="24"/>
        </w:rPr>
        <w:tab/>
        <w:t>D.SP.NR.</w:t>
      </w:r>
    </w:p>
    <w:p w14:paraId="79DEB401" w14:textId="18EAC293" w:rsidR="005B0036" w:rsidRPr="00A36FF3" w:rsidRDefault="00790A62" w:rsidP="005B0036">
      <w:pPr>
        <w:tabs>
          <w:tab w:val="left" w:pos="8222"/>
        </w:tabs>
        <w:ind w:left="851"/>
        <w:rPr>
          <w:sz w:val="24"/>
          <w:szCs w:val="24"/>
        </w:rPr>
      </w:pPr>
      <w:r w:rsidRPr="00A36FF3">
        <w:rPr>
          <w:sz w:val="24"/>
          <w:szCs w:val="24"/>
        </w:rPr>
        <w:t>32019</w:t>
      </w:r>
    </w:p>
    <w:p w14:paraId="6FAC9487" w14:textId="77777777" w:rsidR="005B0036" w:rsidRPr="00A36FF3" w:rsidRDefault="005B0036" w:rsidP="005B0036">
      <w:pPr>
        <w:tabs>
          <w:tab w:val="left" w:pos="8222"/>
        </w:tabs>
        <w:ind w:left="851"/>
        <w:rPr>
          <w:sz w:val="24"/>
          <w:szCs w:val="24"/>
        </w:rPr>
      </w:pPr>
    </w:p>
    <w:p w14:paraId="4ACAFD26" w14:textId="77777777" w:rsidR="005B0036" w:rsidRPr="00A36FF3" w:rsidRDefault="005B0036" w:rsidP="005B0036">
      <w:pPr>
        <w:tabs>
          <w:tab w:val="left" w:pos="8222"/>
        </w:tabs>
        <w:ind w:left="851" w:hanging="851"/>
        <w:rPr>
          <w:b/>
          <w:sz w:val="24"/>
          <w:szCs w:val="24"/>
        </w:rPr>
      </w:pPr>
      <w:r w:rsidRPr="00A36FF3">
        <w:rPr>
          <w:b/>
          <w:sz w:val="24"/>
          <w:szCs w:val="24"/>
        </w:rPr>
        <w:t>1.</w:t>
      </w:r>
      <w:r w:rsidRPr="00A36FF3">
        <w:rPr>
          <w:b/>
          <w:sz w:val="24"/>
          <w:szCs w:val="24"/>
        </w:rPr>
        <w:tab/>
        <w:t>VETERINÆRLÆGEMIDLETS NAVN</w:t>
      </w:r>
    </w:p>
    <w:p w14:paraId="685E6941" w14:textId="4D98B117" w:rsidR="005B0036" w:rsidRPr="00A36FF3" w:rsidRDefault="00790A62" w:rsidP="005B0036">
      <w:pPr>
        <w:tabs>
          <w:tab w:val="left" w:pos="8222"/>
        </w:tabs>
        <w:ind w:left="851"/>
        <w:rPr>
          <w:sz w:val="24"/>
          <w:szCs w:val="24"/>
        </w:rPr>
      </w:pPr>
      <w:proofErr w:type="spellStart"/>
      <w:r w:rsidRPr="00A36FF3">
        <w:rPr>
          <w:sz w:val="24"/>
          <w:szCs w:val="24"/>
        </w:rPr>
        <w:t>Vetdrax</w:t>
      </w:r>
      <w:proofErr w:type="spellEnd"/>
    </w:p>
    <w:p w14:paraId="08F8C346" w14:textId="77777777" w:rsidR="005B0036" w:rsidRPr="00A36FF3" w:rsidRDefault="005B0036" w:rsidP="005B0036">
      <w:pPr>
        <w:tabs>
          <w:tab w:val="left" w:pos="8222"/>
        </w:tabs>
        <w:ind w:left="851"/>
        <w:rPr>
          <w:sz w:val="24"/>
          <w:szCs w:val="24"/>
        </w:rPr>
      </w:pPr>
    </w:p>
    <w:p w14:paraId="4A68140B" w14:textId="77777777" w:rsidR="005B0036" w:rsidRPr="00A36FF3" w:rsidRDefault="005B0036" w:rsidP="005B0036">
      <w:pPr>
        <w:tabs>
          <w:tab w:val="left" w:pos="8222"/>
        </w:tabs>
        <w:ind w:left="851" w:hanging="851"/>
        <w:rPr>
          <w:b/>
          <w:sz w:val="24"/>
          <w:szCs w:val="24"/>
        </w:rPr>
      </w:pPr>
      <w:r w:rsidRPr="00A36FF3">
        <w:rPr>
          <w:b/>
          <w:sz w:val="24"/>
          <w:szCs w:val="24"/>
        </w:rPr>
        <w:t>2.</w:t>
      </w:r>
      <w:r w:rsidRPr="00A36FF3">
        <w:rPr>
          <w:b/>
          <w:sz w:val="24"/>
          <w:szCs w:val="24"/>
        </w:rPr>
        <w:tab/>
        <w:t>KVALITATIV OG KVANTITATIV SAMMENSÆTNING</w:t>
      </w:r>
    </w:p>
    <w:p w14:paraId="79F12D5F" w14:textId="77777777" w:rsidR="00C62460" w:rsidRPr="00A36FF3" w:rsidRDefault="00790A62" w:rsidP="00790A62">
      <w:pPr>
        <w:tabs>
          <w:tab w:val="left" w:pos="8222"/>
        </w:tabs>
        <w:ind w:left="851"/>
        <w:rPr>
          <w:b/>
          <w:bCs/>
          <w:sz w:val="24"/>
          <w:szCs w:val="24"/>
        </w:rPr>
      </w:pPr>
      <w:r w:rsidRPr="00A36FF3">
        <w:rPr>
          <w:sz w:val="24"/>
          <w:szCs w:val="24"/>
        </w:rPr>
        <w:t>Hver ml indeholder:</w:t>
      </w:r>
      <w:r w:rsidRPr="00A36FF3">
        <w:rPr>
          <w:b/>
          <w:bCs/>
          <w:sz w:val="24"/>
          <w:szCs w:val="24"/>
        </w:rPr>
        <w:br/>
      </w:r>
    </w:p>
    <w:p w14:paraId="17B48EBB" w14:textId="5D510D66" w:rsidR="00790A62" w:rsidRPr="00A36FF3" w:rsidRDefault="00790A62" w:rsidP="00790A62">
      <w:pPr>
        <w:tabs>
          <w:tab w:val="left" w:pos="8222"/>
        </w:tabs>
        <w:ind w:left="851"/>
        <w:rPr>
          <w:bCs/>
          <w:sz w:val="24"/>
          <w:szCs w:val="24"/>
          <w:u w:val="single"/>
        </w:rPr>
      </w:pPr>
      <w:r w:rsidRPr="00A36FF3">
        <w:rPr>
          <w:bCs/>
          <w:sz w:val="24"/>
          <w:szCs w:val="24"/>
          <w:u w:val="single"/>
        </w:rPr>
        <w:t>Aktivt stof</w:t>
      </w:r>
    </w:p>
    <w:p w14:paraId="04D46C69" w14:textId="05844985" w:rsidR="00790A62" w:rsidRPr="00A36FF3" w:rsidRDefault="00790A62" w:rsidP="00A457C8">
      <w:pPr>
        <w:tabs>
          <w:tab w:val="left" w:pos="2835"/>
          <w:tab w:val="left" w:pos="8222"/>
        </w:tabs>
        <w:ind w:left="851"/>
        <w:rPr>
          <w:sz w:val="24"/>
          <w:szCs w:val="24"/>
        </w:rPr>
      </w:pPr>
      <w:proofErr w:type="spellStart"/>
      <w:r w:rsidRPr="00A36FF3">
        <w:rPr>
          <w:sz w:val="24"/>
          <w:szCs w:val="24"/>
        </w:rPr>
        <w:t>Tulathromycin</w:t>
      </w:r>
      <w:proofErr w:type="spellEnd"/>
      <w:r w:rsidR="00A457C8" w:rsidRPr="00A36FF3">
        <w:rPr>
          <w:sz w:val="24"/>
          <w:szCs w:val="24"/>
        </w:rPr>
        <w:tab/>
      </w:r>
      <w:r w:rsidRPr="00A36FF3">
        <w:rPr>
          <w:sz w:val="24"/>
          <w:szCs w:val="24"/>
        </w:rPr>
        <w:t>100 mg</w:t>
      </w:r>
    </w:p>
    <w:p w14:paraId="644FAEC4" w14:textId="77777777" w:rsidR="00790A62" w:rsidRPr="00A36FF3" w:rsidRDefault="00790A62" w:rsidP="00790A62">
      <w:pPr>
        <w:tabs>
          <w:tab w:val="left" w:pos="8222"/>
        </w:tabs>
        <w:ind w:left="851"/>
        <w:rPr>
          <w:sz w:val="24"/>
          <w:szCs w:val="24"/>
        </w:rPr>
      </w:pPr>
    </w:p>
    <w:p w14:paraId="5FF07F00" w14:textId="34668D8C" w:rsidR="00790A62" w:rsidRPr="00A36FF3" w:rsidRDefault="00790A62" w:rsidP="00790A62">
      <w:pPr>
        <w:tabs>
          <w:tab w:val="left" w:pos="8222"/>
        </w:tabs>
        <w:ind w:left="851"/>
        <w:rPr>
          <w:bCs/>
          <w:sz w:val="24"/>
          <w:szCs w:val="24"/>
          <w:u w:val="single"/>
        </w:rPr>
      </w:pPr>
      <w:bookmarkStart w:id="0" w:name="Hjælpestof:"/>
      <w:bookmarkEnd w:id="0"/>
      <w:r w:rsidRPr="00A36FF3">
        <w:rPr>
          <w:bCs/>
          <w:sz w:val="24"/>
          <w:szCs w:val="24"/>
          <w:u w:val="single"/>
        </w:rPr>
        <w:t>Hjælpestof</w:t>
      </w:r>
    </w:p>
    <w:p w14:paraId="28450F20" w14:textId="459C752D" w:rsidR="00790A62" w:rsidRPr="00A36FF3" w:rsidRDefault="00790A62" w:rsidP="00A457C8">
      <w:pPr>
        <w:tabs>
          <w:tab w:val="left" w:pos="2835"/>
          <w:tab w:val="left" w:pos="8222"/>
        </w:tabs>
        <w:ind w:left="851"/>
        <w:rPr>
          <w:sz w:val="24"/>
          <w:szCs w:val="24"/>
        </w:rPr>
      </w:pPr>
      <w:proofErr w:type="spellStart"/>
      <w:r w:rsidRPr="00A36FF3">
        <w:rPr>
          <w:sz w:val="24"/>
          <w:szCs w:val="24"/>
        </w:rPr>
        <w:t>Monothioglycerol</w:t>
      </w:r>
      <w:proofErr w:type="spellEnd"/>
      <w:r w:rsidR="00A457C8" w:rsidRPr="00A36FF3">
        <w:rPr>
          <w:sz w:val="24"/>
          <w:szCs w:val="24"/>
        </w:rPr>
        <w:tab/>
      </w:r>
      <w:r w:rsidRPr="00A36FF3">
        <w:rPr>
          <w:sz w:val="24"/>
          <w:szCs w:val="24"/>
        </w:rPr>
        <w:t>5 mg</w:t>
      </w:r>
    </w:p>
    <w:p w14:paraId="7C61F638" w14:textId="77777777" w:rsidR="00790A62" w:rsidRPr="00A36FF3" w:rsidRDefault="00790A62" w:rsidP="00790A62">
      <w:pPr>
        <w:tabs>
          <w:tab w:val="left" w:pos="8222"/>
        </w:tabs>
        <w:ind w:left="851"/>
        <w:rPr>
          <w:sz w:val="24"/>
          <w:szCs w:val="24"/>
        </w:rPr>
      </w:pPr>
    </w:p>
    <w:p w14:paraId="552FBA01" w14:textId="77777777" w:rsidR="00790A62" w:rsidRPr="00A36FF3" w:rsidRDefault="00790A62" w:rsidP="00790A62">
      <w:pPr>
        <w:tabs>
          <w:tab w:val="left" w:pos="8222"/>
        </w:tabs>
        <w:ind w:left="851"/>
        <w:rPr>
          <w:sz w:val="24"/>
          <w:szCs w:val="24"/>
        </w:rPr>
      </w:pPr>
      <w:r w:rsidRPr="00A36FF3">
        <w:rPr>
          <w:sz w:val="24"/>
          <w:szCs w:val="24"/>
        </w:rPr>
        <w:t>Alle hjælpestoffer er anført under pkt. 6.1.</w:t>
      </w:r>
    </w:p>
    <w:p w14:paraId="46000C51" w14:textId="77777777" w:rsidR="005B0036" w:rsidRPr="00A36FF3" w:rsidRDefault="005B0036" w:rsidP="005B0036">
      <w:pPr>
        <w:tabs>
          <w:tab w:val="left" w:pos="8222"/>
        </w:tabs>
        <w:ind w:left="851"/>
        <w:rPr>
          <w:sz w:val="24"/>
          <w:szCs w:val="24"/>
        </w:rPr>
      </w:pPr>
    </w:p>
    <w:p w14:paraId="0AE563FC" w14:textId="77777777" w:rsidR="005B0036" w:rsidRPr="00A36FF3" w:rsidRDefault="005B0036" w:rsidP="005B0036">
      <w:pPr>
        <w:tabs>
          <w:tab w:val="left" w:pos="8222"/>
        </w:tabs>
        <w:ind w:left="851" w:hanging="851"/>
        <w:rPr>
          <w:b/>
          <w:sz w:val="24"/>
          <w:szCs w:val="24"/>
        </w:rPr>
      </w:pPr>
      <w:r w:rsidRPr="00A36FF3">
        <w:rPr>
          <w:b/>
          <w:sz w:val="24"/>
          <w:szCs w:val="24"/>
        </w:rPr>
        <w:t>3.</w:t>
      </w:r>
      <w:r w:rsidRPr="00A36FF3">
        <w:rPr>
          <w:b/>
          <w:sz w:val="24"/>
          <w:szCs w:val="24"/>
        </w:rPr>
        <w:tab/>
        <w:t>LÆGEMIDDELFORM</w:t>
      </w:r>
    </w:p>
    <w:p w14:paraId="73EC4EF6" w14:textId="01135180" w:rsidR="00A457C8" w:rsidRPr="00A36FF3" w:rsidRDefault="00A457C8" w:rsidP="00A457C8">
      <w:pPr>
        <w:tabs>
          <w:tab w:val="left" w:pos="851"/>
          <w:tab w:val="left" w:pos="8222"/>
        </w:tabs>
        <w:ind w:left="851"/>
        <w:rPr>
          <w:sz w:val="24"/>
          <w:szCs w:val="24"/>
          <w:lang w:bidi="en-US"/>
        </w:rPr>
      </w:pPr>
      <w:r w:rsidRPr="00A36FF3">
        <w:rPr>
          <w:sz w:val="24"/>
          <w:szCs w:val="24"/>
          <w:lang w:bidi="en-US"/>
        </w:rPr>
        <w:t>Injektionsvæske, opløsning</w:t>
      </w:r>
    </w:p>
    <w:p w14:paraId="4B9E2449" w14:textId="77777777" w:rsidR="00A457C8" w:rsidRPr="00A36FF3" w:rsidRDefault="00A457C8" w:rsidP="00A457C8">
      <w:pPr>
        <w:tabs>
          <w:tab w:val="left" w:pos="851"/>
          <w:tab w:val="left" w:pos="8222"/>
        </w:tabs>
        <w:ind w:left="851"/>
        <w:rPr>
          <w:sz w:val="24"/>
          <w:szCs w:val="24"/>
          <w:lang w:bidi="en-US"/>
        </w:rPr>
      </w:pPr>
    </w:p>
    <w:p w14:paraId="0CE2D42C" w14:textId="77777777" w:rsidR="00A457C8" w:rsidRPr="00A36FF3" w:rsidRDefault="00A457C8" w:rsidP="00A457C8">
      <w:pPr>
        <w:tabs>
          <w:tab w:val="left" w:pos="851"/>
          <w:tab w:val="left" w:pos="8222"/>
        </w:tabs>
        <w:ind w:left="851"/>
        <w:rPr>
          <w:sz w:val="24"/>
          <w:szCs w:val="24"/>
        </w:rPr>
      </w:pPr>
      <w:r w:rsidRPr="00A36FF3">
        <w:rPr>
          <w:sz w:val="24"/>
          <w:szCs w:val="24"/>
        </w:rPr>
        <w:t>Klar, farveløs til lysegul opløsning, fri for synlige partikler.</w:t>
      </w:r>
    </w:p>
    <w:p w14:paraId="3DDFFDA1" w14:textId="77777777" w:rsidR="005B0036" w:rsidRPr="00A36FF3" w:rsidRDefault="005B0036" w:rsidP="005B0036">
      <w:pPr>
        <w:tabs>
          <w:tab w:val="left" w:pos="851"/>
          <w:tab w:val="left" w:pos="8222"/>
        </w:tabs>
        <w:ind w:left="851"/>
        <w:rPr>
          <w:sz w:val="24"/>
          <w:szCs w:val="24"/>
        </w:rPr>
      </w:pPr>
    </w:p>
    <w:p w14:paraId="5511E6EC" w14:textId="77777777" w:rsidR="005B0036" w:rsidRPr="00A36FF3" w:rsidRDefault="005B0036" w:rsidP="005B0036">
      <w:pPr>
        <w:tabs>
          <w:tab w:val="left" w:pos="851"/>
          <w:tab w:val="left" w:pos="8222"/>
        </w:tabs>
        <w:ind w:left="851"/>
        <w:rPr>
          <w:sz w:val="24"/>
          <w:szCs w:val="24"/>
        </w:rPr>
      </w:pPr>
    </w:p>
    <w:p w14:paraId="2AD4D8FB" w14:textId="77777777" w:rsidR="005B0036" w:rsidRPr="00A36FF3" w:rsidRDefault="005B0036" w:rsidP="005B0036">
      <w:pPr>
        <w:tabs>
          <w:tab w:val="left" w:pos="8222"/>
        </w:tabs>
        <w:ind w:left="851" w:hanging="851"/>
        <w:rPr>
          <w:b/>
          <w:sz w:val="24"/>
          <w:szCs w:val="24"/>
        </w:rPr>
      </w:pPr>
      <w:r w:rsidRPr="00A36FF3">
        <w:rPr>
          <w:b/>
          <w:sz w:val="24"/>
          <w:szCs w:val="24"/>
        </w:rPr>
        <w:t>4.</w:t>
      </w:r>
      <w:r w:rsidRPr="00A36FF3">
        <w:rPr>
          <w:b/>
          <w:sz w:val="24"/>
          <w:szCs w:val="24"/>
        </w:rPr>
        <w:tab/>
        <w:t>KLINISKE OPLYSNINGER</w:t>
      </w:r>
    </w:p>
    <w:p w14:paraId="4294E894" w14:textId="77777777" w:rsidR="005B0036" w:rsidRPr="00A36FF3" w:rsidRDefault="005B0036" w:rsidP="005B0036">
      <w:pPr>
        <w:tabs>
          <w:tab w:val="left" w:pos="851"/>
          <w:tab w:val="left" w:pos="8222"/>
        </w:tabs>
        <w:ind w:left="851"/>
        <w:rPr>
          <w:sz w:val="24"/>
          <w:szCs w:val="24"/>
        </w:rPr>
      </w:pPr>
    </w:p>
    <w:p w14:paraId="65AB55F9" w14:textId="77777777" w:rsidR="005B0036" w:rsidRPr="00A36FF3" w:rsidRDefault="005B0036" w:rsidP="005B0036">
      <w:pPr>
        <w:tabs>
          <w:tab w:val="left" w:pos="8222"/>
        </w:tabs>
        <w:ind w:left="851" w:hanging="851"/>
        <w:rPr>
          <w:b/>
          <w:sz w:val="24"/>
          <w:szCs w:val="24"/>
          <w:u w:val="single"/>
        </w:rPr>
      </w:pPr>
      <w:r w:rsidRPr="00A36FF3">
        <w:rPr>
          <w:b/>
          <w:sz w:val="24"/>
          <w:szCs w:val="24"/>
        </w:rPr>
        <w:t>4.1</w:t>
      </w:r>
      <w:r w:rsidRPr="00A36FF3">
        <w:rPr>
          <w:b/>
          <w:sz w:val="24"/>
          <w:szCs w:val="24"/>
        </w:rPr>
        <w:tab/>
        <w:t>Dyrearter</w:t>
      </w:r>
    </w:p>
    <w:p w14:paraId="7A6A3D0C" w14:textId="77777777" w:rsidR="00A457C8" w:rsidRPr="00A36FF3" w:rsidRDefault="00A457C8" w:rsidP="00A457C8">
      <w:pPr>
        <w:tabs>
          <w:tab w:val="left" w:pos="8222"/>
        </w:tabs>
        <w:ind w:left="851"/>
        <w:rPr>
          <w:sz w:val="24"/>
          <w:szCs w:val="24"/>
          <w:lang w:bidi="en-US"/>
        </w:rPr>
      </w:pPr>
      <w:r w:rsidRPr="00A36FF3">
        <w:rPr>
          <w:sz w:val="24"/>
          <w:szCs w:val="24"/>
          <w:lang w:bidi="en-US"/>
        </w:rPr>
        <w:t>Kvæg</w:t>
      </w:r>
    </w:p>
    <w:p w14:paraId="4C55DFC8" w14:textId="77777777" w:rsidR="00A457C8" w:rsidRPr="00A36FF3" w:rsidRDefault="00A457C8" w:rsidP="00A457C8">
      <w:pPr>
        <w:tabs>
          <w:tab w:val="left" w:pos="8222"/>
        </w:tabs>
        <w:ind w:left="851"/>
        <w:rPr>
          <w:sz w:val="24"/>
          <w:szCs w:val="24"/>
          <w:lang w:bidi="en-US"/>
        </w:rPr>
      </w:pPr>
      <w:r w:rsidRPr="00A36FF3">
        <w:rPr>
          <w:sz w:val="24"/>
          <w:szCs w:val="24"/>
          <w:lang w:bidi="en-US"/>
        </w:rPr>
        <w:t>Svin</w:t>
      </w:r>
    </w:p>
    <w:p w14:paraId="1E97DA4F" w14:textId="11D7612C" w:rsidR="00A457C8" w:rsidRPr="00A36FF3" w:rsidRDefault="00A457C8" w:rsidP="00A457C8">
      <w:pPr>
        <w:tabs>
          <w:tab w:val="left" w:pos="8222"/>
        </w:tabs>
        <w:ind w:left="851"/>
        <w:rPr>
          <w:sz w:val="24"/>
          <w:szCs w:val="24"/>
          <w:lang w:bidi="en-US"/>
        </w:rPr>
      </w:pPr>
      <w:r w:rsidRPr="00A36FF3">
        <w:rPr>
          <w:sz w:val="24"/>
          <w:szCs w:val="24"/>
          <w:lang w:bidi="en-US"/>
        </w:rPr>
        <w:t>Får</w:t>
      </w:r>
    </w:p>
    <w:p w14:paraId="2C21A548" w14:textId="77777777" w:rsidR="005B0036" w:rsidRPr="00A36FF3" w:rsidRDefault="005B0036" w:rsidP="005B0036">
      <w:pPr>
        <w:tabs>
          <w:tab w:val="left" w:pos="8222"/>
        </w:tabs>
        <w:ind w:left="851"/>
        <w:rPr>
          <w:sz w:val="24"/>
          <w:szCs w:val="24"/>
        </w:rPr>
      </w:pPr>
    </w:p>
    <w:p w14:paraId="21CE8304" w14:textId="77777777" w:rsidR="005B0036" w:rsidRPr="00A36FF3" w:rsidRDefault="005B0036" w:rsidP="005B0036">
      <w:pPr>
        <w:pStyle w:val="Sidehoved"/>
        <w:tabs>
          <w:tab w:val="clear" w:pos="4819"/>
          <w:tab w:val="left" w:pos="8222"/>
        </w:tabs>
        <w:ind w:left="851" w:hanging="851"/>
        <w:rPr>
          <w:b/>
          <w:szCs w:val="24"/>
        </w:rPr>
      </w:pPr>
      <w:r w:rsidRPr="00A36FF3">
        <w:rPr>
          <w:b/>
          <w:szCs w:val="24"/>
        </w:rPr>
        <w:t>4.2</w:t>
      </w:r>
      <w:r w:rsidRPr="00A36FF3">
        <w:rPr>
          <w:b/>
          <w:szCs w:val="24"/>
        </w:rPr>
        <w:tab/>
        <w:t>Terapeutiske indikationer</w:t>
      </w:r>
    </w:p>
    <w:p w14:paraId="23CE3AF5" w14:textId="77777777" w:rsidR="00985DED" w:rsidRPr="00A36FF3" w:rsidRDefault="00985DED" w:rsidP="00985DED">
      <w:pPr>
        <w:pStyle w:val="Sidehoved"/>
        <w:tabs>
          <w:tab w:val="left" w:pos="8222"/>
        </w:tabs>
        <w:ind w:left="851"/>
        <w:rPr>
          <w:b/>
          <w:szCs w:val="24"/>
        </w:rPr>
      </w:pPr>
    </w:p>
    <w:p w14:paraId="39B89FFF" w14:textId="775E6ADC" w:rsidR="00985DED" w:rsidRPr="00A36FF3" w:rsidRDefault="00985DED" w:rsidP="00985DED">
      <w:pPr>
        <w:pStyle w:val="Sidehoved"/>
        <w:tabs>
          <w:tab w:val="left" w:pos="8222"/>
        </w:tabs>
        <w:ind w:left="851"/>
        <w:rPr>
          <w:szCs w:val="24"/>
        </w:rPr>
      </w:pPr>
      <w:r w:rsidRPr="00A36FF3">
        <w:rPr>
          <w:szCs w:val="24"/>
          <w:u w:val="single"/>
        </w:rPr>
        <w:t>Kvæg</w:t>
      </w:r>
    </w:p>
    <w:p w14:paraId="7ADECF0D" w14:textId="77777777" w:rsidR="00985DED" w:rsidRPr="00A36FF3" w:rsidRDefault="00985DED" w:rsidP="00985DED">
      <w:pPr>
        <w:pStyle w:val="Sidehoved"/>
        <w:tabs>
          <w:tab w:val="left" w:pos="8222"/>
        </w:tabs>
        <w:ind w:left="851"/>
        <w:rPr>
          <w:szCs w:val="24"/>
        </w:rPr>
      </w:pPr>
      <w:r w:rsidRPr="00A36FF3">
        <w:rPr>
          <w:szCs w:val="24"/>
        </w:rPr>
        <w:t xml:space="preserve">Behandling og </w:t>
      </w:r>
      <w:proofErr w:type="spellStart"/>
      <w:r w:rsidRPr="00A36FF3">
        <w:rPr>
          <w:szCs w:val="24"/>
        </w:rPr>
        <w:t>metafylakse</w:t>
      </w:r>
      <w:proofErr w:type="spellEnd"/>
      <w:r w:rsidRPr="00A36FF3">
        <w:rPr>
          <w:szCs w:val="24"/>
        </w:rPr>
        <w:t xml:space="preserve"> af luftvejsinfektioner hos kvæg (BRD) forårsaget af </w:t>
      </w:r>
      <w:proofErr w:type="spellStart"/>
      <w:r w:rsidRPr="00A36FF3">
        <w:rPr>
          <w:szCs w:val="24"/>
        </w:rPr>
        <w:t>tulathromycinfølsomme</w:t>
      </w:r>
      <w:proofErr w:type="spellEnd"/>
      <w:r w:rsidRPr="00A36FF3">
        <w:rPr>
          <w:szCs w:val="24"/>
        </w:rPr>
        <w:t xml:space="preserve"> </w:t>
      </w:r>
      <w:proofErr w:type="spellStart"/>
      <w:r w:rsidRPr="00A36FF3">
        <w:rPr>
          <w:i/>
          <w:szCs w:val="24"/>
        </w:rPr>
        <w:t>Mannheimia</w:t>
      </w:r>
      <w:proofErr w:type="spellEnd"/>
      <w:r w:rsidRPr="00A36FF3">
        <w:rPr>
          <w:i/>
          <w:szCs w:val="24"/>
        </w:rPr>
        <w:t xml:space="preserve"> </w:t>
      </w:r>
      <w:proofErr w:type="spellStart"/>
      <w:r w:rsidRPr="00A36FF3">
        <w:rPr>
          <w:i/>
          <w:szCs w:val="24"/>
        </w:rPr>
        <w:t>haemolytica</w:t>
      </w:r>
      <w:proofErr w:type="spellEnd"/>
      <w:r w:rsidRPr="00A36FF3">
        <w:rPr>
          <w:szCs w:val="24"/>
        </w:rPr>
        <w:t xml:space="preserve">, </w:t>
      </w:r>
      <w:proofErr w:type="spellStart"/>
      <w:r w:rsidRPr="00A36FF3">
        <w:rPr>
          <w:i/>
          <w:szCs w:val="24"/>
        </w:rPr>
        <w:t>Pasteurella</w:t>
      </w:r>
      <w:proofErr w:type="spellEnd"/>
      <w:r w:rsidRPr="00A36FF3">
        <w:rPr>
          <w:i/>
          <w:szCs w:val="24"/>
        </w:rPr>
        <w:t xml:space="preserve"> </w:t>
      </w:r>
      <w:proofErr w:type="spellStart"/>
      <w:r w:rsidRPr="00A36FF3">
        <w:rPr>
          <w:i/>
          <w:szCs w:val="24"/>
        </w:rPr>
        <w:t>multocida</w:t>
      </w:r>
      <w:proofErr w:type="spellEnd"/>
      <w:r w:rsidRPr="00A36FF3">
        <w:rPr>
          <w:i/>
          <w:szCs w:val="24"/>
        </w:rPr>
        <w:t xml:space="preserve">, </w:t>
      </w:r>
      <w:proofErr w:type="spellStart"/>
      <w:r w:rsidRPr="00A36FF3">
        <w:rPr>
          <w:i/>
          <w:szCs w:val="24"/>
        </w:rPr>
        <w:t>Histophilus</w:t>
      </w:r>
      <w:proofErr w:type="spellEnd"/>
      <w:r w:rsidRPr="00A36FF3">
        <w:rPr>
          <w:i/>
          <w:szCs w:val="24"/>
        </w:rPr>
        <w:t xml:space="preserve"> </w:t>
      </w:r>
      <w:proofErr w:type="spellStart"/>
      <w:r w:rsidRPr="00A36FF3">
        <w:rPr>
          <w:i/>
          <w:szCs w:val="24"/>
        </w:rPr>
        <w:lastRenderedPageBreak/>
        <w:t>somni</w:t>
      </w:r>
      <w:proofErr w:type="spellEnd"/>
      <w:r w:rsidRPr="00A36FF3">
        <w:rPr>
          <w:i/>
          <w:szCs w:val="24"/>
        </w:rPr>
        <w:t xml:space="preserve"> og </w:t>
      </w:r>
      <w:proofErr w:type="spellStart"/>
      <w:r w:rsidRPr="00A36FF3">
        <w:rPr>
          <w:i/>
          <w:szCs w:val="24"/>
        </w:rPr>
        <w:t>Mycoplasma</w:t>
      </w:r>
      <w:proofErr w:type="spellEnd"/>
      <w:r w:rsidRPr="00A36FF3">
        <w:rPr>
          <w:i/>
          <w:szCs w:val="24"/>
        </w:rPr>
        <w:t xml:space="preserve"> </w:t>
      </w:r>
      <w:proofErr w:type="spellStart"/>
      <w:r w:rsidRPr="00A36FF3">
        <w:rPr>
          <w:i/>
          <w:szCs w:val="24"/>
        </w:rPr>
        <w:t>bovis</w:t>
      </w:r>
      <w:proofErr w:type="spellEnd"/>
      <w:r w:rsidRPr="00A36FF3">
        <w:rPr>
          <w:i/>
          <w:szCs w:val="24"/>
        </w:rPr>
        <w:t xml:space="preserve">. </w:t>
      </w:r>
      <w:r w:rsidRPr="00A36FF3">
        <w:rPr>
          <w:szCs w:val="24"/>
        </w:rPr>
        <w:t>Tilstedeværelse af sygdommen i gruppen skal være konstateret, inden veterinærlægemidlet bruges.</w:t>
      </w:r>
    </w:p>
    <w:p w14:paraId="50BA289F" w14:textId="77777777" w:rsidR="00985DED" w:rsidRPr="00A36FF3" w:rsidRDefault="00985DED" w:rsidP="00985DED">
      <w:pPr>
        <w:pStyle w:val="Sidehoved"/>
        <w:tabs>
          <w:tab w:val="left" w:pos="8222"/>
        </w:tabs>
        <w:ind w:left="851"/>
        <w:rPr>
          <w:szCs w:val="24"/>
        </w:rPr>
      </w:pPr>
    </w:p>
    <w:p w14:paraId="14B910E5" w14:textId="7DD906CC" w:rsidR="00985DED" w:rsidRPr="00A36FF3" w:rsidRDefault="00985DED" w:rsidP="00985DED">
      <w:pPr>
        <w:pStyle w:val="Sidehoved"/>
        <w:tabs>
          <w:tab w:val="left" w:pos="8222"/>
        </w:tabs>
        <w:ind w:left="851"/>
        <w:rPr>
          <w:i/>
          <w:szCs w:val="24"/>
        </w:rPr>
      </w:pPr>
      <w:r w:rsidRPr="00A36FF3">
        <w:rPr>
          <w:szCs w:val="24"/>
        </w:rPr>
        <w:t xml:space="preserve">Behandling af Infektiøs Bovin </w:t>
      </w:r>
      <w:proofErr w:type="spellStart"/>
      <w:r w:rsidRPr="00A36FF3">
        <w:rPr>
          <w:szCs w:val="24"/>
        </w:rPr>
        <w:t>Keratokonjunktivitis</w:t>
      </w:r>
      <w:proofErr w:type="spellEnd"/>
      <w:r w:rsidRPr="00A36FF3">
        <w:rPr>
          <w:szCs w:val="24"/>
        </w:rPr>
        <w:t xml:space="preserve"> (IBK) forårsaget af </w:t>
      </w:r>
      <w:proofErr w:type="spellStart"/>
      <w:r w:rsidRPr="00A36FF3">
        <w:rPr>
          <w:szCs w:val="24"/>
        </w:rPr>
        <w:t>tulathromycinfølsomme</w:t>
      </w:r>
      <w:proofErr w:type="spellEnd"/>
      <w:r w:rsidR="00AE716B" w:rsidRPr="00A36FF3">
        <w:rPr>
          <w:szCs w:val="24"/>
        </w:rPr>
        <w:t xml:space="preserve"> </w:t>
      </w:r>
      <w:proofErr w:type="spellStart"/>
      <w:r w:rsidRPr="00A36FF3">
        <w:rPr>
          <w:i/>
          <w:szCs w:val="24"/>
        </w:rPr>
        <w:t>Moraxella</w:t>
      </w:r>
      <w:proofErr w:type="spellEnd"/>
      <w:r w:rsidRPr="00A36FF3">
        <w:rPr>
          <w:i/>
          <w:szCs w:val="24"/>
        </w:rPr>
        <w:t xml:space="preserve"> </w:t>
      </w:r>
      <w:proofErr w:type="spellStart"/>
      <w:r w:rsidRPr="00A36FF3">
        <w:rPr>
          <w:i/>
          <w:szCs w:val="24"/>
        </w:rPr>
        <w:t>bovis</w:t>
      </w:r>
      <w:proofErr w:type="spellEnd"/>
      <w:r w:rsidRPr="00A36FF3">
        <w:rPr>
          <w:i/>
          <w:szCs w:val="24"/>
        </w:rPr>
        <w:t>.</w:t>
      </w:r>
    </w:p>
    <w:p w14:paraId="1AC9D26C" w14:textId="77777777" w:rsidR="00985DED" w:rsidRPr="00A36FF3" w:rsidRDefault="00985DED" w:rsidP="00985DED">
      <w:pPr>
        <w:pStyle w:val="Sidehoved"/>
        <w:tabs>
          <w:tab w:val="left" w:pos="8222"/>
        </w:tabs>
        <w:ind w:left="851"/>
        <w:rPr>
          <w:i/>
          <w:szCs w:val="24"/>
        </w:rPr>
      </w:pPr>
    </w:p>
    <w:p w14:paraId="4B9A39AC" w14:textId="09E6ADF5" w:rsidR="00985DED" w:rsidRPr="00A36FF3" w:rsidRDefault="00985DED" w:rsidP="00985DED">
      <w:pPr>
        <w:pStyle w:val="Sidehoved"/>
        <w:tabs>
          <w:tab w:val="left" w:pos="8222"/>
        </w:tabs>
        <w:ind w:left="851"/>
        <w:rPr>
          <w:szCs w:val="24"/>
        </w:rPr>
      </w:pPr>
      <w:r w:rsidRPr="00A36FF3">
        <w:rPr>
          <w:szCs w:val="24"/>
          <w:u w:val="single"/>
        </w:rPr>
        <w:t>Svin</w:t>
      </w:r>
    </w:p>
    <w:p w14:paraId="76A35D6A" w14:textId="44618F6B" w:rsidR="00985DED" w:rsidRPr="00A36FF3" w:rsidRDefault="00985DED" w:rsidP="00985DED">
      <w:pPr>
        <w:pStyle w:val="Sidehoved"/>
        <w:tabs>
          <w:tab w:val="left" w:pos="8222"/>
        </w:tabs>
        <w:ind w:left="851"/>
        <w:rPr>
          <w:szCs w:val="24"/>
        </w:rPr>
      </w:pPr>
      <w:r w:rsidRPr="00A36FF3">
        <w:rPr>
          <w:szCs w:val="24"/>
        </w:rPr>
        <w:t xml:space="preserve">Behandling og </w:t>
      </w:r>
      <w:proofErr w:type="spellStart"/>
      <w:r w:rsidRPr="00A36FF3">
        <w:rPr>
          <w:szCs w:val="24"/>
        </w:rPr>
        <w:t>metafylakse</w:t>
      </w:r>
      <w:proofErr w:type="spellEnd"/>
      <w:r w:rsidRPr="00A36FF3">
        <w:rPr>
          <w:szCs w:val="24"/>
        </w:rPr>
        <w:t xml:space="preserve"> af luftvejsinfektioner hos svin (SRD) forårsaget af </w:t>
      </w:r>
      <w:proofErr w:type="spellStart"/>
      <w:r w:rsidRPr="00A36FF3">
        <w:rPr>
          <w:i/>
          <w:szCs w:val="24"/>
        </w:rPr>
        <w:t>Actinobacillus</w:t>
      </w:r>
      <w:proofErr w:type="spellEnd"/>
      <w:r w:rsidRPr="00A36FF3">
        <w:rPr>
          <w:i/>
          <w:szCs w:val="24"/>
        </w:rPr>
        <w:t xml:space="preserve"> </w:t>
      </w:r>
      <w:proofErr w:type="spellStart"/>
      <w:r w:rsidRPr="00A36FF3">
        <w:rPr>
          <w:i/>
          <w:szCs w:val="24"/>
        </w:rPr>
        <w:t>pleuropneumoniae</w:t>
      </w:r>
      <w:proofErr w:type="spellEnd"/>
      <w:r w:rsidRPr="00A36FF3">
        <w:rPr>
          <w:i/>
          <w:szCs w:val="24"/>
        </w:rPr>
        <w:t xml:space="preserve">, </w:t>
      </w:r>
      <w:proofErr w:type="spellStart"/>
      <w:r w:rsidRPr="00A36FF3">
        <w:rPr>
          <w:i/>
          <w:szCs w:val="24"/>
        </w:rPr>
        <w:t>Pasteurella</w:t>
      </w:r>
      <w:proofErr w:type="spellEnd"/>
      <w:r w:rsidRPr="00A36FF3">
        <w:rPr>
          <w:i/>
          <w:szCs w:val="24"/>
        </w:rPr>
        <w:t xml:space="preserve"> </w:t>
      </w:r>
      <w:proofErr w:type="spellStart"/>
      <w:r w:rsidRPr="00A36FF3">
        <w:rPr>
          <w:i/>
          <w:szCs w:val="24"/>
        </w:rPr>
        <w:t>multocida</w:t>
      </w:r>
      <w:proofErr w:type="spellEnd"/>
      <w:r w:rsidRPr="00A36FF3">
        <w:rPr>
          <w:szCs w:val="24"/>
        </w:rPr>
        <w:t xml:space="preserve">, </w:t>
      </w:r>
      <w:proofErr w:type="spellStart"/>
      <w:r w:rsidRPr="00A36FF3">
        <w:rPr>
          <w:i/>
          <w:szCs w:val="24"/>
        </w:rPr>
        <w:t>Mycoplasma</w:t>
      </w:r>
      <w:proofErr w:type="spellEnd"/>
      <w:r w:rsidRPr="00A36FF3">
        <w:rPr>
          <w:i/>
          <w:szCs w:val="24"/>
        </w:rPr>
        <w:t xml:space="preserve"> </w:t>
      </w:r>
      <w:proofErr w:type="spellStart"/>
      <w:r w:rsidRPr="00A36FF3">
        <w:rPr>
          <w:i/>
          <w:szCs w:val="24"/>
        </w:rPr>
        <w:t>hyopneumonia</w:t>
      </w:r>
      <w:proofErr w:type="spellEnd"/>
      <w:r w:rsidRPr="00A36FF3">
        <w:rPr>
          <w:i/>
          <w:szCs w:val="24"/>
        </w:rPr>
        <w:t xml:space="preserve">, </w:t>
      </w:r>
      <w:proofErr w:type="spellStart"/>
      <w:r w:rsidRPr="00A36FF3">
        <w:rPr>
          <w:i/>
          <w:szCs w:val="24"/>
        </w:rPr>
        <w:t>Haemophilus</w:t>
      </w:r>
      <w:proofErr w:type="spellEnd"/>
      <w:r w:rsidRPr="00A36FF3">
        <w:rPr>
          <w:i/>
          <w:szCs w:val="24"/>
        </w:rPr>
        <w:t xml:space="preserve"> </w:t>
      </w:r>
      <w:proofErr w:type="spellStart"/>
      <w:r w:rsidRPr="00A36FF3">
        <w:rPr>
          <w:i/>
          <w:szCs w:val="24"/>
        </w:rPr>
        <w:t>parasuis</w:t>
      </w:r>
      <w:proofErr w:type="spellEnd"/>
      <w:r w:rsidRPr="00A36FF3">
        <w:rPr>
          <w:i/>
          <w:szCs w:val="24"/>
        </w:rPr>
        <w:t xml:space="preserve"> </w:t>
      </w:r>
      <w:r w:rsidRPr="00A36FF3">
        <w:rPr>
          <w:szCs w:val="24"/>
        </w:rPr>
        <w:t xml:space="preserve">og </w:t>
      </w:r>
      <w:proofErr w:type="spellStart"/>
      <w:r w:rsidRPr="00A36FF3">
        <w:rPr>
          <w:i/>
          <w:szCs w:val="24"/>
        </w:rPr>
        <w:t>Bordetella</w:t>
      </w:r>
      <w:proofErr w:type="spellEnd"/>
      <w:r w:rsidRPr="00A36FF3">
        <w:rPr>
          <w:i/>
          <w:szCs w:val="24"/>
        </w:rPr>
        <w:t xml:space="preserve"> </w:t>
      </w:r>
      <w:proofErr w:type="spellStart"/>
      <w:r w:rsidRPr="00A36FF3">
        <w:rPr>
          <w:i/>
          <w:szCs w:val="24"/>
        </w:rPr>
        <w:t>bronchiseptica</w:t>
      </w:r>
      <w:proofErr w:type="spellEnd"/>
      <w:r w:rsidRPr="00A36FF3">
        <w:rPr>
          <w:i/>
          <w:szCs w:val="24"/>
        </w:rPr>
        <w:t xml:space="preserve"> </w:t>
      </w:r>
      <w:r w:rsidRPr="00A36FF3">
        <w:rPr>
          <w:szCs w:val="24"/>
        </w:rPr>
        <w:t xml:space="preserve">følsomme for </w:t>
      </w:r>
      <w:proofErr w:type="spellStart"/>
      <w:r w:rsidRPr="00A36FF3">
        <w:rPr>
          <w:szCs w:val="24"/>
        </w:rPr>
        <w:t>tulathromycin</w:t>
      </w:r>
      <w:proofErr w:type="spellEnd"/>
      <w:r w:rsidRPr="00A36FF3">
        <w:rPr>
          <w:szCs w:val="24"/>
        </w:rPr>
        <w:t>. Tilstedeværelse af sygdommen i gruppen skal være konstateret, inden veterinærlægemidlet bruges. Veterinærlægemidlet må kun anvendes til svin, som forventes at udvikle sygdommen inden for 2</w:t>
      </w:r>
      <w:r w:rsidR="00AE716B" w:rsidRPr="00A36FF3">
        <w:rPr>
          <w:szCs w:val="24"/>
        </w:rPr>
        <w:t>-</w:t>
      </w:r>
      <w:r w:rsidRPr="00A36FF3">
        <w:rPr>
          <w:szCs w:val="24"/>
        </w:rPr>
        <w:t>3 dage.</w:t>
      </w:r>
    </w:p>
    <w:p w14:paraId="744394DB" w14:textId="77777777" w:rsidR="00985DED" w:rsidRPr="00A36FF3" w:rsidRDefault="00985DED" w:rsidP="00985DED">
      <w:pPr>
        <w:pStyle w:val="Sidehoved"/>
        <w:tabs>
          <w:tab w:val="left" w:pos="8222"/>
        </w:tabs>
        <w:ind w:left="851"/>
        <w:rPr>
          <w:szCs w:val="24"/>
        </w:rPr>
      </w:pPr>
    </w:p>
    <w:p w14:paraId="5FB27E62" w14:textId="71AC4E91" w:rsidR="00985DED" w:rsidRPr="00A36FF3" w:rsidRDefault="00985DED" w:rsidP="00985DED">
      <w:pPr>
        <w:pStyle w:val="Sidehoved"/>
        <w:tabs>
          <w:tab w:val="left" w:pos="8222"/>
        </w:tabs>
        <w:ind w:left="851"/>
        <w:rPr>
          <w:szCs w:val="24"/>
        </w:rPr>
      </w:pPr>
      <w:r w:rsidRPr="00A36FF3">
        <w:rPr>
          <w:szCs w:val="24"/>
          <w:u w:val="single"/>
        </w:rPr>
        <w:t>Får</w:t>
      </w:r>
    </w:p>
    <w:p w14:paraId="774BEBF6" w14:textId="238A1962" w:rsidR="00985DED" w:rsidRPr="00A36FF3" w:rsidRDefault="00985DED" w:rsidP="00985DED">
      <w:pPr>
        <w:pStyle w:val="Sidehoved"/>
        <w:tabs>
          <w:tab w:val="left" w:pos="8222"/>
        </w:tabs>
        <w:ind w:left="851"/>
        <w:rPr>
          <w:szCs w:val="24"/>
        </w:rPr>
      </w:pPr>
      <w:r w:rsidRPr="00A36FF3">
        <w:rPr>
          <w:szCs w:val="24"/>
        </w:rPr>
        <w:t xml:space="preserve">Behandling af tidlige faser af smitsom </w:t>
      </w:r>
      <w:proofErr w:type="spellStart"/>
      <w:r w:rsidRPr="00A36FF3">
        <w:rPr>
          <w:szCs w:val="24"/>
        </w:rPr>
        <w:t>pododermatisis</w:t>
      </w:r>
      <w:proofErr w:type="spellEnd"/>
      <w:r w:rsidRPr="00A36FF3">
        <w:rPr>
          <w:szCs w:val="24"/>
        </w:rPr>
        <w:t xml:space="preserve"> (klovsyge), som er forbundet med den virulente</w:t>
      </w:r>
      <w:r w:rsidR="00AE716B" w:rsidRPr="00A36FF3">
        <w:rPr>
          <w:szCs w:val="24"/>
        </w:rPr>
        <w:t xml:space="preserve"> </w:t>
      </w:r>
      <w:proofErr w:type="spellStart"/>
      <w:r w:rsidRPr="00A36FF3">
        <w:rPr>
          <w:i/>
          <w:szCs w:val="24"/>
        </w:rPr>
        <w:t>Dichelobacter</w:t>
      </w:r>
      <w:proofErr w:type="spellEnd"/>
      <w:r w:rsidRPr="00A36FF3">
        <w:rPr>
          <w:i/>
          <w:szCs w:val="24"/>
        </w:rPr>
        <w:t xml:space="preserve"> </w:t>
      </w:r>
      <w:proofErr w:type="spellStart"/>
      <w:r w:rsidRPr="00A36FF3">
        <w:rPr>
          <w:i/>
          <w:szCs w:val="24"/>
        </w:rPr>
        <w:t>nodosus</w:t>
      </w:r>
      <w:proofErr w:type="spellEnd"/>
      <w:r w:rsidRPr="00A36FF3">
        <w:rPr>
          <w:szCs w:val="24"/>
        </w:rPr>
        <w:t>, som kræver systemisk behandling.</w:t>
      </w:r>
    </w:p>
    <w:p w14:paraId="28458655" w14:textId="77777777" w:rsidR="005B0036" w:rsidRPr="00A36FF3" w:rsidRDefault="005B0036" w:rsidP="005B0036">
      <w:pPr>
        <w:pStyle w:val="Sidehoved"/>
        <w:tabs>
          <w:tab w:val="clear" w:pos="4819"/>
          <w:tab w:val="left" w:pos="8222"/>
        </w:tabs>
        <w:ind w:left="851"/>
        <w:rPr>
          <w:szCs w:val="24"/>
        </w:rPr>
      </w:pPr>
    </w:p>
    <w:p w14:paraId="0E3F2BEC" w14:textId="77777777" w:rsidR="005B0036" w:rsidRPr="00A36FF3" w:rsidRDefault="005B0036" w:rsidP="005B0036">
      <w:pPr>
        <w:pStyle w:val="Sidehoved"/>
        <w:tabs>
          <w:tab w:val="clear" w:pos="4819"/>
          <w:tab w:val="left" w:pos="851"/>
          <w:tab w:val="left" w:pos="8222"/>
        </w:tabs>
        <w:rPr>
          <w:b/>
          <w:szCs w:val="24"/>
        </w:rPr>
      </w:pPr>
      <w:r w:rsidRPr="00A36FF3">
        <w:rPr>
          <w:b/>
          <w:szCs w:val="24"/>
        </w:rPr>
        <w:t>4.3</w:t>
      </w:r>
      <w:r w:rsidRPr="00A36FF3">
        <w:rPr>
          <w:b/>
          <w:szCs w:val="24"/>
        </w:rPr>
        <w:tab/>
        <w:t>Kontraindikationer</w:t>
      </w:r>
    </w:p>
    <w:p w14:paraId="40590374" w14:textId="77777777" w:rsidR="006E79F0" w:rsidRPr="00A36FF3" w:rsidRDefault="006E79F0" w:rsidP="006E79F0">
      <w:pPr>
        <w:pStyle w:val="Sidehoved"/>
        <w:tabs>
          <w:tab w:val="left" w:pos="8222"/>
        </w:tabs>
        <w:ind w:left="851"/>
        <w:rPr>
          <w:szCs w:val="24"/>
        </w:rPr>
      </w:pPr>
      <w:r w:rsidRPr="00A36FF3">
        <w:rPr>
          <w:szCs w:val="24"/>
        </w:rPr>
        <w:t xml:space="preserve">Bør ikke anvendes i tilfælde af overfølsomhed over for antibiotika af </w:t>
      </w:r>
      <w:proofErr w:type="spellStart"/>
      <w:r w:rsidRPr="00A36FF3">
        <w:rPr>
          <w:szCs w:val="24"/>
        </w:rPr>
        <w:t>macrolid</w:t>
      </w:r>
      <w:proofErr w:type="spellEnd"/>
      <w:r w:rsidRPr="00A36FF3">
        <w:rPr>
          <w:szCs w:val="24"/>
        </w:rPr>
        <w:t>-gruppen eller over for et eller flere af hjælpestofferne.</w:t>
      </w:r>
    </w:p>
    <w:p w14:paraId="037A6F89" w14:textId="77777777" w:rsidR="005B0036" w:rsidRPr="00A36FF3" w:rsidRDefault="005B0036" w:rsidP="005B0036">
      <w:pPr>
        <w:pStyle w:val="Sidehoved"/>
        <w:tabs>
          <w:tab w:val="clear" w:pos="4819"/>
          <w:tab w:val="left" w:pos="8222"/>
        </w:tabs>
        <w:ind w:left="851"/>
        <w:rPr>
          <w:szCs w:val="24"/>
        </w:rPr>
      </w:pPr>
    </w:p>
    <w:p w14:paraId="0B15A015" w14:textId="77777777" w:rsidR="005B0036" w:rsidRPr="00A36FF3" w:rsidRDefault="005B0036" w:rsidP="005B0036">
      <w:pPr>
        <w:tabs>
          <w:tab w:val="left" w:pos="851"/>
          <w:tab w:val="left" w:pos="8222"/>
        </w:tabs>
        <w:rPr>
          <w:b/>
          <w:sz w:val="24"/>
          <w:szCs w:val="24"/>
        </w:rPr>
      </w:pPr>
      <w:r w:rsidRPr="00A36FF3">
        <w:rPr>
          <w:b/>
          <w:sz w:val="24"/>
          <w:szCs w:val="24"/>
        </w:rPr>
        <w:t>4.4</w:t>
      </w:r>
      <w:r w:rsidRPr="00A36FF3">
        <w:rPr>
          <w:b/>
          <w:sz w:val="24"/>
          <w:szCs w:val="24"/>
        </w:rPr>
        <w:tab/>
        <w:t>Særlige advarsler</w:t>
      </w:r>
    </w:p>
    <w:p w14:paraId="0E74700C" w14:textId="77777777" w:rsidR="006E79F0" w:rsidRPr="00A36FF3" w:rsidRDefault="006E79F0" w:rsidP="006E79F0">
      <w:pPr>
        <w:pStyle w:val="Sidehoved"/>
        <w:tabs>
          <w:tab w:val="left" w:pos="8222"/>
        </w:tabs>
        <w:ind w:left="851"/>
        <w:rPr>
          <w:szCs w:val="24"/>
        </w:rPr>
      </w:pPr>
      <w:r w:rsidRPr="00A36FF3">
        <w:rPr>
          <w:szCs w:val="24"/>
        </w:rPr>
        <w:t xml:space="preserve">Krydsresistens med andre </w:t>
      </w:r>
      <w:proofErr w:type="spellStart"/>
      <w:r w:rsidRPr="00A36FF3">
        <w:rPr>
          <w:szCs w:val="24"/>
        </w:rPr>
        <w:t>macrolider</w:t>
      </w:r>
      <w:proofErr w:type="spellEnd"/>
      <w:r w:rsidRPr="00A36FF3">
        <w:rPr>
          <w:szCs w:val="24"/>
        </w:rPr>
        <w:t xml:space="preserve"> forekommer. Må ikke administreres samtidig med antimikrobielle midler med samme virkningsmekanisme såsom </w:t>
      </w:r>
      <w:proofErr w:type="spellStart"/>
      <w:r w:rsidRPr="00A36FF3">
        <w:rPr>
          <w:szCs w:val="24"/>
        </w:rPr>
        <w:t>macrolider</w:t>
      </w:r>
      <w:proofErr w:type="spellEnd"/>
      <w:r w:rsidRPr="00A36FF3">
        <w:rPr>
          <w:szCs w:val="24"/>
        </w:rPr>
        <w:t xml:space="preserve"> og lincosamider.</w:t>
      </w:r>
    </w:p>
    <w:p w14:paraId="23FB26D9" w14:textId="77777777" w:rsidR="006E79F0" w:rsidRPr="00A36FF3" w:rsidRDefault="006E79F0" w:rsidP="006E79F0">
      <w:pPr>
        <w:pStyle w:val="Sidehoved"/>
        <w:tabs>
          <w:tab w:val="left" w:pos="8222"/>
        </w:tabs>
        <w:ind w:left="851"/>
        <w:rPr>
          <w:szCs w:val="24"/>
        </w:rPr>
      </w:pPr>
    </w:p>
    <w:p w14:paraId="750E05EE" w14:textId="0DF8717D" w:rsidR="006E79F0" w:rsidRPr="00A36FF3" w:rsidRDefault="006E79F0" w:rsidP="006E79F0">
      <w:pPr>
        <w:pStyle w:val="Sidehoved"/>
        <w:tabs>
          <w:tab w:val="left" w:pos="8222"/>
        </w:tabs>
        <w:ind w:left="851"/>
        <w:rPr>
          <w:szCs w:val="24"/>
        </w:rPr>
      </w:pPr>
      <w:r w:rsidRPr="00A36FF3">
        <w:rPr>
          <w:szCs w:val="24"/>
          <w:u w:val="single"/>
        </w:rPr>
        <w:t>Får</w:t>
      </w:r>
    </w:p>
    <w:p w14:paraId="36067705" w14:textId="77777777" w:rsidR="006E79F0" w:rsidRPr="00A36FF3" w:rsidRDefault="006E79F0" w:rsidP="006E79F0">
      <w:pPr>
        <w:pStyle w:val="Sidehoved"/>
        <w:tabs>
          <w:tab w:val="left" w:pos="8222"/>
        </w:tabs>
        <w:ind w:left="851"/>
        <w:rPr>
          <w:szCs w:val="24"/>
        </w:rPr>
      </w:pPr>
      <w:r w:rsidRPr="00A36FF3">
        <w:rPr>
          <w:szCs w:val="24"/>
        </w:rPr>
        <w:t>Virkningen af antimikrobiel behandling af klovsyge kan nedsættes af andre faktorer såsom våde omgivelser såvel som uhensigtsmæssig driftsledelse. Behandling af klovsyge bør derfor foretages sammen med andre redskaber til besætningsstyring som f.eks. at sørge for tørre omgivelser.</w:t>
      </w:r>
    </w:p>
    <w:p w14:paraId="3110C286" w14:textId="77777777" w:rsidR="006E79F0" w:rsidRPr="00A36FF3" w:rsidRDefault="006E79F0" w:rsidP="006E79F0">
      <w:pPr>
        <w:pStyle w:val="Sidehoved"/>
        <w:tabs>
          <w:tab w:val="left" w:pos="8222"/>
        </w:tabs>
        <w:ind w:left="851"/>
        <w:rPr>
          <w:szCs w:val="24"/>
        </w:rPr>
      </w:pPr>
    </w:p>
    <w:p w14:paraId="6B0361FF" w14:textId="77777777" w:rsidR="006E79F0" w:rsidRPr="00A36FF3" w:rsidRDefault="006E79F0" w:rsidP="006E79F0">
      <w:pPr>
        <w:pStyle w:val="Sidehoved"/>
        <w:tabs>
          <w:tab w:val="left" w:pos="8222"/>
        </w:tabs>
        <w:ind w:left="851"/>
        <w:rPr>
          <w:szCs w:val="24"/>
        </w:rPr>
      </w:pPr>
      <w:r w:rsidRPr="00A36FF3">
        <w:rPr>
          <w:szCs w:val="24"/>
        </w:rPr>
        <w:t xml:space="preserve">Antibiotikabehandling af godartet klovsyge anses ikke for hensigtsmæssigt. </w:t>
      </w:r>
      <w:proofErr w:type="spellStart"/>
      <w:r w:rsidRPr="00A36FF3">
        <w:rPr>
          <w:szCs w:val="24"/>
        </w:rPr>
        <w:t>Tulathromycin</w:t>
      </w:r>
      <w:proofErr w:type="spellEnd"/>
      <w:r w:rsidRPr="00A36FF3">
        <w:rPr>
          <w:szCs w:val="24"/>
        </w:rPr>
        <w:t xml:space="preserve"> har vist begrænset virkning hos får med svære kliniske tegn eller kronisk klovsyge og bør derfor kun gives i tilfælde af tidlige faser af klovsyge.</w:t>
      </w:r>
    </w:p>
    <w:p w14:paraId="553D3151" w14:textId="77777777" w:rsidR="005B0036" w:rsidRPr="00A36FF3" w:rsidRDefault="005B0036" w:rsidP="005B0036">
      <w:pPr>
        <w:pStyle w:val="Sidehoved"/>
        <w:tabs>
          <w:tab w:val="clear" w:pos="4819"/>
          <w:tab w:val="left" w:pos="8222"/>
        </w:tabs>
        <w:ind w:left="851"/>
        <w:rPr>
          <w:szCs w:val="24"/>
        </w:rPr>
      </w:pPr>
    </w:p>
    <w:p w14:paraId="2799CB17" w14:textId="77777777" w:rsidR="005B0036" w:rsidRPr="00A36FF3" w:rsidRDefault="005B0036" w:rsidP="005B0036">
      <w:pPr>
        <w:tabs>
          <w:tab w:val="left" w:pos="851"/>
          <w:tab w:val="left" w:pos="8222"/>
        </w:tabs>
        <w:rPr>
          <w:b/>
          <w:sz w:val="24"/>
          <w:szCs w:val="24"/>
        </w:rPr>
      </w:pPr>
      <w:r w:rsidRPr="00A36FF3">
        <w:rPr>
          <w:b/>
          <w:sz w:val="24"/>
          <w:szCs w:val="24"/>
        </w:rPr>
        <w:t>4.5</w:t>
      </w:r>
      <w:r w:rsidRPr="00A36FF3">
        <w:rPr>
          <w:b/>
          <w:sz w:val="24"/>
          <w:szCs w:val="24"/>
        </w:rPr>
        <w:tab/>
        <w:t>Særlige forsigtighedsregler vedrørende brugen</w:t>
      </w:r>
    </w:p>
    <w:p w14:paraId="521102F4" w14:textId="77777777" w:rsidR="005B0036" w:rsidRPr="00A36FF3" w:rsidRDefault="005B0036" w:rsidP="005B0036">
      <w:pPr>
        <w:tabs>
          <w:tab w:val="left" w:pos="851"/>
          <w:tab w:val="left" w:pos="8222"/>
        </w:tabs>
        <w:ind w:left="851"/>
        <w:rPr>
          <w:sz w:val="24"/>
          <w:szCs w:val="24"/>
        </w:rPr>
      </w:pPr>
    </w:p>
    <w:p w14:paraId="71AB1D0F" w14:textId="77777777" w:rsidR="005B0036" w:rsidRPr="00A36FF3" w:rsidRDefault="005B0036" w:rsidP="005B0036">
      <w:pPr>
        <w:tabs>
          <w:tab w:val="left" w:pos="851"/>
          <w:tab w:val="left" w:pos="8222"/>
        </w:tabs>
        <w:ind w:left="851"/>
        <w:rPr>
          <w:b/>
          <w:sz w:val="24"/>
          <w:szCs w:val="24"/>
        </w:rPr>
      </w:pPr>
      <w:r w:rsidRPr="00A36FF3">
        <w:rPr>
          <w:b/>
          <w:sz w:val="24"/>
          <w:szCs w:val="24"/>
        </w:rPr>
        <w:t>Særlige forsigtighedsregler for dyret</w:t>
      </w:r>
    </w:p>
    <w:p w14:paraId="6F79F124" w14:textId="77777777" w:rsidR="004523A8" w:rsidRPr="00A36FF3" w:rsidRDefault="004523A8" w:rsidP="004523A8">
      <w:pPr>
        <w:tabs>
          <w:tab w:val="left" w:pos="851"/>
          <w:tab w:val="left" w:pos="8222"/>
        </w:tabs>
        <w:ind w:left="851"/>
        <w:rPr>
          <w:sz w:val="24"/>
          <w:szCs w:val="24"/>
        </w:rPr>
      </w:pPr>
      <w:r w:rsidRPr="00A36FF3">
        <w:rPr>
          <w:sz w:val="24"/>
          <w:szCs w:val="24"/>
        </w:rPr>
        <w:t xml:space="preserve">Behandling med veterinærlægemidlet skal baseres på følsomhedstest af bakterien isoleret fra dyret. </w:t>
      </w:r>
    </w:p>
    <w:p w14:paraId="3424E671" w14:textId="77777777" w:rsidR="004523A8" w:rsidRPr="00A36FF3" w:rsidRDefault="004523A8" w:rsidP="004523A8">
      <w:pPr>
        <w:tabs>
          <w:tab w:val="left" w:pos="851"/>
          <w:tab w:val="left" w:pos="8222"/>
        </w:tabs>
        <w:ind w:left="851"/>
        <w:rPr>
          <w:sz w:val="24"/>
          <w:szCs w:val="24"/>
        </w:rPr>
      </w:pPr>
      <w:r w:rsidRPr="00A36FF3">
        <w:rPr>
          <w:sz w:val="24"/>
          <w:szCs w:val="24"/>
        </w:rPr>
        <w:t>Hvis det ikke er muligt, skal behandlingen baseres på lokal (regions- eller bedriftsniveau) epidemiologisk information om følsomhed hos målbakterierne.</w:t>
      </w:r>
    </w:p>
    <w:p w14:paraId="06A95A57" w14:textId="77777777" w:rsidR="004523A8" w:rsidRPr="00A36FF3" w:rsidRDefault="004523A8" w:rsidP="004523A8">
      <w:pPr>
        <w:tabs>
          <w:tab w:val="left" w:pos="851"/>
          <w:tab w:val="left" w:pos="8222"/>
        </w:tabs>
        <w:ind w:left="851"/>
        <w:rPr>
          <w:sz w:val="24"/>
          <w:szCs w:val="24"/>
        </w:rPr>
      </w:pPr>
    </w:p>
    <w:p w14:paraId="29FB748D" w14:textId="7B929171" w:rsidR="004523A8" w:rsidRPr="00A36FF3" w:rsidRDefault="004523A8" w:rsidP="004523A8">
      <w:pPr>
        <w:tabs>
          <w:tab w:val="left" w:pos="851"/>
          <w:tab w:val="left" w:pos="8222"/>
        </w:tabs>
        <w:ind w:left="851"/>
        <w:rPr>
          <w:sz w:val="24"/>
          <w:szCs w:val="24"/>
        </w:rPr>
      </w:pPr>
      <w:r w:rsidRPr="00A36FF3">
        <w:rPr>
          <w:sz w:val="24"/>
          <w:szCs w:val="24"/>
        </w:rPr>
        <w:t>Den officielle nationale og regionale politik om antimikrobielle midler skal tages i betragtning ved brugen af veterinærlægemidlet.</w:t>
      </w:r>
      <w:r w:rsidRPr="00A36FF3">
        <w:rPr>
          <w:sz w:val="24"/>
          <w:szCs w:val="24"/>
        </w:rPr>
        <w:br/>
      </w:r>
    </w:p>
    <w:p w14:paraId="2EB320DD" w14:textId="09C9F148" w:rsidR="004523A8" w:rsidRPr="00A36FF3" w:rsidRDefault="004523A8" w:rsidP="004523A8">
      <w:pPr>
        <w:tabs>
          <w:tab w:val="left" w:pos="851"/>
          <w:tab w:val="left" w:pos="8222"/>
        </w:tabs>
        <w:ind w:left="851"/>
        <w:rPr>
          <w:sz w:val="24"/>
          <w:szCs w:val="24"/>
        </w:rPr>
      </w:pPr>
      <w:r w:rsidRPr="00A36FF3">
        <w:rPr>
          <w:sz w:val="24"/>
          <w:szCs w:val="24"/>
        </w:rPr>
        <w:t>Anvendelse af præparatet</w:t>
      </w:r>
      <w:r w:rsidR="00DA2538" w:rsidRPr="00A36FF3">
        <w:rPr>
          <w:sz w:val="24"/>
          <w:szCs w:val="24"/>
        </w:rPr>
        <w:t>, som</w:t>
      </w:r>
      <w:r w:rsidRPr="00A36FF3">
        <w:rPr>
          <w:sz w:val="24"/>
          <w:szCs w:val="24"/>
        </w:rPr>
        <w:t xml:space="preserve"> afviger fra vejledningerne i produktresuméet</w:t>
      </w:r>
      <w:r w:rsidR="00DA2538" w:rsidRPr="00A36FF3">
        <w:rPr>
          <w:sz w:val="24"/>
          <w:szCs w:val="24"/>
        </w:rPr>
        <w:t>,</w:t>
      </w:r>
      <w:r w:rsidRPr="00A36FF3">
        <w:rPr>
          <w:sz w:val="24"/>
          <w:szCs w:val="24"/>
        </w:rPr>
        <w:t xml:space="preserve"> kan øge prævalensen af bakterier, der er resistente over for </w:t>
      </w:r>
      <w:proofErr w:type="spellStart"/>
      <w:r w:rsidRPr="00A36FF3">
        <w:rPr>
          <w:sz w:val="24"/>
          <w:szCs w:val="24"/>
        </w:rPr>
        <w:t>tulathromycin</w:t>
      </w:r>
      <w:proofErr w:type="spellEnd"/>
      <w:r w:rsidRPr="00A36FF3">
        <w:rPr>
          <w:sz w:val="24"/>
          <w:szCs w:val="24"/>
        </w:rPr>
        <w:t xml:space="preserve">, og kan nedsætte </w:t>
      </w:r>
      <w:r w:rsidRPr="00A36FF3">
        <w:rPr>
          <w:sz w:val="24"/>
          <w:szCs w:val="24"/>
        </w:rPr>
        <w:lastRenderedPageBreak/>
        <w:t xml:space="preserve">effektiviteten af behandlingen med andre </w:t>
      </w:r>
      <w:proofErr w:type="spellStart"/>
      <w:r w:rsidRPr="00A36FF3">
        <w:rPr>
          <w:sz w:val="24"/>
          <w:szCs w:val="24"/>
        </w:rPr>
        <w:t>macrolider</w:t>
      </w:r>
      <w:proofErr w:type="spellEnd"/>
      <w:r w:rsidRPr="00A36FF3">
        <w:rPr>
          <w:sz w:val="24"/>
          <w:szCs w:val="24"/>
        </w:rPr>
        <w:t>, lincosamider og gruppe B-</w:t>
      </w:r>
      <w:proofErr w:type="spellStart"/>
      <w:r w:rsidRPr="00A36FF3">
        <w:rPr>
          <w:sz w:val="24"/>
          <w:szCs w:val="24"/>
        </w:rPr>
        <w:t>streptograminer</w:t>
      </w:r>
      <w:proofErr w:type="spellEnd"/>
      <w:r w:rsidRPr="00A36FF3">
        <w:rPr>
          <w:sz w:val="24"/>
          <w:szCs w:val="24"/>
        </w:rPr>
        <w:t xml:space="preserve"> på grund af risiko for krydsresistens.</w:t>
      </w:r>
    </w:p>
    <w:p w14:paraId="29007762" w14:textId="77777777" w:rsidR="004523A8" w:rsidRPr="00A36FF3" w:rsidRDefault="004523A8" w:rsidP="004523A8">
      <w:pPr>
        <w:tabs>
          <w:tab w:val="left" w:pos="851"/>
          <w:tab w:val="left" w:pos="8222"/>
        </w:tabs>
        <w:ind w:left="851"/>
        <w:rPr>
          <w:sz w:val="24"/>
          <w:szCs w:val="24"/>
        </w:rPr>
      </w:pPr>
    </w:p>
    <w:p w14:paraId="68AD0D58" w14:textId="11F0ADD1" w:rsidR="005B0036" w:rsidRPr="00A36FF3" w:rsidRDefault="004523A8" w:rsidP="004523A8">
      <w:pPr>
        <w:tabs>
          <w:tab w:val="left" w:pos="851"/>
          <w:tab w:val="left" w:pos="8222"/>
        </w:tabs>
        <w:ind w:left="851"/>
        <w:rPr>
          <w:sz w:val="24"/>
          <w:szCs w:val="24"/>
        </w:rPr>
      </w:pPr>
      <w:r w:rsidRPr="00A36FF3">
        <w:rPr>
          <w:sz w:val="24"/>
          <w:szCs w:val="24"/>
        </w:rPr>
        <w:t>Hvis der forekommer en overfølsomhedsreaktion, skal der øjeblikkeligt gives passende behandling.</w:t>
      </w:r>
      <w:r w:rsidRPr="00A36FF3">
        <w:rPr>
          <w:sz w:val="24"/>
          <w:szCs w:val="24"/>
        </w:rPr>
        <w:br/>
      </w:r>
    </w:p>
    <w:p w14:paraId="51E5E5CC" w14:textId="77777777" w:rsidR="005B0036" w:rsidRPr="00A36FF3" w:rsidRDefault="005B0036" w:rsidP="005B0036">
      <w:pPr>
        <w:tabs>
          <w:tab w:val="left" w:pos="851"/>
          <w:tab w:val="left" w:pos="8222"/>
        </w:tabs>
        <w:ind w:left="851"/>
        <w:rPr>
          <w:b/>
          <w:sz w:val="24"/>
          <w:szCs w:val="24"/>
        </w:rPr>
      </w:pPr>
      <w:r w:rsidRPr="00A36FF3">
        <w:rPr>
          <w:b/>
          <w:sz w:val="24"/>
          <w:szCs w:val="24"/>
        </w:rPr>
        <w:t>Særlige forsigtighedsregler for personer, der administrerer lægemidlet</w:t>
      </w:r>
    </w:p>
    <w:p w14:paraId="0FA30526" w14:textId="77777777" w:rsidR="00DA2538" w:rsidRPr="00A36FF3" w:rsidRDefault="00DA2538" w:rsidP="00DA2538">
      <w:pPr>
        <w:tabs>
          <w:tab w:val="left" w:pos="851"/>
          <w:tab w:val="left" w:pos="8222"/>
        </w:tabs>
        <w:ind w:left="851"/>
        <w:rPr>
          <w:sz w:val="24"/>
          <w:szCs w:val="24"/>
        </w:rPr>
      </w:pPr>
      <w:proofErr w:type="spellStart"/>
      <w:r w:rsidRPr="00A36FF3">
        <w:rPr>
          <w:sz w:val="24"/>
          <w:szCs w:val="24"/>
        </w:rPr>
        <w:t>Tulathromycin</w:t>
      </w:r>
      <w:proofErr w:type="spellEnd"/>
      <w:r w:rsidRPr="00A36FF3">
        <w:rPr>
          <w:sz w:val="24"/>
          <w:szCs w:val="24"/>
        </w:rPr>
        <w:t xml:space="preserve"> er irriterende for øjnene. I tilfælde af kontakt med øjnene ved hændeligt uheld skal øjnene straks skylles i rent vand.</w:t>
      </w:r>
    </w:p>
    <w:p w14:paraId="7C093441" w14:textId="77777777" w:rsidR="00DA2538" w:rsidRPr="00A36FF3" w:rsidRDefault="00DA2538" w:rsidP="00DA2538">
      <w:pPr>
        <w:tabs>
          <w:tab w:val="left" w:pos="851"/>
          <w:tab w:val="left" w:pos="8222"/>
        </w:tabs>
        <w:ind w:left="851"/>
        <w:rPr>
          <w:sz w:val="24"/>
          <w:szCs w:val="24"/>
        </w:rPr>
      </w:pPr>
    </w:p>
    <w:p w14:paraId="08269D53" w14:textId="77777777" w:rsidR="00DA2538" w:rsidRPr="00A36FF3" w:rsidRDefault="00DA2538" w:rsidP="00DA2538">
      <w:pPr>
        <w:tabs>
          <w:tab w:val="left" w:pos="851"/>
          <w:tab w:val="left" w:pos="8222"/>
        </w:tabs>
        <w:ind w:left="851"/>
        <w:rPr>
          <w:sz w:val="24"/>
          <w:szCs w:val="24"/>
        </w:rPr>
      </w:pPr>
      <w:proofErr w:type="spellStart"/>
      <w:r w:rsidRPr="00A36FF3">
        <w:rPr>
          <w:sz w:val="24"/>
          <w:szCs w:val="24"/>
        </w:rPr>
        <w:t>Tulathromycin</w:t>
      </w:r>
      <w:proofErr w:type="spellEnd"/>
      <w:r w:rsidRPr="00A36FF3">
        <w:rPr>
          <w:sz w:val="24"/>
          <w:szCs w:val="24"/>
        </w:rPr>
        <w:t xml:space="preserve"> kan give sensibilisering ved hudkontakt. I tilfælde af kontakt med huden ved hændeligt uheld, bør det berørte område vaskes omgående med sæbe og vand.</w:t>
      </w:r>
    </w:p>
    <w:p w14:paraId="4C6E286F" w14:textId="77777777" w:rsidR="00DA2538" w:rsidRPr="00A36FF3" w:rsidRDefault="00DA2538" w:rsidP="00DA2538">
      <w:pPr>
        <w:tabs>
          <w:tab w:val="left" w:pos="851"/>
          <w:tab w:val="left" w:pos="8222"/>
        </w:tabs>
        <w:ind w:left="851"/>
        <w:rPr>
          <w:sz w:val="24"/>
          <w:szCs w:val="24"/>
        </w:rPr>
      </w:pPr>
    </w:p>
    <w:p w14:paraId="3911F567" w14:textId="77777777" w:rsidR="00DA2538" w:rsidRPr="00A36FF3" w:rsidRDefault="00DA2538" w:rsidP="00DA2538">
      <w:pPr>
        <w:tabs>
          <w:tab w:val="left" w:pos="851"/>
          <w:tab w:val="left" w:pos="8222"/>
        </w:tabs>
        <w:ind w:left="851"/>
        <w:rPr>
          <w:sz w:val="24"/>
          <w:szCs w:val="24"/>
        </w:rPr>
      </w:pPr>
      <w:r w:rsidRPr="00A36FF3">
        <w:rPr>
          <w:sz w:val="24"/>
          <w:szCs w:val="24"/>
        </w:rPr>
        <w:t>Vask hænder efter brugen.</w:t>
      </w:r>
    </w:p>
    <w:p w14:paraId="01004A69" w14:textId="77777777" w:rsidR="00DA2538" w:rsidRPr="00A36FF3" w:rsidRDefault="00DA2538" w:rsidP="00DA2538">
      <w:pPr>
        <w:tabs>
          <w:tab w:val="left" w:pos="851"/>
          <w:tab w:val="left" w:pos="8222"/>
        </w:tabs>
        <w:ind w:left="851"/>
        <w:rPr>
          <w:sz w:val="24"/>
          <w:szCs w:val="24"/>
        </w:rPr>
      </w:pPr>
    </w:p>
    <w:p w14:paraId="03335765" w14:textId="77777777" w:rsidR="00DA2538" w:rsidRPr="00A36FF3" w:rsidRDefault="00DA2538" w:rsidP="00DA2538">
      <w:pPr>
        <w:tabs>
          <w:tab w:val="left" w:pos="851"/>
          <w:tab w:val="left" w:pos="8222"/>
        </w:tabs>
        <w:ind w:left="851"/>
        <w:rPr>
          <w:sz w:val="24"/>
          <w:szCs w:val="24"/>
        </w:rPr>
      </w:pPr>
      <w:r w:rsidRPr="00A36FF3">
        <w:rPr>
          <w:sz w:val="24"/>
          <w:szCs w:val="24"/>
        </w:rPr>
        <w:t>I tilfælde af selvinjektion ved hændeligt uheld skal der straks søges lægehjælp, og indlægssedlen eller etiketten bør vises til lægen.</w:t>
      </w:r>
      <w:r w:rsidRPr="00A36FF3">
        <w:rPr>
          <w:sz w:val="24"/>
          <w:szCs w:val="24"/>
        </w:rPr>
        <w:br/>
      </w:r>
    </w:p>
    <w:p w14:paraId="09F0C698" w14:textId="77777777" w:rsidR="005B0036" w:rsidRPr="00A36FF3" w:rsidRDefault="005B0036" w:rsidP="005B0036">
      <w:pPr>
        <w:tabs>
          <w:tab w:val="left" w:pos="851"/>
          <w:tab w:val="left" w:pos="8222"/>
        </w:tabs>
        <w:rPr>
          <w:b/>
          <w:sz w:val="24"/>
          <w:szCs w:val="24"/>
        </w:rPr>
      </w:pPr>
      <w:r w:rsidRPr="00A36FF3">
        <w:rPr>
          <w:b/>
          <w:sz w:val="24"/>
          <w:szCs w:val="24"/>
        </w:rPr>
        <w:t>4.6</w:t>
      </w:r>
      <w:r w:rsidRPr="00A36FF3">
        <w:rPr>
          <w:b/>
          <w:sz w:val="24"/>
          <w:szCs w:val="24"/>
        </w:rPr>
        <w:tab/>
        <w:t>Bivirkninger</w:t>
      </w:r>
    </w:p>
    <w:p w14:paraId="470D54A3" w14:textId="77777777" w:rsidR="007B7A1C" w:rsidRPr="00A36FF3" w:rsidRDefault="007B7A1C" w:rsidP="007B7A1C">
      <w:pPr>
        <w:tabs>
          <w:tab w:val="left" w:pos="851"/>
          <w:tab w:val="left" w:pos="8222"/>
        </w:tabs>
        <w:ind w:left="851"/>
        <w:rPr>
          <w:sz w:val="24"/>
          <w:szCs w:val="24"/>
        </w:rPr>
      </w:pPr>
      <w:r w:rsidRPr="00A36FF3">
        <w:rPr>
          <w:sz w:val="24"/>
          <w:szCs w:val="24"/>
        </w:rPr>
        <w:t>Subkutan applikation af veterinærlægemidlet til kvæg forårsager ofte forbigående smertereaktion og lokal hævelse på injektionsstedet, som kan vedvare i op til 30 dage. En sådan reaktion har ikke været observeret hos svin og får efter intramuskulær injektion.</w:t>
      </w:r>
    </w:p>
    <w:p w14:paraId="6574BE9D" w14:textId="77777777" w:rsidR="007B7A1C" w:rsidRPr="00A36FF3" w:rsidRDefault="007B7A1C" w:rsidP="007B7A1C">
      <w:pPr>
        <w:tabs>
          <w:tab w:val="left" w:pos="851"/>
          <w:tab w:val="left" w:pos="8222"/>
        </w:tabs>
        <w:ind w:left="851"/>
        <w:rPr>
          <w:sz w:val="24"/>
          <w:szCs w:val="24"/>
        </w:rPr>
      </w:pPr>
    </w:p>
    <w:p w14:paraId="4AC17F3A" w14:textId="77777777" w:rsidR="007B7A1C" w:rsidRPr="00A36FF3" w:rsidRDefault="007B7A1C" w:rsidP="007B7A1C">
      <w:pPr>
        <w:tabs>
          <w:tab w:val="left" w:pos="851"/>
          <w:tab w:val="left" w:pos="8222"/>
        </w:tabs>
        <w:ind w:left="851"/>
        <w:rPr>
          <w:sz w:val="24"/>
          <w:szCs w:val="24"/>
        </w:rPr>
      </w:pPr>
      <w:proofErr w:type="spellStart"/>
      <w:r w:rsidRPr="00A36FF3">
        <w:rPr>
          <w:sz w:val="24"/>
          <w:szCs w:val="24"/>
        </w:rPr>
        <w:t>Patomorfologiske</w:t>
      </w:r>
      <w:proofErr w:type="spellEnd"/>
      <w:r w:rsidRPr="00A36FF3">
        <w:rPr>
          <w:sz w:val="24"/>
          <w:szCs w:val="24"/>
        </w:rPr>
        <w:t xml:space="preserve"> reaktioner på injektionsstedet (herunder reversible ændringer af kongestion, ødemer, fibrose og blødninger) er meget almindelige hos kvæg og svin i omkring 30 dage efter injektion.</w:t>
      </w:r>
    </w:p>
    <w:p w14:paraId="7C3AA703" w14:textId="77777777" w:rsidR="007B7A1C" w:rsidRPr="00A36FF3" w:rsidRDefault="007B7A1C" w:rsidP="007B7A1C">
      <w:pPr>
        <w:tabs>
          <w:tab w:val="left" w:pos="851"/>
          <w:tab w:val="left" w:pos="8222"/>
        </w:tabs>
        <w:ind w:left="851"/>
        <w:rPr>
          <w:sz w:val="24"/>
          <w:szCs w:val="24"/>
        </w:rPr>
      </w:pPr>
    </w:p>
    <w:p w14:paraId="71262136" w14:textId="77777777" w:rsidR="007B7A1C" w:rsidRPr="00A36FF3" w:rsidRDefault="007B7A1C" w:rsidP="007B7A1C">
      <w:pPr>
        <w:tabs>
          <w:tab w:val="left" w:pos="851"/>
          <w:tab w:val="left" w:pos="8222"/>
        </w:tabs>
        <w:ind w:left="851"/>
        <w:rPr>
          <w:sz w:val="24"/>
          <w:szCs w:val="24"/>
        </w:rPr>
      </w:pPr>
      <w:r w:rsidRPr="00A36FF3">
        <w:rPr>
          <w:sz w:val="24"/>
          <w:szCs w:val="24"/>
        </w:rPr>
        <w:t xml:space="preserve">Hos får er forbigående tegn på ubehag (hovedrystning, </w:t>
      </w:r>
      <w:proofErr w:type="spellStart"/>
      <w:r w:rsidRPr="00A36FF3">
        <w:rPr>
          <w:sz w:val="24"/>
          <w:szCs w:val="24"/>
        </w:rPr>
        <w:t>gnubben</w:t>
      </w:r>
      <w:proofErr w:type="spellEnd"/>
      <w:r w:rsidRPr="00A36FF3">
        <w:rPr>
          <w:sz w:val="24"/>
          <w:szCs w:val="24"/>
        </w:rPr>
        <w:t xml:space="preserve"> på injektionsstedet, gå baglæns) meget almindelige efter intramuskulære injektioner. Disse tegn forsvinder inden for få minutter.</w:t>
      </w:r>
    </w:p>
    <w:p w14:paraId="5ED51006" w14:textId="77777777" w:rsidR="007B7A1C" w:rsidRPr="00A36FF3" w:rsidRDefault="007B7A1C" w:rsidP="007B7A1C">
      <w:pPr>
        <w:tabs>
          <w:tab w:val="left" w:pos="851"/>
          <w:tab w:val="left" w:pos="8222"/>
        </w:tabs>
        <w:ind w:left="851"/>
        <w:rPr>
          <w:sz w:val="24"/>
          <w:szCs w:val="24"/>
        </w:rPr>
      </w:pPr>
    </w:p>
    <w:p w14:paraId="2ED49650" w14:textId="1A1F8256" w:rsidR="007B7A1C" w:rsidRPr="00A36FF3" w:rsidRDefault="007B7A1C" w:rsidP="007B7A1C">
      <w:pPr>
        <w:tabs>
          <w:tab w:val="left" w:pos="851"/>
          <w:tab w:val="left" w:pos="8222"/>
        </w:tabs>
        <w:ind w:left="851"/>
        <w:rPr>
          <w:sz w:val="24"/>
          <w:szCs w:val="24"/>
          <w:u w:val="single"/>
        </w:rPr>
      </w:pPr>
      <w:r w:rsidRPr="00A36FF3">
        <w:rPr>
          <w:sz w:val="24"/>
          <w:szCs w:val="24"/>
          <w:u w:val="single"/>
        </w:rPr>
        <w:t>Hyppigheden af bivirkninger er defineret som</w:t>
      </w:r>
    </w:p>
    <w:p w14:paraId="2C9756A0" w14:textId="77777777" w:rsidR="007B7A1C" w:rsidRPr="00A36FF3" w:rsidRDefault="007B7A1C" w:rsidP="007B7A1C">
      <w:pPr>
        <w:tabs>
          <w:tab w:val="left" w:pos="851"/>
          <w:tab w:val="left" w:pos="8222"/>
        </w:tabs>
        <w:ind w:left="851"/>
        <w:rPr>
          <w:sz w:val="24"/>
          <w:szCs w:val="24"/>
        </w:rPr>
      </w:pPr>
      <w:r w:rsidRPr="00A36FF3">
        <w:rPr>
          <w:sz w:val="24"/>
          <w:szCs w:val="24"/>
        </w:rPr>
        <w:t>Meget almindelig (flere end 1 ud af 10 behandlede dyr, der viser bivirkninger i løbet af en behandling)</w:t>
      </w:r>
    </w:p>
    <w:p w14:paraId="44E3109E" w14:textId="77777777" w:rsidR="007B7A1C" w:rsidRPr="00A36FF3" w:rsidRDefault="007B7A1C" w:rsidP="007B7A1C">
      <w:pPr>
        <w:tabs>
          <w:tab w:val="left" w:pos="851"/>
          <w:tab w:val="left" w:pos="8222"/>
        </w:tabs>
        <w:ind w:left="851"/>
        <w:rPr>
          <w:sz w:val="24"/>
          <w:szCs w:val="24"/>
        </w:rPr>
      </w:pPr>
      <w:r w:rsidRPr="00A36FF3">
        <w:rPr>
          <w:sz w:val="24"/>
          <w:szCs w:val="24"/>
        </w:rPr>
        <w:t>Almindelig (flere end 1, men færre end 10 dyr af 100 behandlede dyr)</w:t>
      </w:r>
    </w:p>
    <w:p w14:paraId="560144BB" w14:textId="77777777" w:rsidR="007B7A1C" w:rsidRPr="00A36FF3" w:rsidRDefault="007B7A1C" w:rsidP="007B7A1C">
      <w:pPr>
        <w:tabs>
          <w:tab w:val="left" w:pos="851"/>
          <w:tab w:val="left" w:pos="8222"/>
        </w:tabs>
        <w:ind w:left="851"/>
        <w:rPr>
          <w:sz w:val="24"/>
          <w:szCs w:val="24"/>
        </w:rPr>
      </w:pPr>
      <w:r w:rsidRPr="00A36FF3">
        <w:rPr>
          <w:sz w:val="24"/>
          <w:szCs w:val="24"/>
        </w:rPr>
        <w:t>Ikke almindelig (flere end 1, men færre end 10 dyr af 1.000 behandlede dyr)</w:t>
      </w:r>
    </w:p>
    <w:p w14:paraId="09B690C7" w14:textId="77777777" w:rsidR="007B7A1C" w:rsidRPr="00A36FF3" w:rsidRDefault="007B7A1C" w:rsidP="007B7A1C">
      <w:pPr>
        <w:tabs>
          <w:tab w:val="left" w:pos="851"/>
          <w:tab w:val="left" w:pos="8222"/>
        </w:tabs>
        <w:ind w:left="851"/>
        <w:rPr>
          <w:sz w:val="24"/>
          <w:szCs w:val="24"/>
        </w:rPr>
      </w:pPr>
      <w:r w:rsidRPr="00A36FF3">
        <w:rPr>
          <w:sz w:val="24"/>
          <w:szCs w:val="24"/>
        </w:rPr>
        <w:t>Sjælden (flere end 1, men færre end 10 dyr ud af 10.000 behandlede dyr)</w:t>
      </w:r>
    </w:p>
    <w:p w14:paraId="3BDCE9C6" w14:textId="77777777" w:rsidR="007B7A1C" w:rsidRPr="00A36FF3" w:rsidRDefault="007B7A1C" w:rsidP="007B7A1C">
      <w:pPr>
        <w:tabs>
          <w:tab w:val="left" w:pos="851"/>
          <w:tab w:val="left" w:pos="8222"/>
        </w:tabs>
        <w:ind w:left="851"/>
        <w:rPr>
          <w:sz w:val="24"/>
          <w:szCs w:val="24"/>
        </w:rPr>
      </w:pPr>
      <w:r w:rsidRPr="00A36FF3">
        <w:rPr>
          <w:sz w:val="24"/>
          <w:szCs w:val="24"/>
        </w:rPr>
        <w:t>Meget sjælden (færre end 1 dyr ud af 10.000 behandlede dyr, herunder isolerede rapporter).</w:t>
      </w:r>
    </w:p>
    <w:p w14:paraId="08572433" w14:textId="77777777" w:rsidR="005B0036" w:rsidRPr="00A36FF3" w:rsidRDefault="005B0036" w:rsidP="005B0036">
      <w:pPr>
        <w:tabs>
          <w:tab w:val="left" w:pos="851"/>
          <w:tab w:val="left" w:pos="8222"/>
        </w:tabs>
        <w:ind w:left="851"/>
        <w:rPr>
          <w:sz w:val="24"/>
          <w:szCs w:val="24"/>
        </w:rPr>
      </w:pPr>
    </w:p>
    <w:p w14:paraId="12145DEB" w14:textId="77777777" w:rsidR="005B0036" w:rsidRPr="00A36FF3" w:rsidRDefault="005B0036" w:rsidP="005B0036">
      <w:pPr>
        <w:tabs>
          <w:tab w:val="left" w:pos="851"/>
          <w:tab w:val="left" w:pos="8222"/>
        </w:tabs>
        <w:rPr>
          <w:b/>
          <w:sz w:val="24"/>
          <w:szCs w:val="24"/>
        </w:rPr>
      </w:pPr>
      <w:r w:rsidRPr="00A36FF3">
        <w:rPr>
          <w:b/>
          <w:sz w:val="24"/>
          <w:szCs w:val="24"/>
        </w:rPr>
        <w:t>4.7</w:t>
      </w:r>
      <w:r w:rsidRPr="00A36FF3">
        <w:rPr>
          <w:b/>
          <w:sz w:val="24"/>
          <w:szCs w:val="24"/>
        </w:rPr>
        <w:tab/>
        <w:t>Drægtighed, diegivning eller æglægning</w:t>
      </w:r>
    </w:p>
    <w:p w14:paraId="292B55A2" w14:textId="5B95F97B" w:rsidR="007B7A1C" w:rsidRPr="00A36FF3" w:rsidRDefault="007B7A1C" w:rsidP="007B7A1C">
      <w:pPr>
        <w:tabs>
          <w:tab w:val="left" w:pos="851"/>
          <w:tab w:val="left" w:pos="8222"/>
        </w:tabs>
        <w:ind w:left="851"/>
        <w:rPr>
          <w:sz w:val="24"/>
          <w:szCs w:val="24"/>
        </w:rPr>
      </w:pPr>
      <w:r w:rsidRPr="00A36FF3">
        <w:rPr>
          <w:sz w:val="24"/>
          <w:szCs w:val="24"/>
        </w:rPr>
        <w:t xml:space="preserve">Laboratoriestudier med rotter og kaniner har ikke vist nogle </w:t>
      </w:r>
      <w:proofErr w:type="spellStart"/>
      <w:r w:rsidRPr="00A36FF3">
        <w:rPr>
          <w:sz w:val="24"/>
          <w:szCs w:val="24"/>
        </w:rPr>
        <w:t>teratogene</w:t>
      </w:r>
      <w:proofErr w:type="spellEnd"/>
      <w:r w:rsidRPr="00A36FF3">
        <w:rPr>
          <w:sz w:val="24"/>
          <w:szCs w:val="24"/>
        </w:rPr>
        <w:t xml:space="preserve">, </w:t>
      </w:r>
      <w:proofErr w:type="spellStart"/>
      <w:r w:rsidRPr="00A36FF3">
        <w:rPr>
          <w:sz w:val="24"/>
          <w:szCs w:val="24"/>
        </w:rPr>
        <w:t>føtotoxiske</w:t>
      </w:r>
      <w:proofErr w:type="spellEnd"/>
      <w:r w:rsidRPr="00A36FF3">
        <w:rPr>
          <w:sz w:val="24"/>
          <w:szCs w:val="24"/>
        </w:rPr>
        <w:t xml:space="preserve"> eller </w:t>
      </w:r>
      <w:proofErr w:type="spellStart"/>
      <w:r w:rsidRPr="00A36FF3">
        <w:rPr>
          <w:sz w:val="24"/>
          <w:szCs w:val="24"/>
        </w:rPr>
        <w:t>maternotoxiske</w:t>
      </w:r>
      <w:proofErr w:type="spellEnd"/>
      <w:r w:rsidRPr="00A36FF3">
        <w:rPr>
          <w:sz w:val="24"/>
          <w:szCs w:val="24"/>
        </w:rPr>
        <w:t xml:space="preserve"> eg</w:t>
      </w:r>
      <w:r w:rsidR="009427E8">
        <w:rPr>
          <w:sz w:val="24"/>
          <w:szCs w:val="24"/>
        </w:rPr>
        <w:t>en</w:t>
      </w:r>
      <w:r w:rsidRPr="00A36FF3">
        <w:rPr>
          <w:sz w:val="24"/>
          <w:szCs w:val="24"/>
        </w:rPr>
        <w:t xml:space="preserve">skaber. Lægemidlets sikkerhed under drægtighed og laktation er ikke klarlagt. Må kun anvendes i overensstemmelse med den ansvarlige dyrlæges vurdering af </w:t>
      </w:r>
      <w:proofErr w:type="spellStart"/>
      <w:r w:rsidRPr="00A36FF3">
        <w:rPr>
          <w:sz w:val="24"/>
          <w:szCs w:val="24"/>
        </w:rPr>
        <w:t>risk</w:t>
      </w:r>
      <w:proofErr w:type="spellEnd"/>
      <w:r w:rsidRPr="00A36FF3">
        <w:rPr>
          <w:sz w:val="24"/>
          <w:szCs w:val="24"/>
        </w:rPr>
        <w:t>-benefit-forholdet.</w:t>
      </w:r>
    </w:p>
    <w:p w14:paraId="39A35337" w14:textId="77777777" w:rsidR="005B0036" w:rsidRPr="00A36FF3" w:rsidRDefault="005B0036" w:rsidP="005B0036">
      <w:pPr>
        <w:tabs>
          <w:tab w:val="left" w:pos="851"/>
          <w:tab w:val="left" w:pos="8222"/>
        </w:tabs>
        <w:ind w:left="851"/>
        <w:rPr>
          <w:sz w:val="24"/>
          <w:szCs w:val="24"/>
        </w:rPr>
      </w:pPr>
    </w:p>
    <w:p w14:paraId="49BC3980" w14:textId="77777777" w:rsidR="005B0036" w:rsidRPr="00A36FF3" w:rsidRDefault="005B0036" w:rsidP="005B0036">
      <w:pPr>
        <w:tabs>
          <w:tab w:val="left" w:pos="851"/>
          <w:tab w:val="left" w:pos="8222"/>
        </w:tabs>
        <w:rPr>
          <w:b/>
          <w:sz w:val="24"/>
          <w:szCs w:val="24"/>
        </w:rPr>
      </w:pPr>
      <w:r w:rsidRPr="00A36FF3">
        <w:rPr>
          <w:b/>
          <w:sz w:val="24"/>
          <w:szCs w:val="24"/>
        </w:rPr>
        <w:t>4.8</w:t>
      </w:r>
      <w:r w:rsidRPr="00A36FF3">
        <w:rPr>
          <w:b/>
          <w:sz w:val="24"/>
          <w:szCs w:val="24"/>
        </w:rPr>
        <w:tab/>
        <w:t>Interaktion med andre lægemidler og andre former for interaktion</w:t>
      </w:r>
    </w:p>
    <w:p w14:paraId="563480CD" w14:textId="677BC8C1" w:rsidR="007B7A1C" w:rsidRPr="00A36FF3" w:rsidRDefault="007B7A1C" w:rsidP="007B7A1C">
      <w:pPr>
        <w:tabs>
          <w:tab w:val="left" w:pos="851"/>
          <w:tab w:val="left" w:pos="8222"/>
        </w:tabs>
        <w:ind w:left="851"/>
        <w:rPr>
          <w:sz w:val="24"/>
          <w:szCs w:val="24"/>
        </w:rPr>
      </w:pPr>
      <w:r w:rsidRPr="00A36FF3">
        <w:rPr>
          <w:sz w:val="24"/>
          <w:szCs w:val="24"/>
        </w:rPr>
        <w:t>Ingen kendte.</w:t>
      </w:r>
    </w:p>
    <w:p w14:paraId="18298B86" w14:textId="7B13CB06" w:rsidR="007745D8" w:rsidRPr="00A36FF3" w:rsidRDefault="007745D8">
      <w:pPr>
        <w:rPr>
          <w:sz w:val="24"/>
          <w:szCs w:val="24"/>
        </w:rPr>
      </w:pPr>
      <w:r w:rsidRPr="00A36FF3">
        <w:rPr>
          <w:sz w:val="24"/>
          <w:szCs w:val="24"/>
        </w:rPr>
        <w:br w:type="page"/>
      </w:r>
    </w:p>
    <w:p w14:paraId="4160A9CE" w14:textId="77777777" w:rsidR="005B0036" w:rsidRPr="00A36FF3" w:rsidRDefault="005B0036" w:rsidP="005B0036">
      <w:pPr>
        <w:tabs>
          <w:tab w:val="left" w:pos="851"/>
          <w:tab w:val="left" w:pos="8222"/>
        </w:tabs>
        <w:ind w:left="851"/>
        <w:rPr>
          <w:sz w:val="24"/>
          <w:szCs w:val="24"/>
        </w:rPr>
      </w:pPr>
    </w:p>
    <w:p w14:paraId="0CDA474F" w14:textId="77777777" w:rsidR="005B0036" w:rsidRPr="00A36FF3" w:rsidRDefault="005B0036" w:rsidP="005B0036">
      <w:pPr>
        <w:tabs>
          <w:tab w:val="left" w:pos="851"/>
          <w:tab w:val="left" w:pos="8222"/>
        </w:tabs>
        <w:rPr>
          <w:b/>
          <w:sz w:val="24"/>
          <w:szCs w:val="24"/>
        </w:rPr>
      </w:pPr>
      <w:r w:rsidRPr="00A36FF3">
        <w:rPr>
          <w:b/>
          <w:sz w:val="24"/>
          <w:szCs w:val="24"/>
        </w:rPr>
        <w:t>4.9</w:t>
      </w:r>
      <w:r w:rsidRPr="00A36FF3">
        <w:rPr>
          <w:b/>
          <w:sz w:val="24"/>
          <w:szCs w:val="24"/>
        </w:rPr>
        <w:tab/>
        <w:t>Dosering og indgivelsesmåde</w:t>
      </w:r>
    </w:p>
    <w:p w14:paraId="500A5782" w14:textId="77777777" w:rsidR="007745D8" w:rsidRPr="00A36FF3" w:rsidRDefault="007745D8" w:rsidP="007745D8">
      <w:pPr>
        <w:tabs>
          <w:tab w:val="left" w:pos="851"/>
          <w:tab w:val="left" w:pos="8222"/>
        </w:tabs>
        <w:ind w:left="851"/>
        <w:rPr>
          <w:b/>
          <w:sz w:val="24"/>
          <w:szCs w:val="24"/>
          <w:lang w:bidi="en-US"/>
        </w:rPr>
      </w:pPr>
    </w:p>
    <w:p w14:paraId="37CBF22A" w14:textId="77777777" w:rsidR="007745D8" w:rsidRPr="00A36FF3" w:rsidRDefault="007745D8" w:rsidP="007745D8">
      <w:pPr>
        <w:tabs>
          <w:tab w:val="left" w:pos="851"/>
          <w:tab w:val="left" w:pos="8222"/>
        </w:tabs>
        <w:ind w:left="851"/>
        <w:rPr>
          <w:sz w:val="24"/>
          <w:szCs w:val="24"/>
          <w:lang w:bidi="en-US"/>
        </w:rPr>
      </w:pPr>
      <w:r w:rsidRPr="00A36FF3">
        <w:rPr>
          <w:sz w:val="24"/>
          <w:szCs w:val="24"/>
          <w:u w:val="single"/>
          <w:lang w:bidi="en-US"/>
        </w:rPr>
        <w:t>Kvæg</w:t>
      </w:r>
    </w:p>
    <w:p w14:paraId="26160A3A" w14:textId="77777777" w:rsidR="007745D8" w:rsidRPr="00A36FF3" w:rsidRDefault="007745D8" w:rsidP="007745D8">
      <w:pPr>
        <w:tabs>
          <w:tab w:val="left" w:pos="851"/>
          <w:tab w:val="left" w:pos="8222"/>
        </w:tabs>
        <w:ind w:left="851"/>
        <w:rPr>
          <w:sz w:val="24"/>
          <w:szCs w:val="24"/>
          <w:lang w:bidi="en-US"/>
        </w:rPr>
      </w:pPr>
      <w:r w:rsidRPr="00A36FF3">
        <w:rPr>
          <w:sz w:val="24"/>
          <w:szCs w:val="24"/>
          <w:lang w:bidi="en-US"/>
        </w:rPr>
        <w:t>Subkutan anvendelse.</w:t>
      </w:r>
    </w:p>
    <w:p w14:paraId="36932C29" w14:textId="77777777" w:rsidR="007745D8" w:rsidRPr="00A36FF3" w:rsidRDefault="007745D8" w:rsidP="007745D8">
      <w:pPr>
        <w:tabs>
          <w:tab w:val="left" w:pos="851"/>
          <w:tab w:val="left" w:pos="8222"/>
        </w:tabs>
        <w:ind w:left="851"/>
        <w:rPr>
          <w:sz w:val="24"/>
          <w:szCs w:val="24"/>
        </w:rPr>
      </w:pPr>
      <w:r w:rsidRPr="00A36FF3">
        <w:rPr>
          <w:sz w:val="24"/>
          <w:szCs w:val="24"/>
        </w:rPr>
        <w:t xml:space="preserve">En enkelt subkutan injektion med 2,5 mg </w:t>
      </w:r>
      <w:proofErr w:type="spellStart"/>
      <w:r w:rsidRPr="00A36FF3">
        <w:rPr>
          <w:sz w:val="24"/>
          <w:szCs w:val="24"/>
        </w:rPr>
        <w:t>tulathromycin</w:t>
      </w:r>
      <w:proofErr w:type="spellEnd"/>
      <w:r w:rsidRPr="00A36FF3">
        <w:rPr>
          <w:sz w:val="24"/>
          <w:szCs w:val="24"/>
        </w:rPr>
        <w:t>/kg legemsvægt (svarende til 1 ml/40 kg legemsvægt). Til behandling af kvæg over 300 kg legemsvægt deles dosen således at højst 7,5 ml injiceres på samme sted.</w:t>
      </w:r>
    </w:p>
    <w:p w14:paraId="4711F99C" w14:textId="77777777" w:rsidR="007745D8" w:rsidRPr="00A36FF3" w:rsidRDefault="007745D8" w:rsidP="007745D8">
      <w:pPr>
        <w:tabs>
          <w:tab w:val="left" w:pos="851"/>
          <w:tab w:val="left" w:pos="8222"/>
        </w:tabs>
        <w:ind w:left="851"/>
        <w:rPr>
          <w:sz w:val="24"/>
          <w:szCs w:val="24"/>
        </w:rPr>
      </w:pPr>
    </w:p>
    <w:p w14:paraId="17A1B1E9" w14:textId="77777777" w:rsidR="007745D8" w:rsidRPr="00A36FF3" w:rsidRDefault="007745D8" w:rsidP="007745D8">
      <w:pPr>
        <w:tabs>
          <w:tab w:val="left" w:pos="851"/>
          <w:tab w:val="left" w:pos="8222"/>
        </w:tabs>
        <w:ind w:left="851"/>
        <w:rPr>
          <w:sz w:val="24"/>
          <w:szCs w:val="24"/>
        </w:rPr>
      </w:pPr>
      <w:r w:rsidRPr="00A36FF3">
        <w:rPr>
          <w:sz w:val="24"/>
          <w:szCs w:val="24"/>
          <w:u w:val="single"/>
        </w:rPr>
        <w:t>Svin</w:t>
      </w:r>
    </w:p>
    <w:p w14:paraId="31330220" w14:textId="77777777" w:rsidR="007745D8" w:rsidRPr="00A36FF3" w:rsidRDefault="007745D8" w:rsidP="007745D8">
      <w:pPr>
        <w:tabs>
          <w:tab w:val="left" w:pos="851"/>
          <w:tab w:val="left" w:pos="8222"/>
        </w:tabs>
        <w:ind w:left="851"/>
        <w:rPr>
          <w:sz w:val="24"/>
          <w:szCs w:val="24"/>
        </w:rPr>
      </w:pPr>
      <w:r w:rsidRPr="00A36FF3">
        <w:rPr>
          <w:sz w:val="24"/>
          <w:szCs w:val="24"/>
        </w:rPr>
        <w:t>Intramuskulær anvendelse.</w:t>
      </w:r>
    </w:p>
    <w:p w14:paraId="0CE54E3C" w14:textId="77777777" w:rsidR="007745D8" w:rsidRPr="00A36FF3" w:rsidRDefault="007745D8" w:rsidP="007745D8">
      <w:pPr>
        <w:tabs>
          <w:tab w:val="left" w:pos="851"/>
          <w:tab w:val="left" w:pos="8222"/>
        </w:tabs>
        <w:ind w:left="851"/>
        <w:rPr>
          <w:sz w:val="24"/>
          <w:szCs w:val="24"/>
        </w:rPr>
      </w:pPr>
      <w:r w:rsidRPr="00A36FF3">
        <w:rPr>
          <w:sz w:val="24"/>
          <w:szCs w:val="24"/>
        </w:rPr>
        <w:t xml:space="preserve">En enkelt injektion med 2,5 mg </w:t>
      </w:r>
      <w:proofErr w:type="spellStart"/>
      <w:r w:rsidRPr="00A36FF3">
        <w:rPr>
          <w:sz w:val="24"/>
          <w:szCs w:val="24"/>
        </w:rPr>
        <w:t>tulathromycin</w:t>
      </w:r>
      <w:proofErr w:type="spellEnd"/>
      <w:r w:rsidRPr="00A36FF3">
        <w:rPr>
          <w:sz w:val="24"/>
          <w:szCs w:val="24"/>
        </w:rPr>
        <w:t>/kg legemsvægt (svarende til 1 ml/40 kg legemsvægt) i nakkemusklen.</w:t>
      </w:r>
    </w:p>
    <w:p w14:paraId="53F707A5" w14:textId="77777777" w:rsidR="007745D8" w:rsidRPr="00A36FF3" w:rsidRDefault="007745D8" w:rsidP="007745D8">
      <w:pPr>
        <w:tabs>
          <w:tab w:val="left" w:pos="851"/>
          <w:tab w:val="left" w:pos="8222"/>
        </w:tabs>
        <w:ind w:left="851"/>
        <w:rPr>
          <w:sz w:val="24"/>
          <w:szCs w:val="24"/>
        </w:rPr>
      </w:pPr>
    </w:p>
    <w:p w14:paraId="46ED3974" w14:textId="2351CA18" w:rsidR="007745D8" w:rsidRPr="00A36FF3" w:rsidRDefault="007745D8" w:rsidP="007745D8">
      <w:pPr>
        <w:tabs>
          <w:tab w:val="left" w:pos="851"/>
          <w:tab w:val="left" w:pos="8222"/>
        </w:tabs>
        <w:ind w:left="851"/>
        <w:rPr>
          <w:sz w:val="24"/>
          <w:szCs w:val="24"/>
        </w:rPr>
      </w:pPr>
      <w:r w:rsidRPr="00A36FF3">
        <w:rPr>
          <w:sz w:val="24"/>
          <w:szCs w:val="24"/>
        </w:rPr>
        <w:t>Til behandling af svin over 80 kg legemsvægt deles dosen</w:t>
      </w:r>
      <w:r w:rsidR="0098459F" w:rsidRPr="00A36FF3">
        <w:rPr>
          <w:sz w:val="24"/>
          <w:szCs w:val="24"/>
        </w:rPr>
        <w:t>,</w:t>
      </w:r>
      <w:r w:rsidRPr="00A36FF3">
        <w:rPr>
          <w:sz w:val="24"/>
          <w:szCs w:val="24"/>
        </w:rPr>
        <w:t xml:space="preserve"> således at ikke mere end 2 ml bliver injiceret på samme sted.</w:t>
      </w:r>
    </w:p>
    <w:p w14:paraId="15C2024A" w14:textId="77777777" w:rsidR="007745D8" w:rsidRPr="00A36FF3" w:rsidRDefault="007745D8" w:rsidP="007745D8">
      <w:pPr>
        <w:tabs>
          <w:tab w:val="left" w:pos="851"/>
          <w:tab w:val="left" w:pos="8222"/>
        </w:tabs>
        <w:ind w:left="851"/>
        <w:rPr>
          <w:sz w:val="24"/>
          <w:szCs w:val="24"/>
        </w:rPr>
      </w:pPr>
    </w:p>
    <w:p w14:paraId="4EDEA0FB" w14:textId="77777777" w:rsidR="007745D8" w:rsidRPr="00A36FF3" w:rsidRDefault="007745D8" w:rsidP="007745D8">
      <w:pPr>
        <w:tabs>
          <w:tab w:val="left" w:pos="851"/>
          <w:tab w:val="left" w:pos="8222"/>
        </w:tabs>
        <w:ind w:left="851"/>
        <w:rPr>
          <w:sz w:val="24"/>
          <w:szCs w:val="24"/>
        </w:rPr>
      </w:pPr>
      <w:r w:rsidRPr="00A36FF3">
        <w:rPr>
          <w:sz w:val="24"/>
          <w:szCs w:val="24"/>
        </w:rPr>
        <w:t>Ved alle luftvejsinfektioner anbefales det at behandle dyrene i den tidlige fase af sygdomsforløbet og at vurdere virkningen indenfor 48 timer efter injektionen. Hvis de kliniske tegn på luftvejsinfektion fortsætter eller forværres, eller hvis der er tilbagefald, så bør der behandles med et andet antibiotikum og fortsættes hermed indtil de kliniske tegn er forsvundet.</w:t>
      </w:r>
    </w:p>
    <w:p w14:paraId="4DD29DB1" w14:textId="77777777" w:rsidR="007745D8" w:rsidRPr="00A36FF3" w:rsidRDefault="007745D8" w:rsidP="007745D8">
      <w:pPr>
        <w:tabs>
          <w:tab w:val="left" w:pos="851"/>
          <w:tab w:val="left" w:pos="8222"/>
        </w:tabs>
        <w:ind w:left="851"/>
        <w:rPr>
          <w:sz w:val="24"/>
          <w:szCs w:val="24"/>
        </w:rPr>
      </w:pPr>
    </w:p>
    <w:p w14:paraId="23F86758" w14:textId="77777777" w:rsidR="007745D8" w:rsidRPr="00A36FF3" w:rsidRDefault="007745D8" w:rsidP="007745D8">
      <w:pPr>
        <w:tabs>
          <w:tab w:val="left" w:pos="851"/>
          <w:tab w:val="left" w:pos="8222"/>
        </w:tabs>
        <w:ind w:left="851"/>
        <w:rPr>
          <w:sz w:val="24"/>
          <w:szCs w:val="24"/>
        </w:rPr>
      </w:pPr>
      <w:r w:rsidRPr="00A36FF3">
        <w:rPr>
          <w:sz w:val="24"/>
          <w:szCs w:val="24"/>
          <w:u w:val="single"/>
        </w:rPr>
        <w:t>Får</w:t>
      </w:r>
    </w:p>
    <w:p w14:paraId="0BA15EDB" w14:textId="77777777" w:rsidR="007745D8" w:rsidRPr="00A36FF3" w:rsidRDefault="007745D8" w:rsidP="007745D8">
      <w:pPr>
        <w:tabs>
          <w:tab w:val="left" w:pos="851"/>
          <w:tab w:val="left" w:pos="8222"/>
        </w:tabs>
        <w:ind w:left="851"/>
        <w:rPr>
          <w:sz w:val="24"/>
          <w:szCs w:val="24"/>
        </w:rPr>
      </w:pPr>
      <w:r w:rsidRPr="00A36FF3">
        <w:rPr>
          <w:sz w:val="24"/>
          <w:szCs w:val="24"/>
        </w:rPr>
        <w:t>Intramuskulær anvendelse.</w:t>
      </w:r>
    </w:p>
    <w:p w14:paraId="48C0C0C3" w14:textId="77777777" w:rsidR="007745D8" w:rsidRPr="00A36FF3" w:rsidRDefault="007745D8" w:rsidP="007745D8">
      <w:pPr>
        <w:tabs>
          <w:tab w:val="left" w:pos="851"/>
          <w:tab w:val="left" w:pos="8222"/>
        </w:tabs>
        <w:ind w:left="851"/>
        <w:rPr>
          <w:sz w:val="24"/>
          <w:szCs w:val="24"/>
        </w:rPr>
      </w:pPr>
      <w:r w:rsidRPr="00A36FF3">
        <w:rPr>
          <w:sz w:val="24"/>
          <w:szCs w:val="24"/>
        </w:rPr>
        <w:t xml:space="preserve">En enkelt intramuskulær injektion med 2,5 mg </w:t>
      </w:r>
      <w:proofErr w:type="spellStart"/>
      <w:r w:rsidRPr="00A36FF3">
        <w:rPr>
          <w:sz w:val="24"/>
          <w:szCs w:val="24"/>
        </w:rPr>
        <w:t>tulathromycin</w:t>
      </w:r>
      <w:proofErr w:type="spellEnd"/>
      <w:r w:rsidRPr="00A36FF3">
        <w:rPr>
          <w:sz w:val="24"/>
          <w:szCs w:val="24"/>
        </w:rPr>
        <w:t>/kg legemsvægt (svarende til 1 ml/40 kg legemsvægt) i nakkemusklen.</w:t>
      </w:r>
    </w:p>
    <w:p w14:paraId="25AFE470" w14:textId="77777777" w:rsidR="007745D8" w:rsidRPr="00A36FF3" w:rsidRDefault="007745D8" w:rsidP="007745D8">
      <w:pPr>
        <w:tabs>
          <w:tab w:val="left" w:pos="851"/>
          <w:tab w:val="left" w:pos="8222"/>
        </w:tabs>
        <w:ind w:left="851"/>
        <w:rPr>
          <w:sz w:val="24"/>
          <w:szCs w:val="24"/>
        </w:rPr>
      </w:pPr>
    </w:p>
    <w:p w14:paraId="67DB703B" w14:textId="77777777" w:rsidR="007745D8" w:rsidRPr="00A36FF3" w:rsidRDefault="007745D8" w:rsidP="007745D8">
      <w:pPr>
        <w:tabs>
          <w:tab w:val="left" w:pos="851"/>
          <w:tab w:val="left" w:pos="8222"/>
        </w:tabs>
        <w:ind w:left="851"/>
        <w:rPr>
          <w:sz w:val="24"/>
          <w:szCs w:val="24"/>
        </w:rPr>
      </w:pPr>
      <w:r w:rsidRPr="00A36FF3">
        <w:rPr>
          <w:sz w:val="24"/>
          <w:szCs w:val="24"/>
        </w:rPr>
        <w:t xml:space="preserve">For at sikre korrekt dosering skal legemsvægten bestemmes så præcist som muligt for at undgå underdosering. Det anbefales at benytte en </w:t>
      </w:r>
      <w:proofErr w:type="spellStart"/>
      <w:r w:rsidRPr="00A36FF3">
        <w:rPr>
          <w:sz w:val="24"/>
          <w:szCs w:val="24"/>
        </w:rPr>
        <w:t>gennemstikskanyle</w:t>
      </w:r>
      <w:proofErr w:type="spellEnd"/>
      <w:r w:rsidRPr="00A36FF3">
        <w:rPr>
          <w:sz w:val="24"/>
          <w:szCs w:val="24"/>
        </w:rPr>
        <w:t xml:space="preserve"> eller automatsprøjte ved gentagne udtag fra beholder for at undgå overdreven gennemhulning af proppen.</w:t>
      </w:r>
    </w:p>
    <w:p w14:paraId="686D7593" w14:textId="77777777" w:rsidR="007745D8" w:rsidRPr="00A36FF3" w:rsidRDefault="007745D8" w:rsidP="007745D8">
      <w:pPr>
        <w:tabs>
          <w:tab w:val="left" w:pos="851"/>
          <w:tab w:val="left" w:pos="8222"/>
        </w:tabs>
        <w:ind w:left="851"/>
        <w:rPr>
          <w:sz w:val="24"/>
          <w:szCs w:val="24"/>
        </w:rPr>
      </w:pPr>
    </w:p>
    <w:p w14:paraId="4A44890E" w14:textId="77777777" w:rsidR="007745D8" w:rsidRPr="00A36FF3" w:rsidRDefault="007745D8" w:rsidP="007745D8">
      <w:pPr>
        <w:tabs>
          <w:tab w:val="left" w:pos="851"/>
          <w:tab w:val="left" w:pos="8222"/>
        </w:tabs>
        <w:ind w:left="851"/>
        <w:rPr>
          <w:sz w:val="24"/>
          <w:szCs w:val="24"/>
        </w:rPr>
      </w:pPr>
      <w:r w:rsidRPr="00A36FF3">
        <w:rPr>
          <w:sz w:val="24"/>
          <w:szCs w:val="24"/>
        </w:rPr>
        <w:t>Hætten kan punkteres sikkert op til 25 gange i 100 ml hætteglas og 50 gange i 250 ml hætteglas.</w:t>
      </w:r>
    </w:p>
    <w:p w14:paraId="424AB334" w14:textId="77777777" w:rsidR="007745D8" w:rsidRPr="00A36FF3" w:rsidRDefault="007745D8" w:rsidP="007745D8">
      <w:pPr>
        <w:tabs>
          <w:tab w:val="left" w:pos="851"/>
          <w:tab w:val="left" w:pos="8222"/>
        </w:tabs>
        <w:ind w:left="851"/>
        <w:rPr>
          <w:sz w:val="24"/>
          <w:szCs w:val="24"/>
        </w:rPr>
      </w:pPr>
    </w:p>
    <w:p w14:paraId="2A987FCA" w14:textId="77777777" w:rsidR="005B0036" w:rsidRPr="00A36FF3" w:rsidRDefault="005B0036" w:rsidP="005B0036">
      <w:pPr>
        <w:tabs>
          <w:tab w:val="left" w:pos="851"/>
          <w:tab w:val="left" w:pos="8222"/>
        </w:tabs>
        <w:rPr>
          <w:b/>
          <w:sz w:val="24"/>
          <w:szCs w:val="24"/>
        </w:rPr>
      </w:pPr>
      <w:r w:rsidRPr="00A36FF3">
        <w:rPr>
          <w:b/>
          <w:sz w:val="24"/>
          <w:szCs w:val="24"/>
        </w:rPr>
        <w:t>4.10</w:t>
      </w:r>
      <w:r w:rsidRPr="00A36FF3">
        <w:rPr>
          <w:b/>
          <w:sz w:val="24"/>
          <w:szCs w:val="24"/>
        </w:rPr>
        <w:tab/>
        <w:t>Overdosering</w:t>
      </w:r>
    </w:p>
    <w:p w14:paraId="7968815B" w14:textId="2390C11F" w:rsidR="0098459F" w:rsidRPr="00A36FF3" w:rsidRDefault="0098459F" w:rsidP="0098459F">
      <w:pPr>
        <w:tabs>
          <w:tab w:val="left" w:pos="851"/>
          <w:tab w:val="left" w:pos="8222"/>
        </w:tabs>
        <w:ind w:left="851"/>
        <w:rPr>
          <w:sz w:val="24"/>
          <w:szCs w:val="24"/>
        </w:rPr>
      </w:pPr>
      <w:r w:rsidRPr="00A36FF3">
        <w:rPr>
          <w:sz w:val="24"/>
          <w:szCs w:val="24"/>
        </w:rPr>
        <w:t xml:space="preserve">Hos kvæg er der ved doser på tre, fem eller ti gange den anbefalede dosis observeret forbigående tegn på ubehag fra injektionsstedet samt rastløshed, hovedrystning, </w:t>
      </w:r>
      <w:proofErr w:type="spellStart"/>
      <w:r w:rsidRPr="00A36FF3">
        <w:rPr>
          <w:sz w:val="24"/>
          <w:szCs w:val="24"/>
        </w:rPr>
        <w:t>skraben</w:t>
      </w:r>
      <w:proofErr w:type="spellEnd"/>
      <w:r w:rsidRPr="00A36FF3">
        <w:rPr>
          <w:sz w:val="24"/>
          <w:szCs w:val="24"/>
        </w:rPr>
        <w:t xml:space="preserve"> i jorden og kortvarig nedsat foderindtagelse. Hos kvæg doseret med fem til seks gange anbefalet dosis er observeret mild </w:t>
      </w:r>
      <w:proofErr w:type="spellStart"/>
      <w:r w:rsidRPr="00A36FF3">
        <w:rPr>
          <w:sz w:val="24"/>
          <w:szCs w:val="24"/>
        </w:rPr>
        <w:t>myokardie</w:t>
      </w:r>
      <w:proofErr w:type="spellEnd"/>
      <w:r w:rsidRPr="00A36FF3">
        <w:rPr>
          <w:sz w:val="24"/>
          <w:szCs w:val="24"/>
        </w:rPr>
        <w:t>-degeneration.</w:t>
      </w:r>
    </w:p>
    <w:p w14:paraId="39377147" w14:textId="77777777" w:rsidR="0098459F" w:rsidRPr="00A36FF3" w:rsidRDefault="0098459F" w:rsidP="0098459F">
      <w:pPr>
        <w:tabs>
          <w:tab w:val="left" w:pos="851"/>
          <w:tab w:val="left" w:pos="8222"/>
        </w:tabs>
        <w:ind w:left="851"/>
        <w:rPr>
          <w:sz w:val="24"/>
          <w:szCs w:val="24"/>
        </w:rPr>
      </w:pPr>
    </w:p>
    <w:p w14:paraId="1F0175F4" w14:textId="77777777" w:rsidR="0098459F" w:rsidRPr="00A36FF3" w:rsidRDefault="0098459F" w:rsidP="0098459F">
      <w:pPr>
        <w:tabs>
          <w:tab w:val="left" w:pos="851"/>
          <w:tab w:val="left" w:pos="8222"/>
        </w:tabs>
        <w:ind w:left="851"/>
        <w:rPr>
          <w:sz w:val="24"/>
          <w:szCs w:val="24"/>
        </w:rPr>
      </w:pPr>
      <w:r w:rsidRPr="00A36FF3">
        <w:rPr>
          <w:sz w:val="24"/>
          <w:szCs w:val="24"/>
        </w:rPr>
        <w:t xml:space="preserve">Hos unge svin der vejede ca. 10 kg, blev der efter indgift af tre eller fem gange den terapeutiske dosis observeret forbigående tegn på ubehag på injektionsstedet samt </w:t>
      </w:r>
      <w:proofErr w:type="spellStart"/>
      <w:r w:rsidRPr="00A36FF3">
        <w:rPr>
          <w:sz w:val="24"/>
          <w:szCs w:val="24"/>
        </w:rPr>
        <w:t>skrigen</w:t>
      </w:r>
      <w:proofErr w:type="spellEnd"/>
      <w:r w:rsidRPr="00A36FF3">
        <w:rPr>
          <w:sz w:val="24"/>
          <w:szCs w:val="24"/>
        </w:rPr>
        <w:t xml:space="preserve"> og rastløshed. </w:t>
      </w:r>
      <w:proofErr w:type="spellStart"/>
      <w:r w:rsidRPr="00A36FF3">
        <w:rPr>
          <w:sz w:val="24"/>
          <w:szCs w:val="24"/>
        </w:rPr>
        <w:t>Halthed</w:t>
      </w:r>
      <w:proofErr w:type="spellEnd"/>
      <w:r w:rsidRPr="00A36FF3">
        <w:rPr>
          <w:sz w:val="24"/>
          <w:szCs w:val="24"/>
        </w:rPr>
        <w:t xml:space="preserve"> blev også observeret når bagbenet var brugt som injektionssted.</w:t>
      </w:r>
    </w:p>
    <w:p w14:paraId="1616DE38" w14:textId="77777777" w:rsidR="0098459F" w:rsidRPr="00A36FF3" w:rsidRDefault="0098459F" w:rsidP="0098459F">
      <w:pPr>
        <w:tabs>
          <w:tab w:val="left" w:pos="851"/>
          <w:tab w:val="left" w:pos="8222"/>
        </w:tabs>
        <w:ind w:left="851"/>
        <w:rPr>
          <w:sz w:val="24"/>
          <w:szCs w:val="24"/>
        </w:rPr>
      </w:pPr>
    </w:p>
    <w:p w14:paraId="0657D640" w14:textId="77777777" w:rsidR="0098459F" w:rsidRPr="00A36FF3" w:rsidRDefault="0098459F" w:rsidP="0098459F">
      <w:pPr>
        <w:tabs>
          <w:tab w:val="left" w:pos="851"/>
          <w:tab w:val="left" w:pos="8222"/>
        </w:tabs>
        <w:ind w:left="851"/>
        <w:rPr>
          <w:sz w:val="24"/>
          <w:szCs w:val="24"/>
        </w:rPr>
      </w:pPr>
      <w:r w:rsidRPr="00A36FF3">
        <w:rPr>
          <w:sz w:val="24"/>
          <w:szCs w:val="24"/>
        </w:rPr>
        <w:t xml:space="preserve">Hos lam (ca. 6 uger gamle) er der ved doser på tre eller fem gange den anbefalede dosis observeret forbigående tegn, der blev tilskrevet ubehag på injektionsstedet, herunder at gå baglæns, hovedrystning, </w:t>
      </w:r>
      <w:proofErr w:type="spellStart"/>
      <w:r w:rsidRPr="00A36FF3">
        <w:rPr>
          <w:sz w:val="24"/>
          <w:szCs w:val="24"/>
        </w:rPr>
        <w:t>gnubben</w:t>
      </w:r>
      <w:proofErr w:type="spellEnd"/>
      <w:r w:rsidRPr="00A36FF3">
        <w:rPr>
          <w:sz w:val="24"/>
          <w:szCs w:val="24"/>
        </w:rPr>
        <w:t xml:space="preserve"> på injektionsstedet, lægge sig ned og rejse sig op, brægen.</w:t>
      </w:r>
    </w:p>
    <w:p w14:paraId="72C308CC" w14:textId="44C7C660" w:rsidR="0098459F" w:rsidRPr="00A36FF3" w:rsidRDefault="0098459F">
      <w:pPr>
        <w:rPr>
          <w:sz w:val="24"/>
          <w:szCs w:val="24"/>
        </w:rPr>
      </w:pPr>
      <w:r w:rsidRPr="00A36FF3">
        <w:rPr>
          <w:sz w:val="24"/>
          <w:szCs w:val="24"/>
        </w:rPr>
        <w:br w:type="page"/>
      </w:r>
    </w:p>
    <w:p w14:paraId="3F12385A" w14:textId="77777777" w:rsidR="0098459F" w:rsidRPr="00A36FF3" w:rsidRDefault="0098459F" w:rsidP="0098459F">
      <w:pPr>
        <w:tabs>
          <w:tab w:val="left" w:pos="851"/>
          <w:tab w:val="left" w:pos="8222"/>
        </w:tabs>
        <w:ind w:left="851"/>
        <w:rPr>
          <w:sz w:val="24"/>
          <w:szCs w:val="24"/>
        </w:rPr>
      </w:pPr>
    </w:p>
    <w:p w14:paraId="14E5FB77" w14:textId="77777777" w:rsidR="005B0036" w:rsidRPr="00A36FF3" w:rsidRDefault="005B0036" w:rsidP="005B0036">
      <w:pPr>
        <w:tabs>
          <w:tab w:val="left" w:pos="851"/>
          <w:tab w:val="left" w:pos="8222"/>
        </w:tabs>
        <w:rPr>
          <w:b/>
          <w:sz w:val="24"/>
          <w:szCs w:val="24"/>
        </w:rPr>
      </w:pPr>
      <w:r w:rsidRPr="00A36FF3">
        <w:rPr>
          <w:b/>
          <w:sz w:val="24"/>
          <w:szCs w:val="24"/>
        </w:rPr>
        <w:t>4.11</w:t>
      </w:r>
      <w:r w:rsidRPr="00A36FF3">
        <w:rPr>
          <w:b/>
          <w:sz w:val="24"/>
          <w:szCs w:val="24"/>
        </w:rPr>
        <w:tab/>
        <w:t>Tilbageholdelsestid</w:t>
      </w:r>
    </w:p>
    <w:p w14:paraId="7C68F36C" w14:textId="77777777" w:rsidR="004335FF" w:rsidRPr="00A36FF3" w:rsidRDefault="004335FF" w:rsidP="0098459F">
      <w:pPr>
        <w:pStyle w:val="Sidehoved"/>
        <w:tabs>
          <w:tab w:val="left" w:pos="8222"/>
        </w:tabs>
        <w:ind w:left="851"/>
        <w:rPr>
          <w:szCs w:val="24"/>
        </w:rPr>
      </w:pPr>
    </w:p>
    <w:p w14:paraId="40C75520" w14:textId="77777777" w:rsidR="004335FF" w:rsidRPr="00A36FF3" w:rsidRDefault="0098459F" w:rsidP="0098459F">
      <w:pPr>
        <w:pStyle w:val="Sidehoved"/>
        <w:tabs>
          <w:tab w:val="left" w:pos="8222"/>
        </w:tabs>
        <w:ind w:left="851"/>
        <w:rPr>
          <w:szCs w:val="24"/>
          <w:u w:val="single"/>
        </w:rPr>
      </w:pPr>
      <w:r w:rsidRPr="00A36FF3">
        <w:rPr>
          <w:szCs w:val="24"/>
          <w:u w:val="single"/>
        </w:rPr>
        <w:t>Kvæg</w:t>
      </w:r>
    </w:p>
    <w:p w14:paraId="79EDE9C2" w14:textId="7C916839" w:rsidR="0098459F" w:rsidRPr="00A36FF3" w:rsidRDefault="0098459F" w:rsidP="0098459F">
      <w:pPr>
        <w:pStyle w:val="Sidehoved"/>
        <w:tabs>
          <w:tab w:val="left" w:pos="8222"/>
        </w:tabs>
        <w:ind w:left="851"/>
        <w:rPr>
          <w:szCs w:val="24"/>
        </w:rPr>
      </w:pPr>
      <w:r w:rsidRPr="00A36FF3">
        <w:rPr>
          <w:szCs w:val="24"/>
        </w:rPr>
        <w:t>Slagtning: 22 dage.</w:t>
      </w:r>
    </w:p>
    <w:p w14:paraId="5103635B" w14:textId="77777777" w:rsidR="004335FF" w:rsidRPr="00A36FF3" w:rsidRDefault="004335FF" w:rsidP="0098459F">
      <w:pPr>
        <w:pStyle w:val="Sidehoved"/>
        <w:tabs>
          <w:tab w:val="left" w:pos="8222"/>
        </w:tabs>
        <w:ind w:left="851"/>
        <w:rPr>
          <w:szCs w:val="24"/>
        </w:rPr>
      </w:pPr>
    </w:p>
    <w:p w14:paraId="5AFBCFF7" w14:textId="77777777" w:rsidR="004335FF" w:rsidRPr="00A36FF3" w:rsidRDefault="0098459F" w:rsidP="0098459F">
      <w:pPr>
        <w:pStyle w:val="Sidehoved"/>
        <w:tabs>
          <w:tab w:val="left" w:pos="8222"/>
        </w:tabs>
        <w:ind w:left="851"/>
        <w:rPr>
          <w:szCs w:val="24"/>
          <w:u w:val="single"/>
        </w:rPr>
      </w:pPr>
      <w:r w:rsidRPr="00A36FF3">
        <w:rPr>
          <w:szCs w:val="24"/>
          <w:u w:val="single"/>
        </w:rPr>
        <w:t>Svin</w:t>
      </w:r>
    </w:p>
    <w:p w14:paraId="372DA266" w14:textId="034D8926" w:rsidR="0098459F" w:rsidRPr="00A36FF3" w:rsidRDefault="0098459F" w:rsidP="0098459F">
      <w:pPr>
        <w:pStyle w:val="Sidehoved"/>
        <w:tabs>
          <w:tab w:val="left" w:pos="8222"/>
        </w:tabs>
        <w:ind w:left="851"/>
        <w:rPr>
          <w:szCs w:val="24"/>
        </w:rPr>
      </w:pPr>
      <w:r w:rsidRPr="00A36FF3">
        <w:rPr>
          <w:szCs w:val="24"/>
        </w:rPr>
        <w:t>Slagtning: 13 dage.</w:t>
      </w:r>
    </w:p>
    <w:p w14:paraId="5C7FAEBF" w14:textId="77777777" w:rsidR="004335FF" w:rsidRPr="00A36FF3" w:rsidRDefault="004335FF" w:rsidP="0098459F">
      <w:pPr>
        <w:pStyle w:val="Sidehoved"/>
        <w:tabs>
          <w:tab w:val="left" w:pos="8222"/>
        </w:tabs>
        <w:ind w:left="851"/>
        <w:rPr>
          <w:szCs w:val="24"/>
        </w:rPr>
      </w:pPr>
    </w:p>
    <w:p w14:paraId="5870031E" w14:textId="77777777" w:rsidR="004335FF" w:rsidRPr="00A36FF3" w:rsidRDefault="0098459F" w:rsidP="0098459F">
      <w:pPr>
        <w:pStyle w:val="Sidehoved"/>
        <w:tabs>
          <w:tab w:val="left" w:pos="8222"/>
        </w:tabs>
        <w:ind w:left="851"/>
        <w:rPr>
          <w:szCs w:val="24"/>
          <w:u w:val="single"/>
        </w:rPr>
      </w:pPr>
      <w:r w:rsidRPr="00A36FF3">
        <w:rPr>
          <w:szCs w:val="24"/>
          <w:u w:val="single"/>
        </w:rPr>
        <w:t>Får</w:t>
      </w:r>
    </w:p>
    <w:p w14:paraId="6CBC04AF" w14:textId="509323D6" w:rsidR="0098459F" w:rsidRPr="00A36FF3" w:rsidRDefault="0098459F" w:rsidP="0098459F">
      <w:pPr>
        <w:pStyle w:val="Sidehoved"/>
        <w:tabs>
          <w:tab w:val="left" w:pos="8222"/>
        </w:tabs>
        <w:ind w:left="851"/>
        <w:rPr>
          <w:szCs w:val="24"/>
        </w:rPr>
      </w:pPr>
      <w:r w:rsidRPr="00A36FF3">
        <w:rPr>
          <w:szCs w:val="24"/>
        </w:rPr>
        <w:t>Slagtning: 16 dage.</w:t>
      </w:r>
    </w:p>
    <w:p w14:paraId="040CA16B" w14:textId="77777777" w:rsidR="0098459F" w:rsidRPr="00A36FF3" w:rsidRDefault="0098459F" w:rsidP="0098459F">
      <w:pPr>
        <w:pStyle w:val="Sidehoved"/>
        <w:tabs>
          <w:tab w:val="left" w:pos="8222"/>
        </w:tabs>
        <w:ind w:left="851"/>
        <w:rPr>
          <w:szCs w:val="24"/>
        </w:rPr>
      </w:pPr>
    </w:p>
    <w:p w14:paraId="73993273" w14:textId="77777777" w:rsidR="0098459F" w:rsidRPr="00A36FF3" w:rsidRDefault="0098459F" w:rsidP="0098459F">
      <w:pPr>
        <w:pStyle w:val="Sidehoved"/>
        <w:tabs>
          <w:tab w:val="left" w:pos="8222"/>
        </w:tabs>
        <w:ind w:left="851"/>
        <w:rPr>
          <w:szCs w:val="24"/>
        </w:rPr>
      </w:pPr>
      <w:r w:rsidRPr="00A36FF3">
        <w:rPr>
          <w:szCs w:val="24"/>
        </w:rPr>
        <w:t xml:space="preserve">Må ikke anvendes til </w:t>
      </w:r>
      <w:proofErr w:type="spellStart"/>
      <w:r w:rsidRPr="00A36FF3">
        <w:rPr>
          <w:szCs w:val="24"/>
        </w:rPr>
        <w:t>lakterende</w:t>
      </w:r>
      <w:proofErr w:type="spellEnd"/>
      <w:r w:rsidRPr="00A36FF3">
        <w:rPr>
          <w:szCs w:val="24"/>
        </w:rPr>
        <w:t xml:space="preserve"> dyr, hvis mælk er bestemt til menneskeføde.</w:t>
      </w:r>
    </w:p>
    <w:p w14:paraId="573168E7" w14:textId="77777777" w:rsidR="0098459F" w:rsidRPr="00A36FF3" w:rsidRDefault="0098459F" w:rsidP="0098459F">
      <w:pPr>
        <w:pStyle w:val="Sidehoved"/>
        <w:tabs>
          <w:tab w:val="left" w:pos="8222"/>
        </w:tabs>
        <w:ind w:left="851"/>
        <w:rPr>
          <w:szCs w:val="24"/>
        </w:rPr>
      </w:pPr>
      <w:r w:rsidRPr="00A36FF3">
        <w:rPr>
          <w:szCs w:val="24"/>
        </w:rPr>
        <w:t>Må ikke anvendes til drægtige dyr, hvis mælk er bestemt til menneskeføde, inden for 2 måneder forud for den forventede fødselsdato.</w:t>
      </w:r>
    </w:p>
    <w:p w14:paraId="74FD102C" w14:textId="77777777" w:rsidR="005B0036" w:rsidRPr="00A36FF3" w:rsidRDefault="005B0036" w:rsidP="005B0036">
      <w:pPr>
        <w:pStyle w:val="Sidehoved"/>
        <w:tabs>
          <w:tab w:val="clear" w:pos="4819"/>
          <w:tab w:val="left" w:pos="8222"/>
        </w:tabs>
        <w:ind w:left="851"/>
        <w:rPr>
          <w:szCs w:val="24"/>
        </w:rPr>
      </w:pPr>
    </w:p>
    <w:p w14:paraId="2B626C29" w14:textId="77777777" w:rsidR="005B0036" w:rsidRPr="00A36FF3" w:rsidRDefault="005B0036" w:rsidP="005B0036">
      <w:pPr>
        <w:tabs>
          <w:tab w:val="left" w:pos="851"/>
          <w:tab w:val="left" w:pos="8222"/>
        </w:tabs>
        <w:ind w:left="851"/>
        <w:rPr>
          <w:sz w:val="24"/>
          <w:szCs w:val="24"/>
        </w:rPr>
      </w:pPr>
    </w:p>
    <w:p w14:paraId="79DC2440" w14:textId="14AD7512" w:rsidR="005B0036" w:rsidRPr="00A36FF3" w:rsidRDefault="005B0036" w:rsidP="005B0036">
      <w:pPr>
        <w:tabs>
          <w:tab w:val="left" w:pos="8222"/>
        </w:tabs>
        <w:ind w:left="851" w:hanging="851"/>
        <w:rPr>
          <w:b/>
          <w:sz w:val="24"/>
          <w:szCs w:val="24"/>
        </w:rPr>
      </w:pPr>
      <w:r w:rsidRPr="00A36FF3">
        <w:rPr>
          <w:b/>
          <w:sz w:val="24"/>
          <w:szCs w:val="24"/>
        </w:rPr>
        <w:t>5.</w:t>
      </w:r>
      <w:r w:rsidRPr="00A36FF3">
        <w:rPr>
          <w:b/>
          <w:sz w:val="24"/>
          <w:szCs w:val="24"/>
        </w:rPr>
        <w:tab/>
        <w:t>FARMAKOLOGISKE EGENSKABER</w:t>
      </w:r>
    </w:p>
    <w:p w14:paraId="0D67B6C5" w14:textId="77777777" w:rsidR="005B0036" w:rsidRPr="00A36FF3" w:rsidRDefault="005B0036" w:rsidP="005B0036">
      <w:pPr>
        <w:tabs>
          <w:tab w:val="left" w:pos="8222"/>
        </w:tabs>
        <w:ind w:left="851"/>
        <w:rPr>
          <w:sz w:val="24"/>
          <w:szCs w:val="24"/>
        </w:rPr>
      </w:pPr>
    </w:p>
    <w:p w14:paraId="19CDB7F5" w14:textId="77777777" w:rsidR="009251DD" w:rsidRPr="00A36FF3" w:rsidRDefault="004335FF" w:rsidP="004335FF">
      <w:pPr>
        <w:tabs>
          <w:tab w:val="left" w:pos="8222"/>
        </w:tabs>
        <w:ind w:left="851"/>
        <w:rPr>
          <w:sz w:val="24"/>
          <w:szCs w:val="24"/>
        </w:rPr>
      </w:pPr>
      <w:proofErr w:type="spellStart"/>
      <w:r w:rsidRPr="00A36FF3">
        <w:rPr>
          <w:sz w:val="24"/>
          <w:szCs w:val="24"/>
        </w:rPr>
        <w:t>Farmakoterapeutisk</w:t>
      </w:r>
      <w:proofErr w:type="spellEnd"/>
      <w:r w:rsidRPr="00A36FF3">
        <w:rPr>
          <w:sz w:val="24"/>
          <w:szCs w:val="24"/>
        </w:rPr>
        <w:t xml:space="preserve"> gruppe: </w:t>
      </w:r>
      <w:proofErr w:type="spellStart"/>
      <w:r w:rsidRPr="00A36FF3">
        <w:rPr>
          <w:sz w:val="24"/>
          <w:szCs w:val="24"/>
        </w:rPr>
        <w:t>Antibakterica</w:t>
      </w:r>
      <w:proofErr w:type="spellEnd"/>
      <w:r w:rsidRPr="00A36FF3">
        <w:rPr>
          <w:sz w:val="24"/>
          <w:szCs w:val="24"/>
        </w:rPr>
        <w:t xml:space="preserve"> til systemisk brug, </w:t>
      </w:r>
      <w:proofErr w:type="spellStart"/>
      <w:r w:rsidRPr="00A36FF3">
        <w:rPr>
          <w:sz w:val="24"/>
          <w:szCs w:val="24"/>
        </w:rPr>
        <w:t>macrolider</w:t>
      </w:r>
      <w:proofErr w:type="spellEnd"/>
      <w:r w:rsidRPr="00A36FF3">
        <w:rPr>
          <w:sz w:val="24"/>
          <w:szCs w:val="24"/>
        </w:rPr>
        <w:t>.</w:t>
      </w:r>
    </w:p>
    <w:p w14:paraId="4D822297" w14:textId="2AA512C4" w:rsidR="004335FF" w:rsidRPr="00A36FF3" w:rsidRDefault="004335FF" w:rsidP="004335FF">
      <w:pPr>
        <w:tabs>
          <w:tab w:val="left" w:pos="8222"/>
        </w:tabs>
        <w:ind w:left="851"/>
        <w:rPr>
          <w:sz w:val="24"/>
          <w:szCs w:val="24"/>
          <w:lang w:bidi="en-US"/>
        </w:rPr>
      </w:pPr>
      <w:proofErr w:type="spellStart"/>
      <w:r w:rsidRPr="00A36FF3">
        <w:rPr>
          <w:sz w:val="24"/>
          <w:szCs w:val="24"/>
          <w:lang w:bidi="en-US"/>
        </w:rPr>
        <w:t>ATCvet</w:t>
      </w:r>
      <w:proofErr w:type="spellEnd"/>
      <w:r w:rsidRPr="00A36FF3">
        <w:rPr>
          <w:sz w:val="24"/>
          <w:szCs w:val="24"/>
          <w:lang w:bidi="en-US"/>
        </w:rPr>
        <w:t>-kode: QJ 01 FA 94.</w:t>
      </w:r>
    </w:p>
    <w:p w14:paraId="20E90430" w14:textId="77777777" w:rsidR="005B0036" w:rsidRPr="00A36FF3" w:rsidRDefault="005B0036" w:rsidP="005B0036">
      <w:pPr>
        <w:tabs>
          <w:tab w:val="left" w:pos="8222"/>
        </w:tabs>
        <w:ind w:left="851"/>
        <w:rPr>
          <w:sz w:val="24"/>
          <w:szCs w:val="24"/>
        </w:rPr>
      </w:pPr>
    </w:p>
    <w:p w14:paraId="26525744" w14:textId="566E2C77" w:rsidR="005B0036" w:rsidRPr="00A36FF3" w:rsidRDefault="005B0036" w:rsidP="005B0036">
      <w:pPr>
        <w:tabs>
          <w:tab w:val="left" w:pos="851"/>
          <w:tab w:val="left" w:pos="8222"/>
        </w:tabs>
        <w:rPr>
          <w:b/>
          <w:sz w:val="24"/>
          <w:szCs w:val="24"/>
        </w:rPr>
      </w:pPr>
      <w:r w:rsidRPr="00A36FF3">
        <w:rPr>
          <w:b/>
          <w:sz w:val="24"/>
          <w:szCs w:val="24"/>
        </w:rPr>
        <w:t>5.1</w:t>
      </w:r>
      <w:r w:rsidRPr="00A36FF3">
        <w:rPr>
          <w:b/>
          <w:sz w:val="24"/>
          <w:szCs w:val="24"/>
        </w:rPr>
        <w:tab/>
      </w:r>
      <w:proofErr w:type="spellStart"/>
      <w:r w:rsidRPr="00A36FF3">
        <w:rPr>
          <w:b/>
          <w:sz w:val="24"/>
          <w:szCs w:val="24"/>
        </w:rPr>
        <w:t>Farmakodynamiske</w:t>
      </w:r>
      <w:proofErr w:type="spellEnd"/>
      <w:r w:rsidRPr="00A36FF3">
        <w:rPr>
          <w:b/>
          <w:sz w:val="24"/>
          <w:szCs w:val="24"/>
        </w:rPr>
        <w:t xml:space="preserve"> egenskaber</w:t>
      </w:r>
    </w:p>
    <w:p w14:paraId="60CB8727" w14:textId="37D2A8F4" w:rsidR="009251DD" w:rsidRPr="00A36FF3" w:rsidRDefault="009251DD" w:rsidP="009251DD">
      <w:pPr>
        <w:tabs>
          <w:tab w:val="left" w:pos="851"/>
          <w:tab w:val="left" w:pos="8222"/>
        </w:tabs>
        <w:ind w:left="851"/>
        <w:rPr>
          <w:sz w:val="24"/>
          <w:szCs w:val="24"/>
        </w:rPr>
      </w:pPr>
      <w:proofErr w:type="spellStart"/>
      <w:r w:rsidRPr="00A36FF3">
        <w:rPr>
          <w:sz w:val="24"/>
          <w:szCs w:val="24"/>
        </w:rPr>
        <w:t>Tulathromycin</w:t>
      </w:r>
      <w:proofErr w:type="spellEnd"/>
      <w:r w:rsidRPr="00A36FF3">
        <w:rPr>
          <w:sz w:val="24"/>
          <w:szCs w:val="24"/>
        </w:rPr>
        <w:t xml:space="preserve"> er et semisyntetisk </w:t>
      </w:r>
      <w:proofErr w:type="spellStart"/>
      <w:r w:rsidRPr="00A36FF3">
        <w:rPr>
          <w:sz w:val="24"/>
          <w:szCs w:val="24"/>
        </w:rPr>
        <w:t>macrolidt</w:t>
      </w:r>
      <w:proofErr w:type="spellEnd"/>
      <w:r w:rsidRPr="00A36FF3">
        <w:rPr>
          <w:sz w:val="24"/>
          <w:szCs w:val="24"/>
        </w:rPr>
        <w:t xml:space="preserve"> antimikrobielt stof, som kommer fra et fermenteringsprodukt. Det udskiller sig fra mange andre </w:t>
      </w:r>
      <w:proofErr w:type="spellStart"/>
      <w:r w:rsidRPr="00A36FF3">
        <w:rPr>
          <w:sz w:val="24"/>
          <w:szCs w:val="24"/>
        </w:rPr>
        <w:t>macrolider</w:t>
      </w:r>
      <w:proofErr w:type="spellEnd"/>
      <w:r w:rsidRPr="00A36FF3">
        <w:rPr>
          <w:sz w:val="24"/>
          <w:szCs w:val="24"/>
        </w:rPr>
        <w:t xml:space="preserve"> ved den lange virkningstid som delvis skyldes de tre aminogrupper. Derfor er det tildelt den kemiske undergruppebetegnelse </w:t>
      </w:r>
      <w:proofErr w:type="spellStart"/>
      <w:r w:rsidRPr="00A36FF3">
        <w:rPr>
          <w:sz w:val="24"/>
          <w:szCs w:val="24"/>
        </w:rPr>
        <w:t>triamilid</w:t>
      </w:r>
      <w:proofErr w:type="spellEnd"/>
      <w:r w:rsidRPr="00A36FF3">
        <w:rPr>
          <w:sz w:val="24"/>
          <w:szCs w:val="24"/>
        </w:rPr>
        <w:t>.</w:t>
      </w:r>
    </w:p>
    <w:p w14:paraId="7B0CDF2C" w14:textId="77777777" w:rsidR="009251DD" w:rsidRPr="00A36FF3" w:rsidRDefault="009251DD" w:rsidP="009251DD">
      <w:pPr>
        <w:tabs>
          <w:tab w:val="left" w:pos="851"/>
          <w:tab w:val="left" w:pos="8222"/>
        </w:tabs>
        <w:ind w:left="851"/>
        <w:rPr>
          <w:sz w:val="24"/>
          <w:szCs w:val="24"/>
        </w:rPr>
      </w:pPr>
    </w:p>
    <w:p w14:paraId="37DA8C6D" w14:textId="77777777" w:rsidR="009251DD" w:rsidRPr="00A36FF3" w:rsidRDefault="009251DD" w:rsidP="009251DD">
      <w:pPr>
        <w:tabs>
          <w:tab w:val="left" w:pos="851"/>
          <w:tab w:val="left" w:pos="8222"/>
        </w:tabs>
        <w:ind w:left="851"/>
        <w:rPr>
          <w:sz w:val="24"/>
          <w:szCs w:val="24"/>
        </w:rPr>
      </w:pPr>
      <w:proofErr w:type="spellStart"/>
      <w:r w:rsidRPr="00A36FF3">
        <w:rPr>
          <w:sz w:val="24"/>
          <w:szCs w:val="24"/>
        </w:rPr>
        <w:t>Macrolider</w:t>
      </w:r>
      <w:proofErr w:type="spellEnd"/>
      <w:r w:rsidRPr="00A36FF3">
        <w:rPr>
          <w:sz w:val="24"/>
          <w:szCs w:val="24"/>
        </w:rPr>
        <w:t xml:space="preserve"> er </w:t>
      </w:r>
      <w:proofErr w:type="spellStart"/>
      <w:r w:rsidRPr="00A36FF3">
        <w:rPr>
          <w:sz w:val="24"/>
          <w:szCs w:val="24"/>
        </w:rPr>
        <w:t>bakteriostatiske</w:t>
      </w:r>
      <w:proofErr w:type="spellEnd"/>
      <w:r w:rsidRPr="00A36FF3">
        <w:rPr>
          <w:sz w:val="24"/>
          <w:szCs w:val="24"/>
        </w:rPr>
        <w:t xml:space="preserve"> antibiotika og hæmmer vigtige protein biosynteser takket være den selektive binding til bakterielt ribosom RNA. De virker ved at stimulere spaltningen af </w:t>
      </w:r>
      <w:proofErr w:type="spellStart"/>
      <w:r w:rsidRPr="00A36FF3">
        <w:rPr>
          <w:sz w:val="24"/>
          <w:szCs w:val="24"/>
        </w:rPr>
        <w:t>peptidyl</w:t>
      </w:r>
      <w:proofErr w:type="spellEnd"/>
      <w:r w:rsidRPr="00A36FF3">
        <w:rPr>
          <w:sz w:val="24"/>
          <w:szCs w:val="24"/>
        </w:rPr>
        <w:t>-tRNA fra ribosomerne under translokationsprocessen.</w:t>
      </w:r>
    </w:p>
    <w:p w14:paraId="564A0BBC" w14:textId="77777777" w:rsidR="009251DD" w:rsidRPr="00A36FF3" w:rsidRDefault="009251DD" w:rsidP="009251DD">
      <w:pPr>
        <w:tabs>
          <w:tab w:val="left" w:pos="851"/>
          <w:tab w:val="left" w:pos="8222"/>
        </w:tabs>
        <w:ind w:left="851"/>
        <w:rPr>
          <w:sz w:val="24"/>
          <w:szCs w:val="24"/>
        </w:rPr>
      </w:pPr>
    </w:p>
    <w:p w14:paraId="71B118D7" w14:textId="77777777" w:rsidR="009251DD" w:rsidRPr="00A36FF3" w:rsidRDefault="009251DD" w:rsidP="009251DD">
      <w:pPr>
        <w:tabs>
          <w:tab w:val="left" w:pos="851"/>
          <w:tab w:val="left" w:pos="8222"/>
        </w:tabs>
        <w:ind w:left="851"/>
        <w:rPr>
          <w:sz w:val="24"/>
          <w:szCs w:val="24"/>
        </w:rPr>
      </w:pPr>
      <w:proofErr w:type="spellStart"/>
      <w:r w:rsidRPr="00A36FF3">
        <w:rPr>
          <w:sz w:val="24"/>
          <w:szCs w:val="24"/>
        </w:rPr>
        <w:t>Tulathromycin</w:t>
      </w:r>
      <w:proofErr w:type="spellEnd"/>
      <w:r w:rsidRPr="00A36FF3">
        <w:rPr>
          <w:sz w:val="24"/>
          <w:szCs w:val="24"/>
        </w:rPr>
        <w:t xml:space="preserve"> er aktivt </w:t>
      </w:r>
      <w:r w:rsidRPr="00A36FF3">
        <w:rPr>
          <w:i/>
          <w:sz w:val="24"/>
          <w:szCs w:val="24"/>
        </w:rPr>
        <w:t xml:space="preserve">in </w:t>
      </w:r>
      <w:proofErr w:type="spellStart"/>
      <w:r w:rsidRPr="00A36FF3">
        <w:rPr>
          <w:i/>
          <w:sz w:val="24"/>
          <w:szCs w:val="24"/>
        </w:rPr>
        <w:t>vitro</w:t>
      </w:r>
      <w:proofErr w:type="spellEnd"/>
      <w:r w:rsidRPr="00A36FF3">
        <w:rPr>
          <w:i/>
          <w:sz w:val="24"/>
          <w:szCs w:val="24"/>
        </w:rPr>
        <w:t xml:space="preserve"> </w:t>
      </w:r>
      <w:r w:rsidRPr="00A36FF3">
        <w:rPr>
          <w:sz w:val="24"/>
          <w:szCs w:val="24"/>
        </w:rPr>
        <w:t xml:space="preserve">mod </w:t>
      </w:r>
      <w:proofErr w:type="spellStart"/>
      <w:r w:rsidRPr="00A36FF3">
        <w:rPr>
          <w:i/>
          <w:sz w:val="24"/>
          <w:szCs w:val="24"/>
        </w:rPr>
        <w:t>Mannheimia</w:t>
      </w:r>
      <w:proofErr w:type="spellEnd"/>
      <w:r w:rsidRPr="00A36FF3">
        <w:rPr>
          <w:i/>
          <w:sz w:val="24"/>
          <w:szCs w:val="24"/>
        </w:rPr>
        <w:t xml:space="preserve"> </w:t>
      </w:r>
      <w:proofErr w:type="spellStart"/>
      <w:r w:rsidRPr="00A36FF3">
        <w:rPr>
          <w:i/>
          <w:sz w:val="24"/>
          <w:szCs w:val="24"/>
        </w:rPr>
        <w:t>haemolytica</w:t>
      </w:r>
      <w:proofErr w:type="spellEnd"/>
      <w:r w:rsidRPr="00A36FF3">
        <w:rPr>
          <w:sz w:val="24"/>
          <w:szCs w:val="24"/>
        </w:rPr>
        <w:t xml:space="preserve">, </w:t>
      </w:r>
      <w:proofErr w:type="spellStart"/>
      <w:r w:rsidRPr="00A36FF3">
        <w:rPr>
          <w:i/>
          <w:sz w:val="24"/>
          <w:szCs w:val="24"/>
        </w:rPr>
        <w:t>Pasteurella</w:t>
      </w:r>
      <w:proofErr w:type="spellEnd"/>
      <w:r w:rsidRPr="00A36FF3">
        <w:rPr>
          <w:i/>
          <w:sz w:val="24"/>
          <w:szCs w:val="24"/>
        </w:rPr>
        <w:t xml:space="preserve"> </w:t>
      </w:r>
      <w:proofErr w:type="spellStart"/>
      <w:r w:rsidRPr="00A36FF3">
        <w:rPr>
          <w:i/>
          <w:sz w:val="24"/>
          <w:szCs w:val="24"/>
        </w:rPr>
        <w:t>multocida</w:t>
      </w:r>
      <w:proofErr w:type="spellEnd"/>
      <w:r w:rsidRPr="00A36FF3">
        <w:rPr>
          <w:i/>
          <w:sz w:val="24"/>
          <w:szCs w:val="24"/>
        </w:rPr>
        <w:t xml:space="preserve">, </w:t>
      </w:r>
      <w:proofErr w:type="spellStart"/>
      <w:r w:rsidRPr="00A36FF3">
        <w:rPr>
          <w:i/>
          <w:sz w:val="24"/>
          <w:szCs w:val="24"/>
        </w:rPr>
        <w:t>Histophilus</w:t>
      </w:r>
      <w:proofErr w:type="spellEnd"/>
      <w:r w:rsidRPr="00A36FF3">
        <w:rPr>
          <w:i/>
          <w:sz w:val="24"/>
          <w:szCs w:val="24"/>
        </w:rPr>
        <w:t xml:space="preserve"> </w:t>
      </w:r>
      <w:proofErr w:type="spellStart"/>
      <w:r w:rsidRPr="00A36FF3">
        <w:rPr>
          <w:i/>
          <w:sz w:val="24"/>
          <w:szCs w:val="24"/>
        </w:rPr>
        <w:t>somni</w:t>
      </w:r>
      <w:proofErr w:type="spellEnd"/>
      <w:r w:rsidRPr="00A36FF3">
        <w:rPr>
          <w:i/>
          <w:sz w:val="24"/>
          <w:szCs w:val="24"/>
        </w:rPr>
        <w:t xml:space="preserve"> </w:t>
      </w:r>
      <w:r w:rsidRPr="00A36FF3">
        <w:rPr>
          <w:sz w:val="24"/>
          <w:szCs w:val="24"/>
        </w:rPr>
        <w:t xml:space="preserve">og </w:t>
      </w:r>
      <w:proofErr w:type="spellStart"/>
      <w:r w:rsidRPr="00A36FF3">
        <w:rPr>
          <w:i/>
          <w:sz w:val="24"/>
          <w:szCs w:val="24"/>
        </w:rPr>
        <w:t>Mycoplasma</w:t>
      </w:r>
      <w:proofErr w:type="spellEnd"/>
      <w:r w:rsidRPr="00A36FF3">
        <w:rPr>
          <w:i/>
          <w:sz w:val="24"/>
          <w:szCs w:val="24"/>
        </w:rPr>
        <w:t xml:space="preserve"> </w:t>
      </w:r>
      <w:proofErr w:type="spellStart"/>
      <w:r w:rsidRPr="00A36FF3">
        <w:rPr>
          <w:i/>
          <w:sz w:val="24"/>
          <w:szCs w:val="24"/>
        </w:rPr>
        <w:t>bovis</w:t>
      </w:r>
      <w:proofErr w:type="spellEnd"/>
      <w:r w:rsidRPr="00A36FF3">
        <w:rPr>
          <w:sz w:val="24"/>
          <w:szCs w:val="24"/>
        </w:rPr>
        <w:t xml:space="preserve">, samt mod </w:t>
      </w:r>
      <w:proofErr w:type="spellStart"/>
      <w:r w:rsidRPr="00A36FF3">
        <w:rPr>
          <w:i/>
          <w:sz w:val="24"/>
          <w:szCs w:val="24"/>
        </w:rPr>
        <w:t>Actinobacillus</w:t>
      </w:r>
      <w:proofErr w:type="spellEnd"/>
      <w:r w:rsidRPr="00A36FF3">
        <w:rPr>
          <w:i/>
          <w:sz w:val="24"/>
          <w:szCs w:val="24"/>
        </w:rPr>
        <w:t xml:space="preserve"> </w:t>
      </w:r>
      <w:proofErr w:type="spellStart"/>
      <w:r w:rsidRPr="00A36FF3">
        <w:rPr>
          <w:i/>
          <w:sz w:val="24"/>
          <w:szCs w:val="24"/>
        </w:rPr>
        <w:t>pleuropneumoniae</w:t>
      </w:r>
      <w:proofErr w:type="spellEnd"/>
      <w:r w:rsidRPr="00A36FF3">
        <w:rPr>
          <w:sz w:val="24"/>
          <w:szCs w:val="24"/>
        </w:rPr>
        <w:t xml:space="preserve">, </w:t>
      </w:r>
      <w:proofErr w:type="spellStart"/>
      <w:r w:rsidRPr="00A36FF3">
        <w:rPr>
          <w:i/>
          <w:sz w:val="24"/>
          <w:szCs w:val="24"/>
        </w:rPr>
        <w:t>Pasteurella</w:t>
      </w:r>
      <w:proofErr w:type="spellEnd"/>
      <w:r w:rsidRPr="00A36FF3">
        <w:rPr>
          <w:i/>
          <w:sz w:val="24"/>
          <w:szCs w:val="24"/>
        </w:rPr>
        <w:t xml:space="preserve"> </w:t>
      </w:r>
      <w:proofErr w:type="spellStart"/>
      <w:r w:rsidRPr="00A36FF3">
        <w:rPr>
          <w:i/>
          <w:sz w:val="24"/>
          <w:szCs w:val="24"/>
        </w:rPr>
        <w:t>multocida</w:t>
      </w:r>
      <w:proofErr w:type="spellEnd"/>
      <w:r w:rsidRPr="00A36FF3">
        <w:rPr>
          <w:sz w:val="24"/>
          <w:szCs w:val="24"/>
        </w:rPr>
        <w:t xml:space="preserve">, </w:t>
      </w:r>
      <w:proofErr w:type="spellStart"/>
      <w:r w:rsidRPr="00A36FF3">
        <w:rPr>
          <w:i/>
          <w:sz w:val="24"/>
          <w:szCs w:val="24"/>
        </w:rPr>
        <w:t>Mycoplasma</w:t>
      </w:r>
      <w:proofErr w:type="spellEnd"/>
      <w:r w:rsidRPr="00A36FF3">
        <w:rPr>
          <w:i/>
          <w:sz w:val="24"/>
          <w:szCs w:val="24"/>
        </w:rPr>
        <w:t xml:space="preserve"> </w:t>
      </w:r>
      <w:proofErr w:type="spellStart"/>
      <w:r w:rsidRPr="00A36FF3">
        <w:rPr>
          <w:i/>
          <w:sz w:val="24"/>
          <w:szCs w:val="24"/>
        </w:rPr>
        <w:t>hyopneumoniae</w:t>
      </w:r>
      <w:proofErr w:type="spellEnd"/>
      <w:r w:rsidRPr="00A36FF3">
        <w:rPr>
          <w:sz w:val="24"/>
          <w:szCs w:val="24"/>
        </w:rPr>
        <w:t xml:space="preserve">, </w:t>
      </w:r>
      <w:proofErr w:type="spellStart"/>
      <w:r w:rsidRPr="00A36FF3">
        <w:rPr>
          <w:i/>
          <w:sz w:val="24"/>
          <w:szCs w:val="24"/>
        </w:rPr>
        <w:t>Haemophilus</w:t>
      </w:r>
      <w:proofErr w:type="spellEnd"/>
      <w:r w:rsidRPr="00A36FF3">
        <w:rPr>
          <w:i/>
          <w:sz w:val="24"/>
          <w:szCs w:val="24"/>
        </w:rPr>
        <w:t xml:space="preserve"> </w:t>
      </w:r>
      <w:proofErr w:type="spellStart"/>
      <w:r w:rsidRPr="00A36FF3">
        <w:rPr>
          <w:i/>
          <w:sz w:val="24"/>
          <w:szCs w:val="24"/>
        </w:rPr>
        <w:t>parasuis</w:t>
      </w:r>
      <w:proofErr w:type="spellEnd"/>
      <w:r w:rsidRPr="00A36FF3">
        <w:rPr>
          <w:i/>
          <w:sz w:val="24"/>
          <w:szCs w:val="24"/>
        </w:rPr>
        <w:t xml:space="preserve"> </w:t>
      </w:r>
      <w:r w:rsidRPr="00A36FF3">
        <w:rPr>
          <w:sz w:val="24"/>
          <w:szCs w:val="24"/>
        </w:rPr>
        <w:t xml:space="preserve">og </w:t>
      </w:r>
      <w:proofErr w:type="spellStart"/>
      <w:r w:rsidRPr="00A36FF3">
        <w:rPr>
          <w:i/>
          <w:sz w:val="24"/>
          <w:szCs w:val="24"/>
        </w:rPr>
        <w:t>Bordetella</w:t>
      </w:r>
      <w:proofErr w:type="spellEnd"/>
      <w:r w:rsidRPr="00A36FF3">
        <w:rPr>
          <w:i/>
          <w:sz w:val="24"/>
          <w:szCs w:val="24"/>
        </w:rPr>
        <w:t xml:space="preserve"> </w:t>
      </w:r>
      <w:proofErr w:type="spellStart"/>
      <w:r w:rsidRPr="00A36FF3">
        <w:rPr>
          <w:i/>
          <w:sz w:val="24"/>
          <w:szCs w:val="24"/>
        </w:rPr>
        <w:t>bronchiseptica</w:t>
      </w:r>
      <w:proofErr w:type="spellEnd"/>
      <w:r w:rsidRPr="00A36FF3">
        <w:rPr>
          <w:i/>
          <w:sz w:val="24"/>
          <w:szCs w:val="24"/>
        </w:rPr>
        <w:t xml:space="preserve"> </w:t>
      </w:r>
      <w:r w:rsidRPr="00A36FF3">
        <w:rPr>
          <w:sz w:val="24"/>
          <w:szCs w:val="24"/>
        </w:rPr>
        <w:t xml:space="preserve">de patogene bakterier, som oftest forårsager luftvejsinfektioner hos henholdsvis kvæg og svin. Forhøjede værdier af den mindste hæmmende koncentration (MIC) er fundet i nogle </w:t>
      </w:r>
      <w:proofErr w:type="spellStart"/>
      <w:r w:rsidRPr="00A36FF3">
        <w:rPr>
          <w:sz w:val="24"/>
          <w:szCs w:val="24"/>
        </w:rPr>
        <w:t>isolater</w:t>
      </w:r>
      <w:proofErr w:type="spellEnd"/>
      <w:r w:rsidRPr="00A36FF3">
        <w:rPr>
          <w:sz w:val="24"/>
          <w:szCs w:val="24"/>
        </w:rPr>
        <w:t xml:space="preserve"> af </w:t>
      </w:r>
      <w:proofErr w:type="spellStart"/>
      <w:r w:rsidRPr="00A36FF3">
        <w:rPr>
          <w:i/>
          <w:sz w:val="24"/>
          <w:szCs w:val="24"/>
        </w:rPr>
        <w:t>Histophilus</w:t>
      </w:r>
      <w:proofErr w:type="spellEnd"/>
      <w:r w:rsidRPr="00A36FF3">
        <w:rPr>
          <w:i/>
          <w:sz w:val="24"/>
          <w:szCs w:val="24"/>
        </w:rPr>
        <w:t xml:space="preserve"> </w:t>
      </w:r>
      <w:proofErr w:type="spellStart"/>
      <w:r w:rsidRPr="00A36FF3">
        <w:rPr>
          <w:i/>
          <w:sz w:val="24"/>
          <w:szCs w:val="24"/>
        </w:rPr>
        <w:t>somni</w:t>
      </w:r>
      <w:proofErr w:type="spellEnd"/>
      <w:r w:rsidRPr="00A36FF3">
        <w:rPr>
          <w:i/>
          <w:sz w:val="24"/>
          <w:szCs w:val="24"/>
        </w:rPr>
        <w:t xml:space="preserve"> </w:t>
      </w:r>
      <w:r w:rsidRPr="00A36FF3">
        <w:rPr>
          <w:sz w:val="24"/>
          <w:szCs w:val="24"/>
        </w:rPr>
        <w:t xml:space="preserve">og </w:t>
      </w:r>
      <w:proofErr w:type="spellStart"/>
      <w:r w:rsidRPr="00A36FF3">
        <w:rPr>
          <w:i/>
          <w:sz w:val="24"/>
          <w:szCs w:val="24"/>
        </w:rPr>
        <w:t>Actinobacillus</w:t>
      </w:r>
      <w:proofErr w:type="spellEnd"/>
      <w:r w:rsidRPr="00A36FF3">
        <w:rPr>
          <w:i/>
          <w:sz w:val="24"/>
          <w:szCs w:val="24"/>
        </w:rPr>
        <w:t xml:space="preserve"> </w:t>
      </w:r>
      <w:proofErr w:type="spellStart"/>
      <w:r w:rsidRPr="00A36FF3">
        <w:rPr>
          <w:i/>
          <w:sz w:val="24"/>
          <w:szCs w:val="24"/>
        </w:rPr>
        <w:t>pleuropneumoniae</w:t>
      </w:r>
      <w:proofErr w:type="spellEnd"/>
      <w:r w:rsidRPr="00A36FF3">
        <w:rPr>
          <w:sz w:val="24"/>
          <w:szCs w:val="24"/>
        </w:rPr>
        <w:t xml:space="preserve">. </w:t>
      </w:r>
      <w:r w:rsidRPr="00A36FF3">
        <w:rPr>
          <w:i/>
          <w:sz w:val="24"/>
          <w:szCs w:val="24"/>
        </w:rPr>
        <w:t xml:space="preserve">In </w:t>
      </w:r>
      <w:proofErr w:type="spellStart"/>
      <w:r w:rsidRPr="00A36FF3">
        <w:rPr>
          <w:i/>
          <w:sz w:val="24"/>
          <w:szCs w:val="24"/>
        </w:rPr>
        <w:t>vitro</w:t>
      </w:r>
      <w:proofErr w:type="spellEnd"/>
      <w:r w:rsidRPr="00A36FF3">
        <w:rPr>
          <w:i/>
          <w:sz w:val="24"/>
          <w:szCs w:val="24"/>
        </w:rPr>
        <w:t>-</w:t>
      </w:r>
      <w:r w:rsidRPr="00A36FF3">
        <w:rPr>
          <w:sz w:val="24"/>
          <w:szCs w:val="24"/>
        </w:rPr>
        <w:t xml:space="preserve">aktivitet mod </w:t>
      </w:r>
      <w:proofErr w:type="spellStart"/>
      <w:r w:rsidRPr="00A36FF3">
        <w:rPr>
          <w:i/>
          <w:sz w:val="24"/>
          <w:szCs w:val="24"/>
        </w:rPr>
        <w:t>Dichelobactor</w:t>
      </w:r>
      <w:proofErr w:type="spellEnd"/>
      <w:r w:rsidRPr="00A36FF3">
        <w:rPr>
          <w:i/>
          <w:sz w:val="24"/>
          <w:szCs w:val="24"/>
        </w:rPr>
        <w:t xml:space="preserve"> </w:t>
      </w:r>
      <w:proofErr w:type="spellStart"/>
      <w:r w:rsidRPr="00A36FF3">
        <w:rPr>
          <w:i/>
          <w:sz w:val="24"/>
          <w:szCs w:val="24"/>
        </w:rPr>
        <w:t>nodosus</w:t>
      </w:r>
      <w:proofErr w:type="spellEnd"/>
      <w:r w:rsidRPr="00A36FF3">
        <w:rPr>
          <w:i/>
          <w:sz w:val="24"/>
          <w:szCs w:val="24"/>
        </w:rPr>
        <w:t xml:space="preserve"> </w:t>
      </w:r>
      <w:r w:rsidRPr="00A36FF3">
        <w:rPr>
          <w:sz w:val="24"/>
          <w:szCs w:val="24"/>
        </w:rPr>
        <w:t xml:space="preserve">(virulent), som er det bakterielle patogen, der oftest forbindes med smitsom </w:t>
      </w:r>
      <w:proofErr w:type="spellStart"/>
      <w:r w:rsidRPr="00A36FF3">
        <w:rPr>
          <w:sz w:val="24"/>
          <w:szCs w:val="24"/>
        </w:rPr>
        <w:t>pododermatitis</w:t>
      </w:r>
      <w:proofErr w:type="spellEnd"/>
      <w:r w:rsidRPr="00A36FF3">
        <w:rPr>
          <w:sz w:val="24"/>
          <w:szCs w:val="24"/>
        </w:rPr>
        <w:t xml:space="preserve"> (klovsyge), er påvist hos får.</w:t>
      </w:r>
    </w:p>
    <w:p w14:paraId="3212DF60" w14:textId="77777777" w:rsidR="009251DD" w:rsidRPr="00A36FF3" w:rsidRDefault="009251DD" w:rsidP="009251DD">
      <w:pPr>
        <w:tabs>
          <w:tab w:val="left" w:pos="851"/>
          <w:tab w:val="left" w:pos="8222"/>
        </w:tabs>
        <w:ind w:left="851"/>
        <w:rPr>
          <w:sz w:val="24"/>
          <w:szCs w:val="24"/>
        </w:rPr>
      </w:pPr>
    </w:p>
    <w:p w14:paraId="191035AD" w14:textId="77777777" w:rsidR="009251DD" w:rsidRPr="00A36FF3" w:rsidRDefault="009251DD" w:rsidP="009251DD">
      <w:pPr>
        <w:tabs>
          <w:tab w:val="left" w:pos="851"/>
          <w:tab w:val="left" w:pos="8222"/>
        </w:tabs>
        <w:ind w:left="851"/>
        <w:rPr>
          <w:sz w:val="24"/>
          <w:szCs w:val="24"/>
        </w:rPr>
      </w:pPr>
      <w:proofErr w:type="spellStart"/>
      <w:r w:rsidRPr="00A36FF3">
        <w:rPr>
          <w:sz w:val="24"/>
          <w:szCs w:val="24"/>
        </w:rPr>
        <w:t>Tulathromycin</w:t>
      </w:r>
      <w:proofErr w:type="spellEnd"/>
      <w:r w:rsidRPr="00A36FF3">
        <w:rPr>
          <w:sz w:val="24"/>
          <w:szCs w:val="24"/>
        </w:rPr>
        <w:t xml:space="preserve"> er også aktivt </w:t>
      </w:r>
      <w:r w:rsidRPr="00A36FF3">
        <w:rPr>
          <w:i/>
          <w:sz w:val="24"/>
          <w:szCs w:val="24"/>
        </w:rPr>
        <w:t xml:space="preserve">in </w:t>
      </w:r>
      <w:proofErr w:type="spellStart"/>
      <w:r w:rsidRPr="00A36FF3">
        <w:rPr>
          <w:i/>
          <w:sz w:val="24"/>
          <w:szCs w:val="24"/>
        </w:rPr>
        <w:t>vitro</w:t>
      </w:r>
      <w:proofErr w:type="spellEnd"/>
      <w:r w:rsidRPr="00A36FF3">
        <w:rPr>
          <w:i/>
          <w:sz w:val="24"/>
          <w:szCs w:val="24"/>
        </w:rPr>
        <w:t xml:space="preserve"> </w:t>
      </w:r>
      <w:r w:rsidRPr="00A36FF3">
        <w:rPr>
          <w:sz w:val="24"/>
          <w:szCs w:val="24"/>
        </w:rPr>
        <w:t xml:space="preserve">mod </w:t>
      </w:r>
      <w:proofErr w:type="spellStart"/>
      <w:r w:rsidRPr="00A36FF3">
        <w:rPr>
          <w:i/>
          <w:sz w:val="24"/>
          <w:szCs w:val="24"/>
        </w:rPr>
        <w:t>Moraxella</w:t>
      </w:r>
      <w:proofErr w:type="spellEnd"/>
      <w:r w:rsidRPr="00A36FF3">
        <w:rPr>
          <w:i/>
          <w:sz w:val="24"/>
          <w:szCs w:val="24"/>
        </w:rPr>
        <w:t xml:space="preserve"> </w:t>
      </w:r>
      <w:proofErr w:type="spellStart"/>
      <w:r w:rsidRPr="00A36FF3">
        <w:rPr>
          <w:i/>
          <w:sz w:val="24"/>
          <w:szCs w:val="24"/>
        </w:rPr>
        <w:t>bovis</w:t>
      </w:r>
      <w:proofErr w:type="spellEnd"/>
      <w:r w:rsidRPr="00A36FF3">
        <w:rPr>
          <w:i/>
          <w:sz w:val="24"/>
          <w:szCs w:val="24"/>
        </w:rPr>
        <w:t xml:space="preserve">, </w:t>
      </w:r>
      <w:r w:rsidRPr="00A36FF3">
        <w:rPr>
          <w:sz w:val="24"/>
          <w:szCs w:val="24"/>
        </w:rPr>
        <w:t xml:space="preserve">den patogene bakterie, som oftest forårsager Infektiøs Bovin </w:t>
      </w:r>
      <w:proofErr w:type="spellStart"/>
      <w:r w:rsidRPr="00A36FF3">
        <w:rPr>
          <w:sz w:val="24"/>
          <w:szCs w:val="24"/>
        </w:rPr>
        <w:t>Keratokonjunktivitis</w:t>
      </w:r>
      <w:proofErr w:type="spellEnd"/>
      <w:r w:rsidRPr="00A36FF3">
        <w:rPr>
          <w:sz w:val="24"/>
          <w:szCs w:val="24"/>
        </w:rPr>
        <w:t xml:space="preserve"> (IBK).</w:t>
      </w:r>
    </w:p>
    <w:p w14:paraId="1DE7F27C" w14:textId="77777777" w:rsidR="009251DD" w:rsidRPr="00A36FF3" w:rsidRDefault="009251DD" w:rsidP="009251DD">
      <w:pPr>
        <w:tabs>
          <w:tab w:val="left" w:pos="851"/>
          <w:tab w:val="left" w:pos="8222"/>
        </w:tabs>
        <w:ind w:left="851"/>
        <w:rPr>
          <w:sz w:val="24"/>
          <w:szCs w:val="24"/>
        </w:rPr>
      </w:pPr>
    </w:p>
    <w:p w14:paraId="63287700" w14:textId="46922911" w:rsidR="009251DD" w:rsidRPr="00A36FF3" w:rsidRDefault="009251DD" w:rsidP="009251DD">
      <w:pPr>
        <w:tabs>
          <w:tab w:val="left" w:pos="851"/>
          <w:tab w:val="left" w:pos="8222"/>
        </w:tabs>
        <w:ind w:left="851"/>
        <w:rPr>
          <w:sz w:val="24"/>
          <w:szCs w:val="24"/>
        </w:rPr>
      </w:pPr>
      <w:proofErr w:type="spellStart"/>
      <w:r w:rsidRPr="00A36FF3">
        <w:rPr>
          <w:sz w:val="24"/>
          <w:szCs w:val="24"/>
        </w:rPr>
        <w:t>Clinical</w:t>
      </w:r>
      <w:proofErr w:type="spellEnd"/>
      <w:r w:rsidRPr="00A36FF3">
        <w:rPr>
          <w:sz w:val="24"/>
          <w:szCs w:val="24"/>
        </w:rPr>
        <w:t xml:space="preserve"> and Laboratory Standards Institute (CLSI) har fastsat de kliniske grænseværdier for </w:t>
      </w:r>
      <w:proofErr w:type="spellStart"/>
      <w:r w:rsidRPr="00A36FF3">
        <w:rPr>
          <w:sz w:val="24"/>
          <w:szCs w:val="24"/>
        </w:rPr>
        <w:t>tulathromycin</w:t>
      </w:r>
      <w:proofErr w:type="spellEnd"/>
      <w:r w:rsidRPr="00A36FF3">
        <w:rPr>
          <w:sz w:val="24"/>
          <w:szCs w:val="24"/>
        </w:rPr>
        <w:t xml:space="preserve"> over for </w:t>
      </w:r>
      <w:r w:rsidRPr="00A36FF3">
        <w:rPr>
          <w:i/>
          <w:sz w:val="24"/>
          <w:szCs w:val="24"/>
        </w:rPr>
        <w:t xml:space="preserve">M. </w:t>
      </w:r>
      <w:proofErr w:type="spellStart"/>
      <w:r w:rsidRPr="00A36FF3">
        <w:rPr>
          <w:i/>
          <w:sz w:val="24"/>
          <w:szCs w:val="24"/>
        </w:rPr>
        <w:t>haemolytica</w:t>
      </w:r>
      <w:proofErr w:type="spellEnd"/>
      <w:r w:rsidRPr="00A36FF3">
        <w:rPr>
          <w:sz w:val="24"/>
          <w:szCs w:val="24"/>
        </w:rPr>
        <w:t xml:space="preserve">, </w:t>
      </w:r>
      <w:r w:rsidRPr="00A36FF3">
        <w:rPr>
          <w:i/>
          <w:sz w:val="24"/>
          <w:szCs w:val="24"/>
        </w:rPr>
        <w:t xml:space="preserve">P. </w:t>
      </w:r>
      <w:proofErr w:type="spellStart"/>
      <w:r w:rsidRPr="00A36FF3">
        <w:rPr>
          <w:i/>
          <w:sz w:val="24"/>
          <w:szCs w:val="24"/>
        </w:rPr>
        <w:t>multocida</w:t>
      </w:r>
      <w:proofErr w:type="spellEnd"/>
      <w:r w:rsidRPr="00A36FF3">
        <w:rPr>
          <w:sz w:val="24"/>
          <w:szCs w:val="24"/>
        </w:rPr>
        <w:t xml:space="preserve"> og </w:t>
      </w:r>
      <w:r w:rsidRPr="00A36FF3">
        <w:rPr>
          <w:i/>
          <w:sz w:val="24"/>
          <w:szCs w:val="24"/>
        </w:rPr>
        <w:t xml:space="preserve">H. </w:t>
      </w:r>
      <w:proofErr w:type="spellStart"/>
      <w:r w:rsidRPr="00A36FF3">
        <w:rPr>
          <w:i/>
          <w:sz w:val="24"/>
          <w:szCs w:val="24"/>
        </w:rPr>
        <w:t>somni</w:t>
      </w:r>
      <w:proofErr w:type="spellEnd"/>
      <w:r w:rsidR="006B2654" w:rsidRPr="00A36FF3">
        <w:rPr>
          <w:sz w:val="24"/>
          <w:szCs w:val="24"/>
        </w:rPr>
        <w:t>,</w:t>
      </w:r>
      <w:r w:rsidRPr="00A36FF3">
        <w:rPr>
          <w:i/>
          <w:sz w:val="24"/>
          <w:szCs w:val="24"/>
        </w:rPr>
        <w:t xml:space="preserve"> </w:t>
      </w:r>
      <w:r w:rsidRPr="00A36FF3">
        <w:rPr>
          <w:sz w:val="24"/>
          <w:szCs w:val="24"/>
        </w:rPr>
        <w:t>der stammer fra luftvejene hos kvæg, og</w:t>
      </w:r>
      <w:r w:rsidRPr="00A36FF3">
        <w:rPr>
          <w:i/>
          <w:sz w:val="24"/>
          <w:szCs w:val="24"/>
        </w:rPr>
        <w:t xml:space="preserve"> P. </w:t>
      </w:r>
      <w:proofErr w:type="spellStart"/>
      <w:r w:rsidRPr="00A36FF3">
        <w:rPr>
          <w:i/>
          <w:sz w:val="24"/>
          <w:szCs w:val="24"/>
        </w:rPr>
        <w:t>multocida</w:t>
      </w:r>
      <w:proofErr w:type="spellEnd"/>
      <w:r w:rsidRPr="00A36FF3">
        <w:rPr>
          <w:sz w:val="24"/>
          <w:szCs w:val="24"/>
        </w:rPr>
        <w:t xml:space="preserve"> og </w:t>
      </w:r>
      <w:r w:rsidRPr="00A36FF3">
        <w:rPr>
          <w:i/>
          <w:sz w:val="24"/>
          <w:szCs w:val="24"/>
        </w:rPr>
        <w:t xml:space="preserve">B. </w:t>
      </w:r>
      <w:proofErr w:type="spellStart"/>
      <w:r w:rsidRPr="00A36FF3">
        <w:rPr>
          <w:i/>
          <w:sz w:val="24"/>
          <w:szCs w:val="24"/>
        </w:rPr>
        <w:t>bronchiseptica</w:t>
      </w:r>
      <w:proofErr w:type="spellEnd"/>
      <w:r w:rsidR="006B2654" w:rsidRPr="00A36FF3">
        <w:rPr>
          <w:sz w:val="24"/>
          <w:szCs w:val="24"/>
        </w:rPr>
        <w:t>,</w:t>
      </w:r>
      <w:r w:rsidRPr="00A36FF3">
        <w:rPr>
          <w:sz w:val="24"/>
          <w:szCs w:val="24"/>
        </w:rPr>
        <w:t xml:space="preserve"> der stammer fra luftvejene hos svin, som ≤16 </w:t>
      </w:r>
      <w:proofErr w:type="spellStart"/>
      <w:r w:rsidRPr="00A36FF3">
        <w:rPr>
          <w:sz w:val="24"/>
          <w:szCs w:val="24"/>
        </w:rPr>
        <w:t>μg</w:t>
      </w:r>
      <w:proofErr w:type="spellEnd"/>
      <w:r w:rsidRPr="00A36FF3">
        <w:rPr>
          <w:sz w:val="24"/>
          <w:szCs w:val="24"/>
        </w:rPr>
        <w:t xml:space="preserve">/ml følsom og ≥64 </w:t>
      </w:r>
      <w:proofErr w:type="spellStart"/>
      <w:r w:rsidRPr="00A36FF3">
        <w:rPr>
          <w:sz w:val="24"/>
          <w:szCs w:val="24"/>
        </w:rPr>
        <w:t>μg</w:t>
      </w:r>
      <w:proofErr w:type="spellEnd"/>
      <w:r w:rsidRPr="00A36FF3">
        <w:rPr>
          <w:sz w:val="24"/>
          <w:szCs w:val="24"/>
        </w:rPr>
        <w:t xml:space="preserve">/ml resistent. </w:t>
      </w:r>
    </w:p>
    <w:p w14:paraId="600C4FF5" w14:textId="1EC86189" w:rsidR="009251DD" w:rsidRPr="00A36FF3" w:rsidRDefault="009251DD" w:rsidP="009251DD">
      <w:pPr>
        <w:tabs>
          <w:tab w:val="left" w:pos="851"/>
          <w:tab w:val="left" w:pos="8222"/>
        </w:tabs>
        <w:ind w:left="851"/>
        <w:rPr>
          <w:sz w:val="24"/>
          <w:szCs w:val="24"/>
        </w:rPr>
      </w:pPr>
      <w:r w:rsidRPr="00A36FF3">
        <w:rPr>
          <w:sz w:val="24"/>
          <w:szCs w:val="24"/>
        </w:rPr>
        <w:t xml:space="preserve">For </w:t>
      </w:r>
      <w:r w:rsidRPr="00A36FF3">
        <w:rPr>
          <w:i/>
          <w:sz w:val="24"/>
          <w:szCs w:val="24"/>
        </w:rPr>
        <w:t xml:space="preserve">A. </w:t>
      </w:r>
      <w:proofErr w:type="spellStart"/>
      <w:r w:rsidRPr="00A36FF3">
        <w:rPr>
          <w:i/>
          <w:sz w:val="24"/>
          <w:szCs w:val="24"/>
        </w:rPr>
        <w:t>Pleuropneumoniae</w:t>
      </w:r>
      <w:proofErr w:type="spellEnd"/>
      <w:r w:rsidRPr="00A36FF3">
        <w:rPr>
          <w:i/>
          <w:sz w:val="24"/>
          <w:szCs w:val="24"/>
        </w:rPr>
        <w:t>,</w:t>
      </w:r>
      <w:r w:rsidRPr="00A36FF3">
        <w:rPr>
          <w:sz w:val="24"/>
          <w:szCs w:val="24"/>
        </w:rPr>
        <w:t xml:space="preserve"> der stammer fra luftvejene hos svin,</w:t>
      </w:r>
      <w:r w:rsidR="00E17A37">
        <w:rPr>
          <w:sz w:val="24"/>
          <w:szCs w:val="24"/>
        </w:rPr>
        <w:t xml:space="preserve"> </w:t>
      </w:r>
      <w:r w:rsidRPr="00A36FF3">
        <w:rPr>
          <w:sz w:val="24"/>
          <w:szCs w:val="24"/>
        </w:rPr>
        <w:t>er grænseværdien for følsomhed sat</w:t>
      </w:r>
      <w:r w:rsidR="006B2654" w:rsidRPr="00A36FF3">
        <w:rPr>
          <w:sz w:val="24"/>
          <w:szCs w:val="24"/>
        </w:rPr>
        <w:t xml:space="preserve"> </w:t>
      </w:r>
      <w:r w:rsidRPr="00A36FF3">
        <w:rPr>
          <w:sz w:val="24"/>
          <w:szCs w:val="24"/>
        </w:rPr>
        <w:t xml:space="preserve">til ≤64 µg/ml. CLSI har også udgivet kliniske grænseværdier for </w:t>
      </w:r>
      <w:proofErr w:type="spellStart"/>
      <w:r w:rsidRPr="00A36FF3">
        <w:rPr>
          <w:sz w:val="24"/>
          <w:szCs w:val="24"/>
        </w:rPr>
        <w:t>tulathromycin</w:t>
      </w:r>
      <w:proofErr w:type="spellEnd"/>
      <w:r w:rsidRPr="00A36FF3">
        <w:rPr>
          <w:sz w:val="24"/>
          <w:szCs w:val="24"/>
        </w:rPr>
        <w:t xml:space="preserve"> baseret på en diskdiffusionsmetode (CLSI-dokument VET08, 4. udgave, </w:t>
      </w:r>
      <w:r w:rsidRPr="00A36FF3">
        <w:rPr>
          <w:sz w:val="24"/>
          <w:szCs w:val="24"/>
        </w:rPr>
        <w:lastRenderedPageBreak/>
        <w:t>2018). Der er ingen tilgængelige kliniske</w:t>
      </w:r>
      <w:r w:rsidR="00F62780" w:rsidRPr="00A36FF3">
        <w:rPr>
          <w:sz w:val="24"/>
          <w:szCs w:val="24"/>
        </w:rPr>
        <w:t xml:space="preserve"> </w:t>
      </w:r>
      <w:r w:rsidRPr="00A36FF3">
        <w:rPr>
          <w:sz w:val="24"/>
          <w:szCs w:val="24"/>
        </w:rPr>
        <w:t xml:space="preserve">grænseværdier for </w:t>
      </w:r>
      <w:r w:rsidRPr="00A36FF3">
        <w:rPr>
          <w:i/>
          <w:sz w:val="24"/>
          <w:szCs w:val="24"/>
        </w:rPr>
        <w:t xml:space="preserve">H. </w:t>
      </w:r>
      <w:proofErr w:type="spellStart"/>
      <w:r w:rsidRPr="00A36FF3">
        <w:rPr>
          <w:i/>
          <w:sz w:val="24"/>
          <w:szCs w:val="24"/>
        </w:rPr>
        <w:t>parasuis</w:t>
      </w:r>
      <w:proofErr w:type="spellEnd"/>
      <w:r w:rsidRPr="00A36FF3">
        <w:rPr>
          <w:sz w:val="24"/>
          <w:szCs w:val="24"/>
        </w:rPr>
        <w:t xml:space="preserve">.  Hverken EUCAST eller CLSI har udviklet standardmetoder til test af antibakterielle midler mod veterinære </w:t>
      </w:r>
      <w:proofErr w:type="spellStart"/>
      <w:r w:rsidRPr="00A36FF3">
        <w:rPr>
          <w:i/>
          <w:sz w:val="24"/>
          <w:szCs w:val="24"/>
        </w:rPr>
        <w:t>Mycoplasma</w:t>
      </w:r>
      <w:proofErr w:type="spellEnd"/>
      <w:r w:rsidRPr="00A36FF3">
        <w:rPr>
          <w:sz w:val="24"/>
          <w:szCs w:val="24"/>
        </w:rPr>
        <w:t>-arter, og der er således ikke fastsat nogen fortolkningskriterier.</w:t>
      </w:r>
    </w:p>
    <w:p w14:paraId="53645C6B" w14:textId="77777777" w:rsidR="009251DD" w:rsidRPr="00A36FF3" w:rsidRDefault="009251DD" w:rsidP="009251DD">
      <w:pPr>
        <w:tabs>
          <w:tab w:val="left" w:pos="851"/>
          <w:tab w:val="left" w:pos="8222"/>
        </w:tabs>
        <w:ind w:left="851"/>
        <w:rPr>
          <w:sz w:val="24"/>
          <w:szCs w:val="24"/>
        </w:rPr>
      </w:pPr>
    </w:p>
    <w:p w14:paraId="4C3A5CB9" w14:textId="77777777" w:rsidR="009251DD" w:rsidRPr="00A36FF3" w:rsidRDefault="009251DD" w:rsidP="009251DD">
      <w:pPr>
        <w:tabs>
          <w:tab w:val="left" w:pos="851"/>
          <w:tab w:val="left" w:pos="8222"/>
        </w:tabs>
        <w:ind w:left="851"/>
        <w:rPr>
          <w:sz w:val="24"/>
          <w:szCs w:val="24"/>
        </w:rPr>
      </w:pPr>
      <w:r w:rsidRPr="00A36FF3">
        <w:rPr>
          <w:sz w:val="24"/>
          <w:szCs w:val="24"/>
        </w:rPr>
        <w:t xml:space="preserve">Resistens mod </w:t>
      </w:r>
      <w:proofErr w:type="spellStart"/>
      <w:r w:rsidRPr="00A36FF3">
        <w:rPr>
          <w:sz w:val="24"/>
          <w:szCs w:val="24"/>
        </w:rPr>
        <w:t>macrolider</w:t>
      </w:r>
      <w:proofErr w:type="spellEnd"/>
      <w:r w:rsidRPr="00A36FF3">
        <w:rPr>
          <w:sz w:val="24"/>
          <w:szCs w:val="24"/>
        </w:rPr>
        <w:t xml:space="preserve"> kan udvikles ved mutation i gener der koder for </w:t>
      </w:r>
      <w:proofErr w:type="spellStart"/>
      <w:r w:rsidRPr="00A36FF3">
        <w:rPr>
          <w:sz w:val="24"/>
          <w:szCs w:val="24"/>
        </w:rPr>
        <w:t>ribosomal</w:t>
      </w:r>
      <w:proofErr w:type="spellEnd"/>
      <w:r w:rsidRPr="00A36FF3">
        <w:rPr>
          <w:sz w:val="24"/>
          <w:szCs w:val="24"/>
        </w:rPr>
        <w:t xml:space="preserve"> RNA (</w:t>
      </w:r>
      <w:proofErr w:type="spellStart"/>
      <w:r w:rsidRPr="00A36FF3">
        <w:rPr>
          <w:sz w:val="24"/>
          <w:szCs w:val="24"/>
        </w:rPr>
        <w:t>rRNA</w:t>
      </w:r>
      <w:proofErr w:type="spellEnd"/>
      <w:r w:rsidRPr="00A36FF3">
        <w:rPr>
          <w:sz w:val="24"/>
          <w:szCs w:val="24"/>
        </w:rPr>
        <w:t xml:space="preserve">) eller nogle </w:t>
      </w:r>
      <w:proofErr w:type="spellStart"/>
      <w:r w:rsidRPr="00A36FF3">
        <w:rPr>
          <w:sz w:val="24"/>
          <w:szCs w:val="24"/>
        </w:rPr>
        <w:t>ribosomal</w:t>
      </w:r>
      <w:proofErr w:type="spellEnd"/>
      <w:r w:rsidRPr="00A36FF3">
        <w:rPr>
          <w:sz w:val="24"/>
          <w:szCs w:val="24"/>
        </w:rPr>
        <w:t xml:space="preserve"> proteiner; ved enzymatisk modifikation (</w:t>
      </w:r>
      <w:proofErr w:type="spellStart"/>
      <w:r w:rsidRPr="00A36FF3">
        <w:rPr>
          <w:sz w:val="24"/>
          <w:szCs w:val="24"/>
        </w:rPr>
        <w:t>metylering</w:t>
      </w:r>
      <w:proofErr w:type="spellEnd"/>
      <w:r w:rsidRPr="00A36FF3">
        <w:rPr>
          <w:sz w:val="24"/>
          <w:szCs w:val="24"/>
        </w:rPr>
        <w:t xml:space="preserve">) af det specifikke 23S </w:t>
      </w:r>
      <w:proofErr w:type="spellStart"/>
      <w:r w:rsidRPr="00A36FF3">
        <w:rPr>
          <w:sz w:val="24"/>
          <w:szCs w:val="24"/>
        </w:rPr>
        <w:t>rRNA</w:t>
      </w:r>
      <w:proofErr w:type="spellEnd"/>
      <w:r w:rsidRPr="00A36FF3">
        <w:rPr>
          <w:sz w:val="24"/>
          <w:szCs w:val="24"/>
        </w:rPr>
        <w:t>, hvilket ofte giver krydsresistens med lincosamider og gruppe B-</w:t>
      </w:r>
      <w:proofErr w:type="spellStart"/>
      <w:r w:rsidRPr="00A36FF3">
        <w:rPr>
          <w:sz w:val="24"/>
          <w:szCs w:val="24"/>
        </w:rPr>
        <w:t>streptogramin</w:t>
      </w:r>
      <w:proofErr w:type="spellEnd"/>
      <w:r w:rsidRPr="00A36FF3">
        <w:rPr>
          <w:sz w:val="24"/>
          <w:szCs w:val="24"/>
        </w:rPr>
        <w:t xml:space="preserve"> (</w:t>
      </w:r>
      <w:proofErr w:type="gramStart"/>
      <w:r w:rsidRPr="00A36FF3">
        <w:rPr>
          <w:sz w:val="24"/>
          <w:szCs w:val="24"/>
        </w:rPr>
        <w:t>MLSB resistens</w:t>
      </w:r>
      <w:proofErr w:type="gramEnd"/>
      <w:r w:rsidRPr="00A36FF3">
        <w:rPr>
          <w:sz w:val="24"/>
          <w:szCs w:val="24"/>
        </w:rPr>
        <w:t xml:space="preserve">); ved enzymatisk inaktivering eller ved </w:t>
      </w:r>
      <w:proofErr w:type="spellStart"/>
      <w:r w:rsidRPr="00A36FF3">
        <w:rPr>
          <w:sz w:val="24"/>
          <w:szCs w:val="24"/>
        </w:rPr>
        <w:t>macrolid</w:t>
      </w:r>
      <w:proofErr w:type="spellEnd"/>
      <w:r w:rsidRPr="00A36FF3">
        <w:rPr>
          <w:sz w:val="24"/>
          <w:szCs w:val="24"/>
        </w:rPr>
        <w:t xml:space="preserve"> </w:t>
      </w:r>
      <w:proofErr w:type="spellStart"/>
      <w:r w:rsidRPr="00A36FF3">
        <w:rPr>
          <w:sz w:val="24"/>
          <w:szCs w:val="24"/>
        </w:rPr>
        <w:t>efflux</w:t>
      </w:r>
      <w:proofErr w:type="spellEnd"/>
      <w:r w:rsidRPr="00A36FF3">
        <w:rPr>
          <w:sz w:val="24"/>
          <w:szCs w:val="24"/>
        </w:rPr>
        <w:t xml:space="preserve">. </w:t>
      </w:r>
      <w:proofErr w:type="gramStart"/>
      <w:r w:rsidRPr="00A36FF3">
        <w:rPr>
          <w:sz w:val="24"/>
          <w:szCs w:val="24"/>
        </w:rPr>
        <w:t>MLSB resistens</w:t>
      </w:r>
      <w:proofErr w:type="gramEnd"/>
      <w:r w:rsidRPr="00A36FF3">
        <w:rPr>
          <w:sz w:val="24"/>
          <w:szCs w:val="24"/>
        </w:rPr>
        <w:t xml:space="preserve"> kan være konstitutiv eller induktiv. </w:t>
      </w:r>
    </w:p>
    <w:p w14:paraId="7603F59A" w14:textId="77777777" w:rsidR="009251DD" w:rsidRPr="00A36FF3" w:rsidRDefault="009251DD" w:rsidP="009251DD">
      <w:pPr>
        <w:tabs>
          <w:tab w:val="left" w:pos="851"/>
          <w:tab w:val="left" w:pos="8222"/>
        </w:tabs>
        <w:ind w:left="851"/>
        <w:rPr>
          <w:sz w:val="24"/>
          <w:szCs w:val="24"/>
        </w:rPr>
      </w:pPr>
    </w:p>
    <w:p w14:paraId="10F21154" w14:textId="77777777" w:rsidR="009251DD" w:rsidRPr="00A36FF3" w:rsidRDefault="009251DD" w:rsidP="009251DD">
      <w:pPr>
        <w:tabs>
          <w:tab w:val="left" w:pos="851"/>
          <w:tab w:val="left" w:pos="8222"/>
        </w:tabs>
        <w:ind w:left="851"/>
        <w:rPr>
          <w:sz w:val="24"/>
          <w:szCs w:val="24"/>
        </w:rPr>
      </w:pPr>
      <w:r w:rsidRPr="00A36FF3">
        <w:rPr>
          <w:sz w:val="24"/>
          <w:szCs w:val="24"/>
        </w:rPr>
        <w:t>Resistens kan være kromosomal- eller plasmid-kodet og kan blive overført i forbindelse</w:t>
      </w:r>
    </w:p>
    <w:p w14:paraId="318F8B13" w14:textId="7DF5674E" w:rsidR="009251DD" w:rsidRPr="00A36FF3" w:rsidRDefault="009251DD" w:rsidP="009251DD">
      <w:pPr>
        <w:tabs>
          <w:tab w:val="left" w:pos="851"/>
          <w:tab w:val="left" w:pos="8222"/>
        </w:tabs>
        <w:ind w:left="851"/>
        <w:rPr>
          <w:sz w:val="24"/>
          <w:szCs w:val="24"/>
        </w:rPr>
      </w:pPr>
      <w:r w:rsidRPr="00A36FF3">
        <w:rPr>
          <w:sz w:val="24"/>
          <w:szCs w:val="24"/>
        </w:rPr>
        <w:t xml:space="preserve">med </w:t>
      </w:r>
      <w:proofErr w:type="spellStart"/>
      <w:r w:rsidRPr="00A36FF3">
        <w:rPr>
          <w:sz w:val="24"/>
          <w:szCs w:val="24"/>
        </w:rPr>
        <w:t>transposomer</w:t>
      </w:r>
      <w:proofErr w:type="spellEnd"/>
      <w:r w:rsidRPr="00A36FF3">
        <w:rPr>
          <w:sz w:val="24"/>
          <w:szCs w:val="24"/>
        </w:rPr>
        <w:t xml:space="preserve">, plasmider, integrerede og konjugerende elementer. Derudover forbedres </w:t>
      </w:r>
      <w:proofErr w:type="spellStart"/>
      <w:r w:rsidRPr="00A36FF3">
        <w:rPr>
          <w:i/>
          <w:sz w:val="24"/>
          <w:szCs w:val="24"/>
        </w:rPr>
        <w:t>Mycoplasmas</w:t>
      </w:r>
      <w:proofErr w:type="spellEnd"/>
      <w:r w:rsidRPr="00A36FF3">
        <w:rPr>
          <w:sz w:val="24"/>
          <w:szCs w:val="24"/>
        </w:rPr>
        <w:t xml:space="preserve"> </w:t>
      </w:r>
      <w:proofErr w:type="spellStart"/>
      <w:r w:rsidRPr="00A36FF3">
        <w:rPr>
          <w:sz w:val="24"/>
          <w:szCs w:val="24"/>
        </w:rPr>
        <w:t>genomiske</w:t>
      </w:r>
      <w:proofErr w:type="spellEnd"/>
      <w:r w:rsidRPr="00A36FF3">
        <w:rPr>
          <w:sz w:val="24"/>
          <w:szCs w:val="24"/>
        </w:rPr>
        <w:t xml:space="preserve"> plasticitet af </w:t>
      </w:r>
      <w:proofErr w:type="gramStart"/>
      <w:r w:rsidRPr="00A36FF3">
        <w:rPr>
          <w:sz w:val="24"/>
          <w:szCs w:val="24"/>
        </w:rPr>
        <w:t>det horisontale overførsel</w:t>
      </w:r>
      <w:proofErr w:type="gramEnd"/>
      <w:r w:rsidRPr="00A36FF3">
        <w:rPr>
          <w:sz w:val="24"/>
          <w:szCs w:val="24"/>
        </w:rPr>
        <w:t xml:space="preserve"> af store kromosomale fragmenter.</w:t>
      </w:r>
    </w:p>
    <w:p w14:paraId="6AD71D49" w14:textId="77777777" w:rsidR="009251DD" w:rsidRPr="00A36FF3" w:rsidRDefault="009251DD" w:rsidP="009251DD">
      <w:pPr>
        <w:tabs>
          <w:tab w:val="left" w:pos="851"/>
          <w:tab w:val="left" w:pos="8222"/>
        </w:tabs>
        <w:ind w:left="851"/>
        <w:rPr>
          <w:sz w:val="24"/>
          <w:szCs w:val="24"/>
        </w:rPr>
      </w:pPr>
    </w:p>
    <w:p w14:paraId="598B5B00" w14:textId="77777777" w:rsidR="009251DD" w:rsidRPr="00A36FF3" w:rsidRDefault="009251DD" w:rsidP="009251DD">
      <w:pPr>
        <w:tabs>
          <w:tab w:val="left" w:pos="851"/>
          <w:tab w:val="left" w:pos="8222"/>
        </w:tabs>
        <w:ind w:left="851"/>
        <w:rPr>
          <w:sz w:val="24"/>
          <w:szCs w:val="24"/>
        </w:rPr>
      </w:pPr>
      <w:r w:rsidRPr="00A36FF3">
        <w:rPr>
          <w:sz w:val="24"/>
          <w:szCs w:val="24"/>
        </w:rPr>
        <w:t xml:space="preserve">Ud over de antimikrobielle egenskaber udviser </w:t>
      </w:r>
      <w:proofErr w:type="spellStart"/>
      <w:r w:rsidRPr="00A36FF3">
        <w:rPr>
          <w:sz w:val="24"/>
          <w:szCs w:val="24"/>
        </w:rPr>
        <w:t>tulathromycin</w:t>
      </w:r>
      <w:proofErr w:type="spellEnd"/>
      <w:r w:rsidRPr="00A36FF3">
        <w:rPr>
          <w:sz w:val="24"/>
          <w:szCs w:val="24"/>
        </w:rPr>
        <w:t xml:space="preserve"> immunmodulerende og antiinflammatoriske virkninger i eksperimentelle studier. I både </w:t>
      </w:r>
      <w:proofErr w:type="spellStart"/>
      <w:r w:rsidRPr="00A36FF3">
        <w:rPr>
          <w:sz w:val="24"/>
          <w:szCs w:val="24"/>
        </w:rPr>
        <w:t>bovine</w:t>
      </w:r>
      <w:proofErr w:type="spellEnd"/>
      <w:r w:rsidRPr="00A36FF3">
        <w:rPr>
          <w:sz w:val="24"/>
          <w:szCs w:val="24"/>
        </w:rPr>
        <w:t xml:space="preserve"> og </w:t>
      </w:r>
      <w:proofErr w:type="spellStart"/>
      <w:r w:rsidRPr="00A36FF3">
        <w:rPr>
          <w:sz w:val="24"/>
          <w:szCs w:val="24"/>
        </w:rPr>
        <w:t>porcine</w:t>
      </w:r>
      <w:proofErr w:type="spellEnd"/>
      <w:r w:rsidRPr="00A36FF3">
        <w:rPr>
          <w:sz w:val="24"/>
          <w:szCs w:val="24"/>
        </w:rPr>
        <w:t xml:space="preserve"> </w:t>
      </w:r>
      <w:proofErr w:type="spellStart"/>
      <w:r w:rsidRPr="00A36FF3">
        <w:rPr>
          <w:sz w:val="24"/>
          <w:szCs w:val="24"/>
        </w:rPr>
        <w:t>polymorfonukleære</w:t>
      </w:r>
      <w:proofErr w:type="spellEnd"/>
      <w:r w:rsidRPr="00A36FF3">
        <w:rPr>
          <w:sz w:val="24"/>
          <w:szCs w:val="24"/>
        </w:rPr>
        <w:t xml:space="preserve"> celler (</w:t>
      </w:r>
      <w:proofErr w:type="spellStart"/>
      <w:r w:rsidRPr="00A36FF3">
        <w:rPr>
          <w:sz w:val="24"/>
          <w:szCs w:val="24"/>
        </w:rPr>
        <w:t>PMN’er</w:t>
      </w:r>
      <w:proofErr w:type="spellEnd"/>
      <w:r w:rsidRPr="00A36FF3">
        <w:rPr>
          <w:sz w:val="24"/>
          <w:szCs w:val="24"/>
        </w:rPr>
        <w:t xml:space="preserve">, </w:t>
      </w:r>
      <w:proofErr w:type="spellStart"/>
      <w:r w:rsidRPr="00A36FF3">
        <w:rPr>
          <w:sz w:val="24"/>
          <w:szCs w:val="24"/>
        </w:rPr>
        <w:t>neutrofiler</w:t>
      </w:r>
      <w:proofErr w:type="spellEnd"/>
      <w:r w:rsidRPr="00A36FF3">
        <w:rPr>
          <w:sz w:val="24"/>
          <w:szCs w:val="24"/>
        </w:rPr>
        <w:t xml:space="preserve">) fremmer </w:t>
      </w:r>
      <w:proofErr w:type="spellStart"/>
      <w:r w:rsidRPr="00A36FF3">
        <w:rPr>
          <w:sz w:val="24"/>
          <w:szCs w:val="24"/>
        </w:rPr>
        <w:t>tulathromycin</w:t>
      </w:r>
      <w:proofErr w:type="spellEnd"/>
      <w:r w:rsidRPr="00A36FF3">
        <w:rPr>
          <w:sz w:val="24"/>
          <w:szCs w:val="24"/>
        </w:rPr>
        <w:t xml:space="preserve"> </w:t>
      </w:r>
      <w:proofErr w:type="spellStart"/>
      <w:r w:rsidRPr="00A36FF3">
        <w:rPr>
          <w:sz w:val="24"/>
          <w:szCs w:val="24"/>
        </w:rPr>
        <w:t>apoptose</w:t>
      </w:r>
      <w:proofErr w:type="spellEnd"/>
      <w:r w:rsidRPr="00A36FF3">
        <w:rPr>
          <w:sz w:val="24"/>
          <w:szCs w:val="24"/>
        </w:rPr>
        <w:t xml:space="preserve"> (programmeret </w:t>
      </w:r>
      <w:proofErr w:type="spellStart"/>
      <w:r w:rsidRPr="00A36FF3">
        <w:rPr>
          <w:sz w:val="24"/>
          <w:szCs w:val="24"/>
        </w:rPr>
        <w:t>celledød</w:t>
      </w:r>
      <w:proofErr w:type="spellEnd"/>
      <w:r w:rsidRPr="00A36FF3">
        <w:rPr>
          <w:sz w:val="24"/>
          <w:szCs w:val="24"/>
        </w:rPr>
        <w:t xml:space="preserve">) og nedbrydning af </w:t>
      </w:r>
      <w:proofErr w:type="spellStart"/>
      <w:r w:rsidRPr="00A36FF3">
        <w:rPr>
          <w:sz w:val="24"/>
          <w:szCs w:val="24"/>
        </w:rPr>
        <w:t>apototiske</w:t>
      </w:r>
      <w:proofErr w:type="spellEnd"/>
      <w:r w:rsidRPr="00A36FF3">
        <w:rPr>
          <w:sz w:val="24"/>
          <w:szCs w:val="24"/>
        </w:rPr>
        <w:t xml:space="preserve"> celler af makrofager. Det nedsætter produktionen af de pro-inflammatoriske </w:t>
      </w:r>
      <w:proofErr w:type="spellStart"/>
      <w:r w:rsidRPr="00A36FF3">
        <w:rPr>
          <w:sz w:val="24"/>
          <w:szCs w:val="24"/>
        </w:rPr>
        <w:t>mediatorer</w:t>
      </w:r>
      <w:proofErr w:type="spellEnd"/>
      <w:r w:rsidRPr="00A36FF3">
        <w:rPr>
          <w:sz w:val="24"/>
          <w:szCs w:val="24"/>
        </w:rPr>
        <w:t xml:space="preserve"> </w:t>
      </w:r>
      <w:proofErr w:type="spellStart"/>
      <w:r w:rsidRPr="00A36FF3">
        <w:rPr>
          <w:sz w:val="24"/>
          <w:szCs w:val="24"/>
        </w:rPr>
        <w:t>leukotrien</w:t>
      </w:r>
      <w:proofErr w:type="spellEnd"/>
      <w:r w:rsidRPr="00A36FF3">
        <w:rPr>
          <w:sz w:val="24"/>
          <w:szCs w:val="24"/>
        </w:rPr>
        <w:t xml:space="preserve"> B4 og CXCL-8 og inducerer produktion af det antiinflammatoriske og pro-opløsende lipid </w:t>
      </w:r>
      <w:proofErr w:type="spellStart"/>
      <w:r w:rsidRPr="00A36FF3">
        <w:rPr>
          <w:sz w:val="24"/>
          <w:szCs w:val="24"/>
        </w:rPr>
        <w:t>lipoxin</w:t>
      </w:r>
      <w:proofErr w:type="spellEnd"/>
      <w:r w:rsidRPr="00A36FF3">
        <w:rPr>
          <w:sz w:val="24"/>
          <w:szCs w:val="24"/>
        </w:rPr>
        <w:t xml:space="preserve"> A4.</w:t>
      </w:r>
    </w:p>
    <w:p w14:paraId="522EF4FA" w14:textId="77777777" w:rsidR="009251DD" w:rsidRPr="00A36FF3" w:rsidRDefault="009251DD" w:rsidP="009251DD">
      <w:pPr>
        <w:tabs>
          <w:tab w:val="left" w:pos="851"/>
          <w:tab w:val="left" w:pos="8222"/>
        </w:tabs>
        <w:ind w:left="851"/>
        <w:rPr>
          <w:sz w:val="24"/>
          <w:szCs w:val="24"/>
        </w:rPr>
      </w:pPr>
    </w:p>
    <w:p w14:paraId="638EE3B5" w14:textId="77777777" w:rsidR="005B0036" w:rsidRPr="00A36FF3" w:rsidRDefault="005B0036" w:rsidP="005B0036">
      <w:pPr>
        <w:tabs>
          <w:tab w:val="left" w:pos="851"/>
          <w:tab w:val="left" w:pos="8222"/>
        </w:tabs>
        <w:rPr>
          <w:b/>
          <w:sz w:val="24"/>
          <w:szCs w:val="24"/>
        </w:rPr>
      </w:pPr>
      <w:r w:rsidRPr="00A36FF3">
        <w:rPr>
          <w:b/>
          <w:sz w:val="24"/>
          <w:szCs w:val="24"/>
        </w:rPr>
        <w:t>5.2</w:t>
      </w:r>
      <w:r w:rsidRPr="00A36FF3">
        <w:rPr>
          <w:b/>
          <w:sz w:val="24"/>
          <w:szCs w:val="24"/>
        </w:rPr>
        <w:tab/>
      </w:r>
      <w:proofErr w:type="spellStart"/>
      <w:r w:rsidRPr="00A36FF3">
        <w:rPr>
          <w:b/>
          <w:sz w:val="24"/>
          <w:szCs w:val="24"/>
        </w:rPr>
        <w:t>Farmakokinetiske</w:t>
      </w:r>
      <w:proofErr w:type="spellEnd"/>
      <w:r w:rsidRPr="00A36FF3">
        <w:rPr>
          <w:b/>
          <w:sz w:val="24"/>
          <w:szCs w:val="24"/>
        </w:rPr>
        <w:t xml:space="preserve"> egenskaber</w:t>
      </w:r>
    </w:p>
    <w:p w14:paraId="11D50C6A" w14:textId="2D8D0351" w:rsidR="002F2D3B" w:rsidRPr="00A36FF3" w:rsidRDefault="002F2D3B" w:rsidP="002F2D3B">
      <w:pPr>
        <w:tabs>
          <w:tab w:val="left" w:pos="851"/>
          <w:tab w:val="left" w:pos="8222"/>
        </w:tabs>
        <w:ind w:left="851"/>
        <w:rPr>
          <w:sz w:val="24"/>
          <w:szCs w:val="24"/>
        </w:rPr>
      </w:pPr>
      <w:r w:rsidRPr="00A36FF3">
        <w:rPr>
          <w:sz w:val="24"/>
          <w:szCs w:val="24"/>
        </w:rPr>
        <w:t xml:space="preserve">Hos kvæg, var den </w:t>
      </w:r>
      <w:proofErr w:type="spellStart"/>
      <w:r w:rsidRPr="00A36FF3">
        <w:rPr>
          <w:sz w:val="24"/>
          <w:szCs w:val="24"/>
        </w:rPr>
        <w:t>farmakokinetiske</w:t>
      </w:r>
      <w:proofErr w:type="spellEnd"/>
      <w:r w:rsidRPr="00A36FF3">
        <w:rPr>
          <w:sz w:val="24"/>
          <w:szCs w:val="24"/>
        </w:rPr>
        <w:t xml:space="preserve"> profil af </w:t>
      </w:r>
      <w:proofErr w:type="spellStart"/>
      <w:r w:rsidRPr="00A36FF3">
        <w:rPr>
          <w:sz w:val="24"/>
          <w:szCs w:val="24"/>
        </w:rPr>
        <w:t>tulathromycin</w:t>
      </w:r>
      <w:proofErr w:type="spellEnd"/>
      <w:r w:rsidRPr="00A36FF3">
        <w:rPr>
          <w:sz w:val="24"/>
          <w:szCs w:val="24"/>
        </w:rPr>
        <w:t xml:space="preserve"> efter en enkel subkutan applikation af 2,5 mg pr. kg legemsvægt karakteriseret af hurtig og fuldstændigt absorption efterfulgt af en høj fordeling og langsom udskillelse. Den maksimale plasmakoncentration (</w:t>
      </w:r>
      <w:proofErr w:type="spellStart"/>
      <w:r w:rsidRPr="00A36FF3">
        <w:rPr>
          <w:sz w:val="24"/>
          <w:szCs w:val="24"/>
        </w:rPr>
        <w:t>C</w:t>
      </w:r>
      <w:r w:rsidRPr="00A36FF3">
        <w:rPr>
          <w:sz w:val="24"/>
          <w:szCs w:val="24"/>
          <w:vertAlign w:val="subscript"/>
        </w:rPr>
        <w:t>max</w:t>
      </w:r>
      <w:proofErr w:type="spellEnd"/>
      <w:r w:rsidRPr="00A36FF3">
        <w:rPr>
          <w:sz w:val="24"/>
          <w:szCs w:val="24"/>
        </w:rPr>
        <w:t>) var ca. 0,5 µg/ml. Dette var opnået ca. 30 minutter efter dosering (</w:t>
      </w:r>
      <w:proofErr w:type="spellStart"/>
      <w:r w:rsidRPr="00A36FF3">
        <w:rPr>
          <w:sz w:val="24"/>
          <w:szCs w:val="24"/>
        </w:rPr>
        <w:t>T</w:t>
      </w:r>
      <w:r w:rsidRPr="00A36FF3">
        <w:rPr>
          <w:sz w:val="24"/>
          <w:szCs w:val="24"/>
          <w:vertAlign w:val="subscript"/>
        </w:rPr>
        <w:t>max</w:t>
      </w:r>
      <w:proofErr w:type="spellEnd"/>
      <w:r w:rsidRPr="00A36FF3">
        <w:rPr>
          <w:sz w:val="24"/>
          <w:szCs w:val="24"/>
        </w:rPr>
        <w:t xml:space="preserve">). Koncentrationer af </w:t>
      </w:r>
      <w:proofErr w:type="spellStart"/>
      <w:r w:rsidRPr="00A36FF3">
        <w:rPr>
          <w:sz w:val="24"/>
          <w:szCs w:val="24"/>
        </w:rPr>
        <w:t>tulathromycin</w:t>
      </w:r>
      <w:proofErr w:type="spellEnd"/>
      <w:r w:rsidRPr="00A36FF3">
        <w:rPr>
          <w:sz w:val="24"/>
          <w:szCs w:val="24"/>
        </w:rPr>
        <w:t xml:space="preserve"> i </w:t>
      </w:r>
      <w:proofErr w:type="spellStart"/>
      <w:r w:rsidRPr="00A36FF3">
        <w:rPr>
          <w:sz w:val="24"/>
          <w:szCs w:val="24"/>
        </w:rPr>
        <w:t>lungehomogenat</w:t>
      </w:r>
      <w:proofErr w:type="spellEnd"/>
      <w:r w:rsidRPr="00A36FF3">
        <w:rPr>
          <w:sz w:val="24"/>
          <w:szCs w:val="24"/>
        </w:rPr>
        <w:t xml:space="preserve"> var betydeligt større end i plasma. Der er en stærk evidens for en betydelig akkumulation af </w:t>
      </w:r>
      <w:proofErr w:type="spellStart"/>
      <w:r w:rsidRPr="00A36FF3">
        <w:rPr>
          <w:sz w:val="24"/>
          <w:szCs w:val="24"/>
        </w:rPr>
        <w:t>tulathromycin</w:t>
      </w:r>
      <w:proofErr w:type="spellEnd"/>
      <w:r w:rsidRPr="00A36FF3">
        <w:rPr>
          <w:sz w:val="24"/>
          <w:szCs w:val="24"/>
        </w:rPr>
        <w:t xml:space="preserve"> i </w:t>
      </w:r>
      <w:proofErr w:type="spellStart"/>
      <w:r w:rsidRPr="00A36FF3">
        <w:rPr>
          <w:sz w:val="24"/>
          <w:szCs w:val="24"/>
        </w:rPr>
        <w:t>neutrofile</w:t>
      </w:r>
      <w:proofErr w:type="spellEnd"/>
      <w:r w:rsidRPr="00A36FF3">
        <w:rPr>
          <w:sz w:val="24"/>
          <w:szCs w:val="24"/>
        </w:rPr>
        <w:t xml:space="preserve"> og alveolære makrofager. </w:t>
      </w:r>
      <w:r w:rsidRPr="00A36FF3">
        <w:rPr>
          <w:i/>
          <w:sz w:val="24"/>
          <w:szCs w:val="24"/>
        </w:rPr>
        <w:t xml:space="preserve">In </w:t>
      </w:r>
      <w:proofErr w:type="spellStart"/>
      <w:r w:rsidRPr="00A36FF3">
        <w:rPr>
          <w:i/>
          <w:sz w:val="24"/>
          <w:szCs w:val="24"/>
        </w:rPr>
        <w:t>vivo</w:t>
      </w:r>
      <w:proofErr w:type="spellEnd"/>
      <w:r w:rsidRPr="00A36FF3">
        <w:rPr>
          <w:i/>
          <w:sz w:val="24"/>
          <w:szCs w:val="24"/>
        </w:rPr>
        <w:t xml:space="preserve"> </w:t>
      </w:r>
      <w:r w:rsidRPr="00A36FF3">
        <w:rPr>
          <w:sz w:val="24"/>
          <w:szCs w:val="24"/>
        </w:rPr>
        <w:t xml:space="preserve">koncentrationen af </w:t>
      </w:r>
      <w:proofErr w:type="spellStart"/>
      <w:r w:rsidRPr="00A36FF3">
        <w:rPr>
          <w:sz w:val="24"/>
          <w:szCs w:val="24"/>
        </w:rPr>
        <w:t>tulathromycin</w:t>
      </w:r>
      <w:proofErr w:type="spellEnd"/>
      <w:r w:rsidRPr="00A36FF3">
        <w:rPr>
          <w:sz w:val="24"/>
          <w:szCs w:val="24"/>
        </w:rPr>
        <w:t xml:space="preserve"> på infektionsstedet i lungerne er ikke kendt. </w:t>
      </w:r>
      <w:proofErr w:type="spellStart"/>
      <w:r w:rsidRPr="00A36FF3">
        <w:rPr>
          <w:sz w:val="24"/>
          <w:szCs w:val="24"/>
        </w:rPr>
        <w:t>Maximal</w:t>
      </w:r>
      <w:proofErr w:type="spellEnd"/>
      <w:r w:rsidRPr="00A36FF3">
        <w:rPr>
          <w:sz w:val="24"/>
          <w:szCs w:val="24"/>
        </w:rPr>
        <w:t xml:space="preserve"> koncentration i plasma blev efterfulgt af en langsom udskillelse med en tilsyneladende halveringstid (t</w:t>
      </w:r>
      <w:r w:rsidR="00CB5C39" w:rsidRPr="00CB5C39">
        <w:rPr>
          <w:sz w:val="24"/>
          <w:szCs w:val="24"/>
          <w:vertAlign w:val="subscript"/>
        </w:rPr>
        <w:t>½</w:t>
      </w:r>
      <w:r w:rsidRPr="00A36FF3">
        <w:rPr>
          <w:sz w:val="24"/>
          <w:szCs w:val="24"/>
        </w:rPr>
        <w:t>) på 90 timer. Plasmaproteinbindingen var lav, omkring 40 %.</w:t>
      </w:r>
    </w:p>
    <w:p w14:paraId="354A00AC" w14:textId="16A3ED76" w:rsidR="002F2D3B" w:rsidRPr="00A36FF3" w:rsidRDefault="002F2D3B" w:rsidP="002F2D3B">
      <w:pPr>
        <w:tabs>
          <w:tab w:val="left" w:pos="851"/>
          <w:tab w:val="left" w:pos="8222"/>
        </w:tabs>
        <w:ind w:left="851"/>
        <w:rPr>
          <w:sz w:val="24"/>
          <w:szCs w:val="24"/>
        </w:rPr>
      </w:pPr>
    </w:p>
    <w:p w14:paraId="730888DE" w14:textId="4FE56E2E" w:rsidR="002F2D3B" w:rsidRPr="00A36FF3" w:rsidRDefault="002F2D3B" w:rsidP="002F2D3B">
      <w:pPr>
        <w:tabs>
          <w:tab w:val="left" w:pos="851"/>
          <w:tab w:val="left" w:pos="8222"/>
        </w:tabs>
        <w:ind w:left="851"/>
        <w:rPr>
          <w:sz w:val="24"/>
          <w:szCs w:val="24"/>
        </w:rPr>
      </w:pPr>
      <w:r w:rsidRPr="00A36FF3">
        <w:rPr>
          <w:sz w:val="24"/>
          <w:szCs w:val="24"/>
        </w:rPr>
        <w:t xml:space="preserve">Fordelingsvolumen ved </w:t>
      </w:r>
      <w:proofErr w:type="spellStart"/>
      <w:r w:rsidRPr="00A36FF3">
        <w:rPr>
          <w:sz w:val="24"/>
          <w:szCs w:val="24"/>
        </w:rPr>
        <w:t>steady-state</w:t>
      </w:r>
      <w:proofErr w:type="spellEnd"/>
      <w:r w:rsidRPr="00A36FF3">
        <w:rPr>
          <w:sz w:val="24"/>
          <w:szCs w:val="24"/>
        </w:rPr>
        <w:t xml:space="preserve"> (</w:t>
      </w:r>
      <w:proofErr w:type="spellStart"/>
      <w:r w:rsidRPr="00A36FF3">
        <w:rPr>
          <w:sz w:val="24"/>
          <w:szCs w:val="24"/>
        </w:rPr>
        <w:t>Vss</w:t>
      </w:r>
      <w:proofErr w:type="spellEnd"/>
      <w:r w:rsidRPr="00A36FF3">
        <w:rPr>
          <w:sz w:val="24"/>
          <w:szCs w:val="24"/>
        </w:rPr>
        <w:t xml:space="preserve">) bestemt efter intravenøs indgift var 11 l/kg. Biotilgængeligheden af </w:t>
      </w:r>
      <w:proofErr w:type="spellStart"/>
      <w:r w:rsidRPr="00A36FF3">
        <w:rPr>
          <w:sz w:val="24"/>
          <w:szCs w:val="24"/>
        </w:rPr>
        <w:t>tulathromycin</w:t>
      </w:r>
      <w:proofErr w:type="spellEnd"/>
      <w:r w:rsidRPr="00A36FF3">
        <w:rPr>
          <w:sz w:val="24"/>
          <w:szCs w:val="24"/>
        </w:rPr>
        <w:t xml:space="preserve"> efter subkutan administration var hos kvæg ca. 90</w:t>
      </w:r>
      <w:r w:rsidR="009427E8">
        <w:rPr>
          <w:sz w:val="24"/>
          <w:szCs w:val="24"/>
        </w:rPr>
        <w:t> </w:t>
      </w:r>
      <w:r w:rsidRPr="00A36FF3">
        <w:rPr>
          <w:sz w:val="24"/>
          <w:szCs w:val="24"/>
        </w:rPr>
        <w:t>%.</w:t>
      </w:r>
    </w:p>
    <w:p w14:paraId="2977AA4E" w14:textId="77777777" w:rsidR="002F2D3B" w:rsidRPr="00A36FF3" w:rsidRDefault="002F2D3B" w:rsidP="002F2D3B">
      <w:pPr>
        <w:tabs>
          <w:tab w:val="left" w:pos="851"/>
          <w:tab w:val="left" w:pos="8222"/>
        </w:tabs>
        <w:ind w:left="851"/>
        <w:rPr>
          <w:sz w:val="24"/>
          <w:szCs w:val="24"/>
        </w:rPr>
      </w:pPr>
    </w:p>
    <w:p w14:paraId="6ECD3D56" w14:textId="15C50249" w:rsidR="002F2D3B" w:rsidRPr="00A36FF3" w:rsidRDefault="002F2D3B" w:rsidP="002F2D3B">
      <w:pPr>
        <w:tabs>
          <w:tab w:val="left" w:pos="851"/>
          <w:tab w:val="left" w:pos="8222"/>
        </w:tabs>
        <w:ind w:left="851"/>
        <w:rPr>
          <w:sz w:val="24"/>
          <w:szCs w:val="24"/>
        </w:rPr>
      </w:pPr>
      <w:r w:rsidRPr="00A36FF3">
        <w:rPr>
          <w:sz w:val="24"/>
          <w:szCs w:val="24"/>
        </w:rPr>
        <w:t xml:space="preserve">Hos svin, var den </w:t>
      </w:r>
      <w:proofErr w:type="spellStart"/>
      <w:r w:rsidRPr="00A36FF3">
        <w:rPr>
          <w:sz w:val="24"/>
          <w:szCs w:val="24"/>
        </w:rPr>
        <w:t>farmakokinetiske</w:t>
      </w:r>
      <w:proofErr w:type="spellEnd"/>
      <w:r w:rsidRPr="00A36FF3">
        <w:rPr>
          <w:sz w:val="24"/>
          <w:szCs w:val="24"/>
        </w:rPr>
        <w:t xml:space="preserve"> profil af </w:t>
      </w:r>
      <w:proofErr w:type="spellStart"/>
      <w:r w:rsidRPr="00A36FF3">
        <w:rPr>
          <w:sz w:val="24"/>
          <w:szCs w:val="24"/>
        </w:rPr>
        <w:t>tulathromycin</w:t>
      </w:r>
      <w:proofErr w:type="spellEnd"/>
      <w:r w:rsidRPr="00A36FF3">
        <w:rPr>
          <w:sz w:val="24"/>
          <w:szCs w:val="24"/>
        </w:rPr>
        <w:t xml:space="preserve"> efter en enkel intramuskulær applikation af 2,5 mg pr. kg legemsvægt, karakteriseret af hurtig og fuldstændigt absorption efterfulgt af en høj fordeling og langsom udskillelse. Den maksimale plasmakoncentration (</w:t>
      </w:r>
      <w:proofErr w:type="spellStart"/>
      <w:r w:rsidRPr="00A36FF3">
        <w:rPr>
          <w:sz w:val="24"/>
          <w:szCs w:val="24"/>
        </w:rPr>
        <w:t>C</w:t>
      </w:r>
      <w:r w:rsidRPr="00A36FF3">
        <w:rPr>
          <w:sz w:val="24"/>
          <w:szCs w:val="24"/>
          <w:vertAlign w:val="subscript"/>
        </w:rPr>
        <w:t>max</w:t>
      </w:r>
      <w:proofErr w:type="spellEnd"/>
      <w:r w:rsidRPr="00A36FF3">
        <w:rPr>
          <w:sz w:val="24"/>
          <w:szCs w:val="24"/>
        </w:rPr>
        <w:t>) var ca.</w:t>
      </w:r>
      <w:r w:rsidR="00B160E7" w:rsidRPr="00A36FF3">
        <w:rPr>
          <w:sz w:val="24"/>
          <w:szCs w:val="24"/>
        </w:rPr>
        <w:t xml:space="preserve"> </w:t>
      </w:r>
      <w:r w:rsidRPr="00A36FF3">
        <w:rPr>
          <w:sz w:val="24"/>
          <w:szCs w:val="24"/>
        </w:rPr>
        <w:t>0,6 µg/ml. Dette var opnået ca. 30 minutter efter dosering (</w:t>
      </w:r>
      <w:proofErr w:type="spellStart"/>
      <w:r w:rsidRPr="00A36FF3">
        <w:rPr>
          <w:sz w:val="24"/>
          <w:szCs w:val="24"/>
        </w:rPr>
        <w:t>T</w:t>
      </w:r>
      <w:r w:rsidRPr="00A36FF3">
        <w:rPr>
          <w:sz w:val="24"/>
          <w:szCs w:val="24"/>
          <w:vertAlign w:val="subscript"/>
        </w:rPr>
        <w:t>max</w:t>
      </w:r>
      <w:proofErr w:type="spellEnd"/>
      <w:r w:rsidRPr="00A36FF3">
        <w:rPr>
          <w:sz w:val="24"/>
          <w:szCs w:val="24"/>
        </w:rPr>
        <w:t xml:space="preserve">). </w:t>
      </w:r>
      <w:proofErr w:type="spellStart"/>
      <w:r w:rsidRPr="00A36FF3">
        <w:rPr>
          <w:sz w:val="24"/>
          <w:szCs w:val="24"/>
        </w:rPr>
        <w:t>Tulathromycin</w:t>
      </w:r>
      <w:proofErr w:type="spellEnd"/>
      <w:r w:rsidRPr="00A36FF3">
        <w:rPr>
          <w:sz w:val="24"/>
          <w:szCs w:val="24"/>
        </w:rPr>
        <w:t xml:space="preserve"> koncentrationer i </w:t>
      </w:r>
      <w:proofErr w:type="spellStart"/>
      <w:r w:rsidRPr="00A36FF3">
        <w:rPr>
          <w:sz w:val="24"/>
          <w:szCs w:val="24"/>
        </w:rPr>
        <w:t>lungehomogenat</w:t>
      </w:r>
      <w:proofErr w:type="spellEnd"/>
      <w:r w:rsidRPr="00A36FF3">
        <w:rPr>
          <w:sz w:val="24"/>
          <w:szCs w:val="24"/>
        </w:rPr>
        <w:t xml:space="preserve"> var betydeligt større end i plasma. Der er en stærk evidens for en betydelig akkumulation af </w:t>
      </w:r>
      <w:proofErr w:type="spellStart"/>
      <w:r w:rsidRPr="00A36FF3">
        <w:rPr>
          <w:sz w:val="24"/>
          <w:szCs w:val="24"/>
        </w:rPr>
        <w:t>tulathromycin</w:t>
      </w:r>
      <w:proofErr w:type="spellEnd"/>
      <w:r w:rsidRPr="00A36FF3">
        <w:rPr>
          <w:sz w:val="24"/>
          <w:szCs w:val="24"/>
        </w:rPr>
        <w:t xml:space="preserve"> i </w:t>
      </w:r>
      <w:proofErr w:type="spellStart"/>
      <w:r w:rsidRPr="00A36FF3">
        <w:rPr>
          <w:sz w:val="24"/>
          <w:szCs w:val="24"/>
        </w:rPr>
        <w:t>neutrofile</w:t>
      </w:r>
      <w:proofErr w:type="spellEnd"/>
      <w:r w:rsidRPr="00A36FF3">
        <w:rPr>
          <w:sz w:val="24"/>
          <w:szCs w:val="24"/>
        </w:rPr>
        <w:t xml:space="preserve"> og alveolære makrofager. </w:t>
      </w:r>
      <w:r w:rsidRPr="00A36FF3">
        <w:rPr>
          <w:i/>
          <w:sz w:val="24"/>
          <w:szCs w:val="24"/>
        </w:rPr>
        <w:t xml:space="preserve">In </w:t>
      </w:r>
      <w:proofErr w:type="spellStart"/>
      <w:r w:rsidRPr="00A36FF3">
        <w:rPr>
          <w:i/>
          <w:sz w:val="24"/>
          <w:szCs w:val="24"/>
        </w:rPr>
        <w:t>vivo</w:t>
      </w:r>
      <w:proofErr w:type="spellEnd"/>
      <w:r w:rsidRPr="00A36FF3">
        <w:rPr>
          <w:i/>
          <w:sz w:val="24"/>
          <w:szCs w:val="24"/>
        </w:rPr>
        <w:t xml:space="preserve"> </w:t>
      </w:r>
      <w:r w:rsidRPr="00A36FF3">
        <w:rPr>
          <w:sz w:val="24"/>
          <w:szCs w:val="24"/>
        </w:rPr>
        <w:t xml:space="preserve">koncentrationen af </w:t>
      </w:r>
      <w:proofErr w:type="spellStart"/>
      <w:r w:rsidRPr="00A36FF3">
        <w:rPr>
          <w:sz w:val="24"/>
          <w:szCs w:val="24"/>
        </w:rPr>
        <w:t>tulathromycin</w:t>
      </w:r>
      <w:proofErr w:type="spellEnd"/>
      <w:r w:rsidRPr="00A36FF3">
        <w:rPr>
          <w:sz w:val="24"/>
          <w:szCs w:val="24"/>
        </w:rPr>
        <w:t xml:space="preserve"> på infektionsstedet i lungerne er ikke kendt. </w:t>
      </w:r>
      <w:proofErr w:type="spellStart"/>
      <w:r w:rsidRPr="00A36FF3">
        <w:rPr>
          <w:sz w:val="24"/>
          <w:szCs w:val="24"/>
        </w:rPr>
        <w:t>Maximal</w:t>
      </w:r>
      <w:proofErr w:type="spellEnd"/>
      <w:r w:rsidRPr="00A36FF3">
        <w:rPr>
          <w:sz w:val="24"/>
          <w:szCs w:val="24"/>
        </w:rPr>
        <w:t xml:space="preserve"> koncentration i plasma blev efterfulgt af en langsom udskillelse med en tilsyneladende halveringstid (t</w:t>
      </w:r>
      <w:r w:rsidR="00CB5C39" w:rsidRPr="00CB5C39">
        <w:rPr>
          <w:sz w:val="24"/>
          <w:szCs w:val="24"/>
          <w:vertAlign w:val="subscript"/>
        </w:rPr>
        <w:t>½</w:t>
      </w:r>
      <w:r w:rsidRPr="00A36FF3">
        <w:rPr>
          <w:sz w:val="24"/>
          <w:szCs w:val="24"/>
        </w:rPr>
        <w:t>) på ca. 91 timer. Plasmaproteinbindingen var lav, omkring 40</w:t>
      </w:r>
      <w:r w:rsidR="00B160E7" w:rsidRPr="00A36FF3">
        <w:rPr>
          <w:sz w:val="24"/>
          <w:szCs w:val="24"/>
        </w:rPr>
        <w:t xml:space="preserve"> </w:t>
      </w:r>
      <w:r w:rsidRPr="00A36FF3">
        <w:rPr>
          <w:sz w:val="24"/>
          <w:szCs w:val="24"/>
        </w:rPr>
        <w:t>%.</w:t>
      </w:r>
    </w:p>
    <w:p w14:paraId="52B705A0" w14:textId="5AA09DE5" w:rsidR="002F2D3B" w:rsidRPr="00A36FF3" w:rsidRDefault="002F2D3B" w:rsidP="002F2D3B">
      <w:pPr>
        <w:tabs>
          <w:tab w:val="left" w:pos="851"/>
          <w:tab w:val="left" w:pos="8222"/>
        </w:tabs>
        <w:ind w:left="851"/>
        <w:rPr>
          <w:sz w:val="24"/>
          <w:szCs w:val="24"/>
        </w:rPr>
      </w:pPr>
    </w:p>
    <w:p w14:paraId="525FAEDB" w14:textId="2E0DC297" w:rsidR="002F2D3B" w:rsidRPr="00A36FF3" w:rsidRDefault="002F2D3B" w:rsidP="002F2D3B">
      <w:pPr>
        <w:tabs>
          <w:tab w:val="left" w:pos="851"/>
          <w:tab w:val="left" w:pos="8222"/>
        </w:tabs>
        <w:ind w:left="851"/>
        <w:rPr>
          <w:sz w:val="24"/>
          <w:szCs w:val="24"/>
        </w:rPr>
      </w:pPr>
      <w:r w:rsidRPr="00A36FF3">
        <w:rPr>
          <w:sz w:val="24"/>
          <w:szCs w:val="24"/>
        </w:rPr>
        <w:lastRenderedPageBreak/>
        <w:t xml:space="preserve">Fordelingsvolumen ved </w:t>
      </w:r>
      <w:proofErr w:type="spellStart"/>
      <w:r w:rsidRPr="00A36FF3">
        <w:rPr>
          <w:sz w:val="24"/>
          <w:szCs w:val="24"/>
        </w:rPr>
        <w:t>steady-state</w:t>
      </w:r>
      <w:proofErr w:type="spellEnd"/>
      <w:r w:rsidRPr="00A36FF3">
        <w:rPr>
          <w:sz w:val="24"/>
          <w:szCs w:val="24"/>
        </w:rPr>
        <w:t xml:space="preserve"> (</w:t>
      </w:r>
      <w:proofErr w:type="spellStart"/>
      <w:r w:rsidRPr="00A36FF3">
        <w:rPr>
          <w:sz w:val="24"/>
          <w:szCs w:val="24"/>
        </w:rPr>
        <w:t>Vss</w:t>
      </w:r>
      <w:proofErr w:type="spellEnd"/>
      <w:r w:rsidRPr="00A36FF3">
        <w:rPr>
          <w:sz w:val="24"/>
          <w:szCs w:val="24"/>
        </w:rPr>
        <w:t xml:space="preserve">) bestemt efter intravenøs indgift var 13,2 l/kg. Biotilgængeligheden af </w:t>
      </w:r>
      <w:proofErr w:type="spellStart"/>
      <w:r w:rsidRPr="00A36FF3">
        <w:rPr>
          <w:sz w:val="24"/>
          <w:szCs w:val="24"/>
        </w:rPr>
        <w:t>tulathromycin</w:t>
      </w:r>
      <w:proofErr w:type="spellEnd"/>
      <w:r w:rsidRPr="00A36FF3">
        <w:rPr>
          <w:sz w:val="24"/>
          <w:szCs w:val="24"/>
        </w:rPr>
        <w:t xml:space="preserve"> efter intramuskulær administration var ca. 88</w:t>
      </w:r>
      <w:r w:rsidR="00075E23" w:rsidRPr="00A36FF3">
        <w:rPr>
          <w:sz w:val="24"/>
          <w:szCs w:val="24"/>
        </w:rPr>
        <w:t xml:space="preserve"> </w:t>
      </w:r>
      <w:r w:rsidRPr="00A36FF3">
        <w:rPr>
          <w:sz w:val="24"/>
          <w:szCs w:val="24"/>
        </w:rPr>
        <w:t>% hos svin.</w:t>
      </w:r>
    </w:p>
    <w:p w14:paraId="3BC3D855" w14:textId="77777777" w:rsidR="002F2D3B" w:rsidRPr="00A36FF3" w:rsidRDefault="002F2D3B" w:rsidP="002F2D3B">
      <w:pPr>
        <w:tabs>
          <w:tab w:val="left" w:pos="851"/>
          <w:tab w:val="left" w:pos="8222"/>
        </w:tabs>
        <w:ind w:left="851"/>
        <w:rPr>
          <w:sz w:val="24"/>
          <w:szCs w:val="24"/>
        </w:rPr>
      </w:pPr>
    </w:p>
    <w:p w14:paraId="634F0760" w14:textId="77777777" w:rsidR="002F2D3B" w:rsidRPr="00A36FF3" w:rsidRDefault="002F2D3B" w:rsidP="002F2D3B">
      <w:pPr>
        <w:tabs>
          <w:tab w:val="left" w:pos="851"/>
          <w:tab w:val="left" w:pos="8222"/>
        </w:tabs>
        <w:ind w:left="851"/>
        <w:rPr>
          <w:sz w:val="24"/>
          <w:szCs w:val="24"/>
        </w:rPr>
      </w:pPr>
      <w:r w:rsidRPr="00A36FF3">
        <w:rPr>
          <w:sz w:val="24"/>
          <w:szCs w:val="24"/>
        </w:rPr>
        <w:t xml:space="preserve">Hos får blev den </w:t>
      </w:r>
      <w:proofErr w:type="spellStart"/>
      <w:r w:rsidRPr="00A36FF3">
        <w:rPr>
          <w:sz w:val="24"/>
          <w:szCs w:val="24"/>
        </w:rPr>
        <w:t>farmakokinetiske</w:t>
      </w:r>
      <w:proofErr w:type="spellEnd"/>
      <w:r w:rsidRPr="00A36FF3">
        <w:rPr>
          <w:sz w:val="24"/>
          <w:szCs w:val="24"/>
        </w:rPr>
        <w:t xml:space="preserve"> profil af </w:t>
      </w:r>
      <w:proofErr w:type="spellStart"/>
      <w:r w:rsidRPr="00A36FF3">
        <w:rPr>
          <w:sz w:val="24"/>
          <w:szCs w:val="24"/>
        </w:rPr>
        <w:t>tulathromycin</w:t>
      </w:r>
      <w:proofErr w:type="spellEnd"/>
      <w:r w:rsidRPr="00A36FF3">
        <w:rPr>
          <w:sz w:val="24"/>
          <w:szCs w:val="24"/>
        </w:rPr>
        <w:t xml:space="preserve"> efter en enkelt intramuskulær applikation af 2,5 mg/kg legemsvægt opnået ved en maksimal plasmakoncentration (</w:t>
      </w:r>
      <w:proofErr w:type="spellStart"/>
      <w:r w:rsidRPr="00A36FF3">
        <w:rPr>
          <w:sz w:val="24"/>
          <w:szCs w:val="24"/>
        </w:rPr>
        <w:t>C</w:t>
      </w:r>
      <w:r w:rsidRPr="00A36FF3">
        <w:rPr>
          <w:sz w:val="24"/>
          <w:szCs w:val="24"/>
          <w:vertAlign w:val="subscript"/>
        </w:rPr>
        <w:t>max</w:t>
      </w:r>
      <w:proofErr w:type="spellEnd"/>
      <w:r w:rsidRPr="00A36FF3">
        <w:rPr>
          <w:sz w:val="24"/>
          <w:szCs w:val="24"/>
        </w:rPr>
        <w:t>) på 1,19 µg/ml. Dette var opnået ca. 15 minutter (</w:t>
      </w:r>
      <w:proofErr w:type="spellStart"/>
      <w:r w:rsidRPr="00A36FF3">
        <w:rPr>
          <w:sz w:val="24"/>
          <w:szCs w:val="24"/>
        </w:rPr>
        <w:t>T</w:t>
      </w:r>
      <w:r w:rsidRPr="00A36FF3">
        <w:rPr>
          <w:sz w:val="24"/>
          <w:szCs w:val="24"/>
          <w:vertAlign w:val="subscript"/>
        </w:rPr>
        <w:t>max</w:t>
      </w:r>
      <w:proofErr w:type="spellEnd"/>
      <w:r w:rsidRPr="00A36FF3">
        <w:rPr>
          <w:sz w:val="24"/>
          <w:szCs w:val="24"/>
        </w:rPr>
        <w:t>) efter dosering, og halveringstiden (t½) var 69,7 timer.</w:t>
      </w:r>
    </w:p>
    <w:p w14:paraId="69DAC730" w14:textId="7CDE55D2" w:rsidR="002F2D3B" w:rsidRPr="00A36FF3" w:rsidRDefault="002F2D3B" w:rsidP="002F2D3B">
      <w:pPr>
        <w:tabs>
          <w:tab w:val="left" w:pos="851"/>
          <w:tab w:val="left" w:pos="8222"/>
        </w:tabs>
        <w:ind w:left="851"/>
        <w:rPr>
          <w:sz w:val="24"/>
          <w:szCs w:val="24"/>
        </w:rPr>
      </w:pPr>
      <w:r w:rsidRPr="00A36FF3">
        <w:rPr>
          <w:sz w:val="24"/>
          <w:szCs w:val="24"/>
        </w:rPr>
        <w:t>Plasmaproteinbindingen var ca. 60-75</w:t>
      </w:r>
      <w:r w:rsidR="00E14C71" w:rsidRPr="00A36FF3">
        <w:rPr>
          <w:sz w:val="24"/>
          <w:szCs w:val="24"/>
        </w:rPr>
        <w:t xml:space="preserve"> </w:t>
      </w:r>
      <w:r w:rsidRPr="00A36FF3">
        <w:rPr>
          <w:sz w:val="24"/>
          <w:szCs w:val="24"/>
        </w:rPr>
        <w:t xml:space="preserve">%. Fordelingsvolumen ved </w:t>
      </w:r>
      <w:proofErr w:type="spellStart"/>
      <w:r w:rsidRPr="00A36FF3">
        <w:rPr>
          <w:sz w:val="24"/>
          <w:szCs w:val="24"/>
        </w:rPr>
        <w:t>steady-state</w:t>
      </w:r>
      <w:proofErr w:type="spellEnd"/>
      <w:r w:rsidRPr="00A36FF3">
        <w:rPr>
          <w:sz w:val="24"/>
          <w:szCs w:val="24"/>
        </w:rPr>
        <w:t xml:space="preserve"> (</w:t>
      </w:r>
      <w:proofErr w:type="spellStart"/>
      <w:r w:rsidRPr="00A36FF3">
        <w:rPr>
          <w:sz w:val="24"/>
          <w:szCs w:val="24"/>
        </w:rPr>
        <w:t>Vss</w:t>
      </w:r>
      <w:proofErr w:type="spellEnd"/>
      <w:r w:rsidRPr="00A36FF3">
        <w:rPr>
          <w:sz w:val="24"/>
          <w:szCs w:val="24"/>
        </w:rPr>
        <w:t xml:space="preserve">) bestemt efter intravenøs indgift var 31,7 l/kg. Biotilgængeligheden af </w:t>
      </w:r>
      <w:proofErr w:type="spellStart"/>
      <w:r w:rsidRPr="00A36FF3">
        <w:rPr>
          <w:sz w:val="24"/>
          <w:szCs w:val="24"/>
        </w:rPr>
        <w:t>tulathromycin</w:t>
      </w:r>
      <w:proofErr w:type="spellEnd"/>
      <w:r w:rsidRPr="00A36FF3">
        <w:rPr>
          <w:sz w:val="24"/>
          <w:szCs w:val="24"/>
        </w:rPr>
        <w:t xml:space="preserve"> efter intramuskulær administration var 100</w:t>
      </w:r>
      <w:r w:rsidR="00E14C71" w:rsidRPr="00A36FF3">
        <w:rPr>
          <w:sz w:val="24"/>
          <w:szCs w:val="24"/>
        </w:rPr>
        <w:t xml:space="preserve"> </w:t>
      </w:r>
      <w:r w:rsidRPr="00A36FF3">
        <w:rPr>
          <w:sz w:val="24"/>
          <w:szCs w:val="24"/>
        </w:rPr>
        <w:t>% hos får.</w:t>
      </w:r>
    </w:p>
    <w:p w14:paraId="71265DB1" w14:textId="77777777" w:rsidR="005B0036" w:rsidRPr="00A36FF3" w:rsidRDefault="005B0036" w:rsidP="005B0036">
      <w:pPr>
        <w:tabs>
          <w:tab w:val="left" w:pos="851"/>
          <w:tab w:val="left" w:pos="8222"/>
        </w:tabs>
        <w:ind w:left="851"/>
        <w:rPr>
          <w:sz w:val="24"/>
          <w:szCs w:val="24"/>
        </w:rPr>
      </w:pPr>
    </w:p>
    <w:p w14:paraId="67E553B2" w14:textId="77777777" w:rsidR="005B0036" w:rsidRPr="00A36FF3" w:rsidRDefault="005B0036" w:rsidP="005B0036">
      <w:pPr>
        <w:tabs>
          <w:tab w:val="left" w:pos="851"/>
          <w:tab w:val="left" w:pos="8222"/>
        </w:tabs>
        <w:rPr>
          <w:b/>
          <w:sz w:val="24"/>
          <w:szCs w:val="24"/>
        </w:rPr>
      </w:pPr>
      <w:r w:rsidRPr="00A36FF3">
        <w:rPr>
          <w:b/>
          <w:sz w:val="24"/>
          <w:szCs w:val="24"/>
        </w:rPr>
        <w:t>5.3</w:t>
      </w:r>
      <w:r w:rsidRPr="00A36FF3">
        <w:rPr>
          <w:b/>
          <w:sz w:val="24"/>
          <w:szCs w:val="24"/>
        </w:rPr>
        <w:tab/>
        <w:t>Miljømæssige forhold</w:t>
      </w:r>
    </w:p>
    <w:p w14:paraId="63C8D25E" w14:textId="71AF0786" w:rsidR="005B0036" w:rsidRPr="00A36FF3" w:rsidRDefault="00B26158" w:rsidP="005B0036">
      <w:pPr>
        <w:tabs>
          <w:tab w:val="left" w:pos="851"/>
          <w:tab w:val="left" w:pos="8222"/>
        </w:tabs>
        <w:ind w:left="851"/>
        <w:rPr>
          <w:sz w:val="24"/>
          <w:szCs w:val="24"/>
        </w:rPr>
      </w:pPr>
      <w:r w:rsidRPr="00A36FF3">
        <w:rPr>
          <w:sz w:val="24"/>
          <w:szCs w:val="24"/>
        </w:rPr>
        <w:t>-</w:t>
      </w:r>
    </w:p>
    <w:p w14:paraId="2A3B3FE9" w14:textId="77777777" w:rsidR="005B0036" w:rsidRPr="00A36FF3" w:rsidRDefault="005B0036" w:rsidP="005B0036">
      <w:pPr>
        <w:tabs>
          <w:tab w:val="left" w:pos="8222"/>
        </w:tabs>
        <w:ind w:left="851"/>
        <w:rPr>
          <w:sz w:val="24"/>
          <w:szCs w:val="24"/>
        </w:rPr>
      </w:pPr>
    </w:p>
    <w:p w14:paraId="3E0F865E" w14:textId="77777777" w:rsidR="005B0036" w:rsidRPr="00A36FF3" w:rsidRDefault="005B0036" w:rsidP="005B0036">
      <w:pPr>
        <w:tabs>
          <w:tab w:val="left" w:pos="851"/>
          <w:tab w:val="left" w:pos="8222"/>
        </w:tabs>
        <w:ind w:left="851"/>
        <w:rPr>
          <w:sz w:val="24"/>
          <w:szCs w:val="24"/>
        </w:rPr>
      </w:pPr>
    </w:p>
    <w:p w14:paraId="74A28AE1" w14:textId="77777777" w:rsidR="005B0036" w:rsidRPr="00A36FF3" w:rsidRDefault="005B0036" w:rsidP="005B0036">
      <w:pPr>
        <w:tabs>
          <w:tab w:val="left" w:pos="8222"/>
        </w:tabs>
        <w:ind w:left="851" w:hanging="851"/>
        <w:rPr>
          <w:b/>
          <w:sz w:val="24"/>
          <w:szCs w:val="24"/>
        </w:rPr>
      </w:pPr>
      <w:r w:rsidRPr="00A36FF3">
        <w:rPr>
          <w:b/>
          <w:sz w:val="24"/>
          <w:szCs w:val="24"/>
        </w:rPr>
        <w:t>6.</w:t>
      </w:r>
      <w:r w:rsidRPr="00A36FF3">
        <w:rPr>
          <w:b/>
          <w:sz w:val="24"/>
          <w:szCs w:val="24"/>
        </w:rPr>
        <w:tab/>
        <w:t>FARMACEUTISKE OPLYSNINGER</w:t>
      </w:r>
    </w:p>
    <w:p w14:paraId="1AB6C590" w14:textId="77777777" w:rsidR="005B0036" w:rsidRPr="00A36FF3" w:rsidRDefault="005B0036" w:rsidP="005B0036">
      <w:pPr>
        <w:tabs>
          <w:tab w:val="left" w:pos="851"/>
          <w:tab w:val="left" w:pos="8222"/>
        </w:tabs>
        <w:ind w:left="851"/>
        <w:rPr>
          <w:sz w:val="24"/>
          <w:szCs w:val="24"/>
        </w:rPr>
      </w:pPr>
    </w:p>
    <w:p w14:paraId="70C5E779" w14:textId="77777777" w:rsidR="005B0036" w:rsidRPr="00A36FF3" w:rsidRDefault="005B0036" w:rsidP="005B0036">
      <w:pPr>
        <w:tabs>
          <w:tab w:val="left" w:pos="8222"/>
        </w:tabs>
        <w:ind w:left="851" w:hanging="851"/>
        <w:rPr>
          <w:b/>
          <w:sz w:val="24"/>
          <w:szCs w:val="24"/>
        </w:rPr>
      </w:pPr>
      <w:r w:rsidRPr="00A36FF3">
        <w:rPr>
          <w:b/>
          <w:sz w:val="24"/>
          <w:szCs w:val="24"/>
        </w:rPr>
        <w:t>6.1</w:t>
      </w:r>
      <w:r w:rsidRPr="00A36FF3">
        <w:rPr>
          <w:b/>
          <w:sz w:val="24"/>
          <w:szCs w:val="24"/>
        </w:rPr>
        <w:tab/>
        <w:t>Hjælpestoffer</w:t>
      </w:r>
    </w:p>
    <w:p w14:paraId="42D19D00" w14:textId="77777777" w:rsidR="00B26158" w:rsidRPr="00A36FF3" w:rsidRDefault="00B26158" w:rsidP="00B26158">
      <w:pPr>
        <w:tabs>
          <w:tab w:val="left" w:pos="851"/>
          <w:tab w:val="left" w:pos="8222"/>
        </w:tabs>
        <w:ind w:left="851"/>
        <w:rPr>
          <w:sz w:val="24"/>
          <w:szCs w:val="24"/>
          <w:lang w:bidi="en-US"/>
        </w:rPr>
      </w:pPr>
      <w:proofErr w:type="spellStart"/>
      <w:r w:rsidRPr="00A36FF3">
        <w:rPr>
          <w:sz w:val="24"/>
          <w:szCs w:val="24"/>
          <w:lang w:bidi="en-US"/>
        </w:rPr>
        <w:t>Monothioglycerol</w:t>
      </w:r>
      <w:proofErr w:type="spellEnd"/>
    </w:p>
    <w:p w14:paraId="6077CD54" w14:textId="7E80D7D2" w:rsidR="00B26158" w:rsidRPr="00A36FF3" w:rsidRDefault="00B26158" w:rsidP="00B26158">
      <w:pPr>
        <w:tabs>
          <w:tab w:val="left" w:pos="851"/>
          <w:tab w:val="left" w:pos="8222"/>
        </w:tabs>
        <w:ind w:left="851"/>
        <w:rPr>
          <w:sz w:val="24"/>
          <w:szCs w:val="24"/>
          <w:lang w:bidi="en-US"/>
        </w:rPr>
      </w:pPr>
      <w:r w:rsidRPr="00A36FF3">
        <w:rPr>
          <w:sz w:val="24"/>
          <w:szCs w:val="24"/>
          <w:lang w:bidi="en-US"/>
        </w:rPr>
        <w:t xml:space="preserve">Propylenglycol </w:t>
      </w:r>
    </w:p>
    <w:p w14:paraId="6F0CF5F1" w14:textId="77777777" w:rsidR="00B26158" w:rsidRPr="00A36FF3" w:rsidRDefault="00B26158" w:rsidP="00B26158">
      <w:pPr>
        <w:tabs>
          <w:tab w:val="left" w:pos="851"/>
          <w:tab w:val="left" w:pos="8222"/>
        </w:tabs>
        <w:ind w:left="851"/>
        <w:rPr>
          <w:sz w:val="24"/>
          <w:szCs w:val="24"/>
          <w:lang w:bidi="en-US"/>
        </w:rPr>
      </w:pPr>
      <w:r w:rsidRPr="00A36FF3">
        <w:rPr>
          <w:sz w:val="24"/>
          <w:szCs w:val="24"/>
          <w:lang w:bidi="en-US"/>
        </w:rPr>
        <w:t>Citronsyre</w:t>
      </w:r>
    </w:p>
    <w:p w14:paraId="5F440401" w14:textId="77777777" w:rsidR="00B26158" w:rsidRPr="00A36FF3" w:rsidRDefault="00B26158" w:rsidP="00B26158">
      <w:pPr>
        <w:tabs>
          <w:tab w:val="left" w:pos="851"/>
          <w:tab w:val="left" w:pos="8222"/>
        </w:tabs>
        <w:ind w:left="851"/>
        <w:rPr>
          <w:sz w:val="24"/>
          <w:szCs w:val="24"/>
        </w:rPr>
      </w:pPr>
      <w:r w:rsidRPr="00A36FF3">
        <w:rPr>
          <w:sz w:val="24"/>
          <w:szCs w:val="24"/>
        </w:rPr>
        <w:t xml:space="preserve">Saltsyre, fortyndet (til pH-tilpasning) </w:t>
      </w:r>
    </w:p>
    <w:p w14:paraId="3D86FA07" w14:textId="77777777" w:rsidR="008D1423" w:rsidRPr="00A36FF3" w:rsidRDefault="00B26158" w:rsidP="00B26158">
      <w:pPr>
        <w:tabs>
          <w:tab w:val="left" w:pos="851"/>
          <w:tab w:val="left" w:pos="8222"/>
        </w:tabs>
        <w:ind w:left="851"/>
        <w:rPr>
          <w:sz w:val="24"/>
          <w:szCs w:val="24"/>
        </w:rPr>
      </w:pPr>
      <w:r w:rsidRPr="00A36FF3">
        <w:rPr>
          <w:sz w:val="24"/>
          <w:szCs w:val="24"/>
        </w:rPr>
        <w:t>Natriumhydroxid (til pH-tilpasning)</w:t>
      </w:r>
    </w:p>
    <w:p w14:paraId="4F5A721B" w14:textId="7E32C4E4" w:rsidR="00B26158" w:rsidRPr="00A36FF3" w:rsidRDefault="00B26158" w:rsidP="00B26158">
      <w:pPr>
        <w:tabs>
          <w:tab w:val="left" w:pos="851"/>
          <w:tab w:val="left" w:pos="8222"/>
        </w:tabs>
        <w:ind w:left="851"/>
        <w:rPr>
          <w:sz w:val="24"/>
          <w:szCs w:val="24"/>
        </w:rPr>
      </w:pPr>
      <w:r w:rsidRPr="00A36FF3">
        <w:rPr>
          <w:sz w:val="24"/>
          <w:szCs w:val="24"/>
        </w:rPr>
        <w:t>Vand til injektionsvæsker</w:t>
      </w:r>
    </w:p>
    <w:p w14:paraId="10D7F833" w14:textId="77777777" w:rsidR="005B0036" w:rsidRPr="00A36FF3" w:rsidRDefault="005B0036" w:rsidP="005B0036">
      <w:pPr>
        <w:tabs>
          <w:tab w:val="left" w:pos="851"/>
          <w:tab w:val="left" w:pos="8222"/>
        </w:tabs>
        <w:ind w:left="851"/>
        <w:rPr>
          <w:sz w:val="24"/>
          <w:szCs w:val="24"/>
        </w:rPr>
      </w:pPr>
    </w:p>
    <w:p w14:paraId="48596F1B" w14:textId="77777777" w:rsidR="005B0036" w:rsidRPr="00A36FF3" w:rsidRDefault="005B0036" w:rsidP="005B0036">
      <w:pPr>
        <w:tabs>
          <w:tab w:val="left" w:pos="8222"/>
        </w:tabs>
        <w:ind w:left="851" w:hanging="851"/>
        <w:rPr>
          <w:b/>
          <w:sz w:val="24"/>
          <w:szCs w:val="24"/>
        </w:rPr>
      </w:pPr>
      <w:r w:rsidRPr="00A36FF3">
        <w:rPr>
          <w:b/>
          <w:sz w:val="24"/>
          <w:szCs w:val="24"/>
        </w:rPr>
        <w:t>6.2</w:t>
      </w:r>
      <w:r w:rsidRPr="00A36FF3">
        <w:rPr>
          <w:b/>
          <w:sz w:val="24"/>
          <w:szCs w:val="24"/>
        </w:rPr>
        <w:tab/>
        <w:t>Uforligeligheder</w:t>
      </w:r>
    </w:p>
    <w:p w14:paraId="4522372B" w14:textId="77777777" w:rsidR="0061529C" w:rsidRPr="00A36FF3" w:rsidRDefault="0061529C" w:rsidP="0061529C">
      <w:pPr>
        <w:tabs>
          <w:tab w:val="left" w:pos="851"/>
          <w:tab w:val="left" w:pos="8222"/>
        </w:tabs>
        <w:ind w:left="851"/>
        <w:rPr>
          <w:sz w:val="24"/>
          <w:szCs w:val="24"/>
        </w:rPr>
      </w:pPr>
      <w:r w:rsidRPr="00A36FF3">
        <w:rPr>
          <w:sz w:val="24"/>
          <w:szCs w:val="24"/>
        </w:rPr>
        <w:t>Da der ikke foreligger undersøgelser vedrørende eventuelle uforligeligheder, bør dette veterinærlægemiddel ikke blandes med andre veterinærlægemidler.</w:t>
      </w:r>
    </w:p>
    <w:p w14:paraId="163043F9" w14:textId="77777777" w:rsidR="005B0036" w:rsidRPr="00A36FF3" w:rsidRDefault="005B0036" w:rsidP="005B0036">
      <w:pPr>
        <w:tabs>
          <w:tab w:val="left" w:pos="851"/>
          <w:tab w:val="left" w:pos="8222"/>
        </w:tabs>
        <w:ind w:left="851"/>
        <w:rPr>
          <w:sz w:val="24"/>
          <w:szCs w:val="24"/>
        </w:rPr>
      </w:pPr>
    </w:p>
    <w:p w14:paraId="54AC712F" w14:textId="77777777" w:rsidR="005B0036" w:rsidRPr="00A36FF3" w:rsidRDefault="005B0036" w:rsidP="005B0036">
      <w:pPr>
        <w:tabs>
          <w:tab w:val="left" w:pos="8222"/>
        </w:tabs>
        <w:ind w:left="851" w:hanging="851"/>
        <w:rPr>
          <w:b/>
          <w:sz w:val="24"/>
          <w:szCs w:val="24"/>
        </w:rPr>
      </w:pPr>
      <w:r w:rsidRPr="00A36FF3">
        <w:rPr>
          <w:b/>
          <w:sz w:val="24"/>
          <w:szCs w:val="24"/>
        </w:rPr>
        <w:t>6.3</w:t>
      </w:r>
      <w:r w:rsidRPr="00A36FF3">
        <w:rPr>
          <w:b/>
          <w:sz w:val="24"/>
          <w:szCs w:val="24"/>
        </w:rPr>
        <w:tab/>
        <w:t>Opbevaringstid</w:t>
      </w:r>
    </w:p>
    <w:p w14:paraId="6A9026B4" w14:textId="6B263515" w:rsidR="0061529C" w:rsidRPr="00A36FF3" w:rsidRDefault="0061529C" w:rsidP="0061529C">
      <w:pPr>
        <w:tabs>
          <w:tab w:val="left" w:pos="851"/>
          <w:tab w:val="left" w:pos="8222"/>
        </w:tabs>
        <w:ind w:left="851"/>
        <w:rPr>
          <w:sz w:val="24"/>
          <w:szCs w:val="24"/>
        </w:rPr>
      </w:pPr>
      <w:r w:rsidRPr="00A36FF3">
        <w:rPr>
          <w:sz w:val="24"/>
          <w:szCs w:val="24"/>
        </w:rPr>
        <w:t>I salgspakning: 30 måneder.</w:t>
      </w:r>
    </w:p>
    <w:p w14:paraId="33CF46C3" w14:textId="77777777" w:rsidR="0061529C" w:rsidRPr="00A36FF3" w:rsidRDefault="0061529C" w:rsidP="0061529C">
      <w:pPr>
        <w:tabs>
          <w:tab w:val="left" w:pos="851"/>
          <w:tab w:val="left" w:pos="8222"/>
        </w:tabs>
        <w:ind w:left="851"/>
        <w:rPr>
          <w:sz w:val="24"/>
          <w:szCs w:val="24"/>
        </w:rPr>
      </w:pPr>
    </w:p>
    <w:p w14:paraId="3729A8E0" w14:textId="77777777" w:rsidR="0061529C" w:rsidRPr="00A36FF3" w:rsidRDefault="0061529C" w:rsidP="0061529C">
      <w:pPr>
        <w:tabs>
          <w:tab w:val="left" w:pos="851"/>
          <w:tab w:val="left" w:pos="8222"/>
        </w:tabs>
        <w:ind w:left="851"/>
        <w:rPr>
          <w:sz w:val="24"/>
          <w:szCs w:val="24"/>
        </w:rPr>
      </w:pPr>
      <w:r w:rsidRPr="00A36FF3">
        <w:rPr>
          <w:sz w:val="24"/>
          <w:szCs w:val="24"/>
        </w:rPr>
        <w:t>Efter første åbning af den indre emballage: 28 dage.</w:t>
      </w:r>
    </w:p>
    <w:p w14:paraId="034C3F0F" w14:textId="77777777" w:rsidR="005B0036" w:rsidRPr="00A36FF3" w:rsidRDefault="005B0036" w:rsidP="005B0036">
      <w:pPr>
        <w:tabs>
          <w:tab w:val="left" w:pos="851"/>
          <w:tab w:val="left" w:pos="8222"/>
        </w:tabs>
        <w:ind w:left="851"/>
        <w:rPr>
          <w:sz w:val="24"/>
          <w:szCs w:val="24"/>
        </w:rPr>
      </w:pPr>
    </w:p>
    <w:p w14:paraId="1F1BC6A4" w14:textId="77777777" w:rsidR="005B0036" w:rsidRPr="00A36FF3" w:rsidRDefault="005B0036" w:rsidP="005B0036">
      <w:pPr>
        <w:tabs>
          <w:tab w:val="left" w:pos="8222"/>
        </w:tabs>
        <w:ind w:left="851" w:hanging="851"/>
        <w:rPr>
          <w:b/>
          <w:sz w:val="24"/>
          <w:szCs w:val="24"/>
        </w:rPr>
      </w:pPr>
      <w:r w:rsidRPr="00A36FF3">
        <w:rPr>
          <w:b/>
          <w:sz w:val="24"/>
          <w:szCs w:val="24"/>
        </w:rPr>
        <w:t>6.4</w:t>
      </w:r>
      <w:r w:rsidRPr="00A36FF3">
        <w:rPr>
          <w:b/>
          <w:sz w:val="24"/>
          <w:szCs w:val="24"/>
        </w:rPr>
        <w:tab/>
        <w:t>Særlige opbevaringsforhold</w:t>
      </w:r>
    </w:p>
    <w:p w14:paraId="1681755C" w14:textId="77777777" w:rsidR="00CF0A8B" w:rsidRPr="00A36FF3" w:rsidRDefault="00CF0A8B" w:rsidP="00CF0A8B">
      <w:pPr>
        <w:tabs>
          <w:tab w:val="left" w:pos="851"/>
          <w:tab w:val="left" w:pos="8222"/>
        </w:tabs>
        <w:ind w:left="851"/>
        <w:rPr>
          <w:sz w:val="24"/>
          <w:szCs w:val="24"/>
        </w:rPr>
      </w:pPr>
      <w:r w:rsidRPr="00A36FF3">
        <w:rPr>
          <w:sz w:val="24"/>
          <w:szCs w:val="24"/>
        </w:rPr>
        <w:t>Dette veterinærlægemiddel kræver ingen særlige forholdsregler vedrørende opbevaringen.</w:t>
      </w:r>
    </w:p>
    <w:p w14:paraId="2C563244" w14:textId="77777777" w:rsidR="005B0036" w:rsidRPr="00A36FF3" w:rsidRDefault="005B0036" w:rsidP="005B0036">
      <w:pPr>
        <w:tabs>
          <w:tab w:val="left" w:pos="851"/>
          <w:tab w:val="left" w:pos="8222"/>
        </w:tabs>
        <w:ind w:left="851"/>
        <w:rPr>
          <w:sz w:val="24"/>
          <w:szCs w:val="24"/>
        </w:rPr>
      </w:pPr>
    </w:p>
    <w:p w14:paraId="01D3202A" w14:textId="77777777" w:rsidR="005B0036" w:rsidRPr="00A36FF3" w:rsidRDefault="005B0036" w:rsidP="005B0036">
      <w:pPr>
        <w:tabs>
          <w:tab w:val="left" w:pos="8222"/>
        </w:tabs>
        <w:ind w:left="851" w:hanging="851"/>
        <w:rPr>
          <w:b/>
          <w:sz w:val="24"/>
          <w:szCs w:val="24"/>
        </w:rPr>
      </w:pPr>
      <w:r w:rsidRPr="00A36FF3">
        <w:rPr>
          <w:b/>
          <w:sz w:val="24"/>
          <w:szCs w:val="24"/>
        </w:rPr>
        <w:t>6.5</w:t>
      </w:r>
      <w:r w:rsidRPr="00A36FF3">
        <w:rPr>
          <w:b/>
          <w:sz w:val="24"/>
          <w:szCs w:val="24"/>
        </w:rPr>
        <w:tab/>
        <w:t>Emballage</w:t>
      </w:r>
    </w:p>
    <w:p w14:paraId="1FF69C5E" w14:textId="0303A1D1" w:rsidR="001D461B" w:rsidRPr="00A36FF3" w:rsidRDefault="001D461B" w:rsidP="001D461B">
      <w:pPr>
        <w:tabs>
          <w:tab w:val="left" w:pos="851"/>
          <w:tab w:val="left" w:pos="8222"/>
        </w:tabs>
        <w:ind w:left="851"/>
        <w:rPr>
          <w:sz w:val="24"/>
          <w:szCs w:val="24"/>
        </w:rPr>
      </w:pPr>
      <w:r w:rsidRPr="00A36FF3">
        <w:rPr>
          <w:sz w:val="24"/>
          <w:szCs w:val="24"/>
        </w:rPr>
        <w:t xml:space="preserve">Type I farveløst hætteglas med en </w:t>
      </w:r>
      <w:proofErr w:type="spellStart"/>
      <w:r w:rsidRPr="00A36FF3">
        <w:rPr>
          <w:sz w:val="24"/>
          <w:szCs w:val="24"/>
        </w:rPr>
        <w:t>fluoropolymercoated</w:t>
      </w:r>
      <w:proofErr w:type="spellEnd"/>
      <w:r w:rsidRPr="00A36FF3">
        <w:rPr>
          <w:sz w:val="24"/>
          <w:szCs w:val="24"/>
        </w:rPr>
        <w:t xml:space="preserve"> </w:t>
      </w:r>
      <w:proofErr w:type="spellStart"/>
      <w:r w:rsidRPr="00A36FF3">
        <w:rPr>
          <w:sz w:val="24"/>
          <w:szCs w:val="24"/>
        </w:rPr>
        <w:t>bromobutyl</w:t>
      </w:r>
      <w:proofErr w:type="spellEnd"/>
      <w:r w:rsidRPr="00A36FF3">
        <w:rPr>
          <w:sz w:val="24"/>
          <w:szCs w:val="24"/>
        </w:rPr>
        <w:t xml:space="preserve"> gummiprop og aluminiumsforsegling, i papæske.</w:t>
      </w:r>
    </w:p>
    <w:p w14:paraId="26B71D8E" w14:textId="77777777" w:rsidR="001D461B" w:rsidRPr="00A36FF3" w:rsidRDefault="001D461B" w:rsidP="001D461B">
      <w:pPr>
        <w:tabs>
          <w:tab w:val="left" w:pos="851"/>
          <w:tab w:val="left" w:pos="8222"/>
        </w:tabs>
        <w:ind w:left="851"/>
        <w:rPr>
          <w:sz w:val="24"/>
          <w:szCs w:val="24"/>
        </w:rPr>
      </w:pPr>
    </w:p>
    <w:p w14:paraId="52D98D3A" w14:textId="3E842132" w:rsidR="001D461B" w:rsidRPr="00A36FF3" w:rsidRDefault="001D461B" w:rsidP="001D461B">
      <w:pPr>
        <w:tabs>
          <w:tab w:val="left" w:pos="851"/>
          <w:tab w:val="left" w:pos="8222"/>
        </w:tabs>
        <w:ind w:left="851"/>
        <w:rPr>
          <w:sz w:val="24"/>
          <w:szCs w:val="24"/>
          <w:u w:val="single"/>
        </w:rPr>
      </w:pPr>
      <w:r w:rsidRPr="00A36FF3">
        <w:rPr>
          <w:sz w:val="24"/>
          <w:szCs w:val="24"/>
          <w:u w:val="single"/>
        </w:rPr>
        <w:t>Pakningsstørrelser</w:t>
      </w:r>
    </w:p>
    <w:p w14:paraId="7F0BC40E" w14:textId="4E11652F" w:rsidR="001D461B" w:rsidRPr="00A36FF3" w:rsidRDefault="001D461B" w:rsidP="001D461B">
      <w:pPr>
        <w:tabs>
          <w:tab w:val="left" w:pos="851"/>
          <w:tab w:val="left" w:pos="8222"/>
        </w:tabs>
        <w:ind w:left="851"/>
        <w:rPr>
          <w:sz w:val="24"/>
          <w:szCs w:val="24"/>
        </w:rPr>
      </w:pPr>
      <w:r w:rsidRPr="00A36FF3">
        <w:rPr>
          <w:sz w:val="24"/>
          <w:szCs w:val="24"/>
        </w:rPr>
        <w:t>1 hætteglas à 100 ml og 1 hætteglas à 250 ml.</w:t>
      </w:r>
    </w:p>
    <w:p w14:paraId="016D5310" w14:textId="77777777" w:rsidR="001D461B" w:rsidRPr="00A36FF3" w:rsidRDefault="001D461B" w:rsidP="001D461B">
      <w:pPr>
        <w:tabs>
          <w:tab w:val="left" w:pos="851"/>
          <w:tab w:val="left" w:pos="8222"/>
        </w:tabs>
        <w:ind w:left="851"/>
        <w:rPr>
          <w:sz w:val="24"/>
          <w:szCs w:val="24"/>
        </w:rPr>
      </w:pPr>
    </w:p>
    <w:p w14:paraId="5A183798" w14:textId="77777777" w:rsidR="001D461B" w:rsidRPr="00A36FF3" w:rsidRDefault="001D461B" w:rsidP="001D461B">
      <w:pPr>
        <w:tabs>
          <w:tab w:val="left" w:pos="851"/>
          <w:tab w:val="left" w:pos="8222"/>
        </w:tabs>
        <w:ind w:left="851"/>
        <w:rPr>
          <w:sz w:val="24"/>
          <w:szCs w:val="24"/>
        </w:rPr>
      </w:pPr>
      <w:r w:rsidRPr="00A36FF3">
        <w:rPr>
          <w:sz w:val="24"/>
          <w:szCs w:val="24"/>
        </w:rPr>
        <w:t>Ikke alle pakningsstørrelser er nødvendigvis markedsført.</w:t>
      </w:r>
    </w:p>
    <w:p w14:paraId="7257EAC0" w14:textId="77777777" w:rsidR="005B0036" w:rsidRPr="00A36FF3" w:rsidRDefault="005B0036" w:rsidP="005B0036">
      <w:pPr>
        <w:tabs>
          <w:tab w:val="left" w:pos="851"/>
          <w:tab w:val="left" w:pos="8222"/>
        </w:tabs>
        <w:ind w:left="851"/>
        <w:rPr>
          <w:sz w:val="24"/>
          <w:szCs w:val="24"/>
        </w:rPr>
      </w:pPr>
    </w:p>
    <w:p w14:paraId="31D5BA2B" w14:textId="77777777" w:rsidR="005B0036" w:rsidRPr="00A36FF3" w:rsidRDefault="005B0036" w:rsidP="005B0036">
      <w:pPr>
        <w:tabs>
          <w:tab w:val="left" w:pos="851"/>
          <w:tab w:val="left" w:pos="8222"/>
        </w:tabs>
        <w:ind w:left="851" w:hanging="851"/>
        <w:rPr>
          <w:b/>
          <w:sz w:val="24"/>
          <w:szCs w:val="24"/>
        </w:rPr>
      </w:pPr>
      <w:r w:rsidRPr="00A36FF3">
        <w:rPr>
          <w:b/>
          <w:sz w:val="24"/>
          <w:szCs w:val="24"/>
        </w:rPr>
        <w:t>6.6</w:t>
      </w:r>
      <w:r w:rsidRPr="00A36FF3">
        <w:rPr>
          <w:b/>
          <w:sz w:val="24"/>
          <w:szCs w:val="24"/>
        </w:rPr>
        <w:tab/>
        <w:t>Særlige forholdsregler ved bortskaffelse af rester af lægemidlet eller affald</w:t>
      </w:r>
    </w:p>
    <w:p w14:paraId="40884D65" w14:textId="5ADBF0B7" w:rsidR="001446DF" w:rsidRPr="00A36FF3" w:rsidRDefault="001446DF" w:rsidP="001446DF">
      <w:pPr>
        <w:tabs>
          <w:tab w:val="left" w:pos="851"/>
          <w:tab w:val="left" w:pos="8222"/>
        </w:tabs>
        <w:ind w:left="851"/>
        <w:rPr>
          <w:sz w:val="24"/>
          <w:szCs w:val="24"/>
        </w:rPr>
      </w:pPr>
      <w:r w:rsidRPr="00A36FF3">
        <w:rPr>
          <w:sz w:val="24"/>
          <w:szCs w:val="24"/>
        </w:rPr>
        <w:t>Ikke anvendte veterinærlægemidler samt affald heraf bør destrueres i henhold til lokale retningslinjer.</w:t>
      </w:r>
    </w:p>
    <w:p w14:paraId="7BC07370" w14:textId="77777777" w:rsidR="005B0036" w:rsidRPr="00A36FF3" w:rsidRDefault="005B0036" w:rsidP="005B0036">
      <w:pPr>
        <w:tabs>
          <w:tab w:val="left" w:pos="851"/>
          <w:tab w:val="left" w:pos="8222"/>
        </w:tabs>
        <w:ind w:left="851"/>
        <w:rPr>
          <w:sz w:val="24"/>
          <w:szCs w:val="24"/>
        </w:rPr>
      </w:pPr>
    </w:p>
    <w:p w14:paraId="21198819" w14:textId="77777777" w:rsidR="005B0036" w:rsidRPr="00A36FF3" w:rsidRDefault="005B0036" w:rsidP="005B0036">
      <w:pPr>
        <w:tabs>
          <w:tab w:val="left" w:pos="851"/>
          <w:tab w:val="left" w:pos="8222"/>
        </w:tabs>
        <w:ind w:left="851" w:hanging="851"/>
        <w:rPr>
          <w:b/>
          <w:sz w:val="24"/>
          <w:szCs w:val="24"/>
        </w:rPr>
      </w:pPr>
      <w:r w:rsidRPr="00A36FF3">
        <w:rPr>
          <w:b/>
          <w:sz w:val="24"/>
          <w:szCs w:val="24"/>
        </w:rPr>
        <w:lastRenderedPageBreak/>
        <w:t>7.</w:t>
      </w:r>
      <w:bookmarkStart w:id="1" w:name="_GoBack"/>
      <w:bookmarkEnd w:id="1"/>
      <w:r w:rsidRPr="00A36FF3">
        <w:rPr>
          <w:b/>
          <w:sz w:val="24"/>
          <w:szCs w:val="24"/>
        </w:rPr>
        <w:tab/>
        <w:t>INDEHAVER AF MARKEDSFØRINGSTILLADELSEN</w:t>
      </w:r>
    </w:p>
    <w:p w14:paraId="3602998A" w14:textId="5EABD2A2" w:rsidR="001446DF" w:rsidRPr="00A36FF3" w:rsidRDefault="001446DF" w:rsidP="001446DF">
      <w:pPr>
        <w:tabs>
          <w:tab w:val="left" w:pos="851"/>
          <w:tab w:val="left" w:pos="8222"/>
        </w:tabs>
        <w:ind w:left="851"/>
        <w:rPr>
          <w:sz w:val="24"/>
          <w:szCs w:val="24"/>
          <w:lang w:bidi="en-US"/>
        </w:rPr>
      </w:pPr>
      <w:proofErr w:type="spellStart"/>
      <w:r w:rsidRPr="00A36FF3">
        <w:rPr>
          <w:sz w:val="24"/>
          <w:szCs w:val="24"/>
          <w:lang w:bidi="en-US"/>
        </w:rPr>
        <w:t>Vetpharma</w:t>
      </w:r>
      <w:proofErr w:type="spellEnd"/>
      <w:r w:rsidR="00F44612" w:rsidRPr="00A36FF3">
        <w:rPr>
          <w:sz w:val="24"/>
          <w:szCs w:val="24"/>
          <w:lang w:bidi="en-US"/>
        </w:rPr>
        <w:t xml:space="preserve"> Animal Health</w:t>
      </w:r>
      <w:r w:rsidRPr="00A36FF3">
        <w:rPr>
          <w:sz w:val="24"/>
          <w:szCs w:val="24"/>
          <w:lang w:bidi="en-US"/>
        </w:rPr>
        <w:t>, S.L.</w:t>
      </w:r>
    </w:p>
    <w:p w14:paraId="15AA0A25" w14:textId="77777777" w:rsidR="000B33DE" w:rsidRPr="000B33DE" w:rsidRDefault="000B33DE" w:rsidP="000B33DE">
      <w:pPr>
        <w:tabs>
          <w:tab w:val="left" w:pos="851"/>
          <w:tab w:val="left" w:pos="8222"/>
        </w:tabs>
        <w:ind w:left="851"/>
        <w:rPr>
          <w:sz w:val="24"/>
          <w:szCs w:val="24"/>
          <w:lang w:val="en-US"/>
        </w:rPr>
      </w:pPr>
      <w:r w:rsidRPr="000B33DE">
        <w:rPr>
          <w:sz w:val="24"/>
          <w:szCs w:val="24"/>
          <w:lang w:val="en-US"/>
        </w:rPr>
        <w:t xml:space="preserve">Gran Via </w:t>
      </w:r>
      <w:proofErr w:type="spellStart"/>
      <w:r w:rsidRPr="000B33DE">
        <w:rPr>
          <w:sz w:val="24"/>
          <w:szCs w:val="24"/>
          <w:lang w:val="en-US"/>
        </w:rPr>
        <w:t>Carles</w:t>
      </w:r>
      <w:proofErr w:type="spellEnd"/>
      <w:r w:rsidRPr="000B33DE">
        <w:rPr>
          <w:sz w:val="24"/>
          <w:szCs w:val="24"/>
          <w:lang w:val="en-US"/>
        </w:rPr>
        <w:t xml:space="preserve"> III, 98, 7ª</w:t>
      </w:r>
    </w:p>
    <w:p w14:paraId="19F38748" w14:textId="77777777" w:rsidR="000B33DE" w:rsidRDefault="000B33DE" w:rsidP="000B33DE">
      <w:pPr>
        <w:tabs>
          <w:tab w:val="left" w:pos="851"/>
          <w:tab w:val="left" w:pos="8222"/>
        </w:tabs>
        <w:ind w:left="851"/>
        <w:rPr>
          <w:sz w:val="24"/>
          <w:szCs w:val="24"/>
          <w:lang w:val="en-US"/>
        </w:rPr>
      </w:pPr>
      <w:r w:rsidRPr="000B33DE">
        <w:rPr>
          <w:sz w:val="24"/>
          <w:szCs w:val="24"/>
          <w:lang w:val="en-US"/>
        </w:rPr>
        <w:t>08028 Barcelona</w:t>
      </w:r>
    </w:p>
    <w:p w14:paraId="0302F8BB" w14:textId="28A340A3" w:rsidR="001446DF" w:rsidRPr="00E17A37" w:rsidRDefault="001446DF" w:rsidP="000B33DE">
      <w:pPr>
        <w:tabs>
          <w:tab w:val="left" w:pos="851"/>
          <w:tab w:val="left" w:pos="8222"/>
        </w:tabs>
        <w:ind w:left="851"/>
        <w:rPr>
          <w:sz w:val="24"/>
          <w:szCs w:val="24"/>
          <w:lang w:val="en-US"/>
        </w:rPr>
      </w:pPr>
      <w:proofErr w:type="spellStart"/>
      <w:r w:rsidRPr="00E17A37">
        <w:rPr>
          <w:sz w:val="24"/>
          <w:szCs w:val="24"/>
          <w:lang w:val="en-US"/>
        </w:rPr>
        <w:t>Spanien</w:t>
      </w:r>
      <w:proofErr w:type="spellEnd"/>
    </w:p>
    <w:p w14:paraId="240CC69F" w14:textId="77777777" w:rsidR="001446DF" w:rsidRPr="00E17A37" w:rsidRDefault="001446DF" w:rsidP="001446DF">
      <w:pPr>
        <w:tabs>
          <w:tab w:val="left" w:pos="851"/>
          <w:tab w:val="left" w:pos="8222"/>
        </w:tabs>
        <w:ind w:left="851"/>
        <w:rPr>
          <w:sz w:val="24"/>
          <w:szCs w:val="24"/>
          <w:lang w:val="en-US"/>
        </w:rPr>
      </w:pPr>
    </w:p>
    <w:p w14:paraId="54490001" w14:textId="57E56FDE" w:rsidR="005B0036" w:rsidRPr="00A36FF3" w:rsidRDefault="005B0036" w:rsidP="005B0036">
      <w:pPr>
        <w:tabs>
          <w:tab w:val="left" w:pos="8222"/>
        </w:tabs>
        <w:ind w:left="851" w:hanging="851"/>
        <w:rPr>
          <w:b/>
          <w:sz w:val="24"/>
          <w:szCs w:val="24"/>
        </w:rPr>
      </w:pPr>
      <w:r w:rsidRPr="00A36FF3">
        <w:rPr>
          <w:b/>
          <w:sz w:val="24"/>
          <w:szCs w:val="24"/>
        </w:rPr>
        <w:t>8.</w:t>
      </w:r>
      <w:r w:rsidRPr="00A36FF3">
        <w:rPr>
          <w:b/>
          <w:sz w:val="24"/>
          <w:szCs w:val="24"/>
        </w:rPr>
        <w:tab/>
        <w:t>MARKEDSFØRINGSTILLADELSESNUMMER (</w:t>
      </w:r>
      <w:r w:rsidR="00C40D25">
        <w:rPr>
          <w:b/>
          <w:sz w:val="24"/>
          <w:szCs w:val="24"/>
        </w:rPr>
        <w:t>-</w:t>
      </w:r>
      <w:r w:rsidRPr="00A36FF3">
        <w:rPr>
          <w:b/>
          <w:sz w:val="24"/>
          <w:szCs w:val="24"/>
        </w:rPr>
        <w:t>NUMRE)</w:t>
      </w:r>
    </w:p>
    <w:p w14:paraId="0F921569" w14:textId="6CA01014" w:rsidR="005B0036" w:rsidRPr="00A36FF3" w:rsidRDefault="00F44612" w:rsidP="005B0036">
      <w:pPr>
        <w:tabs>
          <w:tab w:val="left" w:pos="851"/>
          <w:tab w:val="left" w:pos="8222"/>
        </w:tabs>
        <w:ind w:left="851"/>
        <w:rPr>
          <w:sz w:val="24"/>
          <w:szCs w:val="24"/>
        </w:rPr>
      </w:pPr>
      <w:r w:rsidRPr="00A36FF3">
        <w:rPr>
          <w:sz w:val="24"/>
          <w:szCs w:val="24"/>
        </w:rPr>
        <w:t>64264</w:t>
      </w:r>
    </w:p>
    <w:p w14:paraId="724C17F6" w14:textId="77777777" w:rsidR="005B0036" w:rsidRPr="00A36FF3" w:rsidRDefault="005B0036" w:rsidP="005B0036">
      <w:pPr>
        <w:tabs>
          <w:tab w:val="left" w:pos="851"/>
          <w:tab w:val="left" w:pos="8222"/>
        </w:tabs>
        <w:ind w:left="851"/>
        <w:rPr>
          <w:sz w:val="24"/>
          <w:szCs w:val="24"/>
        </w:rPr>
      </w:pPr>
    </w:p>
    <w:p w14:paraId="6C4028C2" w14:textId="77777777" w:rsidR="005B0036" w:rsidRPr="00A36FF3" w:rsidRDefault="005B0036" w:rsidP="005B0036">
      <w:pPr>
        <w:tabs>
          <w:tab w:val="left" w:pos="851"/>
          <w:tab w:val="left" w:pos="8222"/>
        </w:tabs>
        <w:rPr>
          <w:b/>
          <w:sz w:val="24"/>
          <w:szCs w:val="24"/>
        </w:rPr>
      </w:pPr>
      <w:r w:rsidRPr="00A36FF3">
        <w:rPr>
          <w:b/>
          <w:sz w:val="24"/>
          <w:szCs w:val="24"/>
        </w:rPr>
        <w:t>9.</w:t>
      </w:r>
      <w:r w:rsidRPr="00A36FF3">
        <w:rPr>
          <w:b/>
          <w:sz w:val="24"/>
          <w:szCs w:val="24"/>
        </w:rPr>
        <w:tab/>
        <w:t>DATO FOR FØRSTE MARKEDSFØRINGSTILLADELSE</w:t>
      </w:r>
    </w:p>
    <w:p w14:paraId="746885FF" w14:textId="452A52F8" w:rsidR="005B0036" w:rsidRPr="00A36FF3" w:rsidRDefault="0072650E" w:rsidP="005B0036">
      <w:pPr>
        <w:tabs>
          <w:tab w:val="left" w:pos="851"/>
          <w:tab w:val="left" w:pos="8222"/>
        </w:tabs>
        <w:ind w:left="851"/>
        <w:rPr>
          <w:sz w:val="24"/>
          <w:szCs w:val="24"/>
        </w:rPr>
      </w:pPr>
      <w:r w:rsidRPr="00A36FF3">
        <w:rPr>
          <w:sz w:val="24"/>
          <w:szCs w:val="24"/>
        </w:rPr>
        <w:t>26. januar 2022</w:t>
      </w:r>
    </w:p>
    <w:p w14:paraId="68E97AA6" w14:textId="77777777" w:rsidR="005B0036" w:rsidRPr="00A36FF3" w:rsidRDefault="005B0036" w:rsidP="005B0036">
      <w:pPr>
        <w:tabs>
          <w:tab w:val="left" w:pos="851"/>
          <w:tab w:val="left" w:pos="8222"/>
        </w:tabs>
        <w:ind w:left="851"/>
        <w:rPr>
          <w:sz w:val="24"/>
          <w:szCs w:val="24"/>
        </w:rPr>
      </w:pPr>
    </w:p>
    <w:p w14:paraId="60132B9D" w14:textId="77777777" w:rsidR="005B0036" w:rsidRPr="00A36FF3" w:rsidRDefault="005B0036" w:rsidP="005B0036">
      <w:pPr>
        <w:tabs>
          <w:tab w:val="left" w:pos="851"/>
          <w:tab w:val="left" w:pos="8222"/>
        </w:tabs>
        <w:ind w:left="851" w:hanging="851"/>
        <w:rPr>
          <w:b/>
          <w:sz w:val="24"/>
          <w:szCs w:val="24"/>
        </w:rPr>
      </w:pPr>
      <w:r w:rsidRPr="00A36FF3">
        <w:rPr>
          <w:b/>
          <w:sz w:val="24"/>
          <w:szCs w:val="24"/>
        </w:rPr>
        <w:t>10.</w:t>
      </w:r>
      <w:r w:rsidRPr="00A36FF3">
        <w:rPr>
          <w:b/>
          <w:sz w:val="24"/>
          <w:szCs w:val="24"/>
        </w:rPr>
        <w:tab/>
        <w:t>DATO FOR ÆNDRING AF TEKSTEN</w:t>
      </w:r>
    </w:p>
    <w:p w14:paraId="5A7D02CC" w14:textId="618BCD3B" w:rsidR="005B0036" w:rsidRPr="00A36FF3" w:rsidRDefault="00C40D25" w:rsidP="005B0036">
      <w:pPr>
        <w:tabs>
          <w:tab w:val="left" w:pos="851"/>
          <w:tab w:val="left" w:pos="8222"/>
        </w:tabs>
        <w:ind w:left="851"/>
        <w:rPr>
          <w:sz w:val="24"/>
          <w:szCs w:val="24"/>
        </w:rPr>
      </w:pPr>
      <w:r>
        <w:rPr>
          <w:sz w:val="24"/>
          <w:szCs w:val="24"/>
        </w:rPr>
        <w:t>28. oktober</w:t>
      </w:r>
      <w:r w:rsidR="000B33DE">
        <w:rPr>
          <w:sz w:val="24"/>
          <w:szCs w:val="24"/>
        </w:rPr>
        <w:t xml:space="preserve"> 2024</w:t>
      </w:r>
    </w:p>
    <w:p w14:paraId="08E12102" w14:textId="77777777" w:rsidR="005B0036" w:rsidRPr="00A36FF3" w:rsidRDefault="005B0036" w:rsidP="005B0036">
      <w:pPr>
        <w:tabs>
          <w:tab w:val="left" w:pos="851"/>
          <w:tab w:val="left" w:pos="8222"/>
        </w:tabs>
        <w:ind w:left="851"/>
        <w:rPr>
          <w:sz w:val="24"/>
          <w:szCs w:val="24"/>
        </w:rPr>
      </w:pPr>
    </w:p>
    <w:p w14:paraId="3FBBF57C" w14:textId="77777777" w:rsidR="005B0036" w:rsidRPr="00A36FF3" w:rsidRDefault="005B0036" w:rsidP="005B0036">
      <w:pPr>
        <w:tabs>
          <w:tab w:val="left" w:pos="851"/>
          <w:tab w:val="left" w:pos="8222"/>
        </w:tabs>
        <w:rPr>
          <w:b/>
          <w:sz w:val="24"/>
          <w:szCs w:val="24"/>
        </w:rPr>
      </w:pPr>
      <w:r w:rsidRPr="00A36FF3">
        <w:rPr>
          <w:b/>
          <w:sz w:val="24"/>
          <w:szCs w:val="24"/>
        </w:rPr>
        <w:t>11.</w:t>
      </w:r>
      <w:r w:rsidRPr="00A36FF3">
        <w:rPr>
          <w:b/>
          <w:sz w:val="24"/>
          <w:szCs w:val="24"/>
        </w:rPr>
        <w:tab/>
        <w:t>UDLEVERINGSBESTEMMELSE</w:t>
      </w:r>
    </w:p>
    <w:p w14:paraId="39D523F7" w14:textId="761166C0" w:rsidR="0003527F" w:rsidRPr="00A36FF3" w:rsidRDefault="00F44612" w:rsidP="0059421B">
      <w:pPr>
        <w:pStyle w:val="Sidehoved"/>
        <w:tabs>
          <w:tab w:val="clear" w:pos="4819"/>
          <w:tab w:val="left" w:pos="851"/>
          <w:tab w:val="left" w:pos="8222"/>
        </w:tabs>
        <w:ind w:left="851"/>
        <w:rPr>
          <w:szCs w:val="24"/>
        </w:rPr>
      </w:pPr>
      <w:r w:rsidRPr="00A36FF3">
        <w:rPr>
          <w:szCs w:val="24"/>
        </w:rPr>
        <w:t>BP</w:t>
      </w:r>
    </w:p>
    <w:sectPr w:rsidR="0003527F" w:rsidRPr="00A36FF3"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990FD2" w14:textId="77777777" w:rsidR="00C530B6" w:rsidRDefault="00C530B6">
      <w:r>
        <w:separator/>
      </w:r>
    </w:p>
  </w:endnote>
  <w:endnote w:type="continuationSeparator" w:id="0">
    <w:p w14:paraId="2DF6DE6F" w14:textId="77777777" w:rsidR="00C530B6" w:rsidRDefault="00C53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125A5" w14:textId="77777777" w:rsidR="004A62CC" w:rsidRDefault="004A62CC">
    <w:pPr>
      <w:pStyle w:val="Sidefod"/>
      <w:pBdr>
        <w:bottom w:val="single" w:sz="6" w:space="1" w:color="auto"/>
      </w:pBdr>
      <w:tabs>
        <w:tab w:val="clear" w:pos="4819"/>
        <w:tab w:val="left" w:pos="8647"/>
      </w:tabs>
      <w:rPr>
        <w:i/>
        <w:snapToGrid w:val="0"/>
        <w:sz w:val="18"/>
      </w:rPr>
    </w:pPr>
  </w:p>
  <w:p w14:paraId="2A4E1079" w14:textId="77777777" w:rsidR="004A62CC" w:rsidRDefault="004A62CC">
    <w:pPr>
      <w:pStyle w:val="Sidefod"/>
      <w:tabs>
        <w:tab w:val="clear" w:pos="4819"/>
        <w:tab w:val="left" w:pos="8647"/>
      </w:tabs>
      <w:rPr>
        <w:i/>
        <w:snapToGrid w:val="0"/>
        <w:sz w:val="18"/>
      </w:rPr>
    </w:pPr>
  </w:p>
  <w:p w14:paraId="0FDAAA28" w14:textId="38B7BA6E"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457C8">
      <w:rPr>
        <w:i/>
        <w:noProof/>
        <w:snapToGrid w:val="0"/>
        <w:sz w:val="18"/>
      </w:rPr>
      <w:t>Vetdrax, injektionsvæske, opløsning 100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A07A3" w14:textId="77777777" w:rsidR="004A62CC" w:rsidRDefault="004A62CC">
    <w:pPr>
      <w:pStyle w:val="Sidefod"/>
      <w:pBdr>
        <w:bottom w:val="single" w:sz="6" w:space="1" w:color="auto"/>
      </w:pBdr>
      <w:tabs>
        <w:tab w:val="clear" w:pos="4819"/>
        <w:tab w:val="left" w:pos="8647"/>
      </w:tabs>
      <w:rPr>
        <w:i/>
        <w:snapToGrid w:val="0"/>
        <w:sz w:val="18"/>
      </w:rPr>
    </w:pPr>
  </w:p>
  <w:p w14:paraId="0DE3F7BF" w14:textId="77777777" w:rsidR="004A62CC" w:rsidRDefault="004A62CC">
    <w:pPr>
      <w:pStyle w:val="Sidefod"/>
      <w:tabs>
        <w:tab w:val="clear" w:pos="4819"/>
        <w:tab w:val="left" w:pos="8647"/>
      </w:tabs>
      <w:rPr>
        <w:i/>
        <w:snapToGrid w:val="0"/>
        <w:sz w:val="18"/>
      </w:rPr>
    </w:pPr>
  </w:p>
  <w:p w14:paraId="7DA413DA" w14:textId="3F1636E6"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A457C8">
      <w:rPr>
        <w:i/>
        <w:noProof/>
        <w:snapToGrid w:val="0"/>
        <w:sz w:val="18"/>
      </w:rPr>
      <w:t>Vetdrax, injektionsvæske, opløsning 100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0F01D" w14:textId="77777777" w:rsidR="00C530B6" w:rsidRDefault="00C530B6">
      <w:r>
        <w:separator/>
      </w:r>
    </w:p>
  </w:footnote>
  <w:footnote w:type="continuationSeparator" w:id="0">
    <w:p w14:paraId="22D826CB" w14:textId="77777777" w:rsidR="00C530B6" w:rsidRDefault="00C53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CABC0"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87323"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531F"/>
    <w:multiLevelType w:val="multilevel"/>
    <w:tmpl w:val="E75684CE"/>
    <w:lvl w:ilvl="0">
      <w:start w:val="1"/>
      <w:numFmt w:val="decimal"/>
      <w:lvlText w:val="%1."/>
      <w:lvlJc w:val="left"/>
      <w:pPr>
        <w:ind w:left="784" w:hanging="567"/>
      </w:pPr>
      <w:rPr>
        <w:rFonts w:ascii="Times New Roman" w:eastAsia="Times New Roman" w:hAnsi="Times New Roman" w:cs="Times New Roman" w:hint="default"/>
        <w:b/>
        <w:bCs/>
        <w:w w:val="100"/>
        <w:sz w:val="22"/>
        <w:szCs w:val="22"/>
        <w:lang w:val="en-US" w:eastAsia="en-US" w:bidi="en-US"/>
      </w:rPr>
    </w:lvl>
    <w:lvl w:ilvl="1">
      <w:start w:val="1"/>
      <w:numFmt w:val="decimal"/>
      <w:lvlText w:val="%1.%2"/>
      <w:lvlJc w:val="left"/>
      <w:pPr>
        <w:ind w:left="993" w:hanging="567"/>
      </w:pPr>
      <w:rPr>
        <w:rFonts w:ascii="Times New Roman" w:eastAsia="Times New Roman" w:hAnsi="Times New Roman" w:cs="Times New Roman" w:hint="default"/>
        <w:b/>
        <w:bCs/>
        <w:w w:val="100"/>
        <w:sz w:val="22"/>
        <w:szCs w:val="22"/>
        <w:lang w:val="en-US" w:eastAsia="en-US" w:bidi="en-US"/>
      </w:rPr>
    </w:lvl>
    <w:lvl w:ilvl="2">
      <w:numFmt w:val="bullet"/>
      <w:lvlText w:val="•"/>
      <w:lvlJc w:val="left"/>
      <w:pPr>
        <w:ind w:left="2532" w:hanging="567"/>
      </w:pPr>
      <w:rPr>
        <w:rFonts w:hint="default"/>
        <w:lang w:val="en-US" w:eastAsia="en-US" w:bidi="en-US"/>
      </w:rPr>
    </w:lvl>
    <w:lvl w:ilvl="3">
      <w:numFmt w:val="bullet"/>
      <w:lvlText w:val="•"/>
      <w:lvlJc w:val="left"/>
      <w:pPr>
        <w:ind w:left="3408" w:hanging="567"/>
      </w:pPr>
      <w:rPr>
        <w:rFonts w:hint="default"/>
        <w:lang w:val="en-US" w:eastAsia="en-US" w:bidi="en-US"/>
      </w:rPr>
    </w:lvl>
    <w:lvl w:ilvl="4">
      <w:numFmt w:val="bullet"/>
      <w:lvlText w:val="•"/>
      <w:lvlJc w:val="left"/>
      <w:pPr>
        <w:ind w:left="4284" w:hanging="567"/>
      </w:pPr>
      <w:rPr>
        <w:rFonts w:hint="default"/>
        <w:lang w:val="en-US" w:eastAsia="en-US" w:bidi="en-US"/>
      </w:rPr>
    </w:lvl>
    <w:lvl w:ilvl="5">
      <w:numFmt w:val="bullet"/>
      <w:lvlText w:val="•"/>
      <w:lvlJc w:val="left"/>
      <w:pPr>
        <w:ind w:left="5160" w:hanging="567"/>
      </w:pPr>
      <w:rPr>
        <w:rFonts w:hint="default"/>
        <w:lang w:val="en-US" w:eastAsia="en-US" w:bidi="en-US"/>
      </w:rPr>
    </w:lvl>
    <w:lvl w:ilvl="6">
      <w:numFmt w:val="bullet"/>
      <w:lvlText w:val="•"/>
      <w:lvlJc w:val="left"/>
      <w:pPr>
        <w:ind w:left="6036" w:hanging="567"/>
      </w:pPr>
      <w:rPr>
        <w:rFonts w:hint="default"/>
        <w:lang w:val="en-US" w:eastAsia="en-US" w:bidi="en-US"/>
      </w:rPr>
    </w:lvl>
    <w:lvl w:ilvl="7">
      <w:numFmt w:val="bullet"/>
      <w:lvlText w:val="•"/>
      <w:lvlJc w:val="left"/>
      <w:pPr>
        <w:ind w:left="6912" w:hanging="567"/>
      </w:pPr>
      <w:rPr>
        <w:rFonts w:hint="default"/>
        <w:lang w:val="en-US" w:eastAsia="en-US" w:bidi="en-US"/>
      </w:rPr>
    </w:lvl>
    <w:lvl w:ilvl="8">
      <w:numFmt w:val="bullet"/>
      <w:lvlText w:val="•"/>
      <w:lvlJc w:val="left"/>
      <w:pPr>
        <w:ind w:left="7788" w:hanging="567"/>
      </w:pPr>
      <w:rPr>
        <w:rFonts w:hint="default"/>
        <w:lang w:val="en-US" w:eastAsia="en-US" w:bidi="en-US"/>
      </w:rPr>
    </w:lvl>
  </w:abstractNum>
  <w:abstractNum w:abstractNumId="1" w15:restartNumberingAfterBreak="0">
    <w:nsid w:val="1C3966E6"/>
    <w:multiLevelType w:val="hybridMultilevel"/>
    <w:tmpl w:val="C218B272"/>
    <w:lvl w:ilvl="0" w:tplc="3806CD44">
      <w:numFmt w:val="bullet"/>
      <w:lvlText w:val="-"/>
      <w:lvlJc w:val="left"/>
      <w:pPr>
        <w:ind w:left="220" w:hanging="125"/>
      </w:pPr>
      <w:rPr>
        <w:rFonts w:ascii="Times New Roman" w:eastAsia="Times New Roman" w:hAnsi="Times New Roman" w:cs="Times New Roman" w:hint="default"/>
        <w:w w:val="100"/>
        <w:sz w:val="22"/>
        <w:szCs w:val="22"/>
        <w:lang w:val="en-US" w:eastAsia="en-US" w:bidi="en-US"/>
      </w:rPr>
    </w:lvl>
    <w:lvl w:ilvl="1" w:tplc="4672DD5A">
      <w:numFmt w:val="bullet"/>
      <w:lvlText w:val="•"/>
      <w:lvlJc w:val="left"/>
      <w:pPr>
        <w:ind w:left="1152" w:hanging="125"/>
      </w:pPr>
      <w:rPr>
        <w:rFonts w:hint="default"/>
        <w:lang w:val="en-US" w:eastAsia="en-US" w:bidi="en-US"/>
      </w:rPr>
    </w:lvl>
    <w:lvl w:ilvl="2" w:tplc="731A1F0A">
      <w:numFmt w:val="bullet"/>
      <w:lvlText w:val="•"/>
      <w:lvlJc w:val="left"/>
      <w:pPr>
        <w:ind w:left="2084" w:hanging="125"/>
      </w:pPr>
      <w:rPr>
        <w:rFonts w:hint="default"/>
        <w:lang w:val="en-US" w:eastAsia="en-US" w:bidi="en-US"/>
      </w:rPr>
    </w:lvl>
    <w:lvl w:ilvl="3" w:tplc="08528514">
      <w:numFmt w:val="bullet"/>
      <w:lvlText w:val="•"/>
      <w:lvlJc w:val="left"/>
      <w:pPr>
        <w:ind w:left="3016" w:hanging="125"/>
      </w:pPr>
      <w:rPr>
        <w:rFonts w:hint="default"/>
        <w:lang w:val="en-US" w:eastAsia="en-US" w:bidi="en-US"/>
      </w:rPr>
    </w:lvl>
    <w:lvl w:ilvl="4" w:tplc="BDA4D678">
      <w:numFmt w:val="bullet"/>
      <w:lvlText w:val="•"/>
      <w:lvlJc w:val="left"/>
      <w:pPr>
        <w:ind w:left="3948" w:hanging="125"/>
      </w:pPr>
      <w:rPr>
        <w:rFonts w:hint="default"/>
        <w:lang w:val="en-US" w:eastAsia="en-US" w:bidi="en-US"/>
      </w:rPr>
    </w:lvl>
    <w:lvl w:ilvl="5" w:tplc="7BC84346">
      <w:numFmt w:val="bullet"/>
      <w:lvlText w:val="•"/>
      <w:lvlJc w:val="left"/>
      <w:pPr>
        <w:ind w:left="4880" w:hanging="125"/>
      </w:pPr>
      <w:rPr>
        <w:rFonts w:hint="default"/>
        <w:lang w:val="en-US" w:eastAsia="en-US" w:bidi="en-US"/>
      </w:rPr>
    </w:lvl>
    <w:lvl w:ilvl="6" w:tplc="616E1B2A">
      <w:numFmt w:val="bullet"/>
      <w:lvlText w:val="•"/>
      <w:lvlJc w:val="left"/>
      <w:pPr>
        <w:ind w:left="5812" w:hanging="125"/>
      </w:pPr>
      <w:rPr>
        <w:rFonts w:hint="default"/>
        <w:lang w:val="en-US" w:eastAsia="en-US" w:bidi="en-US"/>
      </w:rPr>
    </w:lvl>
    <w:lvl w:ilvl="7" w:tplc="76B4478A">
      <w:numFmt w:val="bullet"/>
      <w:lvlText w:val="•"/>
      <w:lvlJc w:val="left"/>
      <w:pPr>
        <w:ind w:left="6744" w:hanging="125"/>
      </w:pPr>
      <w:rPr>
        <w:rFonts w:hint="default"/>
        <w:lang w:val="en-US" w:eastAsia="en-US" w:bidi="en-US"/>
      </w:rPr>
    </w:lvl>
    <w:lvl w:ilvl="8" w:tplc="FBB63142">
      <w:numFmt w:val="bullet"/>
      <w:lvlText w:val="•"/>
      <w:lvlJc w:val="left"/>
      <w:pPr>
        <w:ind w:left="7676" w:hanging="125"/>
      </w:pPr>
      <w:rPr>
        <w:rFonts w:hint="default"/>
        <w:lang w:val="en-US" w:eastAsia="en-US" w:bidi="en-US"/>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B6"/>
    <w:rsid w:val="0003527F"/>
    <w:rsid w:val="00065C7D"/>
    <w:rsid w:val="00075E23"/>
    <w:rsid w:val="000B33DE"/>
    <w:rsid w:val="000C6CD4"/>
    <w:rsid w:val="001446DF"/>
    <w:rsid w:val="0015513F"/>
    <w:rsid w:val="001577E4"/>
    <w:rsid w:val="001858CA"/>
    <w:rsid w:val="001C4AEF"/>
    <w:rsid w:val="001D3CC5"/>
    <w:rsid w:val="001D461B"/>
    <w:rsid w:val="001D676A"/>
    <w:rsid w:val="0020337D"/>
    <w:rsid w:val="00213A43"/>
    <w:rsid w:val="002F2D3B"/>
    <w:rsid w:val="00322BDE"/>
    <w:rsid w:val="003460D0"/>
    <w:rsid w:val="00354A0F"/>
    <w:rsid w:val="003F5EAE"/>
    <w:rsid w:val="00406EE7"/>
    <w:rsid w:val="00407013"/>
    <w:rsid w:val="00417404"/>
    <w:rsid w:val="004335FF"/>
    <w:rsid w:val="004523A8"/>
    <w:rsid w:val="004A62CC"/>
    <w:rsid w:val="00565A74"/>
    <w:rsid w:val="0059421B"/>
    <w:rsid w:val="005B0036"/>
    <w:rsid w:val="005F5831"/>
    <w:rsid w:val="0061529C"/>
    <w:rsid w:val="00662012"/>
    <w:rsid w:val="00666B01"/>
    <w:rsid w:val="00674B6A"/>
    <w:rsid w:val="006B1539"/>
    <w:rsid w:val="006B2654"/>
    <w:rsid w:val="006E79F0"/>
    <w:rsid w:val="006F5621"/>
    <w:rsid w:val="0072650E"/>
    <w:rsid w:val="007313F5"/>
    <w:rsid w:val="007745D8"/>
    <w:rsid w:val="00790A62"/>
    <w:rsid w:val="007B7A1C"/>
    <w:rsid w:val="007E2A00"/>
    <w:rsid w:val="008010F2"/>
    <w:rsid w:val="00833968"/>
    <w:rsid w:val="008D1423"/>
    <w:rsid w:val="009202AE"/>
    <w:rsid w:val="009251DD"/>
    <w:rsid w:val="009427E8"/>
    <w:rsid w:val="0098459F"/>
    <w:rsid w:val="00985DED"/>
    <w:rsid w:val="009D66C6"/>
    <w:rsid w:val="00A22F40"/>
    <w:rsid w:val="00A36FF3"/>
    <w:rsid w:val="00A457C8"/>
    <w:rsid w:val="00A96525"/>
    <w:rsid w:val="00AB05DB"/>
    <w:rsid w:val="00AE29E5"/>
    <w:rsid w:val="00AE5757"/>
    <w:rsid w:val="00AE6FD2"/>
    <w:rsid w:val="00AE716B"/>
    <w:rsid w:val="00B160E7"/>
    <w:rsid w:val="00B25EB8"/>
    <w:rsid w:val="00B26158"/>
    <w:rsid w:val="00BC634B"/>
    <w:rsid w:val="00BF2AE0"/>
    <w:rsid w:val="00C40D25"/>
    <w:rsid w:val="00C479BF"/>
    <w:rsid w:val="00C530B6"/>
    <w:rsid w:val="00C62460"/>
    <w:rsid w:val="00CB441C"/>
    <w:rsid w:val="00CB5C39"/>
    <w:rsid w:val="00CF0A8B"/>
    <w:rsid w:val="00DA2538"/>
    <w:rsid w:val="00DD6D71"/>
    <w:rsid w:val="00DF32BE"/>
    <w:rsid w:val="00E14C71"/>
    <w:rsid w:val="00E14F0A"/>
    <w:rsid w:val="00E17A37"/>
    <w:rsid w:val="00E5790A"/>
    <w:rsid w:val="00EB5778"/>
    <w:rsid w:val="00EE5253"/>
    <w:rsid w:val="00F44612"/>
    <w:rsid w:val="00F62780"/>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F1333"/>
  <w15:chartTrackingRefBased/>
  <w15:docId w15:val="{DEB63558-78BF-47E2-89E3-42D595C2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2039</Words>
  <Characters>13314</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2024092965_x000d_
Sletning af repræsentanten ScanVet Animal Health A/S</dc:description>
  <cp:lastModifiedBy>Marianne Ott Jensen</cp:lastModifiedBy>
  <cp:revision>4</cp:revision>
  <dcterms:created xsi:type="dcterms:W3CDTF">2024-10-28T09:50:00Z</dcterms:created>
  <dcterms:modified xsi:type="dcterms:W3CDTF">2024-10-28T09:51:00Z</dcterms:modified>
</cp:coreProperties>
</file>